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525691">
      <w:pPr>
        <w:autoSpaceDN w:val="0"/>
        <w:spacing w:line="200" w:lineRule="exact"/>
        <w:ind w:firstLine="301"/>
        <w:rPr>
          <w:rFonts w:ascii="宋体" w:hAnsi="Courier New" w:eastAsia="宋体" w:cs="Times New Roman"/>
          <w:color w:val="auto"/>
          <w:spacing w:val="-4"/>
          <w:kern w:val="0"/>
          <w:sz w:val="18"/>
          <w:szCs w:val="20"/>
          <w:highlight w:val="none"/>
        </w:rPr>
      </w:pPr>
      <w:bookmarkStart w:id="0" w:name="_Hlk130282328"/>
    </w:p>
    <w:p w14:paraId="7AEA6BDD">
      <w:pPr>
        <w:autoSpaceDN w:val="0"/>
        <w:snapToGrid w:val="0"/>
        <w:spacing w:line="360" w:lineRule="auto"/>
        <w:jc w:val="center"/>
        <w:rPr>
          <w:rFonts w:ascii="仿宋" w:hAnsi="仿宋" w:eastAsia="仿宋" w:cs="宋体"/>
          <w:b/>
          <w:color w:val="auto"/>
          <w:sz w:val="32"/>
          <w:szCs w:val="32"/>
          <w:highlight w:val="none"/>
        </w:rPr>
      </w:pPr>
    </w:p>
    <w:p w14:paraId="4ABF4018">
      <w:pPr>
        <w:autoSpaceDN w:val="0"/>
        <w:spacing w:line="200" w:lineRule="exact"/>
        <w:ind w:firstLine="301"/>
        <w:rPr>
          <w:rFonts w:ascii="宋体" w:hAnsi="Courier New" w:eastAsia="宋体" w:cs="Times New Roman"/>
          <w:color w:val="auto"/>
          <w:spacing w:val="-4"/>
          <w:kern w:val="0"/>
          <w:sz w:val="18"/>
          <w:szCs w:val="20"/>
          <w:highlight w:val="none"/>
        </w:rPr>
      </w:pPr>
    </w:p>
    <w:p w14:paraId="06FD0C70">
      <w:pPr>
        <w:autoSpaceDN w:val="0"/>
        <w:spacing w:line="200" w:lineRule="exact"/>
        <w:rPr>
          <w:rFonts w:ascii="宋体" w:hAnsi="Courier New" w:eastAsia="宋体" w:cs="Times New Roman"/>
          <w:color w:val="auto"/>
          <w:spacing w:val="-4"/>
          <w:kern w:val="0"/>
          <w:sz w:val="18"/>
          <w:szCs w:val="20"/>
          <w:highlight w:val="none"/>
        </w:rPr>
      </w:pPr>
    </w:p>
    <w:p w14:paraId="2F5C808E">
      <w:pPr>
        <w:autoSpaceDN w:val="0"/>
        <w:adjustRightInd w:val="0"/>
        <w:snapToGrid w:val="0"/>
        <w:spacing w:line="480" w:lineRule="auto"/>
        <w:jc w:val="center"/>
        <w:rPr>
          <w:rFonts w:hint="eastAsia" w:ascii="仿宋" w:hAnsi="仿宋" w:eastAsia="仿宋" w:cs="宋体"/>
          <w:b/>
          <w:color w:val="auto"/>
          <w:sz w:val="44"/>
          <w:szCs w:val="44"/>
          <w:highlight w:val="none"/>
          <w:lang w:eastAsia="zh-CN"/>
        </w:rPr>
      </w:pPr>
      <w:bookmarkStart w:id="1" w:name="_Hlk130364830"/>
      <w:r>
        <w:rPr>
          <w:rFonts w:hint="eastAsia" w:ascii="仿宋" w:hAnsi="仿宋" w:eastAsia="仿宋" w:cs="宋体"/>
          <w:b/>
          <w:color w:val="auto"/>
          <w:sz w:val="44"/>
          <w:szCs w:val="44"/>
          <w:highlight w:val="none"/>
          <w:lang w:eastAsia="zh-CN"/>
        </w:rPr>
        <w:t>浙江工业大学2024年学生校区布局调整相关用房装修工程</w:t>
      </w:r>
    </w:p>
    <w:bookmarkEnd w:id="1"/>
    <w:p w14:paraId="17F0F1F1">
      <w:pPr>
        <w:autoSpaceDN w:val="0"/>
        <w:adjustRightInd w:val="0"/>
        <w:snapToGrid w:val="0"/>
        <w:spacing w:line="480" w:lineRule="auto"/>
        <w:jc w:val="center"/>
        <w:rPr>
          <w:rFonts w:ascii="仿宋" w:hAnsi="仿宋" w:eastAsia="仿宋" w:cs="宋体"/>
          <w:b/>
          <w:color w:val="auto"/>
          <w:sz w:val="44"/>
          <w:szCs w:val="44"/>
          <w:highlight w:val="none"/>
        </w:rPr>
      </w:pPr>
      <w:r>
        <w:rPr>
          <w:rFonts w:hint="eastAsia" w:ascii="仿宋" w:hAnsi="仿宋" w:eastAsia="仿宋" w:cs="宋体"/>
          <w:b/>
          <w:color w:val="auto"/>
          <w:sz w:val="44"/>
          <w:szCs w:val="44"/>
          <w:highlight w:val="none"/>
        </w:rPr>
        <w:t>竞争性磋商采购文件</w:t>
      </w:r>
    </w:p>
    <w:p w14:paraId="087A0F7E">
      <w:pPr>
        <w:autoSpaceDN w:val="0"/>
        <w:snapToGrid w:val="0"/>
        <w:spacing w:line="360" w:lineRule="auto"/>
        <w:jc w:val="left"/>
        <w:rPr>
          <w:rFonts w:ascii="仿宋" w:hAnsi="仿宋" w:eastAsia="仿宋" w:cs="宋体"/>
          <w:color w:val="auto"/>
          <w:sz w:val="32"/>
          <w:szCs w:val="32"/>
          <w:highlight w:val="none"/>
        </w:rPr>
      </w:pPr>
    </w:p>
    <w:p w14:paraId="3D4B99EB">
      <w:pPr>
        <w:autoSpaceDN w:val="0"/>
        <w:spacing w:line="200" w:lineRule="exact"/>
        <w:ind w:firstLine="301"/>
        <w:rPr>
          <w:rFonts w:ascii="宋体" w:hAnsi="Courier New" w:eastAsia="宋体" w:cs="Times New Roman"/>
          <w:color w:val="auto"/>
          <w:spacing w:val="-4"/>
          <w:kern w:val="0"/>
          <w:sz w:val="18"/>
          <w:szCs w:val="20"/>
          <w:highlight w:val="none"/>
        </w:rPr>
      </w:pPr>
    </w:p>
    <w:p w14:paraId="2F70DFFE">
      <w:pPr>
        <w:autoSpaceDN w:val="0"/>
        <w:spacing w:line="200" w:lineRule="exact"/>
        <w:ind w:firstLine="301"/>
        <w:rPr>
          <w:rFonts w:ascii="宋体" w:hAnsi="Courier New" w:eastAsia="宋体" w:cs="Times New Roman"/>
          <w:color w:val="auto"/>
          <w:spacing w:val="-4"/>
          <w:kern w:val="0"/>
          <w:sz w:val="18"/>
          <w:szCs w:val="20"/>
          <w:highlight w:val="none"/>
        </w:rPr>
      </w:pPr>
    </w:p>
    <w:p w14:paraId="18250234">
      <w:pPr>
        <w:widowControl/>
        <w:autoSpaceDN w:val="0"/>
        <w:adjustRightInd w:val="0"/>
        <w:snapToGrid w:val="0"/>
        <w:spacing w:line="480" w:lineRule="auto"/>
        <w:ind w:firstLine="1687" w:firstLineChars="600"/>
        <w:jc w:val="left"/>
        <w:rPr>
          <w:rFonts w:ascii="仿宋" w:hAnsi="仿宋" w:eastAsia="仿宋" w:cs="宋体"/>
          <w:b/>
          <w:bCs/>
          <w:color w:val="auto"/>
          <w:sz w:val="28"/>
          <w:szCs w:val="28"/>
          <w:highlight w:val="none"/>
        </w:rPr>
      </w:pPr>
    </w:p>
    <w:p w14:paraId="1C713959">
      <w:pPr>
        <w:widowControl/>
        <w:autoSpaceDN w:val="0"/>
        <w:adjustRightInd w:val="0"/>
        <w:snapToGrid w:val="0"/>
        <w:spacing w:line="480" w:lineRule="auto"/>
        <w:ind w:firstLine="1687" w:firstLineChars="600"/>
        <w:jc w:val="left"/>
        <w:rPr>
          <w:rFonts w:ascii="仿宋" w:hAnsi="仿宋" w:eastAsia="仿宋" w:cs="宋体"/>
          <w:b/>
          <w:bCs/>
          <w:color w:val="auto"/>
          <w:sz w:val="28"/>
          <w:szCs w:val="28"/>
          <w:highlight w:val="none"/>
        </w:rPr>
      </w:pPr>
    </w:p>
    <w:p w14:paraId="656422D5">
      <w:pPr>
        <w:pStyle w:val="75"/>
        <w:rPr>
          <w:rFonts w:ascii="仿宋" w:hAnsi="仿宋" w:eastAsia="仿宋" w:cs="宋体"/>
          <w:b/>
          <w:bCs/>
          <w:color w:val="auto"/>
          <w:sz w:val="28"/>
          <w:szCs w:val="28"/>
          <w:highlight w:val="none"/>
        </w:rPr>
      </w:pPr>
    </w:p>
    <w:p w14:paraId="6E233A52">
      <w:pPr>
        <w:pStyle w:val="75"/>
        <w:rPr>
          <w:rFonts w:ascii="仿宋" w:hAnsi="仿宋" w:eastAsia="仿宋" w:cs="宋体"/>
          <w:b/>
          <w:bCs/>
          <w:color w:val="auto"/>
          <w:sz w:val="28"/>
          <w:szCs w:val="28"/>
          <w:highlight w:val="none"/>
        </w:rPr>
      </w:pPr>
    </w:p>
    <w:p w14:paraId="0E7B1E40">
      <w:pPr>
        <w:pStyle w:val="75"/>
        <w:rPr>
          <w:rFonts w:ascii="仿宋" w:hAnsi="仿宋" w:eastAsia="仿宋" w:cs="宋体"/>
          <w:b/>
          <w:bCs/>
          <w:color w:val="auto"/>
          <w:sz w:val="28"/>
          <w:szCs w:val="28"/>
          <w:highlight w:val="none"/>
        </w:rPr>
      </w:pPr>
    </w:p>
    <w:p w14:paraId="75BA5994">
      <w:pPr>
        <w:pStyle w:val="75"/>
        <w:rPr>
          <w:rFonts w:ascii="仿宋" w:hAnsi="仿宋" w:eastAsia="仿宋" w:cs="宋体"/>
          <w:b/>
          <w:bCs/>
          <w:color w:val="auto"/>
          <w:sz w:val="28"/>
          <w:szCs w:val="28"/>
          <w:highlight w:val="none"/>
        </w:rPr>
      </w:pPr>
    </w:p>
    <w:p w14:paraId="10B55559">
      <w:pPr>
        <w:pStyle w:val="75"/>
        <w:rPr>
          <w:rFonts w:ascii="仿宋" w:hAnsi="仿宋" w:eastAsia="仿宋" w:cs="宋体"/>
          <w:b/>
          <w:bCs/>
          <w:color w:val="auto"/>
          <w:sz w:val="28"/>
          <w:szCs w:val="28"/>
          <w:highlight w:val="none"/>
        </w:rPr>
      </w:pPr>
    </w:p>
    <w:tbl>
      <w:tblPr>
        <w:tblStyle w:val="6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141"/>
        <w:gridCol w:w="4476"/>
      </w:tblGrid>
      <w:tr w14:paraId="31E77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141" w:type="dxa"/>
            <w:vAlign w:val="center"/>
          </w:tcPr>
          <w:p w14:paraId="44FD21F7">
            <w:pPr>
              <w:widowControl/>
              <w:autoSpaceDN w:val="0"/>
              <w:adjustRightInd w:val="0"/>
              <w:snapToGrid w:val="0"/>
              <w:spacing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项目编号：</w:t>
            </w:r>
          </w:p>
        </w:tc>
        <w:tc>
          <w:tcPr>
            <w:tcW w:w="4476" w:type="dxa"/>
            <w:vAlign w:val="center"/>
          </w:tcPr>
          <w:p w14:paraId="12127B42">
            <w:pPr>
              <w:widowControl/>
              <w:autoSpaceDN w:val="0"/>
              <w:adjustRightInd w:val="0"/>
              <w:snapToGrid w:val="0"/>
              <w:spacing w:line="240" w:lineRule="auto"/>
              <w:jc w:val="both"/>
              <w:rPr>
                <w:rFonts w:hint="eastAsia" w:ascii="仿宋" w:hAnsi="仿宋" w:eastAsia="仿宋" w:cs="宋体"/>
                <w:b/>
                <w:bCs/>
                <w:color w:val="auto"/>
                <w:sz w:val="28"/>
                <w:szCs w:val="28"/>
                <w:highlight w:val="none"/>
                <w:vertAlign w:val="baseline"/>
                <w:lang w:eastAsia="zh-CN"/>
              </w:rPr>
            </w:pPr>
            <w:r>
              <w:rPr>
                <w:rFonts w:hint="eastAsia" w:ascii="仿宋" w:hAnsi="仿宋" w:eastAsia="仿宋" w:cs="宋体"/>
                <w:b/>
                <w:bCs/>
                <w:color w:val="auto"/>
                <w:kern w:val="0"/>
                <w:sz w:val="28"/>
                <w:szCs w:val="28"/>
                <w:highlight w:val="none"/>
                <w:lang w:eastAsia="zh-CN"/>
              </w:rPr>
              <w:t>HSZB-2024-598</w:t>
            </w:r>
          </w:p>
        </w:tc>
      </w:tr>
      <w:tr w14:paraId="2600C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3141" w:type="dxa"/>
            <w:vAlign w:val="center"/>
          </w:tcPr>
          <w:p w14:paraId="1FEDAB7E">
            <w:pPr>
              <w:widowControl/>
              <w:autoSpaceDN w:val="0"/>
              <w:adjustRightInd w:val="0"/>
              <w:snapToGrid w:val="0"/>
              <w:spacing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项目名称：</w:t>
            </w:r>
          </w:p>
        </w:tc>
        <w:tc>
          <w:tcPr>
            <w:tcW w:w="4476" w:type="dxa"/>
            <w:vAlign w:val="center"/>
          </w:tcPr>
          <w:p w14:paraId="41ED6043">
            <w:pPr>
              <w:widowControl/>
              <w:autoSpaceDN w:val="0"/>
              <w:adjustRightInd w:val="0"/>
              <w:snapToGrid w:val="0"/>
              <w:spacing w:line="240" w:lineRule="auto"/>
              <w:jc w:val="both"/>
              <w:rPr>
                <w:rFonts w:hint="eastAsia" w:ascii="仿宋" w:hAnsi="仿宋" w:eastAsia="仿宋" w:cs="宋体"/>
                <w:b/>
                <w:bCs/>
                <w:color w:val="auto"/>
                <w:sz w:val="28"/>
                <w:szCs w:val="28"/>
                <w:highlight w:val="none"/>
                <w:vertAlign w:val="baseline"/>
              </w:rPr>
            </w:pPr>
            <w:r>
              <w:rPr>
                <w:rFonts w:hint="eastAsia" w:ascii="仿宋" w:hAnsi="仿宋" w:eastAsia="仿宋" w:cs="宋体"/>
                <w:b/>
                <w:bCs/>
                <w:color w:val="auto"/>
                <w:kern w:val="0"/>
                <w:sz w:val="28"/>
                <w:szCs w:val="28"/>
                <w:highlight w:val="none"/>
                <w:lang w:eastAsia="zh-CN"/>
              </w:rPr>
              <w:t>浙江工业大学2024年学生校区布局调整相关用房装修工程</w:t>
            </w:r>
          </w:p>
        </w:tc>
      </w:tr>
      <w:tr w14:paraId="2B46E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141" w:type="dxa"/>
            <w:vAlign w:val="center"/>
          </w:tcPr>
          <w:p w14:paraId="065CD410">
            <w:pPr>
              <w:widowControl/>
              <w:autoSpaceDN w:val="0"/>
              <w:adjustRightInd w:val="0"/>
              <w:snapToGrid w:val="0"/>
              <w:spacing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采购单位：</w:t>
            </w:r>
          </w:p>
        </w:tc>
        <w:tc>
          <w:tcPr>
            <w:tcW w:w="4476" w:type="dxa"/>
            <w:vAlign w:val="center"/>
          </w:tcPr>
          <w:p w14:paraId="6218E3F1">
            <w:pPr>
              <w:widowControl/>
              <w:autoSpaceDN w:val="0"/>
              <w:adjustRightInd w:val="0"/>
              <w:snapToGrid w:val="0"/>
              <w:spacing w:line="240" w:lineRule="auto"/>
              <w:jc w:val="both"/>
              <w:rPr>
                <w:rFonts w:hint="eastAsia" w:ascii="仿宋" w:hAnsi="仿宋" w:eastAsia="仿宋" w:cs="宋体"/>
                <w:b/>
                <w:bCs/>
                <w:color w:val="auto"/>
                <w:sz w:val="28"/>
                <w:szCs w:val="28"/>
                <w:highlight w:val="none"/>
                <w:vertAlign w:val="baseline"/>
              </w:rPr>
            </w:pPr>
            <w:r>
              <w:rPr>
                <w:rFonts w:hint="eastAsia" w:ascii="仿宋" w:hAnsi="仿宋" w:eastAsia="仿宋" w:cs="宋体"/>
                <w:b/>
                <w:bCs/>
                <w:color w:val="auto"/>
                <w:kern w:val="0"/>
                <w:sz w:val="28"/>
                <w:szCs w:val="28"/>
                <w:highlight w:val="none"/>
              </w:rPr>
              <w:t>浙江工业大学</w:t>
            </w:r>
          </w:p>
        </w:tc>
      </w:tr>
      <w:tr w14:paraId="34542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141" w:type="dxa"/>
            <w:vAlign w:val="center"/>
          </w:tcPr>
          <w:p w14:paraId="09A400E6">
            <w:pPr>
              <w:widowControl/>
              <w:autoSpaceDN w:val="0"/>
              <w:adjustRightInd w:val="0"/>
              <w:snapToGrid w:val="0"/>
              <w:spacing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代理机构：</w:t>
            </w:r>
          </w:p>
        </w:tc>
        <w:tc>
          <w:tcPr>
            <w:tcW w:w="4476" w:type="dxa"/>
            <w:vAlign w:val="center"/>
          </w:tcPr>
          <w:p w14:paraId="304648DB">
            <w:pPr>
              <w:widowControl/>
              <w:autoSpaceDN w:val="0"/>
              <w:adjustRightInd w:val="0"/>
              <w:snapToGrid w:val="0"/>
              <w:spacing w:line="240" w:lineRule="auto"/>
              <w:jc w:val="both"/>
              <w:rPr>
                <w:rFonts w:hint="eastAsia" w:ascii="仿宋" w:hAnsi="仿宋" w:eastAsia="仿宋" w:cs="宋体"/>
                <w:b/>
                <w:bCs/>
                <w:color w:val="auto"/>
                <w:sz w:val="28"/>
                <w:szCs w:val="28"/>
                <w:highlight w:val="none"/>
                <w:vertAlign w:val="baseline"/>
              </w:rPr>
            </w:pPr>
            <w:r>
              <w:rPr>
                <w:rFonts w:hint="eastAsia" w:ascii="仿宋" w:hAnsi="仿宋" w:eastAsia="仿宋" w:cs="宋体"/>
                <w:b/>
                <w:bCs/>
                <w:color w:val="auto"/>
                <w:kern w:val="0"/>
                <w:sz w:val="28"/>
                <w:szCs w:val="28"/>
                <w:highlight w:val="none"/>
              </w:rPr>
              <w:t>浙江豪圣建设项目管理有限公司</w:t>
            </w:r>
          </w:p>
        </w:tc>
      </w:tr>
      <w:tr w14:paraId="09A03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7617" w:type="dxa"/>
            <w:gridSpan w:val="2"/>
            <w:vAlign w:val="center"/>
          </w:tcPr>
          <w:p w14:paraId="69BA763B">
            <w:pPr>
              <w:widowControl/>
              <w:autoSpaceDN w:val="0"/>
              <w:adjustRightInd w:val="0"/>
              <w:snapToGrid w:val="0"/>
              <w:spacing w:line="480" w:lineRule="auto"/>
              <w:jc w:val="center"/>
              <w:rPr>
                <w:rFonts w:hint="eastAsia" w:ascii="仿宋" w:hAnsi="仿宋" w:eastAsia="仿宋" w:cs="宋体"/>
                <w:b/>
                <w:bCs/>
                <w:color w:val="auto"/>
                <w:sz w:val="28"/>
                <w:szCs w:val="28"/>
                <w:highlight w:val="none"/>
                <w:vertAlign w:val="baseline"/>
              </w:rPr>
            </w:pPr>
            <w:r>
              <w:rPr>
                <w:rFonts w:hint="eastAsia" w:ascii="仿宋" w:hAnsi="仿宋" w:eastAsia="仿宋" w:cs="宋体"/>
                <w:b/>
                <w:color w:val="auto"/>
                <w:sz w:val="28"/>
                <w:szCs w:val="28"/>
                <w:highlight w:val="none"/>
              </w:rPr>
              <w:t>2024年</w:t>
            </w:r>
            <w:r>
              <w:rPr>
                <w:rFonts w:hint="eastAsia" w:ascii="仿宋" w:hAnsi="仿宋" w:eastAsia="仿宋" w:cs="宋体"/>
                <w:b/>
                <w:color w:val="auto"/>
                <w:sz w:val="28"/>
                <w:szCs w:val="28"/>
                <w:highlight w:val="none"/>
                <w:lang w:val="en-US" w:eastAsia="zh-CN"/>
              </w:rPr>
              <w:t>6</w:t>
            </w:r>
            <w:r>
              <w:rPr>
                <w:rFonts w:hint="eastAsia" w:ascii="仿宋" w:hAnsi="仿宋" w:eastAsia="仿宋" w:cs="宋体"/>
                <w:b/>
                <w:color w:val="auto"/>
                <w:sz w:val="28"/>
                <w:szCs w:val="28"/>
                <w:highlight w:val="none"/>
              </w:rPr>
              <w:t>月</w:t>
            </w:r>
            <w:r>
              <w:rPr>
                <w:rFonts w:hint="eastAsia" w:ascii="仿宋" w:hAnsi="仿宋" w:eastAsia="仿宋" w:cs="宋体"/>
                <w:b/>
                <w:color w:val="auto"/>
                <w:sz w:val="28"/>
                <w:szCs w:val="28"/>
                <w:highlight w:val="none"/>
                <w:lang w:val="en-US" w:eastAsia="zh-CN"/>
              </w:rPr>
              <w:t>28</w:t>
            </w:r>
            <w:r>
              <w:rPr>
                <w:rFonts w:hint="eastAsia" w:ascii="仿宋" w:hAnsi="仿宋" w:eastAsia="仿宋" w:cs="宋体"/>
                <w:b/>
                <w:color w:val="auto"/>
                <w:sz w:val="28"/>
                <w:szCs w:val="28"/>
                <w:highlight w:val="none"/>
              </w:rPr>
              <w:t>日</w:t>
            </w:r>
          </w:p>
        </w:tc>
      </w:tr>
    </w:tbl>
    <w:p w14:paraId="3246BEA6">
      <w:pPr>
        <w:autoSpaceDN w:val="0"/>
        <w:snapToGrid w:val="0"/>
        <w:spacing w:line="360" w:lineRule="auto"/>
        <w:jc w:val="both"/>
        <w:rPr>
          <w:rFonts w:ascii="仿宋" w:hAnsi="仿宋" w:eastAsia="仿宋" w:cs="宋体"/>
          <w:b/>
          <w:color w:val="auto"/>
          <w:sz w:val="28"/>
          <w:szCs w:val="28"/>
          <w:highlight w:val="none"/>
        </w:rPr>
      </w:pPr>
    </w:p>
    <w:p w14:paraId="73D9673B">
      <w:pPr>
        <w:widowControl/>
        <w:spacing w:line="360" w:lineRule="auto"/>
        <w:jc w:val="left"/>
        <w:rPr>
          <w:rFonts w:ascii="仿宋" w:hAnsi="仿宋" w:eastAsia="仿宋" w:cs="宋体"/>
          <w:b/>
          <w:bCs/>
          <w:color w:val="auto"/>
          <w:w w:val="95"/>
          <w:sz w:val="28"/>
          <w:szCs w:val="28"/>
          <w:highlight w:val="none"/>
        </w:rPr>
        <w:sectPr>
          <w:footerReference r:id="rId4" w:type="first"/>
          <w:headerReference r:id="rId3" w:type="default"/>
          <w:pgSz w:w="11906" w:h="16838"/>
          <w:pgMar w:top="1418" w:right="1418" w:bottom="1418" w:left="1418" w:header="851" w:footer="851" w:gutter="0"/>
          <w:cols w:space="720" w:num="1"/>
        </w:sectPr>
      </w:pPr>
    </w:p>
    <w:p w14:paraId="171A47D1">
      <w:pPr>
        <w:autoSpaceDN w:val="0"/>
        <w:snapToGrid w:val="0"/>
        <w:spacing w:before="120" w:beforeLines="50" w:after="120" w:afterLines="50" w:line="360" w:lineRule="auto"/>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目  录</w:t>
      </w:r>
    </w:p>
    <w:p w14:paraId="696E4945">
      <w:pPr>
        <w:pStyle w:val="40"/>
        <w:tabs>
          <w:tab w:val="right" w:leader="dot" w:pos="9070"/>
        </w:tabs>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TOC \o "1-2" \h \z \u </w:instrText>
      </w:r>
      <w:r>
        <w:rPr>
          <w:rFonts w:hint="eastAsia" w:ascii="仿宋" w:hAnsi="仿宋" w:eastAsia="仿宋" w:cs="仿宋"/>
          <w:b/>
          <w:bCs/>
          <w:color w:val="auto"/>
          <w:szCs w:val="21"/>
          <w:highlight w:val="none"/>
        </w:rPr>
        <w:fldChar w:fldCharType="separate"/>
      </w:r>
      <w:r>
        <w:rPr>
          <w:color w:val="auto"/>
          <w:highlight w:val="none"/>
        </w:rPr>
        <w:fldChar w:fldCharType="begin"/>
      </w:r>
      <w:r>
        <w:rPr>
          <w:color w:val="auto"/>
          <w:highlight w:val="none"/>
        </w:rPr>
        <w:instrText xml:space="preserve"> HYPERLINK \l "_Toc4241" </w:instrText>
      </w:r>
      <w:r>
        <w:rPr>
          <w:color w:val="auto"/>
          <w:highlight w:val="none"/>
        </w:rPr>
        <w:fldChar w:fldCharType="separate"/>
      </w:r>
      <w:r>
        <w:rPr>
          <w:rFonts w:hint="eastAsia" w:ascii="仿宋" w:hAnsi="仿宋" w:eastAsia="仿宋" w:cs="仿宋"/>
          <w:b/>
          <w:bCs/>
          <w:color w:val="auto"/>
          <w:kern w:val="0"/>
          <w:szCs w:val="21"/>
          <w:highlight w:val="none"/>
        </w:rPr>
        <w:t>第一章 竞争性磋商公告</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_Toc4241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31A13C40">
      <w:pPr>
        <w:pStyle w:val="4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"_Toc32606" </w:instrText>
      </w:r>
      <w:r>
        <w:rPr>
          <w:color w:val="auto"/>
          <w:highlight w:val="none"/>
        </w:rPr>
        <w:fldChar w:fldCharType="separate"/>
      </w:r>
      <w:r>
        <w:rPr>
          <w:rFonts w:hint="eastAsia" w:ascii="仿宋" w:hAnsi="仿宋" w:eastAsia="仿宋" w:cs="仿宋"/>
          <w:b/>
          <w:bCs/>
          <w:color w:val="auto"/>
          <w:spacing w:val="-4"/>
          <w:kern w:val="0"/>
          <w:szCs w:val="21"/>
          <w:highlight w:val="none"/>
        </w:rPr>
        <w:t>第二章 磋商须知</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_Toc32606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8</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15C3C28C">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"_Toc3099" </w:instrText>
      </w:r>
      <w:r>
        <w:rPr>
          <w:color w:val="auto"/>
          <w:highlight w:val="none"/>
        </w:rPr>
        <w:fldChar w:fldCharType="separate"/>
      </w:r>
      <w:r>
        <w:rPr>
          <w:rFonts w:hint="eastAsia" w:ascii="仿宋" w:hAnsi="仿宋" w:eastAsia="仿宋" w:cs="仿宋"/>
          <w:b/>
          <w:bCs/>
          <w:color w:val="auto"/>
          <w:szCs w:val="21"/>
          <w:highlight w:val="none"/>
        </w:rPr>
        <w:t>前附表</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_Toc3099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8</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1DE77E1D">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"_Toc19240" </w:instrText>
      </w:r>
      <w:r>
        <w:rPr>
          <w:color w:val="auto"/>
          <w:highlight w:val="none"/>
        </w:rPr>
        <w:fldChar w:fldCharType="separate"/>
      </w:r>
      <w:r>
        <w:rPr>
          <w:rFonts w:hint="eastAsia" w:ascii="仿宋" w:hAnsi="仿宋" w:eastAsia="仿宋" w:cs="仿宋"/>
          <w:b/>
          <w:bCs/>
          <w:color w:val="auto"/>
          <w:szCs w:val="21"/>
          <w:highlight w:val="none"/>
        </w:rPr>
        <w:t>一、总则</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_Toc19240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14</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21397A64">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"_Toc19497" </w:instrText>
      </w:r>
      <w:r>
        <w:rPr>
          <w:color w:val="auto"/>
          <w:highlight w:val="none"/>
        </w:rPr>
        <w:fldChar w:fldCharType="separate"/>
      </w:r>
      <w:r>
        <w:rPr>
          <w:rFonts w:hint="eastAsia" w:ascii="仿宋" w:hAnsi="仿宋" w:eastAsia="仿宋" w:cs="仿宋"/>
          <w:b/>
          <w:bCs/>
          <w:color w:val="auto"/>
          <w:szCs w:val="21"/>
          <w:highlight w:val="none"/>
        </w:rPr>
        <w:t>二、落实的政府采购政策</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_Toc19497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22</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3D168D2F">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"_Toc1246" </w:instrText>
      </w:r>
      <w:r>
        <w:rPr>
          <w:color w:val="auto"/>
          <w:highlight w:val="none"/>
        </w:rPr>
        <w:fldChar w:fldCharType="separate"/>
      </w:r>
      <w:r>
        <w:rPr>
          <w:rFonts w:hint="eastAsia" w:ascii="仿宋" w:hAnsi="仿宋" w:eastAsia="仿宋" w:cs="仿宋"/>
          <w:b/>
          <w:bCs/>
          <w:color w:val="auto"/>
          <w:szCs w:val="21"/>
          <w:highlight w:val="none"/>
        </w:rPr>
        <w:t>三、竞争性磋商文件</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_Toc1246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25</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10379166">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"_Toc1284" </w:instrText>
      </w:r>
      <w:r>
        <w:rPr>
          <w:color w:val="auto"/>
          <w:highlight w:val="none"/>
        </w:rPr>
        <w:fldChar w:fldCharType="separate"/>
      </w:r>
      <w:r>
        <w:rPr>
          <w:rFonts w:hint="eastAsia" w:ascii="仿宋" w:hAnsi="仿宋" w:eastAsia="仿宋" w:cs="仿宋"/>
          <w:b/>
          <w:bCs/>
          <w:color w:val="auto"/>
          <w:szCs w:val="21"/>
          <w:highlight w:val="none"/>
        </w:rPr>
        <w:t>四、磋商响应文件</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_Toc1284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27</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7F3540C0">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"_Toc11633" </w:instrText>
      </w:r>
      <w:r>
        <w:rPr>
          <w:color w:val="auto"/>
          <w:highlight w:val="none"/>
        </w:rPr>
        <w:fldChar w:fldCharType="separate"/>
      </w:r>
      <w:r>
        <w:rPr>
          <w:rFonts w:hint="eastAsia" w:ascii="仿宋" w:hAnsi="仿宋" w:eastAsia="仿宋" w:cs="仿宋"/>
          <w:b/>
          <w:bCs/>
          <w:color w:val="auto"/>
          <w:szCs w:val="21"/>
          <w:highlight w:val="none"/>
        </w:rPr>
        <w:t>五、磋商响应</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_Toc11633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32</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355C78F2">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"_Toc640" </w:instrText>
      </w:r>
      <w:r>
        <w:rPr>
          <w:color w:val="auto"/>
          <w:highlight w:val="none"/>
        </w:rPr>
        <w:fldChar w:fldCharType="separate"/>
      </w:r>
      <w:r>
        <w:rPr>
          <w:rFonts w:hint="eastAsia" w:ascii="仿宋" w:hAnsi="仿宋" w:eastAsia="仿宋" w:cs="仿宋"/>
          <w:b/>
          <w:bCs/>
          <w:color w:val="auto"/>
          <w:szCs w:val="21"/>
          <w:highlight w:val="none"/>
        </w:rPr>
        <w:t>六、开标</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_Toc640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33</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4946EF48">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"_Toc32126" </w:instrText>
      </w:r>
      <w:r>
        <w:rPr>
          <w:color w:val="auto"/>
          <w:highlight w:val="none"/>
        </w:rPr>
        <w:fldChar w:fldCharType="separate"/>
      </w:r>
      <w:r>
        <w:rPr>
          <w:rFonts w:hint="eastAsia" w:ascii="仿宋" w:hAnsi="仿宋" w:eastAsia="仿宋" w:cs="仿宋"/>
          <w:b/>
          <w:bCs/>
          <w:color w:val="auto"/>
          <w:szCs w:val="21"/>
          <w:highlight w:val="none"/>
        </w:rPr>
        <w:t>七、评审</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_Toc32126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35</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3F1C9703">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"_Toc11895" </w:instrText>
      </w:r>
      <w:r>
        <w:rPr>
          <w:color w:val="auto"/>
          <w:highlight w:val="none"/>
        </w:rPr>
        <w:fldChar w:fldCharType="separate"/>
      </w:r>
      <w:r>
        <w:rPr>
          <w:rFonts w:hint="eastAsia" w:ascii="仿宋" w:hAnsi="仿宋" w:eastAsia="仿宋" w:cs="仿宋"/>
          <w:b/>
          <w:bCs/>
          <w:color w:val="auto"/>
          <w:szCs w:val="21"/>
          <w:highlight w:val="none"/>
        </w:rPr>
        <w:t>八、采购结果确认与公告</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_Toc11895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36</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5774C55F">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"_Toc17503" </w:instrText>
      </w:r>
      <w:r>
        <w:rPr>
          <w:color w:val="auto"/>
          <w:highlight w:val="none"/>
        </w:rPr>
        <w:fldChar w:fldCharType="separate"/>
      </w:r>
      <w:r>
        <w:rPr>
          <w:rFonts w:hint="eastAsia" w:ascii="仿宋" w:hAnsi="仿宋" w:eastAsia="仿宋" w:cs="仿宋"/>
          <w:b/>
          <w:bCs/>
          <w:color w:val="auto"/>
          <w:szCs w:val="21"/>
          <w:highlight w:val="none"/>
        </w:rPr>
        <w:t>九、采购代理服务费</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_Toc17503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37</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16E174DC">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"_Toc7194" </w:instrText>
      </w:r>
      <w:r>
        <w:rPr>
          <w:color w:val="auto"/>
          <w:highlight w:val="none"/>
        </w:rPr>
        <w:fldChar w:fldCharType="separate"/>
      </w:r>
      <w:r>
        <w:rPr>
          <w:rFonts w:hint="eastAsia" w:ascii="仿宋" w:hAnsi="仿宋" w:eastAsia="仿宋" w:cs="仿宋"/>
          <w:b/>
          <w:bCs/>
          <w:color w:val="auto"/>
          <w:szCs w:val="21"/>
          <w:highlight w:val="none"/>
        </w:rPr>
        <w:t>十、合同签订和履约担保</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_Toc7194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38</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6747EF92">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"_Toc19649" </w:instrText>
      </w:r>
      <w:r>
        <w:rPr>
          <w:color w:val="auto"/>
          <w:highlight w:val="none"/>
        </w:rPr>
        <w:fldChar w:fldCharType="separate"/>
      </w:r>
      <w:r>
        <w:rPr>
          <w:rFonts w:hint="eastAsia" w:ascii="仿宋" w:hAnsi="仿宋" w:eastAsia="仿宋" w:cs="仿宋"/>
          <w:b/>
          <w:bCs/>
          <w:color w:val="auto"/>
          <w:szCs w:val="21"/>
          <w:highlight w:val="none"/>
        </w:rPr>
        <w:t>十一、其他事项说明</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_Toc19649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39</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363A0510">
      <w:pPr>
        <w:pStyle w:val="4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"_Toc18106" </w:instrText>
      </w:r>
      <w:r>
        <w:rPr>
          <w:color w:val="auto"/>
          <w:highlight w:val="none"/>
        </w:rPr>
        <w:fldChar w:fldCharType="separate"/>
      </w:r>
      <w:r>
        <w:rPr>
          <w:rFonts w:hint="eastAsia" w:ascii="仿宋" w:hAnsi="仿宋" w:eastAsia="仿宋" w:cs="仿宋"/>
          <w:b/>
          <w:bCs/>
          <w:color w:val="auto"/>
          <w:kern w:val="0"/>
          <w:szCs w:val="21"/>
          <w:highlight w:val="none"/>
        </w:rPr>
        <w:t>第三章 评审办法</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_Toc18106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40</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19790824">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"_Toc23222" </w:instrText>
      </w:r>
      <w:r>
        <w:rPr>
          <w:color w:val="auto"/>
          <w:highlight w:val="none"/>
        </w:rPr>
        <w:fldChar w:fldCharType="separate"/>
      </w:r>
      <w:r>
        <w:rPr>
          <w:rFonts w:hint="eastAsia" w:ascii="仿宋" w:hAnsi="仿宋" w:eastAsia="仿宋" w:cs="仿宋"/>
          <w:b/>
          <w:bCs/>
          <w:color w:val="auto"/>
          <w:szCs w:val="21"/>
          <w:highlight w:val="none"/>
        </w:rPr>
        <w:t>一、总则</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_Toc23222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40</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0EBD0168">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"_Toc26621" </w:instrText>
      </w:r>
      <w:r>
        <w:rPr>
          <w:color w:val="auto"/>
          <w:highlight w:val="none"/>
        </w:rPr>
        <w:fldChar w:fldCharType="separate"/>
      </w:r>
      <w:r>
        <w:rPr>
          <w:rFonts w:hint="eastAsia" w:ascii="仿宋" w:hAnsi="仿宋" w:eastAsia="仿宋" w:cs="仿宋"/>
          <w:b/>
          <w:bCs/>
          <w:color w:val="auto"/>
          <w:szCs w:val="21"/>
          <w:highlight w:val="none"/>
        </w:rPr>
        <w:t>二、评审程序</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_Toc26621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40</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49DFA5AC">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"_Toc14247" </w:instrText>
      </w:r>
      <w:r>
        <w:rPr>
          <w:color w:val="auto"/>
          <w:highlight w:val="none"/>
        </w:rPr>
        <w:fldChar w:fldCharType="separate"/>
      </w:r>
      <w:r>
        <w:rPr>
          <w:rFonts w:hint="eastAsia" w:ascii="仿宋" w:hAnsi="仿宋" w:eastAsia="仿宋" w:cs="仿宋"/>
          <w:b/>
          <w:bCs/>
          <w:color w:val="auto"/>
          <w:szCs w:val="21"/>
          <w:highlight w:val="none"/>
        </w:rPr>
        <w:t>三、评审内容及标准</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_Toc14247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45</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567AD50E">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"_Toc10395" </w:instrText>
      </w:r>
      <w:r>
        <w:rPr>
          <w:color w:val="auto"/>
          <w:highlight w:val="none"/>
        </w:rPr>
        <w:fldChar w:fldCharType="separate"/>
      </w:r>
      <w:r>
        <w:rPr>
          <w:rFonts w:hint="eastAsia" w:ascii="仿宋" w:hAnsi="仿宋" w:eastAsia="仿宋" w:cs="仿宋"/>
          <w:b/>
          <w:bCs/>
          <w:color w:val="auto"/>
          <w:szCs w:val="21"/>
          <w:highlight w:val="none"/>
        </w:rPr>
        <w:t>四、其他评审事项规定</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_Toc10395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48</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74092EE5">
      <w:pPr>
        <w:pStyle w:val="4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"_Toc8854" </w:instrText>
      </w:r>
      <w:r>
        <w:rPr>
          <w:color w:val="auto"/>
          <w:highlight w:val="none"/>
        </w:rPr>
        <w:fldChar w:fldCharType="separate"/>
      </w:r>
      <w:r>
        <w:rPr>
          <w:rFonts w:hint="eastAsia" w:ascii="仿宋" w:hAnsi="仿宋" w:eastAsia="仿宋" w:cs="仿宋"/>
          <w:b/>
          <w:bCs/>
          <w:color w:val="auto"/>
          <w:szCs w:val="21"/>
          <w:highlight w:val="none"/>
        </w:rPr>
        <w:t>第四章 采购内容及需求</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_Toc8854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50</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6772EEEE">
      <w:pPr>
        <w:pStyle w:val="4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"_Toc18450" </w:instrText>
      </w:r>
      <w:r>
        <w:rPr>
          <w:color w:val="auto"/>
          <w:highlight w:val="none"/>
        </w:rPr>
        <w:fldChar w:fldCharType="separate"/>
      </w:r>
      <w:r>
        <w:rPr>
          <w:rFonts w:hint="eastAsia" w:ascii="仿宋" w:hAnsi="仿宋" w:eastAsia="仿宋" w:cs="仿宋"/>
          <w:b/>
          <w:bCs/>
          <w:color w:val="auto"/>
          <w:szCs w:val="21"/>
          <w:highlight w:val="none"/>
        </w:rPr>
        <w:t>第五章 合同</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_Toc18450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57</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2655C29E">
      <w:pPr>
        <w:pStyle w:val="4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"_Toc15050" </w:instrText>
      </w:r>
      <w:r>
        <w:rPr>
          <w:color w:val="auto"/>
          <w:highlight w:val="none"/>
        </w:rPr>
        <w:fldChar w:fldCharType="separate"/>
      </w:r>
      <w:r>
        <w:rPr>
          <w:rFonts w:hint="eastAsia" w:ascii="仿宋" w:hAnsi="仿宋" w:eastAsia="仿宋" w:cs="仿宋"/>
          <w:b/>
          <w:bCs/>
          <w:color w:val="auto"/>
          <w:szCs w:val="21"/>
          <w:highlight w:val="none"/>
        </w:rPr>
        <w:t>第六章 响应文件格式</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t>9</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t>9</w:t>
      </w:r>
    </w:p>
    <w:p w14:paraId="57003508">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"_Toc1935" </w:instrText>
      </w:r>
      <w:r>
        <w:rPr>
          <w:color w:val="auto"/>
          <w:highlight w:val="none"/>
        </w:rPr>
        <w:fldChar w:fldCharType="separate"/>
      </w:r>
      <w:r>
        <w:rPr>
          <w:rFonts w:hint="eastAsia" w:ascii="仿宋" w:hAnsi="仿宋" w:eastAsia="仿宋" w:cs="仿宋"/>
          <w:b/>
          <w:bCs/>
          <w:color w:val="auto"/>
          <w:szCs w:val="21"/>
          <w:highlight w:val="none"/>
        </w:rPr>
        <w:t>一、资格文件部分格式</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_Toc1935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84</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38FD3298">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"_Toc16209" </w:instrText>
      </w:r>
      <w:r>
        <w:rPr>
          <w:color w:val="auto"/>
          <w:highlight w:val="none"/>
        </w:rPr>
        <w:fldChar w:fldCharType="separate"/>
      </w:r>
      <w:r>
        <w:rPr>
          <w:rFonts w:hint="eastAsia" w:ascii="仿宋" w:hAnsi="仿宋" w:eastAsia="仿宋" w:cs="仿宋"/>
          <w:b/>
          <w:bCs/>
          <w:color w:val="auto"/>
          <w:szCs w:val="21"/>
          <w:highlight w:val="none"/>
        </w:rPr>
        <w:t>二、商务技术文件部分格式</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_Toc16209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94</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573BB658">
      <w:pPr>
        <w:pStyle w:val="5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"_Toc11526" </w:instrText>
      </w:r>
      <w:r>
        <w:rPr>
          <w:color w:val="auto"/>
          <w:highlight w:val="none"/>
        </w:rPr>
        <w:fldChar w:fldCharType="separate"/>
      </w:r>
      <w:r>
        <w:rPr>
          <w:rFonts w:hint="eastAsia" w:ascii="仿宋" w:hAnsi="仿宋" w:eastAsia="仿宋" w:cs="仿宋"/>
          <w:b/>
          <w:bCs/>
          <w:color w:val="auto"/>
          <w:szCs w:val="21"/>
          <w:highlight w:val="none"/>
        </w:rPr>
        <w:t>三、报价文件部分格式</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_Toc11526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109</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7DDA3186">
      <w:pPr>
        <w:pStyle w:val="40"/>
        <w:tabs>
          <w:tab w:val="right" w:leader="dot" w:pos="9070"/>
        </w:tabs>
        <w:spacing w:line="360" w:lineRule="auto"/>
        <w:rPr>
          <w:rFonts w:ascii="仿宋" w:hAnsi="仿宋" w:eastAsia="仿宋" w:cs="仿宋"/>
          <w:b/>
          <w:bCs/>
          <w:color w:val="auto"/>
          <w:szCs w:val="21"/>
          <w:highlight w:val="none"/>
        </w:rPr>
      </w:pPr>
      <w:r>
        <w:rPr>
          <w:color w:val="auto"/>
          <w:highlight w:val="none"/>
        </w:rPr>
        <w:fldChar w:fldCharType="begin"/>
      </w:r>
      <w:r>
        <w:rPr>
          <w:color w:val="auto"/>
          <w:highlight w:val="none"/>
        </w:rPr>
        <w:instrText xml:space="preserve"> HYPERLINK \l "_Toc5995" </w:instrText>
      </w:r>
      <w:r>
        <w:rPr>
          <w:color w:val="auto"/>
          <w:highlight w:val="none"/>
        </w:rPr>
        <w:fldChar w:fldCharType="separate"/>
      </w:r>
      <w:r>
        <w:rPr>
          <w:rFonts w:hint="eastAsia" w:ascii="仿宋" w:hAnsi="仿宋" w:eastAsia="仿宋" w:cs="仿宋"/>
          <w:b/>
          <w:bCs/>
          <w:color w:val="auto"/>
          <w:szCs w:val="21"/>
          <w:highlight w:val="none"/>
        </w:rPr>
        <w:t>第七章 附件</w:t>
      </w:r>
      <w:r>
        <w:rPr>
          <w:rFonts w:hint="eastAsia" w:ascii="仿宋" w:hAnsi="仿宋" w:eastAsia="仿宋" w:cs="仿宋"/>
          <w:b/>
          <w:bCs/>
          <w:color w:val="auto"/>
          <w:szCs w:val="21"/>
          <w:highlight w:val="none"/>
        </w:rPr>
        <w:tab/>
      </w:r>
      <w:r>
        <w:rPr>
          <w:rFonts w:hint="eastAsia" w:ascii="仿宋" w:hAnsi="仿宋" w:eastAsia="仿宋" w:cs="仿宋"/>
          <w:b/>
          <w:bCs/>
          <w:color w:val="auto"/>
          <w:szCs w:val="21"/>
          <w:highlight w:val="none"/>
        </w:rPr>
        <w:fldChar w:fldCharType="begin"/>
      </w:r>
      <w:r>
        <w:rPr>
          <w:rFonts w:hint="eastAsia" w:ascii="仿宋" w:hAnsi="仿宋" w:eastAsia="仿宋" w:cs="仿宋"/>
          <w:b/>
          <w:bCs/>
          <w:color w:val="auto"/>
          <w:szCs w:val="21"/>
          <w:highlight w:val="none"/>
        </w:rPr>
        <w:instrText xml:space="preserve"> PAGEREF _Toc5995 \h </w:instrText>
      </w:r>
      <w:r>
        <w:rPr>
          <w:rFonts w:hint="eastAsia" w:ascii="仿宋" w:hAnsi="仿宋" w:eastAsia="仿宋" w:cs="仿宋"/>
          <w:b/>
          <w:bCs/>
          <w:color w:val="auto"/>
          <w:szCs w:val="21"/>
          <w:highlight w:val="none"/>
        </w:rPr>
        <w:fldChar w:fldCharType="separate"/>
      </w:r>
      <w:r>
        <w:rPr>
          <w:rFonts w:hint="eastAsia" w:ascii="仿宋" w:hAnsi="仿宋" w:eastAsia="仿宋" w:cs="仿宋"/>
          <w:b/>
          <w:bCs/>
          <w:color w:val="auto"/>
          <w:szCs w:val="21"/>
          <w:highlight w:val="none"/>
        </w:rPr>
        <w:t>135</w:t>
      </w:r>
      <w:r>
        <w:rPr>
          <w:rFonts w:hint="eastAsia" w:ascii="仿宋" w:hAnsi="仿宋" w:eastAsia="仿宋" w:cs="仿宋"/>
          <w:b/>
          <w:bCs/>
          <w:color w:val="auto"/>
          <w:szCs w:val="21"/>
          <w:highlight w:val="none"/>
        </w:rPr>
        <w:fldChar w:fldCharType="end"/>
      </w:r>
      <w:r>
        <w:rPr>
          <w:rFonts w:hint="eastAsia" w:ascii="仿宋" w:hAnsi="仿宋" w:eastAsia="仿宋" w:cs="仿宋"/>
          <w:b/>
          <w:bCs/>
          <w:color w:val="auto"/>
          <w:szCs w:val="21"/>
          <w:highlight w:val="none"/>
        </w:rPr>
        <w:fldChar w:fldCharType="end"/>
      </w:r>
    </w:p>
    <w:p w14:paraId="3107FE00">
      <w:pPr>
        <w:autoSpaceDN w:val="0"/>
        <w:adjustRightInd w:val="0"/>
        <w:snapToGrid w:val="0"/>
        <w:spacing w:line="360" w:lineRule="auto"/>
        <w:jc w:val="center"/>
        <w:rPr>
          <w:rFonts w:ascii="仿宋" w:hAnsi="仿宋" w:eastAsia="仿宋" w:cs="宋体"/>
          <w:b/>
          <w:color w:val="auto"/>
          <w:kern w:val="0"/>
          <w:sz w:val="32"/>
          <w:szCs w:val="32"/>
          <w:highlight w:val="none"/>
        </w:rPr>
      </w:pPr>
      <w:r>
        <w:rPr>
          <w:rFonts w:hint="eastAsia" w:ascii="仿宋" w:hAnsi="仿宋" w:eastAsia="仿宋" w:cs="仿宋"/>
          <w:b/>
          <w:bCs/>
          <w:color w:val="auto"/>
          <w:szCs w:val="21"/>
          <w:highlight w:val="none"/>
        </w:rPr>
        <w:fldChar w:fldCharType="end"/>
      </w:r>
      <w:r>
        <w:rPr>
          <w:rFonts w:hint="eastAsia" w:ascii="仿宋" w:hAnsi="仿宋" w:eastAsia="仿宋" w:cs="宋体"/>
          <w:b/>
          <w:color w:val="auto"/>
          <w:kern w:val="0"/>
          <w:sz w:val="24"/>
          <w:szCs w:val="24"/>
          <w:highlight w:val="none"/>
        </w:rPr>
        <w:br w:type="page"/>
      </w:r>
      <w:r>
        <w:rPr>
          <w:rFonts w:hint="eastAsia" w:ascii="仿宋" w:hAnsi="仿宋" w:eastAsia="仿宋" w:cs="宋体"/>
          <w:b/>
          <w:color w:val="auto"/>
          <w:kern w:val="0"/>
          <w:sz w:val="32"/>
          <w:szCs w:val="32"/>
          <w:highlight w:val="none"/>
        </w:rPr>
        <w:t>电子交易须知</w:t>
      </w:r>
    </w:p>
    <w:p w14:paraId="087929FD">
      <w:pPr>
        <w:autoSpaceDN w:val="0"/>
        <w:snapToGrid w:val="0"/>
        <w:spacing w:before="120" w:beforeLines="50" w:after="120" w:afterLines="50" w:line="360" w:lineRule="auto"/>
        <w:ind w:firstLine="482" w:firstLineChars="200"/>
        <w:jc w:val="left"/>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1、本次采购采用电子交易方式，电子交易平台为“政府采购云平台（www.zcygov.cn）”。供应商参与本项目电子交易活动前，应通过浙江政府采购网“浙江政府采购供应商信息登记管理系统”进行信息登记，获得线上政府采购活动操作权限。编制电子响应文件前还需申领CA证书并绑定帐号，供应商应充分考虑完成登记、申领CA证书等所需的时间。</w:t>
      </w:r>
    </w:p>
    <w:p w14:paraId="055C4DD5">
      <w:pPr>
        <w:autoSpaceDN w:val="0"/>
        <w:snapToGrid w:val="0"/>
        <w:spacing w:before="120" w:beforeLines="50" w:after="120" w:afterLines="50" w:line="360" w:lineRule="auto"/>
        <w:ind w:firstLine="482" w:firstLineChars="200"/>
        <w:jc w:val="left"/>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2、供应商编制电子响应文件应安装“电子交易客户端”软件，并按照本采购文件和电子交易平台的要求编制并加密响应文件。未按规定加密的响应文件，将被电子交易平台拒收。“电子交易客户端”请供应商自行前往“浙江政府采购网（zfcg.czt.zj.gov.cn）— 下载专区 — 电子交易客户端”版块获取。</w:t>
      </w:r>
    </w:p>
    <w:p w14:paraId="48B83201">
      <w:pPr>
        <w:autoSpaceDN w:val="0"/>
        <w:snapToGrid w:val="0"/>
        <w:spacing w:before="120" w:beforeLines="50" w:after="120" w:afterLines="50" w:line="360" w:lineRule="auto"/>
        <w:ind w:firstLine="482" w:firstLineChars="200"/>
        <w:jc w:val="left"/>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3、供应商应当在递交响应文件截止时间前，将“电子交易客户端”生成的“电子加密响应文件”上传电子交易平台。</w:t>
      </w:r>
    </w:p>
    <w:p w14:paraId="11041323">
      <w:pPr>
        <w:autoSpaceDN w:val="0"/>
        <w:snapToGrid w:val="0"/>
        <w:spacing w:before="120" w:beforeLines="50" w:after="120" w:afterLines="50" w:line="360" w:lineRule="auto"/>
        <w:ind w:firstLine="482" w:firstLineChars="200"/>
        <w:jc w:val="left"/>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4、“电子备份响应文件”是指与“电子加密响应文件”同时生成的数据电文形式的响应文件。供应商在电子交易平台上传“电子加密响应文件”后，还可以邮寄或送达的方式在递交响应文件截止时间前提交以介质（U盘）存储的“电子备份响应文件”。“电子备份响应文件”应当密封包装并在包装上标注采购项目编号、项目名称、供应商名称等并加盖公章。</w:t>
      </w:r>
    </w:p>
    <w:p w14:paraId="024E5D98">
      <w:pPr>
        <w:autoSpaceDN w:val="0"/>
        <w:snapToGrid w:val="0"/>
        <w:spacing w:before="120" w:beforeLines="50" w:after="120" w:afterLines="50" w:line="360" w:lineRule="auto"/>
        <w:ind w:firstLine="482" w:firstLineChars="200"/>
        <w:jc w:val="left"/>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5、通过“政府采购云平台”递交的“电子加密响应文件”如无法按时解密的，如供应商提交了“电子备份响应文件”的，则由采购组织机构按“政府采购云平台”操作规范将“电子备份响应文件”上传至“政府采购云平台”，上传成功后，以“电子备份响应文件”参与评审，“电子加密响应文件”自动失效; 在“政府采购云平台”正常运行情况下，“电子备份响应文件”无法上传至“政府采购云平台”的，视为响应文件撤回。供应商未按规定递交“电子备份响应文件”的，视为响应文件撤回。未上传“电子加密响应文件”，仅提交“电子备份响应文件”的，响应无效。</w:t>
      </w:r>
    </w:p>
    <w:p w14:paraId="4FAE40BD">
      <w:pPr>
        <w:autoSpaceDN w:val="0"/>
        <w:snapToGrid w:val="0"/>
        <w:spacing w:before="120" w:beforeLines="50" w:after="120" w:afterLines="50" w:line="360" w:lineRule="auto"/>
        <w:ind w:firstLine="482" w:firstLineChars="200"/>
        <w:jc w:val="left"/>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6、供应商在参加电子交易过程中,可登录电子交易平台“帮助文档”版面获取《电子交易管理操作指南》，或致电平台400-881-7190获取相关服务支持。</w:t>
      </w:r>
    </w:p>
    <w:p w14:paraId="1BAA31B9">
      <w:pPr>
        <w:widowControl/>
        <w:spacing w:line="360" w:lineRule="auto"/>
        <w:jc w:val="left"/>
        <w:rPr>
          <w:rFonts w:ascii="仿宋" w:hAnsi="仿宋" w:eastAsia="仿宋" w:cs="宋体"/>
          <w:b/>
          <w:color w:val="auto"/>
          <w:kern w:val="0"/>
          <w:sz w:val="24"/>
          <w:szCs w:val="24"/>
          <w:highlight w:val="none"/>
        </w:rPr>
        <w:sectPr>
          <w:footerReference r:id="rId6" w:type="first"/>
          <w:footerReference r:id="rId5" w:type="default"/>
          <w:pgSz w:w="11906" w:h="16838"/>
          <w:pgMar w:top="1418" w:right="1418" w:bottom="1418" w:left="1418" w:header="851" w:footer="1077" w:gutter="0"/>
          <w:pgNumType w:start="1"/>
          <w:cols w:space="720" w:num="1"/>
          <w:titlePg/>
          <w:docGrid w:linePitch="286" w:charSpace="0"/>
        </w:sectPr>
      </w:pPr>
    </w:p>
    <w:p w14:paraId="32C4A6CA">
      <w:pPr>
        <w:autoSpaceDN w:val="0"/>
        <w:adjustRightInd w:val="0"/>
        <w:snapToGrid w:val="0"/>
        <w:spacing w:before="162" w:beforeLines="50" w:after="162" w:afterLines="50" w:line="360" w:lineRule="auto"/>
        <w:jc w:val="center"/>
        <w:outlineLvl w:val="0"/>
        <w:rPr>
          <w:rFonts w:ascii="仿宋" w:hAnsi="仿宋" w:eastAsia="仿宋" w:cs="宋体"/>
          <w:b/>
          <w:color w:val="auto"/>
          <w:kern w:val="0"/>
          <w:sz w:val="32"/>
          <w:szCs w:val="32"/>
          <w:highlight w:val="none"/>
        </w:rPr>
      </w:pPr>
      <w:bookmarkStart w:id="2" w:name="_Toc4241"/>
      <w:r>
        <w:rPr>
          <w:rFonts w:hint="eastAsia" w:ascii="仿宋" w:hAnsi="仿宋" w:eastAsia="仿宋" w:cs="宋体"/>
          <w:b/>
          <w:color w:val="auto"/>
          <w:kern w:val="0"/>
          <w:sz w:val="32"/>
          <w:szCs w:val="32"/>
          <w:highlight w:val="none"/>
        </w:rPr>
        <w:t>第一章 竞争性磋商公告</w:t>
      </w:r>
      <w:bookmarkEnd w:id="2"/>
    </w:p>
    <w:p w14:paraId="21470239">
      <w:pPr>
        <w:pBdr>
          <w:top w:val="single" w:color="auto" w:sz="4" w:space="1"/>
          <w:left w:val="single" w:color="auto" w:sz="4" w:space="4"/>
          <w:bottom w:val="single" w:color="auto" w:sz="4" w:space="1"/>
          <w:right w:val="single" w:color="auto" w:sz="4" w:space="4"/>
        </w:pBdr>
        <w:autoSpaceDN w:val="0"/>
        <w:adjustRightInd w:val="0"/>
        <w:snapToGrid w:val="0"/>
        <w:spacing w:line="36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项目概况</w:t>
      </w:r>
    </w:p>
    <w:p w14:paraId="0C0B7242">
      <w:pPr>
        <w:pBdr>
          <w:top w:val="single" w:color="auto" w:sz="4" w:space="1"/>
          <w:left w:val="single" w:color="auto" w:sz="4" w:space="4"/>
          <w:bottom w:val="single" w:color="auto" w:sz="4" w:space="1"/>
          <w:right w:val="single" w:color="auto" w:sz="4" w:space="4"/>
        </w:pBdr>
        <w:autoSpaceDE w:val="0"/>
        <w:autoSpaceDN w:val="0"/>
        <w:adjustRightInd w:val="0"/>
        <w:snapToGrid w:val="0"/>
        <w:spacing w:line="360" w:lineRule="auto"/>
        <w:ind w:firstLine="464" w:firstLineChars="200"/>
        <w:rPr>
          <w:rFonts w:ascii="仿宋" w:hAnsi="仿宋" w:eastAsia="仿宋" w:cs="宋体"/>
          <w:color w:val="auto"/>
          <w:sz w:val="24"/>
          <w:szCs w:val="24"/>
          <w:highlight w:val="none"/>
        </w:rPr>
      </w:pPr>
      <w:r>
        <w:rPr>
          <w:rFonts w:hint="eastAsia" w:ascii="仿宋" w:hAnsi="仿宋" w:eastAsia="仿宋" w:cs="宋体"/>
          <w:color w:val="auto"/>
          <w:spacing w:val="-4"/>
          <w:kern w:val="0"/>
          <w:sz w:val="24"/>
          <w:szCs w:val="24"/>
          <w:highlight w:val="none"/>
          <w:u w:val="single"/>
          <w:lang w:eastAsia="zh-CN"/>
        </w:rPr>
        <w:t>浙江工业大学2024年学生校区布局调整相关用房装修工程</w:t>
      </w:r>
      <w:r>
        <w:rPr>
          <w:rFonts w:hint="eastAsia" w:ascii="仿宋" w:hAnsi="仿宋" w:eastAsia="仿宋" w:cs="宋体"/>
          <w:color w:val="auto"/>
          <w:spacing w:val="-4"/>
          <w:kern w:val="0"/>
          <w:sz w:val="24"/>
          <w:szCs w:val="24"/>
          <w:highlight w:val="none"/>
        </w:rPr>
        <w:t>的潜在供应商应在</w:t>
      </w:r>
      <w:r>
        <w:rPr>
          <w:rFonts w:hint="eastAsia" w:ascii="仿宋" w:hAnsi="仿宋" w:eastAsia="仿宋" w:cs="宋体"/>
          <w:color w:val="auto"/>
          <w:sz w:val="24"/>
          <w:szCs w:val="24"/>
          <w:highlight w:val="none"/>
          <w:u w:val="single"/>
        </w:rPr>
        <w:t>https://www.zcygov.cn</w:t>
      </w:r>
      <w:r>
        <w:rPr>
          <w:rFonts w:hint="eastAsia" w:ascii="仿宋" w:hAnsi="仿宋" w:eastAsia="仿宋" w:cs="宋体"/>
          <w:color w:val="auto"/>
          <w:sz w:val="24"/>
          <w:szCs w:val="24"/>
          <w:highlight w:val="none"/>
        </w:rPr>
        <w:t>获取（下载）采购文件，并于</w:t>
      </w:r>
      <w:r>
        <w:rPr>
          <w:rFonts w:hint="eastAsia" w:ascii="仿宋" w:hAnsi="仿宋" w:eastAsia="仿宋" w:cs="宋体"/>
          <w:b/>
          <w:color w:val="auto"/>
          <w:sz w:val="24"/>
          <w:szCs w:val="24"/>
          <w:highlight w:val="none"/>
          <w:u w:val="single"/>
        </w:rPr>
        <w:t>2024年</w:t>
      </w:r>
      <w:r>
        <w:rPr>
          <w:rFonts w:hint="eastAsia" w:ascii="仿宋" w:hAnsi="仿宋" w:eastAsia="仿宋" w:cs="宋体"/>
          <w:b/>
          <w:color w:val="auto"/>
          <w:sz w:val="24"/>
          <w:szCs w:val="24"/>
          <w:highlight w:val="none"/>
          <w:u w:val="single"/>
          <w:lang w:val="en-US" w:eastAsia="zh-CN"/>
        </w:rPr>
        <w:t>07</w:t>
      </w:r>
      <w:r>
        <w:rPr>
          <w:rFonts w:hint="eastAsia" w:ascii="仿宋" w:hAnsi="仿宋" w:eastAsia="仿宋" w:cs="宋体"/>
          <w:b/>
          <w:color w:val="auto"/>
          <w:sz w:val="24"/>
          <w:szCs w:val="24"/>
          <w:highlight w:val="none"/>
          <w:u w:val="single"/>
        </w:rPr>
        <w:t>月</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日</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w:t>
      </w:r>
      <w:r>
        <w:rPr>
          <w:rFonts w:hint="eastAsia" w:ascii="仿宋" w:hAnsi="仿宋" w:eastAsia="仿宋" w:cs="宋体"/>
          <w:b/>
          <w:color w:val="auto"/>
          <w:sz w:val="24"/>
          <w:szCs w:val="24"/>
          <w:highlight w:val="none"/>
          <w:u w:val="single"/>
          <w:lang w:val="en-US" w:eastAsia="zh-CN"/>
        </w:rPr>
        <w:t>00</w:t>
      </w:r>
      <w:r>
        <w:rPr>
          <w:rFonts w:hint="eastAsia" w:ascii="仿宋" w:hAnsi="仿宋" w:eastAsia="仿宋" w:cs="宋体"/>
          <w:b/>
          <w:color w:val="auto"/>
          <w:sz w:val="24"/>
          <w:szCs w:val="24"/>
          <w:highlight w:val="none"/>
          <w:u w:val="single"/>
        </w:rPr>
        <w:t>（北京时间）</w:t>
      </w:r>
      <w:r>
        <w:rPr>
          <w:rFonts w:hint="eastAsia" w:ascii="仿宋" w:hAnsi="仿宋" w:eastAsia="仿宋" w:cs="宋体"/>
          <w:bCs/>
          <w:color w:val="auto"/>
          <w:sz w:val="24"/>
          <w:szCs w:val="24"/>
          <w:highlight w:val="none"/>
        </w:rPr>
        <w:t>前提交（上传）响应文件</w:t>
      </w:r>
      <w:r>
        <w:rPr>
          <w:rFonts w:hint="eastAsia" w:ascii="仿宋" w:hAnsi="仿宋" w:eastAsia="仿宋" w:cs="宋体"/>
          <w:color w:val="auto"/>
          <w:sz w:val="24"/>
          <w:szCs w:val="24"/>
          <w:highlight w:val="none"/>
        </w:rPr>
        <w:t>。</w:t>
      </w:r>
    </w:p>
    <w:p w14:paraId="683A807B">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bookmarkStart w:id="3" w:name="_Toc28359002"/>
      <w:bookmarkStart w:id="4" w:name="_Toc35393621"/>
      <w:bookmarkStart w:id="5" w:name="_Toc28359079"/>
      <w:bookmarkStart w:id="6" w:name="_Toc35393790"/>
      <w:bookmarkStart w:id="7" w:name="_Hlk24379207"/>
      <w:r>
        <w:rPr>
          <w:rFonts w:hint="eastAsia" w:ascii="仿宋" w:hAnsi="仿宋" w:eastAsia="仿宋" w:cs="宋体"/>
          <w:b/>
          <w:color w:val="auto"/>
          <w:spacing w:val="-4"/>
          <w:kern w:val="0"/>
          <w:sz w:val="24"/>
          <w:szCs w:val="24"/>
          <w:highlight w:val="none"/>
        </w:rPr>
        <w:t>一、项目基本情况</w:t>
      </w:r>
      <w:bookmarkEnd w:id="3"/>
      <w:bookmarkEnd w:id="4"/>
      <w:bookmarkEnd w:id="5"/>
      <w:bookmarkEnd w:id="6"/>
    </w:p>
    <w:p w14:paraId="74530FEB">
      <w:pPr>
        <w:widowControl/>
        <w:autoSpaceDN w:val="0"/>
        <w:adjustRightInd w:val="0"/>
        <w:snapToGrid w:val="0"/>
        <w:spacing w:line="360" w:lineRule="auto"/>
        <w:ind w:firstLine="480" w:firstLineChars="200"/>
        <w:rPr>
          <w:rFonts w:hint="eastAsia" w:ascii="仿宋" w:hAnsi="仿宋" w:eastAsia="仿宋" w:cs="Times New Roman"/>
          <w:color w:val="auto"/>
          <w:sz w:val="24"/>
          <w:szCs w:val="24"/>
          <w:highlight w:val="none"/>
          <w:lang w:eastAsia="zh-CN"/>
        </w:rPr>
      </w:pPr>
      <w:r>
        <w:rPr>
          <w:rFonts w:hint="eastAsia" w:ascii="仿宋" w:hAnsi="仿宋" w:eastAsia="仿宋" w:cs="宋体"/>
          <w:color w:val="auto"/>
          <w:sz w:val="24"/>
          <w:szCs w:val="24"/>
          <w:highlight w:val="none"/>
        </w:rPr>
        <w:t>项目编号：</w:t>
      </w:r>
      <w:r>
        <w:rPr>
          <w:rFonts w:hint="eastAsia" w:ascii="仿宋" w:hAnsi="仿宋" w:eastAsia="仿宋" w:cs="宋体"/>
          <w:color w:val="auto"/>
          <w:spacing w:val="-4"/>
          <w:kern w:val="0"/>
          <w:sz w:val="24"/>
          <w:szCs w:val="24"/>
          <w:highlight w:val="none"/>
          <w:lang w:eastAsia="zh-CN"/>
        </w:rPr>
        <w:t>HSZB-2024-598</w:t>
      </w:r>
    </w:p>
    <w:p w14:paraId="269F5101">
      <w:pPr>
        <w:autoSpaceDN w:val="0"/>
        <w:adjustRightInd w:val="0"/>
        <w:snapToGrid w:val="0"/>
        <w:spacing w:line="360" w:lineRule="auto"/>
        <w:ind w:firstLine="464" w:firstLineChars="200"/>
        <w:rPr>
          <w:rFonts w:hint="eastAsia" w:ascii="仿宋" w:hAnsi="仿宋" w:eastAsia="仿宋" w:cs="宋体"/>
          <w:color w:val="auto"/>
          <w:spacing w:val="-4"/>
          <w:kern w:val="0"/>
          <w:sz w:val="24"/>
          <w:szCs w:val="24"/>
          <w:highlight w:val="none"/>
          <w:lang w:eastAsia="zh-CN"/>
        </w:rPr>
      </w:pPr>
      <w:r>
        <w:rPr>
          <w:rFonts w:hint="eastAsia" w:ascii="仿宋" w:hAnsi="仿宋" w:eastAsia="仿宋" w:cs="宋体"/>
          <w:color w:val="auto"/>
          <w:spacing w:val="-4"/>
          <w:kern w:val="0"/>
          <w:sz w:val="24"/>
          <w:szCs w:val="24"/>
          <w:highlight w:val="none"/>
        </w:rPr>
        <w:t>项目名称：</w:t>
      </w:r>
      <w:r>
        <w:rPr>
          <w:rFonts w:hint="eastAsia" w:ascii="仿宋" w:hAnsi="仿宋" w:eastAsia="仿宋" w:cs="宋体"/>
          <w:color w:val="auto"/>
          <w:spacing w:val="-4"/>
          <w:kern w:val="0"/>
          <w:sz w:val="24"/>
          <w:szCs w:val="24"/>
          <w:highlight w:val="none"/>
          <w:lang w:eastAsia="zh-CN"/>
        </w:rPr>
        <w:t>浙江工业大学2024年学生校区布局调整相关用房装修工程</w:t>
      </w:r>
    </w:p>
    <w:p w14:paraId="17265B9B">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采购方式：竞争性磋商</w:t>
      </w:r>
    </w:p>
    <w:bookmarkEnd w:id="7"/>
    <w:p w14:paraId="6B2D69C4">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预算金额（元）：</w:t>
      </w:r>
      <w:r>
        <w:rPr>
          <w:rFonts w:hint="eastAsia" w:ascii="仿宋" w:hAnsi="仿宋" w:eastAsia="仿宋" w:cs="宋体"/>
          <w:color w:val="auto"/>
          <w:spacing w:val="-4"/>
          <w:kern w:val="0"/>
          <w:sz w:val="24"/>
          <w:szCs w:val="24"/>
          <w:highlight w:val="none"/>
          <w:lang w:eastAsia="zh-CN"/>
        </w:rPr>
        <w:t>1850000</w:t>
      </w:r>
      <w:r>
        <w:rPr>
          <w:rFonts w:hint="eastAsia" w:ascii="仿宋" w:hAnsi="仿宋" w:eastAsia="仿宋" w:cs="宋体"/>
          <w:color w:val="auto"/>
          <w:spacing w:val="-4"/>
          <w:kern w:val="0"/>
          <w:sz w:val="24"/>
          <w:szCs w:val="24"/>
          <w:highlight w:val="none"/>
        </w:rPr>
        <w:t>.00</w:t>
      </w:r>
    </w:p>
    <w:p w14:paraId="5A6FAF6E">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最高限价（元）：1770167.00</w:t>
      </w:r>
    </w:p>
    <w:p w14:paraId="01E07538">
      <w:pPr>
        <w:autoSpaceDN w:val="0"/>
        <w:adjustRightInd w:val="0"/>
        <w:snapToGrid w:val="0"/>
        <w:spacing w:line="360" w:lineRule="auto"/>
        <w:ind w:firstLine="464" w:firstLineChars="200"/>
        <w:rPr>
          <w:rFonts w:hint="eastAsia" w:ascii="仿宋" w:hAnsi="仿宋" w:eastAsia="仿宋" w:cs="宋体"/>
          <w:color w:val="auto"/>
          <w:spacing w:val="-4"/>
          <w:kern w:val="0"/>
          <w:sz w:val="24"/>
          <w:szCs w:val="24"/>
          <w:highlight w:val="none"/>
          <w:lang w:eastAsia="zh-CN"/>
        </w:rPr>
      </w:pPr>
      <w:r>
        <w:rPr>
          <w:rFonts w:hint="eastAsia" w:ascii="仿宋" w:hAnsi="仿宋" w:eastAsia="仿宋" w:cs="宋体"/>
          <w:color w:val="auto"/>
          <w:spacing w:val="-4"/>
          <w:kern w:val="0"/>
          <w:sz w:val="24"/>
          <w:szCs w:val="24"/>
          <w:highlight w:val="none"/>
        </w:rPr>
        <w:t>采购需求：</w:t>
      </w:r>
    </w:p>
    <w:p w14:paraId="24AAA0D6">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标项一：</w:t>
      </w:r>
    </w:p>
    <w:p w14:paraId="41480EDD">
      <w:pPr>
        <w:autoSpaceDN w:val="0"/>
        <w:adjustRightInd w:val="0"/>
        <w:snapToGrid w:val="0"/>
        <w:spacing w:line="360" w:lineRule="auto"/>
        <w:ind w:firstLine="464" w:firstLineChars="200"/>
        <w:rPr>
          <w:rFonts w:hint="eastAsia" w:ascii="仿宋" w:hAnsi="仿宋" w:eastAsia="仿宋" w:cs="宋体"/>
          <w:color w:val="auto"/>
          <w:spacing w:val="-4"/>
          <w:kern w:val="0"/>
          <w:sz w:val="24"/>
          <w:szCs w:val="24"/>
          <w:highlight w:val="none"/>
          <w:lang w:eastAsia="zh-CN"/>
        </w:rPr>
      </w:pPr>
      <w:r>
        <w:rPr>
          <w:rFonts w:hint="eastAsia" w:ascii="仿宋" w:hAnsi="仿宋" w:eastAsia="仿宋" w:cs="宋体"/>
          <w:color w:val="auto"/>
          <w:spacing w:val="-4"/>
          <w:kern w:val="0"/>
          <w:sz w:val="24"/>
          <w:szCs w:val="24"/>
          <w:highlight w:val="none"/>
        </w:rPr>
        <w:t>标项名称：</w:t>
      </w:r>
      <w:r>
        <w:rPr>
          <w:rFonts w:hint="eastAsia" w:ascii="仿宋" w:hAnsi="仿宋" w:eastAsia="仿宋" w:cs="宋体"/>
          <w:color w:val="auto"/>
          <w:spacing w:val="-4"/>
          <w:kern w:val="0"/>
          <w:sz w:val="24"/>
          <w:szCs w:val="24"/>
          <w:highlight w:val="none"/>
          <w:lang w:eastAsia="zh-CN"/>
        </w:rPr>
        <w:t>浙江工业大学2024年学生校区布局调整相关用房装修工程</w:t>
      </w:r>
    </w:p>
    <w:p w14:paraId="688BECB7">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数量：1</w:t>
      </w:r>
    </w:p>
    <w:p w14:paraId="5CDAFE7D">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单位：项</w:t>
      </w:r>
    </w:p>
    <w:p w14:paraId="5B15374E">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预算金额（元）：</w:t>
      </w:r>
      <w:r>
        <w:rPr>
          <w:rFonts w:hint="eastAsia" w:ascii="仿宋" w:hAnsi="仿宋" w:eastAsia="仿宋" w:cs="宋体"/>
          <w:color w:val="auto"/>
          <w:spacing w:val="-4"/>
          <w:kern w:val="0"/>
          <w:sz w:val="24"/>
          <w:szCs w:val="24"/>
          <w:highlight w:val="none"/>
          <w:lang w:eastAsia="zh-CN"/>
        </w:rPr>
        <w:t>1850000</w:t>
      </w:r>
      <w:r>
        <w:rPr>
          <w:rFonts w:hint="eastAsia" w:ascii="仿宋" w:hAnsi="仿宋" w:eastAsia="仿宋" w:cs="宋体"/>
          <w:color w:val="auto"/>
          <w:spacing w:val="-4"/>
          <w:kern w:val="0"/>
          <w:sz w:val="24"/>
          <w:szCs w:val="24"/>
          <w:highlight w:val="none"/>
        </w:rPr>
        <w:t>.00</w:t>
      </w:r>
    </w:p>
    <w:p w14:paraId="656ED486">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最高限价（元）：1770167.00</w:t>
      </w:r>
    </w:p>
    <w:p w14:paraId="1F267417">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简要规格描述：</w:t>
      </w:r>
      <w:r>
        <w:rPr>
          <w:rFonts w:hint="eastAsia" w:ascii="仿宋" w:hAnsi="仿宋" w:eastAsia="仿宋" w:cs="宋体"/>
          <w:color w:val="auto"/>
          <w:spacing w:val="-4"/>
          <w:kern w:val="0"/>
          <w:sz w:val="24"/>
          <w:szCs w:val="24"/>
          <w:highlight w:val="none"/>
          <w:lang w:eastAsia="zh-CN"/>
        </w:rPr>
        <w:t>浙江工业大学2024年学生校区布局调整相关用房装修工程</w:t>
      </w:r>
      <w:r>
        <w:rPr>
          <w:rFonts w:hint="eastAsia" w:ascii="仿宋" w:hAnsi="仿宋" w:eastAsia="仿宋" w:cs="宋体"/>
          <w:color w:val="auto"/>
          <w:spacing w:val="-4"/>
          <w:kern w:val="0"/>
          <w:sz w:val="24"/>
          <w:szCs w:val="24"/>
          <w:highlight w:val="none"/>
        </w:rPr>
        <w:t>，主要包含朝晖校区子良楼五楼C区</w:t>
      </w:r>
      <w:r>
        <w:rPr>
          <w:rFonts w:hint="eastAsia" w:ascii="仿宋" w:hAnsi="仿宋" w:eastAsia="仿宋" w:cs="宋体"/>
          <w:color w:val="auto"/>
          <w:spacing w:val="-4"/>
          <w:kern w:val="0"/>
          <w:sz w:val="24"/>
          <w:szCs w:val="24"/>
          <w:highlight w:val="none"/>
          <w:lang w:val="en-US" w:eastAsia="zh-CN"/>
        </w:rPr>
        <w:t>经济、管理、法学等五个学院的行政办公用房</w:t>
      </w:r>
      <w:r>
        <w:rPr>
          <w:rFonts w:hint="eastAsia" w:ascii="仿宋" w:hAnsi="仿宋" w:eastAsia="仿宋" w:cs="宋体"/>
          <w:color w:val="auto"/>
          <w:spacing w:val="-4"/>
          <w:kern w:val="0"/>
          <w:sz w:val="24"/>
          <w:szCs w:val="24"/>
          <w:highlight w:val="none"/>
          <w:lang w:eastAsia="zh-CN"/>
        </w:rPr>
        <w:t>、</w:t>
      </w:r>
      <w:r>
        <w:rPr>
          <w:rFonts w:hint="eastAsia" w:ascii="仿宋" w:hAnsi="仿宋" w:eastAsia="仿宋" w:cs="宋体"/>
          <w:color w:val="auto"/>
          <w:spacing w:val="-4"/>
          <w:kern w:val="0"/>
          <w:sz w:val="24"/>
          <w:szCs w:val="24"/>
          <w:highlight w:val="none"/>
        </w:rPr>
        <w:t>机械楼八楼A区</w:t>
      </w:r>
      <w:r>
        <w:rPr>
          <w:rFonts w:hint="eastAsia" w:ascii="仿宋" w:hAnsi="仿宋" w:eastAsia="仿宋" w:cs="宋体"/>
          <w:color w:val="auto"/>
          <w:spacing w:val="-4"/>
          <w:kern w:val="0"/>
          <w:sz w:val="24"/>
          <w:szCs w:val="24"/>
          <w:highlight w:val="none"/>
          <w:lang w:val="en-US" w:eastAsia="zh-CN"/>
        </w:rPr>
        <w:t>多媒体教室改造</w:t>
      </w:r>
      <w:r>
        <w:rPr>
          <w:rFonts w:hint="eastAsia" w:ascii="仿宋" w:hAnsi="仿宋" w:eastAsia="仿宋" w:cs="宋体"/>
          <w:color w:val="auto"/>
          <w:spacing w:val="-4"/>
          <w:kern w:val="0"/>
          <w:sz w:val="24"/>
          <w:szCs w:val="24"/>
          <w:highlight w:val="none"/>
          <w:lang w:eastAsia="zh-CN"/>
        </w:rPr>
        <w:t>，</w:t>
      </w:r>
      <w:r>
        <w:rPr>
          <w:rFonts w:hint="eastAsia" w:ascii="仿宋" w:hAnsi="仿宋" w:eastAsia="仿宋" w:cs="宋体"/>
          <w:color w:val="auto"/>
          <w:spacing w:val="-4"/>
          <w:kern w:val="0"/>
          <w:sz w:val="24"/>
          <w:szCs w:val="24"/>
          <w:highlight w:val="none"/>
        </w:rPr>
        <w:t>具体内容详见工程量清单及施工图纸。详见采购文件第四章采购内容及需求。</w:t>
      </w:r>
    </w:p>
    <w:p w14:paraId="47C9211C">
      <w:pPr>
        <w:autoSpaceDN w:val="0"/>
        <w:adjustRightInd w:val="0"/>
        <w:snapToGrid w:val="0"/>
        <w:spacing w:line="360" w:lineRule="auto"/>
        <w:ind w:firstLine="464" w:firstLineChars="200"/>
        <w:rPr>
          <w:rFonts w:hint="eastAsia" w:ascii="仿宋" w:hAnsi="仿宋" w:eastAsia="仿宋" w:cs="宋体"/>
          <w:color w:val="auto"/>
          <w:spacing w:val="-4"/>
          <w:kern w:val="0"/>
          <w:sz w:val="24"/>
          <w:szCs w:val="24"/>
          <w:highlight w:val="none"/>
          <w:lang w:val="en-US" w:eastAsia="zh-CN"/>
        </w:rPr>
      </w:pPr>
      <w:r>
        <w:rPr>
          <w:rFonts w:hint="eastAsia" w:ascii="仿宋" w:hAnsi="仿宋" w:eastAsia="仿宋" w:cs="宋体"/>
          <w:color w:val="auto"/>
          <w:spacing w:val="-4"/>
          <w:kern w:val="0"/>
          <w:sz w:val="24"/>
          <w:szCs w:val="24"/>
          <w:highlight w:val="none"/>
        </w:rPr>
        <w:t>备注：</w:t>
      </w:r>
      <w:r>
        <w:rPr>
          <w:rFonts w:hint="eastAsia" w:ascii="仿宋" w:hAnsi="仿宋" w:eastAsia="仿宋" w:cs="宋体"/>
          <w:color w:val="auto"/>
          <w:spacing w:val="-4"/>
          <w:kern w:val="0"/>
          <w:sz w:val="24"/>
          <w:szCs w:val="24"/>
          <w:highlight w:val="none"/>
          <w:lang w:val="en-US" w:eastAsia="zh-CN"/>
        </w:rPr>
        <w:t>/</w:t>
      </w:r>
    </w:p>
    <w:p w14:paraId="20FFCDE9">
      <w:pPr>
        <w:autoSpaceDN w:val="0"/>
        <w:adjustRightInd w:val="0"/>
        <w:snapToGrid w:val="0"/>
        <w:spacing w:line="360" w:lineRule="auto"/>
        <w:ind w:firstLine="464" w:firstLineChars="200"/>
        <w:rPr>
          <w:rFonts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合同履行期限：</w:t>
      </w:r>
      <w:r>
        <w:rPr>
          <w:rFonts w:hint="eastAsia" w:ascii="仿宋" w:hAnsi="仿宋" w:eastAsia="仿宋" w:cs="仿宋"/>
          <w:color w:val="auto"/>
          <w:spacing w:val="-4"/>
          <w:kern w:val="0"/>
          <w:sz w:val="24"/>
          <w:szCs w:val="24"/>
          <w:highlight w:val="none"/>
          <w:lang w:val="en-US" w:eastAsia="zh-CN"/>
        </w:rPr>
        <w:t>40</w:t>
      </w:r>
      <w:r>
        <w:rPr>
          <w:rFonts w:hint="eastAsia" w:ascii="仿宋" w:hAnsi="仿宋" w:eastAsia="仿宋" w:cs="仿宋"/>
          <w:color w:val="auto"/>
          <w:spacing w:val="-4"/>
          <w:kern w:val="0"/>
          <w:sz w:val="24"/>
          <w:szCs w:val="24"/>
          <w:highlight w:val="none"/>
        </w:rPr>
        <w:t>日历天</w:t>
      </w:r>
    </w:p>
    <w:p w14:paraId="3ECF8502">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本项目（是）接受联合体投标</w:t>
      </w:r>
    </w:p>
    <w:p w14:paraId="576A2EE1">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bookmarkStart w:id="8" w:name="_Toc28359003"/>
      <w:bookmarkStart w:id="9" w:name="_Toc35393622"/>
      <w:bookmarkStart w:id="10" w:name="_Toc28359080"/>
      <w:bookmarkStart w:id="11" w:name="_Toc35393791"/>
      <w:r>
        <w:rPr>
          <w:rFonts w:hint="eastAsia" w:ascii="仿宋" w:hAnsi="仿宋" w:eastAsia="仿宋" w:cs="宋体"/>
          <w:b/>
          <w:color w:val="auto"/>
          <w:spacing w:val="-4"/>
          <w:kern w:val="0"/>
          <w:sz w:val="24"/>
          <w:szCs w:val="24"/>
          <w:highlight w:val="none"/>
        </w:rPr>
        <w:t>二、申请人的资格要求</w:t>
      </w:r>
      <w:bookmarkEnd w:id="8"/>
      <w:bookmarkEnd w:id="9"/>
      <w:bookmarkEnd w:id="10"/>
      <w:bookmarkEnd w:id="11"/>
    </w:p>
    <w:p w14:paraId="1A0E0813">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6E37AA36">
      <w:pPr>
        <w:autoSpaceDN w:val="0"/>
        <w:adjustRightInd w:val="0"/>
        <w:snapToGrid w:val="0"/>
        <w:spacing w:line="360" w:lineRule="auto"/>
        <w:ind w:firstLine="480" w:firstLineChars="200"/>
        <w:rPr>
          <w:rFonts w:ascii="仿宋" w:hAnsi="仿宋" w:eastAsia="仿宋" w:cs="宋体"/>
          <w:color w:val="auto"/>
          <w:spacing w:val="-4"/>
          <w:kern w:val="0"/>
          <w:sz w:val="24"/>
          <w:szCs w:val="24"/>
          <w:highlight w:val="none"/>
        </w:rPr>
      </w:pPr>
      <w:bookmarkStart w:id="12" w:name="_Toc28359004"/>
      <w:bookmarkStart w:id="13" w:name="_Toc28359081"/>
      <w:r>
        <w:rPr>
          <w:rFonts w:hint="eastAsia" w:ascii="仿宋" w:hAnsi="仿宋" w:eastAsia="仿宋" w:cs="宋体"/>
          <w:color w:val="auto"/>
          <w:sz w:val="24"/>
          <w:szCs w:val="24"/>
          <w:highlight w:val="none"/>
        </w:rPr>
        <w:t>2.落实政府采购政策需满足的资格要求：</w:t>
      </w:r>
      <w:r>
        <w:rPr>
          <w:rFonts w:hint="eastAsia" w:ascii="仿宋" w:hAnsi="仿宋" w:eastAsia="仿宋" w:cs="宋体"/>
          <w:b/>
          <w:color w:val="auto"/>
          <w:spacing w:val="-4"/>
          <w:kern w:val="0"/>
          <w:sz w:val="24"/>
          <w:szCs w:val="24"/>
          <w:highlight w:val="none"/>
        </w:rPr>
        <w:t>本项目是专门面向中小企业采购的项目,供应商应为中、小、微企业</w:t>
      </w:r>
      <w:r>
        <w:rPr>
          <w:rFonts w:hint="eastAsia" w:ascii="仿宋" w:hAnsi="仿宋" w:eastAsia="仿宋" w:cs="Times New Roman"/>
          <w:b/>
          <w:bCs/>
          <w:color w:val="auto"/>
          <w:sz w:val="24"/>
          <w:szCs w:val="24"/>
          <w:highlight w:val="none"/>
        </w:rPr>
        <w:t>（符合要求的监狱企业和残疾人福利性单位视同为小微企业），项目属性为工程，中小企业划分标准对应行业为“建筑业”；</w:t>
      </w:r>
    </w:p>
    <w:p w14:paraId="3286623E">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3.本项目的特定资格要求：</w:t>
      </w:r>
    </w:p>
    <w:p w14:paraId="065A557A">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bookmarkStart w:id="14" w:name="_Hlk130373903"/>
      <w:bookmarkStart w:id="15" w:name="_Toc35393792"/>
      <w:bookmarkStart w:id="16" w:name="_Toc35393623"/>
      <w:r>
        <w:rPr>
          <w:rFonts w:hint="eastAsia" w:ascii="仿宋" w:hAnsi="仿宋" w:eastAsia="仿宋" w:cs="宋体"/>
          <w:b/>
          <w:color w:val="auto"/>
          <w:spacing w:val="-4"/>
          <w:kern w:val="0"/>
          <w:sz w:val="24"/>
          <w:szCs w:val="24"/>
          <w:highlight w:val="none"/>
        </w:rPr>
        <w:t>（1）具有建筑工程施工总承包三级及以上资质；具有有效的安全生产许可证。</w:t>
      </w:r>
    </w:p>
    <w:p w14:paraId="018E7B15">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2）企业主要负责人（法定代表人、企业经理、企业分管安全生产的副经理、企业技术负责人）具有“三类人员”有效A类证书，企业分管安全生产的副经理具有任命文件；拟派项目经理具有有效的建筑工程专业二级及以上注册建造师证书及“三类人员”有效B类证书；拟派现场安全生产专职管理人员具有“三类人员”有效C类证书。</w:t>
      </w:r>
    </w:p>
    <w:p w14:paraId="74C2F408">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（3）</w:t>
      </w:r>
      <w:bookmarkEnd w:id="14"/>
      <w:r>
        <w:rPr>
          <w:rFonts w:hint="eastAsia" w:ascii="仿宋" w:hAnsi="仿宋" w:eastAsia="仿宋" w:cs="宋体"/>
          <w:b/>
          <w:color w:val="auto"/>
          <w:spacing w:val="-4"/>
          <w:kern w:val="0"/>
          <w:sz w:val="24"/>
          <w:szCs w:val="24"/>
          <w:highlight w:val="none"/>
        </w:rPr>
        <w:t>本项目允许符合以下规定的联合体参加投标：</w:t>
      </w:r>
    </w:p>
    <w:p w14:paraId="28DB869A">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①联合体各方均须为符合政策要求的中、小、微型企业并且符合本项目“申请人的资格要求”第1条规定；</w:t>
      </w:r>
    </w:p>
    <w:p w14:paraId="72774995">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②提交有效的联合投标（响应）协议书，明确载明联合体各方承担的工作和义务。</w:t>
      </w:r>
    </w:p>
    <w:p w14:paraId="7EAE0C7B">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（4）本项目允许分包，要求如下：</w:t>
      </w:r>
    </w:p>
    <w:p w14:paraId="0DD8A4AE">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①分包承担主体均须为符合政策要求的中、小、微型企业并且符合本项目“申请人的资格要求”第1条规定；</w:t>
      </w:r>
    </w:p>
    <w:p w14:paraId="7E61804A">
      <w:pPr>
        <w:widowControl/>
        <w:autoSpaceDN w:val="0"/>
        <w:adjustRightInd w:val="0"/>
        <w:snapToGrid w:val="0"/>
        <w:spacing w:line="360" w:lineRule="auto"/>
        <w:ind w:firstLine="466" w:firstLineChars="200"/>
        <w:jc w:val="left"/>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②提交有效的分包意向协议。</w:t>
      </w:r>
    </w:p>
    <w:p w14:paraId="77B70833">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三、获取采购文件</w:t>
      </w:r>
      <w:bookmarkEnd w:id="12"/>
      <w:bookmarkEnd w:id="13"/>
      <w:bookmarkEnd w:id="15"/>
      <w:bookmarkEnd w:id="16"/>
    </w:p>
    <w:p w14:paraId="0C043870">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1.时间：</w:t>
      </w:r>
      <w:r>
        <w:rPr>
          <w:rFonts w:hint="eastAsia" w:ascii="仿宋" w:hAnsi="仿宋" w:eastAsia="仿宋" w:cs="宋体"/>
          <w:color w:val="auto"/>
          <w:spacing w:val="-4"/>
          <w:kern w:val="0"/>
          <w:sz w:val="24"/>
          <w:szCs w:val="24"/>
          <w:highlight w:val="none"/>
          <w:u w:val="single"/>
        </w:rPr>
        <w:t xml:space="preserve"> / </w:t>
      </w:r>
      <w:r>
        <w:rPr>
          <w:rFonts w:hint="eastAsia" w:ascii="仿宋" w:hAnsi="仿宋" w:eastAsia="仿宋" w:cs="宋体"/>
          <w:color w:val="auto"/>
          <w:spacing w:val="-4"/>
          <w:kern w:val="0"/>
          <w:sz w:val="24"/>
          <w:szCs w:val="24"/>
          <w:highlight w:val="none"/>
        </w:rPr>
        <w:t>至2024年</w:t>
      </w:r>
      <w:r>
        <w:rPr>
          <w:rFonts w:hint="eastAsia" w:ascii="仿宋" w:hAnsi="仿宋" w:eastAsia="仿宋" w:cs="宋体"/>
          <w:color w:val="auto"/>
          <w:spacing w:val="-4"/>
          <w:kern w:val="0"/>
          <w:sz w:val="24"/>
          <w:szCs w:val="24"/>
          <w:highlight w:val="none"/>
          <w:lang w:val="en-US" w:eastAsia="zh-CN"/>
        </w:rPr>
        <w:t>07</w:t>
      </w:r>
      <w:r>
        <w:rPr>
          <w:rFonts w:hint="eastAsia" w:ascii="仿宋" w:hAnsi="仿宋" w:eastAsia="仿宋" w:cs="宋体"/>
          <w:color w:val="auto"/>
          <w:spacing w:val="-4"/>
          <w:kern w:val="0"/>
          <w:sz w:val="24"/>
          <w:szCs w:val="24"/>
          <w:highlight w:val="none"/>
        </w:rPr>
        <w:t>月</w:t>
      </w:r>
      <w:r>
        <w:rPr>
          <w:rFonts w:hint="eastAsia" w:ascii="仿宋" w:hAnsi="仿宋" w:eastAsia="仿宋" w:cs="宋体"/>
          <w:color w:val="auto"/>
          <w:spacing w:val="-4"/>
          <w:kern w:val="0"/>
          <w:sz w:val="24"/>
          <w:szCs w:val="24"/>
          <w:highlight w:val="none"/>
          <w:lang w:val="en-US" w:eastAsia="zh-CN"/>
        </w:rPr>
        <w:t>09</w:t>
      </w:r>
      <w:r>
        <w:rPr>
          <w:rFonts w:hint="eastAsia" w:ascii="仿宋" w:hAnsi="仿宋" w:eastAsia="仿宋" w:cs="宋体"/>
          <w:color w:val="auto"/>
          <w:spacing w:val="-4"/>
          <w:kern w:val="0"/>
          <w:sz w:val="24"/>
          <w:szCs w:val="24"/>
          <w:highlight w:val="none"/>
        </w:rPr>
        <w:t>日，每天上午00:00至12:00，下午12:00至23:59（北京时间，线上获取法定节假日均可，线下获取文件法定节假日除外）。</w:t>
      </w:r>
    </w:p>
    <w:p w14:paraId="68FCAEFC">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2.地点（网址）：</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hint="eastAsia" w:ascii="仿宋" w:hAnsi="仿宋" w:eastAsia="仿宋" w:cs="宋体"/>
          <w:color w:val="auto"/>
          <w:spacing w:val="-4"/>
          <w:kern w:val="0"/>
          <w:sz w:val="24"/>
          <w:szCs w:val="24"/>
          <w:highlight w:val="none"/>
          <w:u w:val="single"/>
        </w:rPr>
        <w:t>https://www.zcygov.cn</w:t>
      </w:r>
      <w:r>
        <w:rPr>
          <w:rFonts w:hint="eastAsia" w:ascii="仿宋" w:hAnsi="仿宋" w:eastAsia="仿宋" w:cs="宋体"/>
          <w:color w:val="auto"/>
          <w:spacing w:val="-4"/>
          <w:kern w:val="0"/>
          <w:sz w:val="24"/>
          <w:szCs w:val="24"/>
          <w:highlight w:val="none"/>
          <w:u w:val="single"/>
        </w:rPr>
        <w:fldChar w:fldCharType="end"/>
      </w:r>
    </w:p>
    <w:p w14:paraId="277142AE">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3.方式：（1）线上获取（登录政府采购云平台→项目采购→获取采购文件→申请，审核通过后可下载采购文件）。本次采购不提供纸质版采购文件。（2）供应商获取采购文件前应通过浙江政府采购网“浙江政府采购供应商信息登记管理系统”进行信息登记，获得线上政府采购活动操作权限。（3）采购公告所附采购文件仅供阅览使用，供应商只有在“政府采购云平台”完成获取采购文件申请并下载了采购文件后才被视为合法获取了采购文件，否则其响应将被拒绝。</w:t>
      </w:r>
    </w:p>
    <w:p w14:paraId="5D7EA4A1">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4.售价（元）：0</w:t>
      </w:r>
    </w:p>
    <w:p w14:paraId="5D374E1D">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5.采购公告所附采购文件仅供阅览使用，供应商只有在“政府采购云平台”完成获取采购文件申请并下载了采购文件后才被视为合法获取了采购文件，否则其响应将被拒绝。</w:t>
      </w:r>
    </w:p>
    <w:p w14:paraId="440F4B2F">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bookmarkStart w:id="17" w:name="_Toc28359005"/>
      <w:bookmarkStart w:id="18" w:name="_Toc35393793"/>
      <w:bookmarkStart w:id="19" w:name="_Toc28359082"/>
      <w:bookmarkStart w:id="20" w:name="_Toc35393624"/>
      <w:r>
        <w:rPr>
          <w:rFonts w:hint="eastAsia" w:ascii="仿宋" w:hAnsi="仿宋" w:eastAsia="仿宋" w:cs="宋体"/>
          <w:b/>
          <w:color w:val="auto"/>
          <w:spacing w:val="-4"/>
          <w:kern w:val="0"/>
          <w:sz w:val="24"/>
          <w:szCs w:val="24"/>
          <w:highlight w:val="none"/>
        </w:rPr>
        <w:t>四、</w:t>
      </w:r>
      <w:bookmarkEnd w:id="17"/>
      <w:bookmarkEnd w:id="18"/>
      <w:bookmarkEnd w:id="19"/>
      <w:bookmarkEnd w:id="20"/>
      <w:r>
        <w:rPr>
          <w:rFonts w:hint="eastAsia" w:ascii="仿宋" w:hAnsi="仿宋" w:eastAsia="仿宋" w:cs="宋体"/>
          <w:b/>
          <w:color w:val="auto"/>
          <w:spacing w:val="-4"/>
          <w:kern w:val="0"/>
          <w:sz w:val="24"/>
          <w:szCs w:val="24"/>
          <w:highlight w:val="none"/>
        </w:rPr>
        <w:t>响应文件递交（上传）</w:t>
      </w:r>
    </w:p>
    <w:p w14:paraId="36A9D921">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1.递交响应文件截止时间：</w:t>
      </w:r>
      <w:r>
        <w:rPr>
          <w:rFonts w:hint="eastAsia" w:ascii="仿宋" w:hAnsi="仿宋" w:eastAsia="仿宋" w:cs="宋体"/>
          <w:b/>
          <w:color w:val="auto"/>
          <w:sz w:val="24"/>
          <w:szCs w:val="24"/>
          <w:highlight w:val="none"/>
          <w:u w:val="single"/>
        </w:rPr>
        <w:t>2024年</w:t>
      </w:r>
      <w:r>
        <w:rPr>
          <w:rFonts w:hint="eastAsia" w:ascii="仿宋" w:hAnsi="仿宋" w:eastAsia="仿宋" w:cs="宋体"/>
          <w:b/>
          <w:color w:val="auto"/>
          <w:sz w:val="24"/>
          <w:szCs w:val="24"/>
          <w:highlight w:val="none"/>
          <w:u w:val="single"/>
          <w:lang w:val="en-US" w:eastAsia="zh-CN"/>
        </w:rPr>
        <w:t>07</w:t>
      </w:r>
      <w:r>
        <w:rPr>
          <w:rFonts w:hint="eastAsia" w:ascii="仿宋" w:hAnsi="仿宋" w:eastAsia="仿宋" w:cs="宋体"/>
          <w:b/>
          <w:color w:val="auto"/>
          <w:sz w:val="24"/>
          <w:szCs w:val="24"/>
          <w:highlight w:val="none"/>
          <w:u w:val="single"/>
        </w:rPr>
        <w:t>月</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日</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w:t>
      </w:r>
      <w:r>
        <w:rPr>
          <w:rFonts w:hint="eastAsia" w:ascii="仿宋" w:hAnsi="仿宋" w:eastAsia="仿宋" w:cs="宋体"/>
          <w:b/>
          <w:color w:val="auto"/>
          <w:sz w:val="24"/>
          <w:szCs w:val="24"/>
          <w:highlight w:val="none"/>
          <w:u w:val="single"/>
          <w:lang w:val="en-US" w:eastAsia="zh-CN"/>
        </w:rPr>
        <w:t>00</w:t>
      </w:r>
      <w:r>
        <w:rPr>
          <w:rFonts w:hint="eastAsia" w:ascii="仿宋" w:hAnsi="仿宋" w:eastAsia="仿宋" w:cs="宋体"/>
          <w:b/>
          <w:color w:val="auto"/>
          <w:spacing w:val="-4"/>
          <w:kern w:val="0"/>
          <w:sz w:val="24"/>
          <w:szCs w:val="24"/>
          <w:highlight w:val="none"/>
          <w:u w:val="single"/>
        </w:rPr>
        <w:t>:00（北京时间）</w:t>
      </w:r>
    </w:p>
    <w:p w14:paraId="600C628B">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2.递交地点（网址）：（1）“电子加密响应文件”：https://www.zcygov.cn在线递交；（2）“电子备份响应文件”：杭州市拱墅区大关路179号远洋国际中心A座17楼1706室。</w:t>
      </w:r>
    </w:p>
    <w:p w14:paraId="784CFC51">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r>
        <w:rPr>
          <w:rFonts w:hint="eastAsia" w:ascii="仿宋" w:hAnsi="仿宋" w:eastAsia="仿宋" w:cs="宋体"/>
          <w:b/>
          <w:color w:val="auto"/>
          <w:spacing w:val="-4"/>
          <w:kern w:val="0"/>
          <w:sz w:val="24"/>
          <w:szCs w:val="24"/>
          <w:highlight w:val="none"/>
        </w:rPr>
        <w:t>五、响应文件开启</w:t>
      </w:r>
    </w:p>
    <w:p w14:paraId="09F687A8">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1.开启时间：</w:t>
      </w:r>
      <w:r>
        <w:rPr>
          <w:rFonts w:hint="eastAsia" w:ascii="仿宋" w:hAnsi="仿宋" w:eastAsia="仿宋" w:cs="宋体"/>
          <w:b/>
          <w:color w:val="auto"/>
          <w:sz w:val="24"/>
          <w:szCs w:val="24"/>
          <w:highlight w:val="none"/>
          <w:u w:val="single"/>
        </w:rPr>
        <w:t>2024年</w:t>
      </w:r>
      <w:r>
        <w:rPr>
          <w:rFonts w:hint="eastAsia" w:ascii="仿宋" w:hAnsi="仿宋" w:eastAsia="仿宋" w:cs="宋体"/>
          <w:b/>
          <w:color w:val="auto"/>
          <w:sz w:val="24"/>
          <w:szCs w:val="24"/>
          <w:highlight w:val="none"/>
          <w:u w:val="single"/>
          <w:lang w:val="en-US" w:eastAsia="zh-CN"/>
        </w:rPr>
        <w:t>07</w:t>
      </w:r>
      <w:r>
        <w:rPr>
          <w:rFonts w:hint="eastAsia" w:ascii="仿宋" w:hAnsi="仿宋" w:eastAsia="仿宋" w:cs="宋体"/>
          <w:b/>
          <w:color w:val="auto"/>
          <w:sz w:val="24"/>
          <w:szCs w:val="24"/>
          <w:highlight w:val="none"/>
          <w:u w:val="single"/>
        </w:rPr>
        <w:t>月</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日</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w:t>
      </w:r>
      <w:r>
        <w:rPr>
          <w:rFonts w:hint="eastAsia" w:ascii="仿宋" w:hAnsi="仿宋" w:eastAsia="仿宋" w:cs="宋体"/>
          <w:b/>
          <w:color w:val="auto"/>
          <w:sz w:val="24"/>
          <w:szCs w:val="24"/>
          <w:highlight w:val="none"/>
          <w:u w:val="single"/>
          <w:lang w:val="en-US" w:eastAsia="zh-CN"/>
        </w:rPr>
        <w:t>00</w:t>
      </w:r>
      <w:r>
        <w:rPr>
          <w:rFonts w:hint="eastAsia" w:ascii="仿宋" w:hAnsi="仿宋" w:eastAsia="仿宋" w:cs="宋体"/>
          <w:b/>
          <w:color w:val="auto"/>
          <w:spacing w:val="-4"/>
          <w:kern w:val="0"/>
          <w:sz w:val="24"/>
          <w:szCs w:val="24"/>
          <w:highlight w:val="none"/>
          <w:u w:val="single"/>
        </w:rPr>
        <w:t>:00（北京时间）</w:t>
      </w:r>
    </w:p>
    <w:p w14:paraId="1F01CB47">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u w:val="single"/>
        </w:rPr>
      </w:pPr>
      <w:r>
        <w:rPr>
          <w:rFonts w:hint="eastAsia" w:ascii="仿宋" w:hAnsi="仿宋" w:eastAsia="仿宋" w:cs="宋体"/>
          <w:color w:val="auto"/>
          <w:spacing w:val="-4"/>
          <w:kern w:val="0"/>
          <w:sz w:val="24"/>
          <w:szCs w:val="24"/>
          <w:highlight w:val="none"/>
        </w:rPr>
        <w:t>2.地点（网址）：</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hint="eastAsia" w:ascii="仿宋" w:hAnsi="仿宋" w:eastAsia="仿宋" w:cs="宋体"/>
          <w:color w:val="auto"/>
          <w:spacing w:val="-4"/>
          <w:kern w:val="0"/>
          <w:sz w:val="24"/>
          <w:szCs w:val="24"/>
          <w:highlight w:val="none"/>
          <w:u w:val="single"/>
        </w:rPr>
        <w:t>https://www.zcygov.cn</w:t>
      </w:r>
      <w:r>
        <w:rPr>
          <w:rFonts w:hint="eastAsia" w:ascii="仿宋" w:hAnsi="仿宋" w:eastAsia="仿宋" w:cs="宋体"/>
          <w:color w:val="auto"/>
          <w:spacing w:val="-4"/>
          <w:kern w:val="0"/>
          <w:sz w:val="24"/>
          <w:szCs w:val="24"/>
          <w:highlight w:val="none"/>
          <w:u w:val="single"/>
        </w:rPr>
        <w:fldChar w:fldCharType="end"/>
      </w:r>
    </w:p>
    <w:p w14:paraId="0DCA4878">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bookmarkStart w:id="21" w:name="_Toc35393625"/>
      <w:bookmarkStart w:id="22" w:name="_Toc28359007"/>
      <w:bookmarkStart w:id="23" w:name="_Toc35393794"/>
      <w:bookmarkStart w:id="24" w:name="_Toc28359084"/>
      <w:r>
        <w:rPr>
          <w:rFonts w:hint="eastAsia" w:ascii="仿宋" w:hAnsi="仿宋" w:eastAsia="仿宋" w:cs="宋体"/>
          <w:b/>
          <w:color w:val="auto"/>
          <w:spacing w:val="-4"/>
          <w:kern w:val="0"/>
          <w:sz w:val="24"/>
          <w:szCs w:val="24"/>
          <w:highlight w:val="none"/>
        </w:rPr>
        <w:t>六、公告期限</w:t>
      </w:r>
      <w:bookmarkEnd w:id="21"/>
      <w:bookmarkEnd w:id="22"/>
      <w:bookmarkEnd w:id="23"/>
      <w:bookmarkEnd w:id="24"/>
    </w:p>
    <w:p w14:paraId="6A8B2CBD">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自本公告发布之日起3个工作日。</w:t>
      </w:r>
    </w:p>
    <w:p w14:paraId="4C352AE0">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bookmarkStart w:id="25" w:name="_Toc35393626"/>
      <w:bookmarkStart w:id="26" w:name="_Toc35393795"/>
      <w:r>
        <w:rPr>
          <w:rFonts w:hint="eastAsia" w:ascii="仿宋" w:hAnsi="仿宋" w:eastAsia="仿宋" w:cs="宋体"/>
          <w:b/>
          <w:color w:val="auto"/>
          <w:spacing w:val="-4"/>
          <w:kern w:val="0"/>
          <w:sz w:val="24"/>
          <w:szCs w:val="24"/>
          <w:highlight w:val="none"/>
        </w:rPr>
        <w:t>七、其他补充事宜</w:t>
      </w:r>
      <w:bookmarkEnd w:id="25"/>
      <w:bookmarkEnd w:id="26"/>
    </w:p>
    <w:p w14:paraId="1502B39E">
      <w:pPr>
        <w:autoSpaceDN w:val="0"/>
        <w:adjustRightInd w:val="0"/>
        <w:snapToGrid w:val="0"/>
        <w:spacing w:line="360" w:lineRule="auto"/>
        <w:ind w:firstLine="54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 支持中小企业力度 助力扎实稳住经济 的通知》（浙财采监〔2022〕8号）已分别于2022年1月29日、2022年2月1日和2022年7月1日开始实施，此前有关规定与上述文件内容不一致的，按上述文件要求执行。</w:t>
      </w:r>
    </w:p>
    <w:p w14:paraId="54528718">
      <w:pPr>
        <w:autoSpaceDN w:val="0"/>
        <w:adjustRightInd w:val="0"/>
        <w:snapToGrid w:val="0"/>
        <w:spacing w:line="360" w:lineRule="auto"/>
        <w:ind w:firstLine="54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8B43E96">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7ECE828">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4.其他事项：（1）供应商对采购文件的质疑应以书面形式一次性提出。（2）根据《关于规范政府采购供应商资格设定及资格审查的通知（浙财采监【2013】24号）》第六条的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3）单位负责人为同一人或者存在直接控股、管理关系的不同供应商，不得同时参加同一合同项下的磋商。（4）为项目提供整体设计、规范编制或者项目管理、监理、检测等服务的供应商，不得再参加该采购项目的其他采购活动。（5）本项目不收取磋商保证金。（6）本项目执行促进中小企业发展、优先采购节能产品、优先采购环境标志产品政策。（7）招标文件公告期限与招标公告的公告期限一致。</w:t>
      </w:r>
    </w:p>
    <w:p w14:paraId="63777D67">
      <w:pPr>
        <w:autoSpaceDN w:val="0"/>
        <w:adjustRightInd w:val="0"/>
        <w:snapToGrid w:val="0"/>
        <w:spacing w:line="360" w:lineRule="auto"/>
        <w:ind w:firstLine="466" w:firstLineChars="200"/>
        <w:rPr>
          <w:rFonts w:ascii="仿宋" w:hAnsi="仿宋" w:eastAsia="仿宋" w:cs="宋体"/>
          <w:b/>
          <w:color w:val="auto"/>
          <w:spacing w:val="-4"/>
          <w:kern w:val="0"/>
          <w:sz w:val="24"/>
          <w:szCs w:val="24"/>
          <w:highlight w:val="none"/>
        </w:rPr>
      </w:pPr>
      <w:bookmarkStart w:id="27" w:name="_Toc28359085"/>
      <w:bookmarkStart w:id="28" w:name="_Toc28359008"/>
      <w:bookmarkStart w:id="29" w:name="_Toc35393627"/>
      <w:bookmarkStart w:id="30" w:name="_Toc35393796"/>
      <w:r>
        <w:rPr>
          <w:rFonts w:hint="eastAsia" w:ascii="仿宋" w:hAnsi="仿宋" w:eastAsia="仿宋" w:cs="宋体"/>
          <w:b/>
          <w:color w:val="auto"/>
          <w:spacing w:val="-4"/>
          <w:kern w:val="0"/>
          <w:sz w:val="24"/>
          <w:szCs w:val="24"/>
          <w:highlight w:val="none"/>
        </w:rPr>
        <w:t>八、对本次采购提出询问、质疑、投诉，请按以下方式联系。</w:t>
      </w:r>
      <w:bookmarkEnd w:id="27"/>
      <w:bookmarkEnd w:id="28"/>
      <w:bookmarkEnd w:id="29"/>
      <w:bookmarkEnd w:id="30"/>
    </w:p>
    <w:p w14:paraId="47B52C63">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1.采购人信息</w:t>
      </w:r>
    </w:p>
    <w:p w14:paraId="3D26FEFB">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名  称：浙江工业大学</w:t>
      </w:r>
    </w:p>
    <w:p w14:paraId="0DC6AF07">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地  址：浙江省杭州市潮王路18号</w:t>
      </w:r>
    </w:p>
    <w:p w14:paraId="41869F5E">
      <w:pPr>
        <w:autoSpaceDN w:val="0"/>
        <w:adjustRightInd w:val="0"/>
        <w:snapToGrid w:val="0"/>
        <w:spacing w:line="360" w:lineRule="auto"/>
        <w:ind w:firstLine="464" w:firstLineChars="200"/>
        <w:rPr>
          <w:rFonts w:hint="default" w:ascii="仿宋" w:hAnsi="仿宋" w:eastAsia="仿宋" w:cs="宋体"/>
          <w:color w:val="auto"/>
          <w:spacing w:val="-4"/>
          <w:kern w:val="0"/>
          <w:sz w:val="24"/>
          <w:szCs w:val="24"/>
          <w:highlight w:val="none"/>
          <w:lang w:val="en-US" w:eastAsia="zh-CN"/>
        </w:rPr>
      </w:pPr>
      <w:r>
        <w:rPr>
          <w:rFonts w:hint="eastAsia" w:ascii="仿宋" w:hAnsi="仿宋" w:eastAsia="仿宋" w:cs="宋体"/>
          <w:color w:val="auto"/>
          <w:spacing w:val="-4"/>
          <w:kern w:val="0"/>
          <w:sz w:val="24"/>
          <w:szCs w:val="24"/>
          <w:highlight w:val="none"/>
        </w:rPr>
        <w:t>项目联系人（询问）：</w:t>
      </w:r>
      <w:r>
        <w:rPr>
          <w:rFonts w:hint="eastAsia" w:ascii="仿宋" w:hAnsi="仿宋" w:eastAsia="仿宋" w:cs="宋体"/>
          <w:color w:val="auto"/>
          <w:spacing w:val="-4"/>
          <w:kern w:val="0"/>
          <w:sz w:val="24"/>
          <w:szCs w:val="24"/>
          <w:highlight w:val="none"/>
          <w:lang w:val="en-US" w:eastAsia="zh-CN"/>
        </w:rPr>
        <w:t>陈老师，郑老师</w:t>
      </w:r>
    </w:p>
    <w:p w14:paraId="54AF3273">
      <w:pPr>
        <w:autoSpaceDN w:val="0"/>
        <w:adjustRightInd w:val="0"/>
        <w:snapToGrid w:val="0"/>
        <w:spacing w:line="360" w:lineRule="auto"/>
        <w:ind w:firstLine="464" w:firstLineChars="200"/>
        <w:rPr>
          <w:rFonts w:hint="default" w:ascii="仿宋" w:hAnsi="仿宋" w:eastAsia="仿宋" w:cs="宋体"/>
          <w:color w:val="auto"/>
          <w:spacing w:val="-4"/>
          <w:kern w:val="0"/>
          <w:sz w:val="24"/>
          <w:szCs w:val="24"/>
          <w:highlight w:val="none"/>
          <w:lang w:val="en-US" w:eastAsia="zh-CN"/>
        </w:rPr>
      </w:pPr>
      <w:r>
        <w:rPr>
          <w:rFonts w:hint="eastAsia" w:ascii="仿宋" w:hAnsi="仿宋" w:eastAsia="仿宋" w:cs="宋体"/>
          <w:color w:val="auto"/>
          <w:spacing w:val="-4"/>
          <w:kern w:val="0"/>
          <w:sz w:val="24"/>
          <w:szCs w:val="24"/>
          <w:highlight w:val="none"/>
        </w:rPr>
        <w:t>项目联系方式（询问）：</w:t>
      </w:r>
      <w:r>
        <w:rPr>
          <w:rFonts w:hint="eastAsia" w:ascii="仿宋" w:hAnsi="仿宋" w:eastAsia="仿宋" w:cs="宋体"/>
          <w:color w:val="auto"/>
          <w:spacing w:val="-4"/>
          <w:kern w:val="0"/>
          <w:sz w:val="24"/>
          <w:szCs w:val="24"/>
          <w:highlight w:val="none"/>
          <w:lang w:val="en-US" w:eastAsia="zh-CN"/>
        </w:rPr>
        <w:t>0571-88320640,0571-88320545</w:t>
      </w:r>
    </w:p>
    <w:p w14:paraId="27B26A68">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质疑联系人：马老师</w:t>
      </w:r>
    </w:p>
    <w:p w14:paraId="037FB08F">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质疑联系方式：0571-88320626</w:t>
      </w:r>
    </w:p>
    <w:p w14:paraId="5EE3D9C4">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bookmarkStart w:id="31" w:name="_Toc28359009"/>
      <w:bookmarkStart w:id="32" w:name="_Toc28359086"/>
      <w:r>
        <w:rPr>
          <w:rFonts w:hint="eastAsia" w:ascii="仿宋" w:hAnsi="仿宋" w:eastAsia="仿宋" w:cs="宋体"/>
          <w:color w:val="auto"/>
          <w:spacing w:val="-4"/>
          <w:kern w:val="0"/>
          <w:sz w:val="24"/>
          <w:szCs w:val="24"/>
          <w:highlight w:val="none"/>
        </w:rPr>
        <w:t>2.采购代理机构信息</w:t>
      </w:r>
      <w:bookmarkEnd w:id="31"/>
      <w:bookmarkEnd w:id="32"/>
    </w:p>
    <w:p w14:paraId="72EC5B9B">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名  称：浙江豪圣建设项目管理有限公司</w:t>
      </w:r>
    </w:p>
    <w:p w14:paraId="48BE7D2C">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地  址：杭州市拱墅区大关路179号远洋国际中心A座17楼1706室</w:t>
      </w:r>
    </w:p>
    <w:p w14:paraId="635DBBBB">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bookmarkStart w:id="33" w:name="_Toc28359087"/>
      <w:bookmarkStart w:id="34" w:name="_Toc28359010"/>
      <w:r>
        <w:rPr>
          <w:rFonts w:hint="eastAsia" w:ascii="仿宋" w:hAnsi="仿宋" w:eastAsia="仿宋" w:cs="宋体"/>
          <w:color w:val="auto"/>
          <w:spacing w:val="-4"/>
          <w:kern w:val="0"/>
          <w:sz w:val="24"/>
          <w:szCs w:val="24"/>
          <w:highlight w:val="none"/>
        </w:rPr>
        <w:t>项目联系人（询问）：陈梦菲、曹剑斌、陈敏娇</w:t>
      </w:r>
    </w:p>
    <w:p w14:paraId="07A34AFC">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项目联系方式（询问）：0571-87981527</w:t>
      </w:r>
    </w:p>
    <w:p w14:paraId="502E5A4A">
      <w:pPr>
        <w:autoSpaceDN w:val="0"/>
        <w:adjustRightInd w:val="0"/>
        <w:snapToGrid w:val="0"/>
        <w:spacing w:line="360" w:lineRule="auto"/>
        <w:ind w:firstLine="464" w:firstLineChars="200"/>
        <w:rPr>
          <w:rFonts w:hint="eastAsia" w:ascii="仿宋" w:hAnsi="仿宋" w:eastAsia="仿宋" w:cs="宋体"/>
          <w:color w:val="auto"/>
          <w:spacing w:val="-4"/>
          <w:kern w:val="0"/>
          <w:sz w:val="24"/>
          <w:szCs w:val="24"/>
          <w:highlight w:val="none"/>
          <w:lang w:eastAsia="zh-CN"/>
        </w:rPr>
      </w:pPr>
      <w:r>
        <w:rPr>
          <w:rFonts w:hint="eastAsia" w:ascii="仿宋" w:hAnsi="仿宋" w:eastAsia="仿宋" w:cs="宋体"/>
          <w:color w:val="auto"/>
          <w:spacing w:val="-4"/>
          <w:kern w:val="0"/>
          <w:sz w:val="24"/>
          <w:szCs w:val="24"/>
          <w:highlight w:val="none"/>
        </w:rPr>
        <w:t>质疑联系人：</w:t>
      </w:r>
      <w:r>
        <w:rPr>
          <w:rFonts w:hint="eastAsia" w:ascii="仿宋" w:hAnsi="仿宋" w:eastAsia="仿宋" w:cs="宋体"/>
          <w:color w:val="auto"/>
          <w:spacing w:val="-4"/>
          <w:kern w:val="0"/>
          <w:sz w:val="24"/>
          <w:szCs w:val="24"/>
          <w:highlight w:val="none"/>
          <w:lang w:eastAsia="zh-CN"/>
        </w:rPr>
        <w:t>桑国坚</w:t>
      </w:r>
    </w:p>
    <w:p w14:paraId="091053E1">
      <w:pPr>
        <w:autoSpaceDN w:val="0"/>
        <w:adjustRightInd w:val="0"/>
        <w:snapToGrid w:val="0"/>
        <w:spacing w:line="360" w:lineRule="auto"/>
        <w:ind w:firstLine="464" w:firstLineChars="200"/>
        <w:rPr>
          <w:rFonts w:hint="eastAsia" w:ascii="仿宋" w:hAnsi="仿宋" w:eastAsia="仿宋" w:cs="宋体"/>
          <w:color w:val="auto"/>
          <w:spacing w:val="-4"/>
          <w:kern w:val="0"/>
          <w:sz w:val="24"/>
          <w:szCs w:val="24"/>
          <w:highlight w:val="none"/>
          <w:lang w:eastAsia="zh-CN"/>
        </w:rPr>
      </w:pPr>
      <w:r>
        <w:rPr>
          <w:rFonts w:hint="eastAsia" w:ascii="仿宋" w:hAnsi="仿宋" w:eastAsia="仿宋" w:cs="宋体"/>
          <w:color w:val="auto"/>
          <w:spacing w:val="-4"/>
          <w:kern w:val="0"/>
          <w:sz w:val="24"/>
          <w:szCs w:val="24"/>
          <w:highlight w:val="none"/>
        </w:rPr>
        <w:t>质疑联系方式：</w:t>
      </w:r>
      <w:bookmarkEnd w:id="33"/>
      <w:bookmarkEnd w:id="34"/>
      <w:r>
        <w:rPr>
          <w:rFonts w:hint="eastAsia" w:ascii="仿宋" w:hAnsi="仿宋" w:eastAsia="仿宋" w:cs="宋体"/>
          <w:color w:val="auto"/>
          <w:spacing w:val="-4"/>
          <w:kern w:val="0"/>
          <w:sz w:val="24"/>
          <w:szCs w:val="24"/>
          <w:highlight w:val="none"/>
          <w:lang w:eastAsia="zh-CN"/>
        </w:rPr>
        <w:t>0571-56386096</w:t>
      </w:r>
    </w:p>
    <w:p w14:paraId="5ABBD3AC">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3.同级政府采购监督管理部门</w:t>
      </w:r>
    </w:p>
    <w:p w14:paraId="165BCCFA">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名  称：浙江省财政厅政府采购监管处、浙江省政府采购行政裁决服务中心（杭州）</w:t>
      </w:r>
    </w:p>
    <w:p w14:paraId="4E5E9119">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地  址：杭州市上城区四季青街道新业路市民之家G03办公室（快递仅限ems或顺丰）</w:t>
      </w:r>
    </w:p>
    <w:p w14:paraId="2921A90B">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传  真：/</w:t>
      </w:r>
    </w:p>
    <w:p w14:paraId="01F6091E">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联系人：朱女士、王女士</w:t>
      </w:r>
    </w:p>
    <w:p w14:paraId="7EA41ED8">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r>
        <w:rPr>
          <w:rFonts w:hint="eastAsia" w:ascii="仿宋" w:hAnsi="仿宋" w:eastAsia="仿宋" w:cs="宋体"/>
          <w:color w:val="auto"/>
          <w:spacing w:val="-4"/>
          <w:kern w:val="0"/>
          <w:sz w:val="24"/>
          <w:szCs w:val="24"/>
          <w:highlight w:val="none"/>
        </w:rPr>
        <w:t>监督投诉电话：0571-85252453</w:t>
      </w:r>
    </w:p>
    <w:p w14:paraId="1C8EC152">
      <w:pPr>
        <w:autoSpaceDN w:val="0"/>
        <w:adjustRightInd w:val="0"/>
        <w:snapToGrid w:val="0"/>
        <w:spacing w:line="360" w:lineRule="auto"/>
        <w:ind w:firstLine="464" w:firstLineChars="200"/>
        <w:rPr>
          <w:rFonts w:ascii="仿宋" w:hAnsi="仿宋" w:eastAsia="仿宋" w:cs="宋体"/>
          <w:color w:val="auto"/>
          <w:spacing w:val="-4"/>
          <w:kern w:val="0"/>
          <w:sz w:val="24"/>
          <w:szCs w:val="24"/>
          <w:highlight w:val="none"/>
        </w:rPr>
      </w:pPr>
      <w:bookmarkStart w:id="207" w:name="_GoBack"/>
      <w:bookmarkEnd w:id="207"/>
    </w:p>
    <w:p w14:paraId="149D9C5F">
      <w:pPr>
        <w:pStyle w:val="55"/>
        <w:ind w:firstLine="480" w:firstLineChars="200"/>
        <w:rPr>
          <w:rFonts w:ascii="仿宋" w:hAnsi="仿宋" w:eastAsia="仿宋" w:cs="仿宋"/>
          <w:color w:val="auto"/>
          <w:highlight w:val="none"/>
        </w:rPr>
      </w:pPr>
      <w:r>
        <w:rPr>
          <w:rFonts w:ascii="仿宋" w:hAnsi="仿宋" w:eastAsia="仿宋" w:cs="仿宋"/>
          <w:color w:val="auto"/>
          <w:highlight w:val="none"/>
        </w:rPr>
        <w:t>若对项目采购电子交易系统操作有疑问，可登录政采云（https://www.zcygov.cn/），点击右侧咨询小采，获取采小蜜智能服务管家帮助，或拨打政采云服务热线95763获取热线服务帮助。 </w:t>
      </w:r>
    </w:p>
    <w:p w14:paraId="720D76C9">
      <w:pPr>
        <w:pStyle w:val="55"/>
        <w:ind w:firstLine="480" w:firstLineChars="200"/>
        <w:rPr>
          <w:color w:val="auto"/>
          <w:highlight w:val="none"/>
        </w:rPr>
      </w:pPr>
      <w:r>
        <w:rPr>
          <w:rFonts w:hint="eastAsia" w:ascii="仿宋" w:hAnsi="仿宋" w:eastAsia="仿宋" w:cs="仿宋"/>
          <w:color w:val="auto"/>
          <w:highlight w:val="none"/>
        </w:rPr>
        <w:t>CA问题联系电话（人工）：汇信CA 400-888-4636；天谷CA 400-087-8198。</w:t>
      </w:r>
    </w:p>
    <w:p w14:paraId="2F2F999D">
      <w:pPr>
        <w:autoSpaceDN w:val="0"/>
        <w:snapToGrid w:val="0"/>
        <w:spacing w:line="360" w:lineRule="auto"/>
        <w:jc w:val="center"/>
        <w:outlineLvl w:val="0"/>
        <w:rPr>
          <w:rFonts w:ascii="仿宋" w:hAnsi="仿宋" w:eastAsia="仿宋" w:cs="宋体"/>
          <w:b/>
          <w:color w:val="auto"/>
          <w:spacing w:val="-4"/>
          <w:kern w:val="0"/>
          <w:sz w:val="32"/>
          <w:szCs w:val="32"/>
          <w:highlight w:val="none"/>
        </w:rPr>
      </w:pPr>
      <w:r>
        <w:rPr>
          <w:rFonts w:hint="eastAsia" w:ascii="仿宋" w:hAnsi="仿宋" w:eastAsia="仿宋" w:cs="宋体"/>
          <w:color w:val="auto"/>
          <w:spacing w:val="-4"/>
          <w:kern w:val="0"/>
          <w:sz w:val="24"/>
          <w:szCs w:val="20"/>
          <w:highlight w:val="none"/>
        </w:rPr>
        <w:br w:type="page"/>
      </w:r>
      <w:bookmarkStart w:id="35" w:name="_Toc32606"/>
      <w:r>
        <w:rPr>
          <w:rFonts w:hint="eastAsia" w:ascii="仿宋" w:hAnsi="仿宋" w:eastAsia="仿宋" w:cs="宋体"/>
          <w:b/>
          <w:color w:val="auto"/>
          <w:spacing w:val="-4"/>
          <w:kern w:val="0"/>
          <w:sz w:val="32"/>
          <w:szCs w:val="32"/>
          <w:highlight w:val="none"/>
        </w:rPr>
        <w:t xml:space="preserve">第二章 </w:t>
      </w:r>
      <w:bookmarkEnd w:id="35"/>
      <w:r>
        <w:rPr>
          <w:rFonts w:hint="eastAsia" w:ascii="仿宋" w:hAnsi="仿宋" w:eastAsia="仿宋" w:cs="宋体"/>
          <w:b/>
          <w:color w:val="auto"/>
          <w:spacing w:val="-4"/>
          <w:kern w:val="0"/>
          <w:sz w:val="32"/>
          <w:szCs w:val="32"/>
          <w:highlight w:val="none"/>
        </w:rPr>
        <w:t>磋商须知</w:t>
      </w:r>
    </w:p>
    <w:p w14:paraId="774135F1">
      <w:pPr>
        <w:keepNext/>
        <w:keepLines/>
        <w:autoSpaceDN w:val="0"/>
        <w:spacing w:before="260" w:after="260" w:line="415" w:lineRule="auto"/>
        <w:jc w:val="center"/>
        <w:outlineLvl w:val="1"/>
        <w:rPr>
          <w:rFonts w:ascii="Times New Roman" w:hAnsi="仿宋" w:eastAsia="仿宋" w:cs="Times New Roman"/>
          <w:b/>
          <w:bCs/>
          <w:color w:val="auto"/>
          <w:sz w:val="28"/>
          <w:szCs w:val="28"/>
          <w:highlight w:val="none"/>
        </w:rPr>
      </w:pPr>
      <w:bookmarkStart w:id="36" w:name="_Toc3099"/>
      <w:r>
        <w:rPr>
          <w:rFonts w:hint="eastAsia" w:ascii="Times New Roman" w:hAnsi="仿宋" w:eastAsia="仿宋" w:cs="Times New Roman"/>
          <w:b/>
          <w:bCs/>
          <w:color w:val="auto"/>
          <w:sz w:val="28"/>
          <w:szCs w:val="28"/>
          <w:highlight w:val="none"/>
        </w:rPr>
        <w:t>前附表</w:t>
      </w:r>
      <w:bookmarkEnd w:id="36"/>
    </w:p>
    <w:tbl>
      <w:tblPr>
        <w:tblStyle w:val="61"/>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17"/>
        <w:gridCol w:w="2411"/>
        <w:gridCol w:w="6060"/>
      </w:tblGrid>
      <w:tr w14:paraId="08870C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53708828">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序号</w:t>
            </w:r>
          </w:p>
        </w:tc>
        <w:tc>
          <w:tcPr>
            <w:tcW w:w="1298" w:type="pct"/>
            <w:tcBorders>
              <w:top w:val="single" w:color="auto" w:sz="4" w:space="0"/>
              <w:left w:val="single" w:color="auto" w:sz="4" w:space="0"/>
              <w:bottom w:val="single" w:color="auto" w:sz="4" w:space="0"/>
              <w:right w:val="single" w:color="auto" w:sz="4" w:space="0"/>
            </w:tcBorders>
            <w:vAlign w:val="center"/>
          </w:tcPr>
          <w:p w14:paraId="026038E0">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名  称</w:t>
            </w:r>
          </w:p>
        </w:tc>
        <w:tc>
          <w:tcPr>
            <w:tcW w:w="3262" w:type="pct"/>
            <w:tcBorders>
              <w:top w:val="single" w:color="auto" w:sz="4" w:space="0"/>
              <w:left w:val="single" w:color="auto" w:sz="4" w:space="0"/>
              <w:bottom w:val="single" w:color="auto" w:sz="4" w:space="0"/>
              <w:right w:val="single" w:color="auto" w:sz="4" w:space="0"/>
            </w:tcBorders>
            <w:vAlign w:val="center"/>
          </w:tcPr>
          <w:p w14:paraId="34AD2FA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内                  容</w:t>
            </w:r>
          </w:p>
        </w:tc>
      </w:tr>
      <w:tr w14:paraId="78972C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037A14EF">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w:t>
            </w:r>
          </w:p>
        </w:tc>
        <w:tc>
          <w:tcPr>
            <w:tcW w:w="1298" w:type="pct"/>
            <w:tcBorders>
              <w:top w:val="single" w:color="auto" w:sz="4" w:space="0"/>
              <w:left w:val="single" w:color="auto" w:sz="4" w:space="0"/>
              <w:bottom w:val="single" w:color="auto" w:sz="4" w:space="0"/>
              <w:right w:val="single" w:color="auto" w:sz="4" w:space="0"/>
            </w:tcBorders>
            <w:vAlign w:val="center"/>
          </w:tcPr>
          <w:p w14:paraId="0A33A355">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项目名称</w:t>
            </w:r>
          </w:p>
        </w:tc>
        <w:tc>
          <w:tcPr>
            <w:tcW w:w="3262" w:type="pct"/>
            <w:tcBorders>
              <w:top w:val="single" w:color="auto" w:sz="4" w:space="0"/>
              <w:left w:val="single" w:color="auto" w:sz="4" w:space="0"/>
              <w:bottom w:val="single" w:color="auto" w:sz="4" w:space="0"/>
              <w:right w:val="single" w:color="auto" w:sz="4" w:space="0"/>
            </w:tcBorders>
            <w:vAlign w:val="center"/>
          </w:tcPr>
          <w:p w14:paraId="5F9D3660">
            <w:pPr>
              <w:autoSpaceDN w:val="0"/>
              <w:snapToGrid w:val="0"/>
              <w:spacing w:line="276" w:lineRule="auto"/>
              <w:jc w:val="left"/>
              <w:rPr>
                <w:rFonts w:hint="eastAsia" w:ascii="仿宋" w:hAnsi="仿宋" w:eastAsia="仿宋" w:cs="宋体"/>
                <w:color w:val="auto"/>
                <w:sz w:val="24"/>
                <w:szCs w:val="24"/>
                <w:highlight w:val="none"/>
                <w:lang w:eastAsia="zh-CN"/>
              </w:rPr>
            </w:pPr>
            <w:r>
              <w:rPr>
                <w:rFonts w:hint="eastAsia" w:ascii="仿宋" w:hAnsi="仿宋" w:eastAsia="仿宋" w:cs="宋体"/>
                <w:color w:val="auto"/>
                <w:sz w:val="24"/>
                <w:szCs w:val="24"/>
                <w:highlight w:val="none"/>
                <w:lang w:eastAsia="zh-CN"/>
              </w:rPr>
              <w:t>浙江工业大学2024年学生校区布局调整相关用房装修工程</w:t>
            </w:r>
          </w:p>
        </w:tc>
      </w:tr>
      <w:tr w14:paraId="628C3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4FF9891D">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w:t>
            </w:r>
          </w:p>
        </w:tc>
        <w:tc>
          <w:tcPr>
            <w:tcW w:w="1298" w:type="pct"/>
            <w:tcBorders>
              <w:top w:val="single" w:color="auto" w:sz="4" w:space="0"/>
              <w:left w:val="single" w:color="auto" w:sz="4" w:space="0"/>
              <w:bottom w:val="single" w:color="auto" w:sz="4" w:space="0"/>
              <w:right w:val="single" w:color="auto" w:sz="4" w:space="0"/>
            </w:tcBorders>
            <w:vAlign w:val="center"/>
          </w:tcPr>
          <w:p w14:paraId="77253BC5">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项目编号</w:t>
            </w:r>
          </w:p>
        </w:tc>
        <w:tc>
          <w:tcPr>
            <w:tcW w:w="3262" w:type="pct"/>
            <w:tcBorders>
              <w:top w:val="single" w:color="auto" w:sz="4" w:space="0"/>
              <w:left w:val="single" w:color="auto" w:sz="4" w:space="0"/>
              <w:bottom w:val="single" w:color="auto" w:sz="4" w:space="0"/>
              <w:right w:val="single" w:color="auto" w:sz="4" w:space="0"/>
            </w:tcBorders>
            <w:vAlign w:val="center"/>
          </w:tcPr>
          <w:p w14:paraId="544F8F7C">
            <w:pPr>
              <w:autoSpaceDN w:val="0"/>
              <w:snapToGrid w:val="0"/>
              <w:spacing w:line="276" w:lineRule="auto"/>
              <w:jc w:val="left"/>
              <w:rPr>
                <w:rFonts w:hint="eastAsia" w:ascii="仿宋" w:hAnsi="仿宋" w:eastAsia="仿宋" w:cs="宋体"/>
                <w:color w:val="auto"/>
                <w:sz w:val="24"/>
                <w:szCs w:val="24"/>
                <w:highlight w:val="none"/>
                <w:lang w:eastAsia="zh-CN"/>
              </w:rPr>
            </w:pPr>
            <w:r>
              <w:rPr>
                <w:rFonts w:hint="eastAsia" w:ascii="仿宋" w:hAnsi="仿宋" w:eastAsia="仿宋" w:cs="仿宋"/>
                <w:bCs/>
                <w:color w:val="auto"/>
                <w:sz w:val="24"/>
                <w:szCs w:val="24"/>
                <w:highlight w:val="none"/>
                <w:lang w:eastAsia="zh-CN"/>
              </w:rPr>
              <w:t>HSZB-2024-598</w:t>
            </w:r>
          </w:p>
        </w:tc>
      </w:tr>
      <w:tr w14:paraId="056039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7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56AE609D">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w:t>
            </w:r>
          </w:p>
        </w:tc>
        <w:tc>
          <w:tcPr>
            <w:tcW w:w="1298" w:type="pct"/>
            <w:tcBorders>
              <w:top w:val="single" w:color="auto" w:sz="4" w:space="0"/>
              <w:left w:val="single" w:color="auto" w:sz="4" w:space="0"/>
              <w:bottom w:val="single" w:color="auto" w:sz="4" w:space="0"/>
              <w:right w:val="single" w:color="auto" w:sz="4" w:space="0"/>
            </w:tcBorders>
            <w:vAlign w:val="center"/>
          </w:tcPr>
          <w:p w14:paraId="1885FB87">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采购内容及需求</w:t>
            </w:r>
          </w:p>
        </w:tc>
        <w:tc>
          <w:tcPr>
            <w:tcW w:w="3262" w:type="pct"/>
            <w:tcBorders>
              <w:top w:val="single" w:color="auto" w:sz="4" w:space="0"/>
              <w:left w:val="single" w:color="auto" w:sz="4" w:space="0"/>
              <w:bottom w:val="single" w:color="auto" w:sz="4" w:space="0"/>
              <w:right w:val="single" w:color="auto" w:sz="4" w:space="0"/>
            </w:tcBorders>
            <w:vAlign w:val="center"/>
          </w:tcPr>
          <w:p w14:paraId="02BF0D0C">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lang w:eastAsia="zh-CN"/>
              </w:rPr>
              <w:t>浙江工业大学2024年学生校区布局调整相关用房装修工程</w:t>
            </w:r>
            <w:r>
              <w:rPr>
                <w:rFonts w:hint="eastAsia" w:ascii="仿宋" w:hAnsi="仿宋" w:eastAsia="仿宋" w:cs="宋体"/>
                <w:color w:val="auto"/>
                <w:sz w:val="24"/>
                <w:szCs w:val="24"/>
                <w:highlight w:val="none"/>
              </w:rPr>
              <w:t>，工程内容详见第四章采购内容及需求、清单及图纸。</w:t>
            </w:r>
          </w:p>
          <w:p w14:paraId="29870C55">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工期：</w:t>
            </w:r>
            <w:r>
              <w:rPr>
                <w:rFonts w:hint="eastAsia" w:ascii="仿宋" w:hAnsi="仿宋" w:eastAsia="仿宋" w:cs="宋体"/>
                <w:color w:val="auto"/>
                <w:sz w:val="24"/>
                <w:szCs w:val="24"/>
                <w:highlight w:val="none"/>
                <w:u w:val="single"/>
                <w:lang w:val="en-US" w:eastAsia="zh-CN"/>
              </w:rPr>
              <w:t>40</w:t>
            </w:r>
            <w:r>
              <w:rPr>
                <w:rFonts w:hint="eastAsia" w:ascii="仿宋" w:hAnsi="仿宋" w:eastAsia="仿宋" w:cs="宋体"/>
                <w:color w:val="auto"/>
                <w:sz w:val="24"/>
                <w:szCs w:val="24"/>
                <w:highlight w:val="none"/>
                <w:u w:val="single"/>
              </w:rPr>
              <w:t>日历天</w:t>
            </w:r>
            <w:r>
              <w:rPr>
                <w:rFonts w:hint="eastAsia" w:ascii="仿宋" w:hAnsi="仿宋" w:eastAsia="仿宋" w:cs="宋体"/>
                <w:color w:val="auto"/>
                <w:sz w:val="24"/>
                <w:szCs w:val="24"/>
                <w:highlight w:val="none"/>
              </w:rPr>
              <w:t>；</w:t>
            </w:r>
          </w:p>
          <w:p w14:paraId="04146495">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供应商磋商时可填报不大于</w:t>
            </w:r>
            <w:r>
              <w:rPr>
                <w:rFonts w:hint="eastAsia" w:ascii="仿宋" w:hAnsi="仿宋" w:eastAsia="仿宋" w:cs="宋体"/>
                <w:color w:val="auto"/>
                <w:sz w:val="24"/>
                <w:szCs w:val="24"/>
                <w:highlight w:val="none"/>
                <w:u w:val="single"/>
                <w:lang w:eastAsia="zh-CN"/>
              </w:rPr>
              <w:t>40</w:t>
            </w:r>
            <w:r>
              <w:rPr>
                <w:rFonts w:hint="eastAsia" w:ascii="仿宋" w:hAnsi="仿宋" w:eastAsia="仿宋" w:cs="宋体"/>
                <w:color w:val="auto"/>
                <w:sz w:val="24"/>
                <w:szCs w:val="24"/>
                <w:highlight w:val="none"/>
                <w:u w:val="single"/>
              </w:rPr>
              <w:t>日历天</w:t>
            </w:r>
            <w:r>
              <w:rPr>
                <w:rFonts w:hint="eastAsia" w:ascii="仿宋" w:hAnsi="仿宋" w:eastAsia="仿宋" w:cs="宋体"/>
                <w:color w:val="auto"/>
                <w:sz w:val="24"/>
                <w:szCs w:val="24"/>
                <w:highlight w:val="none"/>
              </w:rPr>
              <w:t>的最短合理工期，成交后，该磋商工期将作为合同工期。</w:t>
            </w:r>
          </w:p>
        </w:tc>
      </w:tr>
      <w:tr w14:paraId="6FD9C1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1"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5561B745">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w:t>
            </w:r>
          </w:p>
        </w:tc>
        <w:tc>
          <w:tcPr>
            <w:tcW w:w="1298" w:type="pct"/>
            <w:tcBorders>
              <w:top w:val="single" w:color="auto" w:sz="4" w:space="0"/>
              <w:left w:val="single" w:color="auto" w:sz="4" w:space="0"/>
              <w:bottom w:val="single" w:color="auto" w:sz="4" w:space="0"/>
              <w:right w:val="single" w:color="auto" w:sz="4" w:space="0"/>
            </w:tcBorders>
            <w:vAlign w:val="center"/>
          </w:tcPr>
          <w:p w14:paraId="5F436D78">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最高限价</w:t>
            </w:r>
          </w:p>
        </w:tc>
        <w:tc>
          <w:tcPr>
            <w:tcW w:w="3262" w:type="pct"/>
            <w:tcBorders>
              <w:top w:val="single" w:color="auto" w:sz="4" w:space="0"/>
              <w:left w:val="single" w:color="auto" w:sz="4" w:space="0"/>
              <w:bottom w:val="single" w:color="auto" w:sz="4" w:space="0"/>
              <w:right w:val="single" w:color="auto" w:sz="4" w:space="0"/>
            </w:tcBorders>
            <w:vAlign w:val="center"/>
          </w:tcPr>
          <w:p w14:paraId="110239F2">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u w:val="single"/>
              </w:rPr>
              <w:t>▲</w:t>
            </w:r>
            <w:r>
              <w:rPr>
                <w:rFonts w:hint="eastAsia" w:ascii="仿宋" w:hAnsi="仿宋" w:eastAsia="仿宋" w:cs="宋体"/>
                <w:b/>
                <w:color w:val="auto"/>
                <w:sz w:val="24"/>
                <w:szCs w:val="24"/>
                <w:highlight w:val="none"/>
                <w:u w:val="single"/>
              </w:rPr>
              <w:t>本项目最高限价为人民币1770167元，报价如超过最高限价的，其响应文件无效</w:t>
            </w:r>
            <w:r>
              <w:rPr>
                <w:rFonts w:hint="eastAsia" w:ascii="仿宋" w:hAnsi="仿宋" w:eastAsia="仿宋" w:cs="宋体"/>
                <w:color w:val="auto"/>
                <w:sz w:val="24"/>
                <w:szCs w:val="24"/>
                <w:highlight w:val="none"/>
              </w:rPr>
              <w:t>。</w:t>
            </w:r>
          </w:p>
        </w:tc>
      </w:tr>
      <w:tr w14:paraId="00CF8E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5057523B">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5</w:t>
            </w:r>
          </w:p>
        </w:tc>
        <w:tc>
          <w:tcPr>
            <w:tcW w:w="1298" w:type="pct"/>
            <w:tcBorders>
              <w:top w:val="single" w:color="auto" w:sz="4" w:space="0"/>
              <w:left w:val="single" w:color="auto" w:sz="4" w:space="0"/>
              <w:bottom w:val="single" w:color="auto" w:sz="4" w:space="0"/>
              <w:right w:val="single" w:color="auto" w:sz="4" w:space="0"/>
            </w:tcBorders>
            <w:vAlign w:val="center"/>
          </w:tcPr>
          <w:p w14:paraId="017EE5BB">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采购资金落实情况</w:t>
            </w:r>
          </w:p>
        </w:tc>
        <w:tc>
          <w:tcPr>
            <w:tcW w:w="3262" w:type="pct"/>
            <w:tcBorders>
              <w:top w:val="single" w:color="auto" w:sz="4" w:space="0"/>
              <w:left w:val="single" w:color="auto" w:sz="4" w:space="0"/>
              <w:bottom w:val="single" w:color="auto" w:sz="4" w:space="0"/>
              <w:right w:val="single" w:color="auto" w:sz="4" w:space="0"/>
            </w:tcBorders>
            <w:vAlign w:val="center"/>
          </w:tcPr>
          <w:p w14:paraId="46694426">
            <w:pPr>
              <w:autoSpaceDN w:val="0"/>
              <w:snapToGrid w:val="0"/>
              <w:spacing w:line="276"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已落实（采购计划书：[2024]36368</w:t>
            </w:r>
            <w:r>
              <w:rPr>
                <w:rFonts w:hint="eastAsia" w:ascii="仿宋" w:hAnsi="仿宋" w:eastAsia="仿宋" w:cs="Arial"/>
                <w:color w:val="auto"/>
                <w:sz w:val="24"/>
                <w:szCs w:val="24"/>
                <w:highlight w:val="none"/>
                <w:lang w:val="en-US" w:eastAsia="zh-CN"/>
              </w:rPr>
              <w:t>号</w:t>
            </w:r>
            <w:r>
              <w:rPr>
                <w:rFonts w:hint="eastAsia" w:ascii="仿宋" w:hAnsi="仿宋" w:eastAsia="仿宋" w:cs="Arial"/>
                <w:color w:val="auto"/>
                <w:sz w:val="24"/>
                <w:szCs w:val="24"/>
                <w:highlight w:val="none"/>
              </w:rPr>
              <w:t>）</w:t>
            </w:r>
          </w:p>
        </w:tc>
      </w:tr>
      <w:tr w14:paraId="7BDD9A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7BD9302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6</w:t>
            </w:r>
          </w:p>
        </w:tc>
        <w:tc>
          <w:tcPr>
            <w:tcW w:w="1298" w:type="pct"/>
            <w:tcBorders>
              <w:top w:val="single" w:color="auto" w:sz="4" w:space="0"/>
              <w:left w:val="single" w:color="auto" w:sz="4" w:space="0"/>
              <w:bottom w:val="single" w:color="auto" w:sz="4" w:space="0"/>
              <w:right w:val="single" w:color="auto" w:sz="4" w:space="0"/>
            </w:tcBorders>
            <w:vAlign w:val="center"/>
          </w:tcPr>
          <w:p w14:paraId="7E81B3AE">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采购人</w:t>
            </w:r>
          </w:p>
        </w:tc>
        <w:tc>
          <w:tcPr>
            <w:tcW w:w="3262" w:type="pct"/>
            <w:tcBorders>
              <w:top w:val="single" w:color="auto" w:sz="4" w:space="0"/>
              <w:left w:val="single" w:color="auto" w:sz="4" w:space="0"/>
              <w:bottom w:val="single" w:color="auto" w:sz="4" w:space="0"/>
              <w:right w:val="single" w:color="auto" w:sz="4" w:space="0"/>
            </w:tcBorders>
            <w:vAlign w:val="center"/>
          </w:tcPr>
          <w:p w14:paraId="0F51A714">
            <w:pPr>
              <w:autoSpaceDN w:val="0"/>
              <w:snapToGrid w:val="0"/>
              <w:spacing w:line="276"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单位名称：浙江工业大学</w:t>
            </w:r>
          </w:p>
          <w:p w14:paraId="28E47FBC">
            <w:pPr>
              <w:autoSpaceDN w:val="0"/>
              <w:snapToGrid w:val="0"/>
              <w:spacing w:line="276"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地址：浙江省杭州市潮王路18号</w:t>
            </w:r>
          </w:p>
          <w:p w14:paraId="599B6B10">
            <w:pPr>
              <w:autoSpaceDN w:val="0"/>
              <w:snapToGrid w:val="0"/>
              <w:spacing w:line="276" w:lineRule="auto"/>
              <w:rPr>
                <w:rFonts w:ascii="仿宋" w:hAnsi="仿宋" w:eastAsia="仿宋" w:cs="宋体"/>
                <w:color w:val="auto"/>
                <w:sz w:val="24"/>
                <w:szCs w:val="24"/>
                <w:highlight w:val="none"/>
                <w:u w:val="single"/>
              </w:rPr>
            </w:pPr>
            <w:r>
              <w:rPr>
                <w:rFonts w:hint="eastAsia" w:ascii="仿宋" w:hAnsi="仿宋" w:eastAsia="仿宋" w:cs="Arial"/>
                <w:color w:val="auto"/>
                <w:sz w:val="24"/>
                <w:szCs w:val="24"/>
                <w:highlight w:val="none"/>
              </w:rPr>
              <w:t>联系人：</w:t>
            </w:r>
            <w:r>
              <w:rPr>
                <w:rFonts w:hint="eastAsia" w:ascii="仿宋" w:hAnsi="仿宋" w:eastAsia="仿宋" w:cs="Arial"/>
                <w:color w:val="auto"/>
                <w:sz w:val="24"/>
                <w:szCs w:val="24"/>
                <w:highlight w:val="none"/>
                <w:lang w:val="en-US" w:eastAsia="zh-CN"/>
              </w:rPr>
              <w:t>陈老师</w:t>
            </w:r>
            <w:r>
              <w:rPr>
                <w:rFonts w:hint="eastAsia" w:ascii="仿宋" w:hAnsi="仿宋" w:eastAsia="仿宋" w:cs="Arial"/>
                <w:color w:val="auto"/>
                <w:sz w:val="24"/>
                <w:szCs w:val="24"/>
                <w:highlight w:val="none"/>
              </w:rPr>
              <w:t xml:space="preserve">    联系电话：</w:t>
            </w:r>
            <w:r>
              <w:rPr>
                <w:rFonts w:hint="eastAsia" w:ascii="仿宋" w:hAnsi="仿宋" w:eastAsia="仿宋" w:cs="宋体"/>
                <w:color w:val="auto"/>
                <w:spacing w:val="-4"/>
                <w:kern w:val="0"/>
                <w:sz w:val="24"/>
                <w:szCs w:val="24"/>
                <w:highlight w:val="none"/>
                <w:lang w:val="en-US" w:eastAsia="zh-CN"/>
              </w:rPr>
              <w:t>0571-88320640</w:t>
            </w:r>
          </w:p>
        </w:tc>
      </w:tr>
      <w:tr w14:paraId="2A78A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3F1AC55B">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7</w:t>
            </w:r>
          </w:p>
        </w:tc>
        <w:tc>
          <w:tcPr>
            <w:tcW w:w="1298" w:type="pct"/>
            <w:tcBorders>
              <w:top w:val="single" w:color="auto" w:sz="4" w:space="0"/>
              <w:left w:val="single" w:color="auto" w:sz="4" w:space="0"/>
              <w:bottom w:val="single" w:color="auto" w:sz="4" w:space="0"/>
              <w:right w:val="single" w:color="auto" w:sz="4" w:space="0"/>
            </w:tcBorders>
            <w:vAlign w:val="center"/>
          </w:tcPr>
          <w:p w14:paraId="5FA7FB83">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采购代理机构</w:t>
            </w:r>
          </w:p>
        </w:tc>
        <w:tc>
          <w:tcPr>
            <w:tcW w:w="3262" w:type="pct"/>
            <w:tcBorders>
              <w:top w:val="single" w:color="auto" w:sz="4" w:space="0"/>
              <w:left w:val="single" w:color="auto" w:sz="4" w:space="0"/>
              <w:bottom w:val="single" w:color="auto" w:sz="4" w:space="0"/>
              <w:right w:val="single" w:color="auto" w:sz="4" w:space="0"/>
            </w:tcBorders>
            <w:vAlign w:val="center"/>
          </w:tcPr>
          <w:p w14:paraId="149DFA1D">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浙江豪圣建设项目管理有限公司</w:t>
            </w:r>
          </w:p>
          <w:p w14:paraId="79F6E196">
            <w:pPr>
              <w:autoSpaceDN w:val="0"/>
              <w:snapToGrid w:val="0"/>
              <w:spacing w:line="276"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联系人：陈梦菲、曹剑斌、陈敏娇</w:t>
            </w:r>
          </w:p>
          <w:p w14:paraId="386BB636">
            <w:pPr>
              <w:autoSpaceDN w:val="0"/>
              <w:snapToGrid w:val="0"/>
              <w:spacing w:line="276"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联系电话：0571-87981527</w:t>
            </w:r>
          </w:p>
          <w:p w14:paraId="20EFBF6B">
            <w:pPr>
              <w:autoSpaceDE w:val="0"/>
              <w:autoSpaceDN w:val="0"/>
              <w:snapToGrid w:val="0"/>
              <w:spacing w:line="276" w:lineRule="auto"/>
              <w:jc w:val="left"/>
              <w:rPr>
                <w:rFonts w:ascii="仿宋" w:hAnsi="仿宋" w:eastAsia="仿宋" w:cs="Arial"/>
                <w:b/>
                <w:bCs/>
                <w:color w:val="auto"/>
                <w:sz w:val="24"/>
                <w:szCs w:val="24"/>
                <w:highlight w:val="none"/>
              </w:rPr>
            </w:pPr>
            <w:r>
              <w:rPr>
                <w:rFonts w:hint="eastAsia" w:ascii="仿宋" w:hAnsi="仿宋" w:eastAsia="仿宋" w:cs="Arial"/>
                <w:color w:val="auto"/>
                <w:sz w:val="24"/>
                <w:szCs w:val="24"/>
                <w:highlight w:val="none"/>
              </w:rPr>
              <w:t>电子邮箱：787629918@qq.com</w:t>
            </w:r>
          </w:p>
          <w:p w14:paraId="46BB6AA7">
            <w:pPr>
              <w:autoSpaceDE w:val="0"/>
              <w:autoSpaceDN w:val="0"/>
              <w:snapToGrid w:val="0"/>
              <w:spacing w:line="276" w:lineRule="auto"/>
              <w:jc w:val="left"/>
              <w:rPr>
                <w:rFonts w:ascii="仿宋" w:hAnsi="仿宋" w:eastAsia="仿宋" w:cs="..ì."/>
                <w:color w:val="auto"/>
                <w:sz w:val="24"/>
                <w:szCs w:val="24"/>
                <w:highlight w:val="none"/>
              </w:rPr>
            </w:pPr>
            <w:r>
              <w:rPr>
                <w:rFonts w:hint="eastAsia" w:ascii="仿宋" w:hAnsi="仿宋" w:eastAsia="仿宋" w:cs="Arial"/>
                <w:color w:val="auto"/>
                <w:sz w:val="24"/>
                <w:szCs w:val="24"/>
                <w:highlight w:val="none"/>
              </w:rPr>
              <w:t>地址：</w:t>
            </w:r>
            <w:r>
              <w:rPr>
                <w:rFonts w:hint="eastAsia" w:ascii="仿宋" w:hAnsi="仿宋" w:eastAsia="仿宋" w:cs="宋体"/>
                <w:color w:val="auto"/>
                <w:sz w:val="24"/>
                <w:szCs w:val="24"/>
                <w:highlight w:val="none"/>
              </w:rPr>
              <w:t>杭州市拱墅区大关路179号远洋国际中心A座17楼1706室</w:t>
            </w:r>
          </w:p>
        </w:tc>
      </w:tr>
      <w:tr w14:paraId="1C8DE0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13BC39A6">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8</w:t>
            </w:r>
          </w:p>
        </w:tc>
        <w:tc>
          <w:tcPr>
            <w:tcW w:w="1298" w:type="pct"/>
            <w:tcBorders>
              <w:top w:val="single" w:color="auto" w:sz="4" w:space="0"/>
              <w:left w:val="single" w:color="auto" w:sz="4" w:space="0"/>
              <w:bottom w:val="single" w:color="auto" w:sz="4" w:space="0"/>
              <w:right w:val="single" w:color="auto" w:sz="4" w:space="0"/>
            </w:tcBorders>
            <w:vAlign w:val="center"/>
          </w:tcPr>
          <w:p w14:paraId="51CDB9CA">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公告媒体</w:t>
            </w:r>
          </w:p>
        </w:tc>
        <w:tc>
          <w:tcPr>
            <w:tcW w:w="3262" w:type="pct"/>
            <w:tcBorders>
              <w:top w:val="single" w:color="auto" w:sz="4" w:space="0"/>
              <w:left w:val="single" w:color="auto" w:sz="4" w:space="0"/>
              <w:bottom w:val="single" w:color="auto" w:sz="4" w:space="0"/>
              <w:right w:val="single" w:color="auto" w:sz="4" w:space="0"/>
            </w:tcBorders>
            <w:vAlign w:val="center"/>
          </w:tcPr>
          <w:p w14:paraId="42983E6E">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浙江政府采购网（</w:t>
            </w:r>
            <w:r>
              <w:rPr>
                <w:color w:val="auto"/>
                <w:highlight w:val="none"/>
              </w:rPr>
              <w:fldChar w:fldCharType="begin"/>
            </w:r>
            <w:r>
              <w:rPr>
                <w:color w:val="auto"/>
                <w:highlight w:val="none"/>
              </w:rPr>
              <w:instrText xml:space="preserve"> HYPERLINK "http://zfcg.czt.zj.gov.cn" </w:instrText>
            </w:r>
            <w:r>
              <w:rPr>
                <w:color w:val="auto"/>
                <w:highlight w:val="none"/>
              </w:rPr>
              <w:fldChar w:fldCharType="separate"/>
            </w:r>
            <w:r>
              <w:rPr>
                <w:rFonts w:hint="eastAsia" w:ascii="仿宋" w:hAnsi="仿宋" w:eastAsia="仿宋" w:cs="宋体"/>
                <w:color w:val="auto"/>
                <w:sz w:val="24"/>
                <w:szCs w:val="24"/>
                <w:highlight w:val="none"/>
                <w:u w:val="single"/>
              </w:rPr>
              <w:t>http://zfcg.czt.zj.gov.cn</w:t>
            </w:r>
            <w:r>
              <w:rPr>
                <w:rFonts w:hint="eastAsia" w:ascii="仿宋" w:hAnsi="仿宋" w:eastAsia="仿宋" w:cs="宋体"/>
                <w:color w:val="auto"/>
                <w:sz w:val="24"/>
                <w:szCs w:val="24"/>
                <w:highlight w:val="none"/>
                <w:u w:val="single"/>
              </w:rPr>
              <w:fldChar w:fldCharType="end"/>
            </w:r>
            <w:r>
              <w:rPr>
                <w:rFonts w:hint="eastAsia" w:ascii="仿宋" w:hAnsi="仿宋" w:eastAsia="仿宋" w:cs="宋体"/>
                <w:color w:val="auto"/>
                <w:sz w:val="24"/>
                <w:szCs w:val="24"/>
                <w:highlight w:val="none"/>
              </w:rPr>
              <w:t>）</w:t>
            </w:r>
          </w:p>
        </w:tc>
      </w:tr>
      <w:tr w14:paraId="0B58D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61153502">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9</w:t>
            </w:r>
          </w:p>
        </w:tc>
        <w:tc>
          <w:tcPr>
            <w:tcW w:w="1298" w:type="pct"/>
            <w:tcBorders>
              <w:top w:val="single" w:color="auto" w:sz="4" w:space="0"/>
              <w:left w:val="single" w:color="auto" w:sz="4" w:space="0"/>
              <w:bottom w:val="single" w:color="auto" w:sz="4" w:space="0"/>
              <w:right w:val="single" w:color="auto" w:sz="4" w:space="0"/>
            </w:tcBorders>
            <w:vAlign w:val="center"/>
          </w:tcPr>
          <w:p w14:paraId="353AAF29">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交易方式</w:t>
            </w:r>
          </w:p>
        </w:tc>
        <w:tc>
          <w:tcPr>
            <w:tcW w:w="3262" w:type="pct"/>
            <w:tcBorders>
              <w:top w:val="single" w:color="auto" w:sz="4" w:space="0"/>
              <w:left w:val="single" w:color="auto" w:sz="4" w:space="0"/>
              <w:bottom w:val="single" w:color="auto" w:sz="4" w:space="0"/>
              <w:right w:val="single" w:color="auto" w:sz="4" w:space="0"/>
            </w:tcBorders>
            <w:vAlign w:val="center"/>
          </w:tcPr>
          <w:p w14:paraId="445E3588">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Arial"/>
                <w:b/>
                <w:color w:val="auto"/>
                <w:sz w:val="24"/>
                <w:szCs w:val="24"/>
                <w:highlight w:val="none"/>
              </w:rPr>
              <w:t>电子交易</w:t>
            </w:r>
          </w:p>
        </w:tc>
      </w:tr>
      <w:tr w14:paraId="20E4C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70B82BB3">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10</w:t>
            </w:r>
          </w:p>
        </w:tc>
        <w:tc>
          <w:tcPr>
            <w:tcW w:w="1298" w:type="pct"/>
            <w:tcBorders>
              <w:top w:val="single" w:color="auto" w:sz="4" w:space="0"/>
              <w:left w:val="single" w:color="auto" w:sz="4" w:space="0"/>
              <w:bottom w:val="single" w:color="auto" w:sz="4" w:space="0"/>
              <w:right w:val="single" w:color="auto" w:sz="4" w:space="0"/>
            </w:tcBorders>
            <w:vAlign w:val="center"/>
          </w:tcPr>
          <w:p w14:paraId="52F41831">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电子交易平台</w:t>
            </w:r>
          </w:p>
        </w:tc>
        <w:tc>
          <w:tcPr>
            <w:tcW w:w="3262" w:type="pct"/>
            <w:tcBorders>
              <w:top w:val="single" w:color="auto" w:sz="4" w:space="0"/>
              <w:left w:val="single" w:color="auto" w:sz="4" w:space="0"/>
              <w:bottom w:val="single" w:color="auto" w:sz="4" w:space="0"/>
              <w:right w:val="single" w:color="auto" w:sz="4" w:space="0"/>
            </w:tcBorders>
            <w:vAlign w:val="center"/>
          </w:tcPr>
          <w:p w14:paraId="13D3B14F">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政府采购云平台（</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仿宋" w:hAnsi="仿宋" w:eastAsia="仿宋" w:cs="宋体"/>
                <w:color w:val="auto"/>
                <w:sz w:val="24"/>
                <w:szCs w:val="24"/>
                <w:highlight w:val="none"/>
                <w:u w:val="single"/>
              </w:rPr>
              <w:t>www.zcygov.cn</w:t>
            </w:r>
            <w:r>
              <w:rPr>
                <w:rFonts w:hint="eastAsia" w:ascii="仿宋" w:hAnsi="仿宋" w:eastAsia="仿宋" w:cs="宋体"/>
                <w:color w:val="auto"/>
                <w:sz w:val="24"/>
                <w:szCs w:val="24"/>
                <w:highlight w:val="none"/>
                <w:u w:val="single"/>
              </w:rPr>
              <w:fldChar w:fldCharType="end"/>
            </w:r>
            <w:r>
              <w:rPr>
                <w:rFonts w:hint="eastAsia" w:ascii="仿宋" w:hAnsi="仿宋" w:eastAsia="仿宋" w:cs="宋体"/>
                <w:color w:val="auto"/>
                <w:sz w:val="24"/>
                <w:szCs w:val="24"/>
                <w:highlight w:val="none"/>
              </w:rPr>
              <w:t>）</w:t>
            </w:r>
          </w:p>
        </w:tc>
      </w:tr>
      <w:tr w14:paraId="7093C5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14D1D655">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11</w:t>
            </w:r>
          </w:p>
        </w:tc>
        <w:tc>
          <w:tcPr>
            <w:tcW w:w="1298" w:type="pct"/>
            <w:tcBorders>
              <w:top w:val="single" w:color="auto" w:sz="4" w:space="0"/>
              <w:left w:val="single" w:color="auto" w:sz="4" w:space="0"/>
              <w:bottom w:val="single" w:color="auto" w:sz="4" w:space="0"/>
              <w:right w:val="single" w:color="auto" w:sz="4" w:space="0"/>
            </w:tcBorders>
            <w:vAlign w:val="center"/>
          </w:tcPr>
          <w:p w14:paraId="0A7730F1">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是否专门面向</w:t>
            </w:r>
          </w:p>
          <w:p w14:paraId="2793CB34">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中小企业采购</w:t>
            </w:r>
          </w:p>
        </w:tc>
        <w:tc>
          <w:tcPr>
            <w:tcW w:w="3262" w:type="pct"/>
            <w:tcBorders>
              <w:top w:val="single" w:color="auto" w:sz="4" w:space="0"/>
              <w:left w:val="single" w:color="auto" w:sz="4" w:space="0"/>
              <w:bottom w:val="single" w:color="auto" w:sz="4" w:space="0"/>
              <w:right w:val="single" w:color="auto" w:sz="4" w:space="0"/>
            </w:tcBorders>
            <w:vAlign w:val="center"/>
          </w:tcPr>
          <w:p w14:paraId="57DA9EA4">
            <w:pPr>
              <w:widowControl/>
              <w:autoSpaceDE w:val="0"/>
              <w:autoSpaceDN w:val="0"/>
              <w:snapToGrid w:val="0"/>
              <w:spacing w:line="276" w:lineRule="auto"/>
              <w:jc w:val="left"/>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lang w:bidi="ar"/>
              </w:rPr>
              <w:t>（1）本次采购为专门面向中小企业的采购项目；</w:t>
            </w:r>
          </w:p>
          <w:p w14:paraId="0F4189E4">
            <w:pPr>
              <w:widowControl/>
              <w:autoSpaceDE w:val="0"/>
              <w:autoSpaceDN w:val="0"/>
              <w:snapToGrid w:val="0"/>
              <w:spacing w:line="276" w:lineRule="auto"/>
              <w:jc w:val="left"/>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lang w:bidi="ar"/>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CC5202C">
            <w:pPr>
              <w:widowControl/>
              <w:autoSpaceDE w:val="0"/>
              <w:autoSpaceDN w:val="0"/>
              <w:snapToGrid w:val="0"/>
              <w:spacing w:line="276" w:lineRule="auto"/>
              <w:jc w:val="left"/>
              <w:textAlignment w:val="bottom"/>
              <w:rPr>
                <w:rFonts w:ascii="仿宋" w:hAnsi="仿宋" w:eastAsia="仿宋" w:cs="宋体"/>
                <w:color w:val="auto"/>
                <w:sz w:val="24"/>
                <w:szCs w:val="24"/>
                <w:highlight w:val="none"/>
                <w:u w:val="single"/>
                <w:lang w:bidi="ar"/>
              </w:rPr>
            </w:pPr>
            <w:r>
              <w:rPr>
                <w:rFonts w:hint="eastAsia" w:ascii="仿宋" w:hAnsi="仿宋" w:eastAsia="仿宋" w:cs="宋体"/>
                <w:color w:val="auto"/>
                <w:sz w:val="24"/>
                <w:szCs w:val="24"/>
                <w:highlight w:val="none"/>
                <w:lang w:bidi="ar"/>
              </w:rPr>
              <w:t>（3）本次采购标的为</w:t>
            </w:r>
            <w:r>
              <w:rPr>
                <w:rFonts w:hint="eastAsia" w:ascii="仿宋" w:hAnsi="仿宋" w:eastAsia="仿宋" w:cs="宋体"/>
                <w:color w:val="auto"/>
                <w:sz w:val="24"/>
                <w:szCs w:val="24"/>
                <w:highlight w:val="none"/>
                <w:u w:val="single"/>
                <w:lang w:eastAsia="zh-CN" w:bidi="ar"/>
              </w:rPr>
              <w:t>浙江工业大学2024年学生校区布局调整相关用房装修工程</w:t>
            </w:r>
            <w:r>
              <w:rPr>
                <w:rFonts w:hint="eastAsia" w:ascii="仿宋" w:hAnsi="仿宋" w:eastAsia="仿宋" w:cs="宋体"/>
                <w:color w:val="auto"/>
                <w:sz w:val="24"/>
                <w:szCs w:val="24"/>
                <w:highlight w:val="none"/>
                <w:lang w:bidi="ar"/>
              </w:rPr>
              <w:t>，对应的中小企业划分标准所属行业是：</w:t>
            </w:r>
            <w:r>
              <w:rPr>
                <w:rFonts w:hint="eastAsia" w:ascii="仿宋" w:hAnsi="仿宋" w:eastAsia="仿宋" w:cs="宋体"/>
                <w:color w:val="auto"/>
                <w:sz w:val="24"/>
                <w:szCs w:val="24"/>
                <w:highlight w:val="none"/>
                <w:u w:val="single"/>
                <w:lang w:bidi="ar"/>
              </w:rPr>
              <w:t>建筑业</w:t>
            </w:r>
            <w:r>
              <w:rPr>
                <w:rFonts w:hint="eastAsia" w:ascii="仿宋" w:hAnsi="仿宋" w:eastAsia="仿宋" w:cs="宋体"/>
                <w:color w:val="auto"/>
                <w:sz w:val="24"/>
                <w:szCs w:val="24"/>
                <w:highlight w:val="none"/>
                <w:lang w:bidi="ar"/>
              </w:rPr>
              <w:t>；</w:t>
            </w:r>
          </w:p>
          <w:p w14:paraId="53F306F7">
            <w:pPr>
              <w:widowControl/>
              <w:autoSpaceDE w:val="0"/>
              <w:autoSpaceDN w:val="0"/>
              <w:snapToGrid w:val="0"/>
              <w:spacing w:line="276" w:lineRule="auto"/>
              <w:jc w:val="left"/>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标准：</w:t>
            </w:r>
            <w:r>
              <w:rPr>
                <w:rFonts w:hint="eastAsia" w:ascii="仿宋" w:hAnsi="仿宋" w:eastAsia="仿宋" w:cs="宋体"/>
                <w:color w:val="auto"/>
                <w:sz w:val="24"/>
                <w:szCs w:val="24"/>
                <w:highlight w:val="none"/>
                <w:u w:val="singl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仿宋" w:hAnsi="仿宋" w:eastAsia="仿宋" w:cs="宋体"/>
                <w:color w:val="auto"/>
                <w:sz w:val="24"/>
                <w:szCs w:val="24"/>
                <w:highlight w:val="none"/>
              </w:rPr>
              <w:t>。</w:t>
            </w:r>
          </w:p>
          <w:p w14:paraId="75E53DDD">
            <w:pPr>
              <w:widowControl/>
              <w:autoSpaceDE w:val="0"/>
              <w:autoSpaceDN w:val="0"/>
              <w:snapToGrid w:val="0"/>
              <w:spacing w:line="276" w:lineRule="auto"/>
              <w:jc w:val="left"/>
              <w:textAlignment w:val="bottom"/>
              <w:rPr>
                <w:rFonts w:ascii="仿宋" w:hAnsi="仿宋" w:eastAsia="仿宋" w:cs="宋体"/>
                <w:color w:val="auto"/>
                <w:sz w:val="24"/>
                <w:szCs w:val="24"/>
                <w:highlight w:val="none"/>
                <w:lang w:bidi="ar"/>
              </w:rPr>
            </w:pPr>
            <w:r>
              <w:rPr>
                <w:rFonts w:hint="eastAsia" w:ascii="仿宋" w:hAnsi="仿宋" w:eastAsia="仿宋" w:cs="宋体"/>
                <w:color w:val="auto"/>
                <w:sz w:val="24"/>
                <w:szCs w:val="24"/>
                <w:highlight w:val="none"/>
                <w:lang w:bidi="ar"/>
              </w:rPr>
              <w:t>（4）</w:t>
            </w:r>
            <w:r>
              <w:rPr>
                <w:rFonts w:hint="eastAsia" w:ascii="仿宋" w:hAnsi="仿宋" w:eastAsia="仿宋" w:cs="宋体"/>
                <w:color w:val="auto"/>
                <w:kern w:val="0"/>
                <w:sz w:val="24"/>
                <w:szCs w:val="24"/>
                <w:highlight w:val="none"/>
              </w:rPr>
              <w:t>以联合体形式参加政府采购活动，联合体各方均为中小企业的，联合体视同中小企业</w:t>
            </w:r>
            <w:r>
              <w:rPr>
                <w:rFonts w:hint="eastAsia" w:ascii="仿宋" w:hAnsi="仿宋" w:eastAsia="仿宋" w:cs="宋体"/>
                <w:color w:val="auto"/>
                <w:sz w:val="24"/>
                <w:szCs w:val="24"/>
                <w:highlight w:val="none"/>
                <w:lang w:bidi="ar"/>
              </w:rPr>
              <w:t>；</w:t>
            </w:r>
          </w:p>
          <w:p w14:paraId="23321CD2">
            <w:pPr>
              <w:widowControl/>
              <w:autoSpaceDE w:val="0"/>
              <w:autoSpaceDN w:val="0"/>
              <w:snapToGrid w:val="0"/>
              <w:spacing w:line="276" w:lineRule="auto"/>
              <w:jc w:val="left"/>
              <w:textAlignment w:val="bottom"/>
              <w:rPr>
                <w:rFonts w:ascii="仿宋" w:hAnsi="仿宋" w:eastAsia="仿宋" w:cs="宋体"/>
                <w:color w:val="auto"/>
                <w:kern w:val="0"/>
                <w:sz w:val="24"/>
                <w:szCs w:val="24"/>
                <w:highlight w:val="none"/>
              </w:rPr>
            </w:pPr>
            <w:r>
              <w:rPr>
                <w:rFonts w:hint="eastAsia" w:ascii="仿宋" w:hAnsi="仿宋" w:eastAsia="仿宋" w:cs="宋体"/>
                <w:color w:val="auto"/>
                <w:sz w:val="24"/>
                <w:szCs w:val="24"/>
                <w:highlight w:val="none"/>
                <w:lang w:bidi="ar"/>
              </w:rPr>
              <w:t>（5）</w:t>
            </w:r>
            <w:r>
              <w:rPr>
                <w:rFonts w:hint="eastAsia" w:ascii="仿宋" w:hAnsi="仿宋" w:eastAsia="仿宋" w:cs="宋体"/>
                <w:color w:val="auto"/>
                <w:kern w:val="0"/>
                <w:sz w:val="24"/>
                <w:szCs w:val="24"/>
                <w:highlight w:val="none"/>
              </w:rPr>
              <w:t>符合中小企业划分标准的个体工商户，视同中小企业；</w:t>
            </w:r>
          </w:p>
          <w:p w14:paraId="05F4F59B">
            <w:pPr>
              <w:widowControl/>
              <w:autoSpaceDE w:val="0"/>
              <w:autoSpaceDN w:val="0"/>
              <w:snapToGrid w:val="0"/>
              <w:spacing w:line="276" w:lineRule="auto"/>
              <w:jc w:val="left"/>
              <w:textAlignment w:val="bottom"/>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（6）本次采购的工程要求全部由中小企业承建；</w:t>
            </w:r>
          </w:p>
          <w:p w14:paraId="1BF476C3">
            <w:pPr>
              <w:autoSpaceDE w:val="0"/>
              <w:autoSpaceDN w:val="0"/>
              <w:snapToGrid w:val="0"/>
              <w:spacing w:line="276" w:lineRule="auto"/>
              <w:textAlignment w:val="bottom"/>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（7）承接的工程由中小企业承建（包括联合体内的中小企业和接受分包的中小企业）的，供应商应当出具《中小企业声明函》；</w:t>
            </w:r>
          </w:p>
          <w:p w14:paraId="2CAED96D">
            <w:pPr>
              <w:autoSpaceDE w:val="0"/>
              <w:autoSpaceDN w:val="0"/>
              <w:snapToGrid w:val="0"/>
              <w:spacing w:line="276" w:lineRule="auto"/>
              <w:textAlignment w:val="bottom"/>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（8）残疾人福利性单位视同小微企业。残疾人福利性单位参加政府采购活动时，应当提供《残疾人福利性单位声明函》；</w:t>
            </w:r>
          </w:p>
          <w:p w14:paraId="400588F0">
            <w:pPr>
              <w:autoSpaceDN w:val="0"/>
              <w:snapToGrid w:val="0"/>
              <w:spacing w:line="276" w:lineRule="auto"/>
              <w:rPr>
                <w:rFonts w:ascii="仿宋" w:hAnsi="仿宋" w:eastAsia="仿宋" w:cs="Arial"/>
                <w:b/>
                <w:color w:val="auto"/>
                <w:sz w:val="24"/>
                <w:szCs w:val="24"/>
                <w:highlight w:val="none"/>
              </w:rPr>
            </w:pPr>
            <w:r>
              <w:rPr>
                <w:rFonts w:hint="eastAsia" w:ascii="仿宋" w:hAnsi="仿宋" w:eastAsia="仿宋" w:cs="宋体"/>
                <w:color w:val="auto"/>
                <w:kern w:val="0"/>
                <w:sz w:val="24"/>
                <w:szCs w:val="24"/>
                <w:highlight w:val="none"/>
              </w:rPr>
              <w:t>（9）监狱企业视同小微企业。监狱企业参加政府采购活动时，应当出具省级以上监狱管理局、戒毒管理局（含新疆生产建设兵团）提供的属于监狱企业的证明文件。</w:t>
            </w:r>
          </w:p>
        </w:tc>
      </w:tr>
      <w:tr w14:paraId="3AFA96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6058CD26">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12</w:t>
            </w:r>
          </w:p>
        </w:tc>
        <w:tc>
          <w:tcPr>
            <w:tcW w:w="1298" w:type="pct"/>
            <w:tcBorders>
              <w:top w:val="single" w:color="auto" w:sz="4" w:space="0"/>
              <w:left w:val="single" w:color="auto" w:sz="4" w:space="0"/>
              <w:bottom w:val="single" w:color="auto" w:sz="4" w:space="0"/>
              <w:right w:val="single" w:color="auto" w:sz="4" w:space="0"/>
            </w:tcBorders>
            <w:vAlign w:val="center"/>
          </w:tcPr>
          <w:p w14:paraId="67BCEFC3">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采购方式</w:t>
            </w:r>
          </w:p>
        </w:tc>
        <w:tc>
          <w:tcPr>
            <w:tcW w:w="3262" w:type="pct"/>
            <w:tcBorders>
              <w:top w:val="single" w:color="auto" w:sz="4" w:space="0"/>
              <w:left w:val="single" w:color="auto" w:sz="4" w:space="0"/>
              <w:bottom w:val="single" w:color="auto" w:sz="4" w:space="0"/>
              <w:right w:val="single" w:color="auto" w:sz="4" w:space="0"/>
            </w:tcBorders>
            <w:vAlign w:val="center"/>
          </w:tcPr>
          <w:p w14:paraId="58B05BB3">
            <w:pPr>
              <w:autoSpaceDN w:val="0"/>
              <w:snapToGrid w:val="0"/>
              <w:spacing w:line="276" w:lineRule="auto"/>
              <w:rPr>
                <w:rFonts w:ascii="仿宋" w:hAnsi="仿宋" w:eastAsia="仿宋" w:cs="Arial"/>
                <w:color w:val="auto"/>
                <w:sz w:val="24"/>
                <w:szCs w:val="24"/>
                <w:highlight w:val="none"/>
              </w:rPr>
            </w:pPr>
            <w:r>
              <w:rPr>
                <w:rFonts w:hint="eastAsia" w:ascii="仿宋" w:hAnsi="仿宋" w:eastAsia="仿宋" w:cs="Arial"/>
                <w:color w:val="auto"/>
                <w:kern w:val="0"/>
                <w:sz w:val="24"/>
                <w:szCs w:val="24"/>
                <w:highlight w:val="none"/>
              </w:rPr>
              <w:t>公告形式邀请（发布竞争性磋商公告后登记确定）</w:t>
            </w:r>
          </w:p>
        </w:tc>
      </w:tr>
      <w:tr w14:paraId="579DCF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5E12E5A3">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13</w:t>
            </w:r>
          </w:p>
        </w:tc>
        <w:tc>
          <w:tcPr>
            <w:tcW w:w="1298" w:type="pct"/>
            <w:tcBorders>
              <w:top w:val="single" w:color="auto" w:sz="4" w:space="0"/>
              <w:left w:val="single" w:color="auto" w:sz="4" w:space="0"/>
              <w:bottom w:val="single" w:color="auto" w:sz="4" w:space="0"/>
              <w:right w:val="single" w:color="auto" w:sz="4" w:space="0"/>
            </w:tcBorders>
            <w:vAlign w:val="center"/>
          </w:tcPr>
          <w:p w14:paraId="184DD583">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转包</w:t>
            </w:r>
          </w:p>
        </w:tc>
        <w:tc>
          <w:tcPr>
            <w:tcW w:w="3262" w:type="pct"/>
            <w:tcBorders>
              <w:top w:val="single" w:color="auto" w:sz="4" w:space="0"/>
              <w:left w:val="single" w:color="auto" w:sz="4" w:space="0"/>
              <w:bottom w:val="single" w:color="auto" w:sz="4" w:space="0"/>
              <w:right w:val="single" w:color="auto" w:sz="4" w:space="0"/>
            </w:tcBorders>
            <w:vAlign w:val="center"/>
          </w:tcPr>
          <w:p w14:paraId="0AF1272F">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本项目不允许转包。</w:t>
            </w:r>
          </w:p>
        </w:tc>
      </w:tr>
      <w:tr w14:paraId="2C7C3C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41A59682">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14</w:t>
            </w:r>
          </w:p>
        </w:tc>
        <w:tc>
          <w:tcPr>
            <w:tcW w:w="1298" w:type="pct"/>
            <w:tcBorders>
              <w:top w:val="single" w:color="auto" w:sz="4" w:space="0"/>
              <w:left w:val="single" w:color="auto" w:sz="4" w:space="0"/>
              <w:bottom w:val="single" w:color="auto" w:sz="4" w:space="0"/>
              <w:right w:val="single" w:color="auto" w:sz="4" w:space="0"/>
            </w:tcBorders>
            <w:vAlign w:val="center"/>
          </w:tcPr>
          <w:p w14:paraId="54ACBB85">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分包</w:t>
            </w:r>
          </w:p>
        </w:tc>
        <w:tc>
          <w:tcPr>
            <w:tcW w:w="3262" w:type="pct"/>
            <w:tcBorders>
              <w:top w:val="single" w:color="auto" w:sz="4" w:space="0"/>
              <w:left w:val="single" w:color="auto" w:sz="4" w:space="0"/>
              <w:bottom w:val="single" w:color="auto" w:sz="4" w:space="0"/>
              <w:right w:val="single" w:color="auto" w:sz="4" w:space="0"/>
            </w:tcBorders>
            <w:vAlign w:val="center"/>
          </w:tcPr>
          <w:p w14:paraId="495B88B2">
            <w:pPr>
              <w:autoSpaceDN w:val="0"/>
              <w:snapToGrid w:val="0"/>
              <w:spacing w:line="276" w:lineRule="auto"/>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允许分包，分包内容要求：</w:t>
            </w:r>
            <w:r>
              <w:rPr>
                <w:rFonts w:hint="eastAsia" w:ascii="仿宋" w:hAnsi="仿宋" w:eastAsia="仿宋" w:cs="Arial"/>
                <w:b/>
                <w:color w:val="auto"/>
                <w:sz w:val="24"/>
                <w:szCs w:val="24"/>
                <w:highlight w:val="none"/>
                <w:u w:val="single"/>
              </w:rPr>
              <w:t>垃圾清运</w:t>
            </w:r>
            <w:r>
              <w:rPr>
                <w:rFonts w:hint="eastAsia" w:ascii="仿宋" w:hAnsi="仿宋" w:eastAsia="仿宋" w:cs="Arial"/>
                <w:b/>
                <w:color w:val="auto"/>
                <w:sz w:val="24"/>
                <w:szCs w:val="24"/>
                <w:highlight w:val="none"/>
              </w:rPr>
              <w:t>。供应商根据磋商文件的规定和项目的实际情况，拟在成交后将成交项目的非主体、非关键性工作分包的，应当在响应文件中载明分包承担主体，分包承担主体应当具备相应资质条件且不得再次分包。</w:t>
            </w:r>
          </w:p>
        </w:tc>
      </w:tr>
      <w:tr w14:paraId="26700A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2"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5418453D">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15</w:t>
            </w:r>
          </w:p>
        </w:tc>
        <w:tc>
          <w:tcPr>
            <w:tcW w:w="1298" w:type="pct"/>
            <w:tcBorders>
              <w:top w:val="single" w:color="auto" w:sz="4" w:space="0"/>
              <w:left w:val="single" w:color="auto" w:sz="4" w:space="0"/>
              <w:bottom w:val="single" w:color="auto" w:sz="4" w:space="0"/>
              <w:right w:val="single" w:color="auto" w:sz="4" w:space="0"/>
            </w:tcBorders>
            <w:vAlign w:val="center"/>
          </w:tcPr>
          <w:p w14:paraId="2AD3C856">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样品</w:t>
            </w:r>
          </w:p>
        </w:tc>
        <w:tc>
          <w:tcPr>
            <w:tcW w:w="3262" w:type="pct"/>
            <w:tcBorders>
              <w:top w:val="single" w:color="auto" w:sz="4" w:space="0"/>
              <w:left w:val="single" w:color="auto" w:sz="4" w:space="0"/>
              <w:bottom w:val="single" w:color="auto" w:sz="4" w:space="0"/>
              <w:right w:val="single" w:color="auto" w:sz="4" w:space="0"/>
            </w:tcBorders>
            <w:vAlign w:val="center"/>
          </w:tcPr>
          <w:p w14:paraId="35503A22">
            <w:pPr>
              <w:autoSpaceDN w:val="0"/>
              <w:snapToGrid w:val="0"/>
              <w:spacing w:line="276" w:lineRule="auto"/>
              <w:rPr>
                <w:rFonts w:ascii="仿宋" w:hAnsi="仿宋" w:eastAsia="仿宋" w:cs="宋体"/>
                <w:color w:val="auto"/>
                <w:spacing w:val="-4"/>
                <w:kern w:val="0"/>
                <w:sz w:val="24"/>
                <w:szCs w:val="24"/>
                <w:highlight w:val="none"/>
              </w:rPr>
            </w:pPr>
            <w:r>
              <w:rPr>
                <w:rFonts w:hint="eastAsia" w:ascii="仿宋" w:hAnsi="仿宋" w:eastAsia="仿宋" w:cs="宋体"/>
                <w:color w:val="auto"/>
                <w:sz w:val="24"/>
                <w:szCs w:val="24"/>
                <w:highlight w:val="none"/>
              </w:rPr>
              <w:t>不要求</w:t>
            </w:r>
          </w:p>
        </w:tc>
      </w:tr>
      <w:tr w14:paraId="2BFD61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2" w:hRule="atLeast"/>
          <w:jc w:val="center"/>
        </w:trPr>
        <w:tc>
          <w:tcPr>
            <w:tcW w:w="440" w:type="pct"/>
            <w:tcBorders>
              <w:top w:val="single" w:color="auto" w:sz="4" w:space="0"/>
              <w:left w:val="single" w:color="auto" w:sz="4" w:space="0"/>
              <w:bottom w:val="single" w:color="auto" w:sz="4" w:space="0"/>
              <w:right w:val="single" w:color="auto" w:sz="4" w:space="0"/>
            </w:tcBorders>
            <w:vAlign w:val="bottom"/>
          </w:tcPr>
          <w:p w14:paraId="68D48597">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16</w:t>
            </w:r>
          </w:p>
        </w:tc>
        <w:tc>
          <w:tcPr>
            <w:tcW w:w="1298" w:type="pct"/>
            <w:tcBorders>
              <w:top w:val="single" w:color="auto" w:sz="4" w:space="0"/>
              <w:left w:val="single" w:color="auto" w:sz="4" w:space="0"/>
              <w:bottom w:val="single" w:color="auto" w:sz="4" w:space="0"/>
              <w:right w:val="single" w:color="auto" w:sz="4" w:space="0"/>
            </w:tcBorders>
            <w:vAlign w:val="center"/>
          </w:tcPr>
          <w:p w14:paraId="157EAEA7">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演示</w:t>
            </w:r>
          </w:p>
        </w:tc>
        <w:tc>
          <w:tcPr>
            <w:tcW w:w="3262" w:type="pct"/>
            <w:tcBorders>
              <w:top w:val="single" w:color="auto" w:sz="4" w:space="0"/>
              <w:left w:val="single" w:color="auto" w:sz="4" w:space="0"/>
              <w:bottom w:val="single" w:color="auto" w:sz="4" w:space="0"/>
              <w:right w:val="single" w:color="auto" w:sz="4" w:space="0"/>
            </w:tcBorders>
            <w:vAlign w:val="center"/>
          </w:tcPr>
          <w:p w14:paraId="6CC79E18">
            <w:pPr>
              <w:autoSpaceDN w:val="0"/>
              <w:snapToGrid w:val="0"/>
              <w:spacing w:line="276" w:lineRule="auto"/>
              <w:jc w:val="lef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不要求</w:t>
            </w:r>
          </w:p>
        </w:tc>
      </w:tr>
      <w:tr w14:paraId="03881B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09021E96">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17</w:t>
            </w:r>
          </w:p>
        </w:tc>
        <w:tc>
          <w:tcPr>
            <w:tcW w:w="1298" w:type="pct"/>
            <w:tcBorders>
              <w:top w:val="single" w:color="auto" w:sz="4" w:space="0"/>
              <w:left w:val="single" w:color="auto" w:sz="4" w:space="0"/>
              <w:bottom w:val="single" w:color="auto" w:sz="4" w:space="0"/>
              <w:right w:val="single" w:color="auto" w:sz="4" w:space="0"/>
            </w:tcBorders>
            <w:vAlign w:val="center"/>
          </w:tcPr>
          <w:p w14:paraId="787E8EC0">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现场勘查</w:t>
            </w:r>
          </w:p>
        </w:tc>
        <w:tc>
          <w:tcPr>
            <w:tcW w:w="3262" w:type="pct"/>
            <w:tcBorders>
              <w:top w:val="single" w:color="auto" w:sz="4" w:space="0"/>
              <w:left w:val="single" w:color="auto" w:sz="4" w:space="0"/>
              <w:bottom w:val="single" w:color="auto" w:sz="4" w:space="0"/>
              <w:right w:val="single" w:color="auto" w:sz="4" w:space="0"/>
            </w:tcBorders>
            <w:vAlign w:val="center"/>
          </w:tcPr>
          <w:p w14:paraId="126BF5C1">
            <w:pPr>
              <w:autoSpaceDN w:val="0"/>
              <w:snapToGrid w:val="0"/>
              <w:spacing w:line="276" w:lineRule="auto"/>
              <w:jc w:val="left"/>
              <w:rPr>
                <w:rFonts w:ascii="仿宋" w:hAnsi="仿宋" w:eastAsia="仿宋" w:cs="Times New Roman"/>
                <w:color w:val="auto"/>
                <w:sz w:val="24"/>
                <w:szCs w:val="24"/>
                <w:highlight w:val="none"/>
              </w:rPr>
            </w:pPr>
            <w:r>
              <w:rPr>
                <w:rFonts w:ascii="仿宋" w:hAnsi="仿宋" w:eastAsia="仿宋" w:cs="Times New Roman"/>
                <w:b/>
                <w:bCs/>
                <w:color w:val="auto"/>
                <w:sz w:val="24"/>
                <w:szCs w:val="24"/>
                <w:highlight w:val="none"/>
              </w:rPr>
              <w:sym w:font="Wingdings" w:char="F0FE"/>
            </w:r>
            <w:r>
              <w:rPr>
                <w:rFonts w:hint="eastAsia" w:ascii="仿宋" w:hAnsi="仿宋" w:eastAsia="仿宋" w:cs="Times New Roman"/>
                <w:b/>
                <w:bCs/>
                <w:color w:val="auto"/>
                <w:sz w:val="24"/>
                <w:szCs w:val="24"/>
                <w:highlight w:val="none"/>
              </w:rPr>
              <w:t>自行踏勘</w:t>
            </w:r>
          </w:p>
          <w:p w14:paraId="54C6EB03">
            <w:pPr>
              <w:autoSpaceDN w:val="0"/>
              <w:snapToGrid w:val="0"/>
              <w:spacing w:line="276" w:lineRule="auto"/>
              <w:jc w:val="left"/>
              <w:rPr>
                <w:rFonts w:ascii="仿宋" w:hAnsi="仿宋" w:eastAsia="仿宋" w:cs="Arial"/>
                <w:color w:val="auto"/>
                <w:sz w:val="24"/>
                <w:szCs w:val="24"/>
                <w:highlight w:val="none"/>
              </w:rPr>
            </w:pPr>
            <w:r>
              <w:rPr>
                <w:rFonts w:ascii="仿宋" w:hAnsi="仿宋" w:eastAsia="仿宋" w:cs="Times New Roman"/>
                <w:color w:val="auto"/>
                <w:sz w:val="24"/>
                <w:szCs w:val="24"/>
                <w:highlight w:val="none"/>
              </w:rPr>
              <w:sym w:font="Wingdings" w:char="F06F"/>
            </w:r>
            <w:r>
              <w:rPr>
                <w:rFonts w:hint="eastAsia" w:ascii="仿宋" w:hAnsi="仿宋" w:eastAsia="仿宋" w:cs="Times New Roman"/>
                <w:color w:val="auto"/>
                <w:sz w:val="24"/>
                <w:szCs w:val="24"/>
                <w:highlight w:val="none"/>
              </w:rPr>
              <w:t>集中踏勘</w:t>
            </w:r>
          </w:p>
          <w:p w14:paraId="56AA075E">
            <w:pPr>
              <w:autoSpaceDN w:val="0"/>
              <w:snapToGrid w:val="0"/>
              <w:spacing w:line="276" w:lineRule="auto"/>
              <w:jc w:val="left"/>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供应商</w:t>
            </w:r>
            <w:r>
              <w:rPr>
                <w:rFonts w:ascii="仿宋" w:hAnsi="仿宋" w:eastAsia="仿宋" w:cs="Arial"/>
                <w:b/>
                <w:color w:val="auto"/>
                <w:sz w:val="24"/>
                <w:szCs w:val="24"/>
                <w:highlight w:val="none"/>
              </w:rPr>
              <w:t>自行现场踏勘</w:t>
            </w:r>
            <w:r>
              <w:rPr>
                <w:rFonts w:hint="eastAsia" w:ascii="仿宋" w:hAnsi="仿宋" w:eastAsia="仿宋" w:cs="Arial"/>
                <w:b/>
                <w:color w:val="auto"/>
                <w:sz w:val="24"/>
                <w:szCs w:val="24"/>
                <w:highlight w:val="none"/>
              </w:rPr>
              <w:t>。</w:t>
            </w:r>
            <w:r>
              <w:rPr>
                <w:rFonts w:ascii="仿宋" w:hAnsi="仿宋" w:eastAsia="仿宋" w:cs="Arial"/>
                <w:b/>
                <w:color w:val="auto"/>
                <w:sz w:val="24"/>
                <w:szCs w:val="24"/>
                <w:highlight w:val="none"/>
              </w:rPr>
              <w:t>踏勘期间发生的费用或意外导致伤亡等一切责任和损失均由供应商自行承担。</w:t>
            </w:r>
          </w:p>
          <w:p w14:paraId="5C87F13F">
            <w:pPr>
              <w:autoSpaceDN w:val="0"/>
              <w:adjustRightInd w:val="0"/>
              <w:snapToGrid w:val="0"/>
              <w:spacing w:line="360" w:lineRule="auto"/>
              <w:rPr>
                <w:rFonts w:hint="default" w:ascii="仿宋" w:hAnsi="仿宋" w:eastAsia="仿宋" w:cs="宋体"/>
                <w:color w:val="auto"/>
                <w:sz w:val="24"/>
                <w:szCs w:val="24"/>
                <w:highlight w:val="none"/>
                <w:lang w:val="en-US"/>
              </w:rPr>
            </w:pPr>
            <w:r>
              <w:rPr>
                <w:rFonts w:ascii="仿宋" w:hAnsi="仿宋" w:eastAsia="仿宋" w:cs="Arial"/>
                <w:b/>
                <w:color w:val="auto"/>
                <w:sz w:val="24"/>
                <w:szCs w:val="24"/>
                <w:highlight w:val="none"/>
              </w:rPr>
              <w:t>踏勘联系人：</w:t>
            </w:r>
            <w:r>
              <w:rPr>
                <w:rFonts w:hint="eastAsia" w:ascii="仿宋" w:hAnsi="仿宋" w:eastAsia="仿宋" w:cs="Arial"/>
                <w:color w:val="auto"/>
                <w:sz w:val="24"/>
                <w:szCs w:val="24"/>
                <w:highlight w:val="none"/>
                <w:lang w:val="en-US" w:eastAsia="zh-CN"/>
              </w:rPr>
              <w:t>郑老师</w:t>
            </w:r>
            <w:r>
              <w:rPr>
                <w:rFonts w:ascii="仿宋" w:hAnsi="仿宋" w:eastAsia="仿宋" w:cs="Arial"/>
                <w:b/>
                <w:color w:val="auto"/>
                <w:sz w:val="24"/>
                <w:szCs w:val="24"/>
                <w:highlight w:val="none"/>
              </w:rPr>
              <w:t xml:space="preserve"> 联系电话：</w:t>
            </w:r>
            <w:r>
              <w:rPr>
                <w:rFonts w:hint="eastAsia" w:ascii="仿宋" w:hAnsi="仿宋" w:eastAsia="仿宋" w:cs="宋体"/>
                <w:color w:val="auto"/>
                <w:spacing w:val="-4"/>
                <w:kern w:val="0"/>
                <w:sz w:val="24"/>
                <w:szCs w:val="24"/>
                <w:highlight w:val="none"/>
                <w:lang w:val="en-US" w:eastAsia="zh-CN"/>
              </w:rPr>
              <w:t>0571-88320545</w:t>
            </w:r>
          </w:p>
        </w:tc>
      </w:tr>
      <w:tr w14:paraId="6EE76E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137BF9CF">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18</w:t>
            </w:r>
          </w:p>
        </w:tc>
        <w:tc>
          <w:tcPr>
            <w:tcW w:w="1298" w:type="pct"/>
            <w:tcBorders>
              <w:top w:val="single" w:color="auto" w:sz="4" w:space="0"/>
              <w:left w:val="single" w:color="auto" w:sz="4" w:space="0"/>
              <w:bottom w:val="single" w:color="auto" w:sz="4" w:space="0"/>
              <w:right w:val="single" w:color="auto" w:sz="4" w:space="0"/>
            </w:tcBorders>
            <w:vAlign w:val="center"/>
          </w:tcPr>
          <w:p w14:paraId="4C24C700">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采购文件澄清</w:t>
            </w:r>
          </w:p>
        </w:tc>
        <w:tc>
          <w:tcPr>
            <w:tcW w:w="3262" w:type="pct"/>
            <w:tcBorders>
              <w:top w:val="single" w:color="auto" w:sz="4" w:space="0"/>
              <w:left w:val="single" w:color="auto" w:sz="4" w:space="0"/>
              <w:bottom w:val="single" w:color="auto" w:sz="4" w:space="0"/>
              <w:right w:val="single" w:color="auto" w:sz="4" w:space="0"/>
            </w:tcBorders>
            <w:vAlign w:val="center"/>
          </w:tcPr>
          <w:p w14:paraId="7A8F2EA5">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供应商如认为采购文件表述不清晰、前后矛盾等内容的，应当在响应文件递交截止日</w:t>
            </w:r>
            <w:r>
              <w:rPr>
                <w:rFonts w:hint="eastAsia" w:ascii="仿宋" w:hAnsi="仿宋" w:eastAsia="仿宋" w:cs="宋体"/>
                <w:color w:val="auto"/>
                <w:sz w:val="24"/>
                <w:szCs w:val="24"/>
                <w:highlight w:val="none"/>
                <w:u w:val="single"/>
              </w:rPr>
              <w:t>5</w:t>
            </w:r>
            <w:r>
              <w:rPr>
                <w:rFonts w:hint="eastAsia" w:ascii="仿宋" w:hAnsi="仿宋" w:eastAsia="仿宋" w:cs="宋体"/>
                <w:color w:val="auto"/>
                <w:sz w:val="24"/>
                <w:szCs w:val="24"/>
                <w:highlight w:val="none"/>
              </w:rPr>
              <w:t>天前以书面（纸质）形式要求采购单位作出澄清。</w:t>
            </w:r>
          </w:p>
        </w:tc>
      </w:tr>
      <w:tr w14:paraId="36417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40AAF6F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19</w:t>
            </w:r>
          </w:p>
        </w:tc>
        <w:tc>
          <w:tcPr>
            <w:tcW w:w="1298" w:type="pct"/>
            <w:tcBorders>
              <w:top w:val="single" w:color="auto" w:sz="4" w:space="0"/>
              <w:left w:val="single" w:color="auto" w:sz="4" w:space="0"/>
              <w:bottom w:val="single" w:color="auto" w:sz="4" w:space="0"/>
              <w:right w:val="single" w:color="auto" w:sz="4" w:space="0"/>
            </w:tcBorders>
            <w:vAlign w:val="center"/>
          </w:tcPr>
          <w:p w14:paraId="5CEF425A">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磋商响应文件的形式</w:t>
            </w:r>
          </w:p>
        </w:tc>
        <w:tc>
          <w:tcPr>
            <w:tcW w:w="3262" w:type="pct"/>
            <w:tcBorders>
              <w:top w:val="single" w:color="auto" w:sz="4" w:space="0"/>
              <w:left w:val="single" w:color="auto" w:sz="4" w:space="0"/>
              <w:bottom w:val="single" w:color="auto" w:sz="4" w:space="0"/>
              <w:right w:val="single" w:color="auto" w:sz="4" w:space="0"/>
            </w:tcBorders>
          </w:tcPr>
          <w:p w14:paraId="4D13F1AF">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磋商响应文件的形式</w:t>
            </w:r>
            <w:r>
              <w:rPr>
                <w:rFonts w:hint="eastAsia" w:ascii="仿宋" w:hAnsi="仿宋" w:eastAsia="仿宋" w:cs="Arial"/>
                <w:bCs/>
                <w:color w:val="auto"/>
                <w:sz w:val="24"/>
                <w:szCs w:val="24"/>
                <w:highlight w:val="none"/>
              </w:rPr>
              <w:t>（是指通过“政采云电子交易客户端”完成磋商响应文件编制后生成并加密的数据电文形式的磋商响应文件，</w:t>
            </w:r>
            <w:r>
              <w:rPr>
                <w:rFonts w:hint="eastAsia" w:ascii="仿宋" w:hAnsi="仿宋" w:eastAsia="仿宋" w:cs="Arial"/>
                <w:b/>
                <w:color w:val="auto"/>
                <w:sz w:val="24"/>
                <w:szCs w:val="24"/>
                <w:highlight w:val="none"/>
              </w:rPr>
              <w:t>文件格式“.jmbs”）</w:t>
            </w:r>
          </w:p>
        </w:tc>
      </w:tr>
      <w:tr w14:paraId="3904AC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6B173AAB">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20</w:t>
            </w:r>
          </w:p>
        </w:tc>
        <w:tc>
          <w:tcPr>
            <w:tcW w:w="1298" w:type="pct"/>
            <w:tcBorders>
              <w:top w:val="single" w:color="auto" w:sz="4" w:space="0"/>
              <w:left w:val="single" w:color="auto" w:sz="4" w:space="0"/>
              <w:bottom w:val="single" w:color="auto" w:sz="4" w:space="0"/>
              <w:right w:val="single" w:color="auto" w:sz="4" w:space="0"/>
            </w:tcBorders>
            <w:vAlign w:val="center"/>
          </w:tcPr>
          <w:p w14:paraId="24B9B226">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磋商响应文件组成</w:t>
            </w:r>
          </w:p>
        </w:tc>
        <w:tc>
          <w:tcPr>
            <w:tcW w:w="3262" w:type="pct"/>
            <w:tcBorders>
              <w:top w:val="single" w:color="auto" w:sz="4" w:space="0"/>
              <w:left w:val="single" w:color="auto" w:sz="4" w:space="0"/>
              <w:bottom w:val="single" w:color="auto" w:sz="4" w:space="0"/>
              <w:right w:val="single" w:color="auto" w:sz="4" w:space="0"/>
            </w:tcBorders>
            <w:vAlign w:val="center"/>
          </w:tcPr>
          <w:p w14:paraId="575062B1">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响应文件由资格证明、商务技术、报价等内容组成。</w:t>
            </w:r>
          </w:p>
        </w:tc>
      </w:tr>
      <w:tr w14:paraId="78CCEC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1EA75F4A">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w:t>
            </w:r>
          </w:p>
        </w:tc>
        <w:tc>
          <w:tcPr>
            <w:tcW w:w="1298" w:type="pct"/>
            <w:tcBorders>
              <w:top w:val="single" w:color="auto" w:sz="4" w:space="0"/>
              <w:left w:val="single" w:color="auto" w:sz="4" w:space="0"/>
              <w:bottom w:val="single" w:color="auto" w:sz="4" w:space="0"/>
              <w:right w:val="single" w:color="auto" w:sz="4" w:space="0"/>
            </w:tcBorders>
            <w:vAlign w:val="center"/>
          </w:tcPr>
          <w:p w14:paraId="5370E24B">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磋商报价</w:t>
            </w:r>
          </w:p>
        </w:tc>
        <w:tc>
          <w:tcPr>
            <w:tcW w:w="3262" w:type="pct"/>
            <w:tcBorders>
              <w:top w:val="single" w:color="auto" w:sz="4" w:space="0"/>
              <w:left w:val="single" w:color="auto" w:sz="4" w:space="0"/>
              <w:bottom w:val="single" w:color="auto" w:sz="4" w:space="0"/>
              <w:right w:val="single" w:color="auto" w:sz="4" w:space="0"/>
            </w:tcBorders>
            <w:vAlign w:val="center"/>
          </w:tcPr>
          <w:p w14:paraId="35801EE1">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1.本项目应以人民币报价；</w:t>
            </w:r>
          </w:p>
          <w:p w14:paraId="12BBF6D8">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2.供应商应按采购文件以及规定的格式及内容填写报价等相关表格。对没有填报的费用，采购人将不予支付，并认为此项费用已包含在报价中。</w:t>
            </w:r>
          </w:p>
          <w:p w14:paraId="01E7D897">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本工程采用固定综合单价方式承包，工程量按实结算。按照《建设工程工程量清单计价规范》（GB50500-2013）等国家现行标准、技术规范和省、市的相关计价规定，供应商应按照采购要求和采购人所提供工程量清单以及现场踏勘了解所得等，编制工程量清单报价表并承担相应的风险责任。</w:t>
            </w:r>
          </w:p>
          <w:p w14:paraId="6EF23C99">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4.不论采购结果如何，供应商均应自行承担所有与采购有关的全部费用。</w:t>
            </w:r>
          </w:p>
        </w:tc>
      </w:tr>
      <w:tr w14:paraId="088AFC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762C4F11">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22</w:t>
            </w:r>
          </w:p>
        </w:tc>
        <w:tc>
          <w:tcPr>
            <w:tcW w:w="1298" w:type="pct"/>
            <w:tcBorders>
              <w:top w:val="single" w:color="auto" w:sz="4" w:space="0"/>
              <w:left w:val="single" w:color="auto" w:sz="4" w:space="0"/>
              <w:bottom w:val="single" w:color="auto" w:sz="4" w:space="0"/>
              <w:right w:val="single" w:color="auto" w:sz="4" w:space="0"/>
            </w:tcBorders>
            <w:vAlign w:val="center"/>
          </w:tcPr>
          <w:p w14:paraId="58AF1B9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磋商响应文件的编制</w:t>
            </w:r>
          </w:p>
        </w:tc>
        <w:tc>
          <w:tcPr>
            <w:tcW w:w="3262" w:type="pct"/>
            <w:tcBorders>
              <w:top w:val="single" w:color="auto" w:sz="4" w:space="0"/>
              <w:left w:val="single" w:color="auto" w:sz="4" w:space="0"/>
              <w:bottom w:val="single" w:color="auto" w:sz="4" w:space="0"/>
              <w:right w:val="single" w:color="auto" w:sz="4" w:space="0"/>
            </w:tcBorders>
            <w:vAlign w:val="center"/>
          </w:tcPr>
          <w:p w14:paraId="06121743">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1、“电子加密响应文件”：</w:t>
            </w:r>
          </w:p>
          <w:p w14:paraId="109670D8">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（1）“电子加密响应文件”是指通过“政采云电子交易客户端”完成响应文件编制后生成并加密的数据电文形式的响应文件。</w:t>
            </w:r>
          </w:p>
          <w:p w14:paraId="666A0607">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（2）供应商应先安装“政采云电子交易客户端”，并按照本采购文件和“政府采购云平台”的要求，通过“政采云电子交易客户端”编制并加密响应文件。</w:t>
            </w:r>
          </w:p>
          <w:p w14:paraId="71DC5C3E">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2、“电子备份响应文件”：</w:t>
            </w:r>
          </w:p>
          <w:p w14:paraId="6CB7324D">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（1）“电子备份响应文件”是指与“电子加密响应文件”同时生成的数据电文形式的电子文件。</w:t>
            </w:r>
          </w:p>
          <w:p w14:paraId="7A5A538A">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（2）供应商可自主选择是否编制“电子备份响应文件”。</w:t>
            </w:r>
          </w:p>
          <w:p w14:paraId="5B779327">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（3）其他方式编制的备份响应文件视为无效备份响应文件。</w:t>
            </w:r>
          </w:p>
        </w:tc>
      </w:tr>
      <w:tr w14:paraId="3518B6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44D0028C">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22</w:t>
            </w:r>
          </w:p>
        </w:tc>
        <w:tc>
          <w:tcPr>
            <w:tcW w:w="1298" w:type="pct"/>
            <w:tcBorders>
              <w:top w:val="single" w:color="auto" w:sz="4" w:space="0"/>
              <w:left w:val="single" w:color="auto" w:sz="4" w:space="0"/>
              <w:bottom w:val="single" w:color="auto" w:sz="4" w:space="0"/>
              <w:right w:val="single" w:color="auto" w:sz="4" w:space="0"/>
            </w:tcBorders>
            <w:vAlign w:val="center"/>
          </w:tcPr>
          <w:p w14:paraId="0A1CFADE">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磋商响应文件的签章</w:t>
            </w:r>
          </w:p>
        </w:tc>
        <w:tc>
          <w:tcPr>
            <w:tcW w:w="3262" w:type="pct"/>
            <w:tcBorders>
              <w:top w:val="single" w:color="auto" w:sz="4" w:space="0"/>
              <w:left w:val="single" w:color="auto" w:sz="4" w:space="0"/>
              <w:bottom w:val="single" w:color="auto" w:sz="4" w:space="0"/>
              <w:right w:val="single" w:color="auto" w:sz="4" w:space="0"/>
            </w:tcBorders>
            <w:vAlign w:val="center"/>
          </w:tcPr>
          <w:p w14:paraId="4755D662">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采用电子签章</w:t>
            </w:r>
          </w:p>
        </w:tc>
      </w:tr>
      <w:tr w14:paraId="18850C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4FC15652">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23</w:t>
            </w:r>
          </w:p>
        </w:tc>
        <w:tc>
          <w:tcPr>
            <w:tcW w:w="1298" w:type="pct"/>
            <w:tcBorders>
              <w:top w:val="single" w:color="auto" w:sz="4" w:space="0"/>
              <w:left w:val="single" w:color="auto" w:sz="4" w:space="0"/>
              <w:bottom w:val="single" w:color="auto" w:sz="4" w:space="0"/>
              <w:right w:val="single" w:color="auto" w:sz="4" w:space="0"/>
            </w:tcBorders>
            <w:vAlign w:val="center"/>
          </w:tcPr>
          <w:p w14:paraId="4D3DB46A">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磋商响应文件</w:t>
            </w:r>
          </w:p>
          <w:p w14:paraId="3814D16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的包装、密封和递交</w:t>
            </w:r>
          </w:p>
        </w:tc>
        <w:tc>
          <w:tcPr>
            <w:tcW w:w="3262" w:type="pct"/>
            <w:tcBorders>
              <w:top w:val="single" w:color="auto" w:sz="4" w:space="0"/>
              <w:left w:val="single" w:color="auto" w:sz="4" w:space="0"/>
              <w:bottom w:val="single" w:color="auto" w:sz="4" w:space="0"/>
              <w:right w:val="single" w:color="auto" w:sz="4" w:space="0"/>
            </w:tcBorders>
            <w:vAlign w:val="center"/>
          </w:tcPr>
          <w:p w14:paraId="03179858">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1、“电子加密响应文件”的递交：在线上传递交。</w:t>
            </w:r>
          </w:p>
          <w:p w14:paraId="777B0685">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（1）供应商应在递交响应文件截止时间前将“电子加密响应文件”成功上传递交至“政府采购云平台”，否则响应无效。</w:t>
            </w:r>
          </w:p>
          <w:p w14:paraId="05E32EBD">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（2）“电子加密响应文件”成功上传递交后，供应商可自行打印响应文件接收回执。</w:t>
            </w:r>
          </w:p>
          <w:p w14:paraId="25A1456D">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2、“电子备份响应文件”的密封、包装和递交：</w:t>
            </w:r>
          </w:p>
          <w:p w14:paraId="7699306F">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（1）供应商可自主选择是否递交“电子备份响应文件”。</w:t>
            </w:r>
          </w:p>
          <w:p w14:paraId="2FE92CFD">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（2）“电子备份响应文件”存入U盘（一份）。</w:t>
            </w:r>
          </w:p>
          <w:p w14:paraId="530D77A8">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（3）“电子备份响应文件” 应当在响应文件递交截止时间前以邮寄或送达方式递交：</w:t>
            </w:r>
          </w:p>
          <w:p w14:paraId="7542389F">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电子备份响应文件”应当密封包装，并在包装上标注采购项目编号、项目名称、响应单位名称等并加盖公章（详见第六章响应文件格式）。没有密封包装或者逾期送达至浙江豪圣建设项目管理有限公司的“电子备份响应文件”将不予接收。</w:t>
            </w:r>
          </w:p>
          <w:p w14:paraId="72DABBA5">
            <w:pPr>
              <w:autoSpaceDN w:val="0"/>
              <w:snapToGrid w:val="0"/>
              <w:spacing w:line="276" w:lineRule="auto"/>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（5）收件人：陈梦菲  电话：</w:t>
            </w:r>
            <w:r>
              <w:rPr>
                <w:rFonts w:hint="eastAsia" w:ascii="仿宋" w:hAnsi="仿宋" w:eastAsia="仿宋" w:cs="Arial"/>
                <w:color w:val="auto"/>
                <w:sz w:val="24"/>
                <w:szCs w:val="24"/>
                <w:highlight w:val="none"/>
              </w:rPr>
              <w:t>0571-87981527</w:t>
            </w:r>
            <w:r>
              <w:rPr>
                <w:rFonts w:hint="eastAsia" w:ascii="仿宋" w:hAnsi="仿宋" w:eastAsia="仿宋" w:cs="宋体"/>
                <w:color w:val="auto"/>
                <w:kern w:val="0"/>
                <w:sz w:val="24"/>
                <w:szCs w:val="24"/>
                <w:highlight w:val="none"/>
              </w:rPr>
              <w:t>，收件地址：杭州市拱墅区大关路179号远洋国际中心A座17楼1706室</w:t>
            </w:r>
          </w:p>
        </w:tc>
      </w:tr>
      <w:tr w14:paraId="00618B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625CFDD8">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24</w:t>
            </w:r>
          </w:p>
        </w:tc>
        <w:tc>
          <w:tcPr>
            <w:tcW w:w="1298" w:type="pct"/>
            <w:tcBorders>
              <w:top w:val="single" w:color="auto" w:sz="4" w:space="0"/>
              <w:left w:val="single" w:color="auto" w:sz="4" w:space="0"/>
              <w:bottom w:val="single" w:color="auto" w:sz="4" w:space="0"/>
              <w:right w:val="single" w:color="auto" w:sz="4" w:space="0"/>
            </w:tcBorders>
            <w:vAlign w:val="center"/>
          </w:tcPr>
          <w:p w14:paraId="29AA2449">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磋商响应文件递交截止时间和地址</w:t>
            </w:r>
          </w:p>
        </w:tc>
        <w:tc>
          <w:tcPr>
            <w:tcW w:w="3262" w:type="pct"/>
            <w:tcBorders>
              <w:top w:val="single" w:color="auto" w:sz="4" w:space="0"/>
              <w:left w:val="single" w:color="auto" w:sz="4" w:space="0"/>
              <w:bottom w:val="single" w:color="auto" w:sz="4" w:space="0"/>
              <w:right w:val="single" w:color="auto" w:sz="4" w:space="0"/>
            </w:tcBorders>
            <w:vAlign w:val="center"/>
          </w:tcPr>
          <w:p w14:paraId="7CF43B04">
            <w:pPr>
              <w:autoSpaceDN w:val="0"/>
              <w:snapToGrid w:val="0"/>
              <w:spacing w:line="276" w:lineRule="auto"/>
              <w:rPr>
                <w:rFonts w:ascii="仿宋" w:hAnsi="仿宋" w:eastAsia="仿宋" w:cs="宋体"/>
                <w:color w:val="auto"/>
                <w:sz w:val="24"/>
                <w:szCs w:val="24"/>
                <w:highlight w:val="none"/>
                <w:u w:val="single"/>
              </w:rPr>
            </w:pPr>
            <w:r>
              <w:rPr>
                <w:rFonts w:hint="eastAsia" w:ascii="仿宋" w:hAnsi="仿宋" w:eastAsia="仿宋" w:cs="宋体"/>
                <w:color w:val="auto"/>
                <w:sz w:val="24"/>
                <w:szCs w:val="24"/>
                <w:highlight w:val="none"/>
              </w:rPr>
              <w:t>响应文件递交截止时间：</w:t>
            </w:r>
            <w:r>
              <w:rPr>
                <w:rFonts w:hint="eastAsia" w:ascii="仿宋" w:hAnsi="仿宋" w:eastAsia="仿宋" w:cs="宋体"/>
                <w:b/>
                <w:color w:val="auto"/>
                <w:sz w:val="24"/>
                <w:szCs w:val="24"/>
                <w:highlight w:val="none"/>
                <w:u w:val="single"/>
              </w:rPr>
              <w:t>2024年</w:t>
            </w:r>
            <w:r>
              <w:rPr>
                <w:rFonts w:hint="eastAsia" w:ascii="仿宋" w:hAnsi="仿宋" w:eastAsia="仿宋" w:cs="宋体"/>
                <w:b/>
                <w:color w:val="auto"/>
                <w:sz w:val="24"/>
                <w:szCs w:val="24"/>
                <w:highlight w:val="none"/>
                <w:u w:val="single"/>
                <w:lang w:val="en-US" w:eastAsia="zh-CN"/>
              </w:rPr>
              <w:t>07</w:t>
            </w:r>
            <w:r>
              <w:rPr>
                <w:rFonts w:hint="eastAsia" w:ascii="仿宋" w:hAnsi="仿宋" w:eastAsia="仿宋" w:cs="宋体"/>
                <w:b/>
                <w:color w:val="auto"/>
                <w:sz w:val="24"/>
                <w:szCs w:val="24"/>
                <w:highlight w:val="none"/>
                <w:u w:val="single"/>
              </w:rPr>
              <w:t>月</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日</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w:t>
            </w:r>
            <w:r>
              <w:rPr>
                <w:rFonts w:hint="eastAsia" w:ascii="仿宋" w:hAnsi="仿宋" w:eastAsia="仿宋" w:cs="宋体"/>
                <w:b/>
                <w:color w:val="auto"/>
                <w:sz w:val="24"/>
                <w:szCs w:val="24"/>
                <w:highlight w:val="none"/>
                <w:u w:val="single"/>
                <w:lang w:val="en-US" w:eastAsia="zh-CN"/>
              </w:rPr>
              <w:t>00</w:t>
            </w:r>
            <w:r>
              <w:rPr>
                <w:rFonts w:hint="eastAsia" w:ascii="仿宋" w:hAnsi="仿宋" w:eastAsia="仿宋" w:cs="宋体"/>
                <w:b/>
                <w:color w:val="auto"/>
                <w:spacing w:val="-4"/>
                <w:kern w:val="0"/>
                <w:sz w:val="24"/>
                <w:szCs w:val="24"/>
                <w:highlight w:val="none"/>
                <w:u w:val="single"/>
              </w:rPr>
              <w:t>:00</w:t>
            </w:r>
            <w:r>
              <w:rPr>
                <w:rFonts w:hint="eastAsia" w:ascii="仿宋" w:hAnsi="仿宋" w:eastAsia="仿宋" w:cs="宋体"/>
                <w:color w:val="auto"/>
                <w:sz w:val="24"/>
                <w:szCs w:val="24"/>
                <w:highlight w:val="none"/>
                <w:u w:val="single"/>
              </w:rPr>
              <w:t>（北京时间）</w:t>
            </w:r>
          </w:p>
          <w:p w14:paraId="1C2306D7">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响应文件递交地点：</w:t>
            </w:r>
          </w:p>
          <w:p w14:paraId="19BCE286">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（1）“电子加密响应文件”：政府采购云平台在线递交。</w:t>
            </w:r>
          </w:p>
          <w:p w14:paraId="35080D69">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（2）“电子备份响应文件”：</w:t>
            </w:r>
            <w:r>
              <w:rPr>
                <w:rFonts w:hint="eastAsia" w:ascii="仿宋" w:hAnsi="仿宋" w:eastAsia="仿宋" w:cs="宋体"/>
                <w:color w:val="auto"/>
                <w:sz w:val="24"/>
                <w:szCs w:val="24"/>
                <w:highlight w:val="none"/>
                <w:u w:val="single"/>
              </w:rPr>
              <w:t>浙江豪圣建设项目管理有限公司（杭州市拱墅区大关路179号远洋国际中心A座17楼1706室）</w:t>
            </w:r>
          </w:p>
        </w:tc>
      </w:tr>
      <w:tr w14:paraId="7C9044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3382118A">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25</w:t>
            </w:r>
          </w:p>
        </w:tc>
        <w:tc>
          <w:tcPr>
            <w:tcW w:w="1298" w:type="pct"/>
            <w:tcBorders>
              <w:top w:val="single" w:color="auto" w:sz="4" w:space="0"/>
              <w:left w:val="single" w:color="auto" w:sz="4" w:space="0"/>
              <w:bottom w:val="single" w:color="auto" w:sz="4" w:space="0"/>
              <w:right w:val="single" w:color="auto" w:sz="4" w:space="0"/>
            </w:tcBorders>
            <w:vAlign w:val="center"/>
          </w:tcPr>
          <w:p w14:paraId="3743D907">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磋商时间和地点</w:t>
            </w:r>
          </w:p>
        </w:tc>
        <w:tc>
          <w:tcPr>
            <w:tcW w:w="3262" w:type="pct"/>
            <w:tcBorders>
              <w:top w:val="single" w:color="auto" w:sz="4" w:space="0"/>
              <w:left w:val="single" w:color="auto" w:sz="4" w:space="0"/>
              <w:bottom w:val="single" w:color="auto" w:sz="4" w:space="0"/>
              <w:right w:val="single" w:color="auto" w:sz="4" w:space="0"/>
            </w:tcBorders>
            <w:vAlign w:val="center"/>
          </w:tcPr>
          <w:p w14:paraId="1851A6AD">
            <w:pPr>
              <w:autoSpaceDN w:val="0"/>
              <w:snapToGrid w:val="0"/>
              <w:spacing w:line="276" w:lineRule="auto"/>
              <w:rPr>
                <w:rFonts w:ascii="仿宋" w:hAnsi="仿宋" w:eastAsia="仿宋" w:cs="宋体"/>
                <w:color w:val="auto"/>
                <w:sz w:val="24"/>
                <w:szCs w:val="24"/>
                <w:highlight w:val="none"/>
                <w:u w:val="single"/>
              </w:rPr>
            </w:pPr>
            <w:r>
              <w:rPr>
                <w:rFonts w:hint="eastAsia" w:ascii="仿宋" w:hAnsi="仿宋" w:eastAsia="仿宋" w:cs="宋体"/>
                <w:color w:val="auto"/>
                <w:sz w:val="24"/>
                <w:szCs w:val="24"/>
                <w:highlight w:val="none"/>
              </w:rPr>
              <w:t>1、开启时间：</w:t>
            </w:r>
            <w:r>
              <w:rPr>
                <w:rFonts w:hint="eastAsia" w:ascii="仿宋" w:hAnsi="仿宋" w:eastAsia="仿宋" w:cs="宋体"/>
                <w:b/>
                <w:color w:val="auto"/>
                <w:sz w:val="24"/>
                <w:szCs w:val="24"/>
                <w:highlight w:val="none"/>
                <w:u w:val="single"/>
              </w:rPr>
              <w:t>2024年</w:t>
            </w:r>
            <w:r>
              <w:rPr>
                <w:rFonts w:hint="eastAsia" w:ascii="仿宋" w:hAnsi="仿宋" w:eastAsia="仿宋" w:cs="宋体"/>
                <w:b/>
                <w:color w:val="auto"/>
                <w:sz w:val="24"/>
                <w:szCs w:val="24"/>
                <w:highlight w:val="none"/>
                <w:u w:val="single"/>
                <w:lang w:val="en-US" w:eastAsia="zh-CN"/>
              </w:rPr>
              <w:t>07</w:t>
            </w:r>
            <w:r>
              <w:rPr>
                <w:rFonts w:hint="eastAsia" w:ascii="仿宋" w:hAnsi="仿宋" w:eastAsia="仿宋" w:cs="宋体"/>
                <w:b/>
                <w:color w:val="auto"/>
                <w:sz w:val="24"/>
                <w:szCs w:val="24"/>
                <w:highlight w:val="none"/>
                <w:u w:val="single"/>
              </w:rPr>
              <w:t>月</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日</w:t>
            </w:r>
            <w:r>
              <w:rPr>
                <w:rFonts w:hint="eastAsia" w:ascii="仿宋" w:hAnsi="仿宋" w:eastAsia="仿宋" w:cs="宋体"/>
                <w:b/>
                <w:color w:val="auto"/>
                <w:sz w:val="24"/>
                <w:szCs w:val="24"/>
                <w:highlight w:val="none"/>
                <w:u w:val="single"/>
                <w:lang w:val="en-US" w:eastAsia="zh-CN"/>
              </w:rPr>
              <w:t>09</w:t>
            </w:r>
            <w:r>
              <w:rPr>
                <w:rFonts w:hint="eastAsia" w:ascii="仿宋" w:hAnsi="仿宋" w:eastAsia="仿宋" w:cs="宋体"/>
                <w:b/>
                <w:color w:val="auto"/>
                <w:sz w:val="24"/>
                <w:szCs w:val="24"/>
                <w:highlight w:val="none"/>
                <w:u w:val="single"/>
              </w:rPr>
              <w:t>:</w:t>
            </w:r>
            <w:r>
              <w:rPr>
                <w:rFonts w:hint="eastAsia" w:ascii="仿宋" w:hAnsi="仿宋" w:eastAsia="仿宋" w:cs="宋体"/>
                <w:b/>
                <w:color w:val="auto"/>
                <w:sz w:val="24"/>
                <w:szCs w:val="24"/>
                <w:highlight w:val="none"/>
                <w:u w:val="single"/>
                <w:lang w:val="en-US" w:eastAsia="zh-CN"/>
              </w:rPr>
              <w:t>00</w:t>
            </w:r>
            <w:r>
              <w:rPr>
                <w:rFonts w:hint="eastAsia" w:ascii="仿宋" w:hAnsi="仿宋" w:eastAsia="仿宋" w:cs="宋体"/>
                <w:b/>
                <w:color w:val="auto"/>
                <w:spacing w:val="-4"/>
                <w:kern w:val="0"/>
                <w:sz w:val="24"/>
                <w:szCs w:val="24"/>
                <w:highlight w:val="none"/>
                <w:u w:val="single"/>
              </w:rPr>
              <w:t>:00</w:t>
            </w:r>
            <w:r>
              <w:rPr>
                <w:rFonts w:hint="eastAsia" w:ascii="仿宋" w:hAnsi="仿宋" w:eastAsia="仿宋" w:cs="宋体"/>
                <w:color w:val="auto"/>
                <w:sz w:val="24"/>
                <w:szCs w:val="24"/>
                <w:highlight w:val="none"/>
                <w:u w:val="single"/>
              </w:rPr>
              <w:t>（北京时间）</w:t>
            </w:r>
          </w:p>
          <w:p w14:paraId="56ACC3BA">
            <w:pPr>
              <w:autoSpaceDN w:val="0"/>
              <w:snapToGrid w:val="0"/>
              <w:spacing w:line="276" w:lineRule="auto"/>
              <w:rPr>
                <w:rFonts w:ascii="仿宋" w:hAnsi="仿宋" w:eastAsia="仿宋" w:cs="宋体"/>
                <w:color w:val="auto"/>
                <w:sz w:val="24"/>
                <w:szCs w:val="24"/>
                <w:highlight w:val="none"/>
                <w:u w:val="single"/>
              </w:rPr>
            </w:pPr>
            <w:r>
              <w:rPr>
                <w:rFonts w:hint="eastAsia" w:ascii="仿宋" w:hAnsi="仿宋" w:eastAsia="仿宋" w:cs="宋体"/>
                <w:color w:val="auto"/>
                <w:sz w:val="24"/>
                <w:szCs w:val="24"/>
                <w:highlight w:val="none"/>
              </w:rPr>
              <w:t>2、地点（网址）：</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hint="eastAsia" w:ascii="仿宋" w:hAnsi="仿宋" w:eastAsia="仿宋" w:cs="宋体"/>
                <w:color w:val="auto"/>
                <w:sz w:val="24"/>
                <w:szCs w:val="24"/>
                <w:highlight w:val="none"/>
                <w:u w:val="single"/>
              </w:rPr>
              <w:t>https://www.zcygov.cn</w:t>
            </w:r>
            <w:r>
              <w:rPr>
                <w:rFonts w:hint="eastAsia" w:ascii="仿宋" w:hAnsi="仿宋" w:eastAsia="仿宋" w:cs="宋体"/>
                <w:color w:val="auto"/>
                <w:sz w:val="24"/>
                <w:szCs w:val="24"/>
                <w:highlight w:val="none"/>
                <w:u w:val="single"/>
              </w:rPr>
              <w:fldChar w:fldCharType="end"/>
            </w:r>
          </w:p>
          <w:p w14:paraId="5611172C">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响应文件开启后，供应商在线参加磋商。</w:t>
            </w:r>
          </w:p>
        </w:tc>
      </w:tr>
      <w:tr w14:paraId="6E9BB1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1EFEC133">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26</w:t>
            </w:r>
          </w:p>
        </w:tc>
        <w:tc>
          <w:tcPr>
            <w:tcW w:w="1298" w:type="pct"/>
            <w:tcBorders>
              <w:top w:val="single" w:color="auto" w:sz="4" w:space="0"/>
              <w:left w:val="single" w:color="auto" w:sz="4" w:space="0"/>
              <w:bottom w:val="single" w:color="auto" w:sz="4" w:space="0"/>
              <w:right w:val="single" w:color="auto" w:sz="4" w:space="0"/>
            </w:tcBorders>
            <w:vAlign w:val="center"/>
          </w:tcPr>
          <w:p w14:paraId="428E6416">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开启（解密）响应文件</w:t>
            </w:r>
          </w:p>
        </w:tc>
        <w:tc>
          <w:tcPr>
            <w:tcW w:w="3262" w:type="pct"/>
            <w:tcBorders>
              <w:top w:val="single" w:color="auto" w:sz="4" w:space="0"/>
              <w:left w:val="single" w:color="auto" w:sz="4" w:space="0"/>
              <w:bottom w:val="single" w:color="auto" w:sz="4" w:space="0"/>
              <w:right w:val="single" w:color="auto" w:sz="4" w:space="0"/>
            </w:tcBorders>
            <w:vAlign w:val="center"/>
          </w:tcPr>
          <w:p w14:paraId="35AD4F29">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1、采购组织机构按照采购文件规定的时间通过电子交易平台组织磋商，所有供应商均应当准时在线参加磋商；</w:t>
            </w:r>
          </w:p>
          <w:p w14:paraId="3DA5906F">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2、响应文件递交截止时间后，采购组织机构将向各供应商发出“电子加密响应文件”的解密通知，各供应商代表应当在接到解密通知后30分钟内自行完成“电子加密响应文件”的在线解密；</w:t>
            </w:r>
          </w:p>
          <w:p w14:paraId="30BF5B63">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3、通过“政府采购云平台”上传递交的“电子加密响应文件”已按时解密的，“电子备份响应文件”自动失效；</w:t>
            </w:r>
          </w:p>
          <w:p w14:paraId="798A6983">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4、通过“政府采购云平台”上传递交的“电子加密响应文件”无法按时解密的，如供应商按规定递交了合格的 “电子备份响应文件”的，则由采购组织机构按“政府采购云平台”操作规范将“电子备份响应文件”上传至“政府采购云平台”。上传成功后，以“电子备份响应文件”参与评审，“电子加密响应文件”自动失效；在“政府采购云平台”正常运行情况下，“电子备份响应文件”无法上传至“政府采购云平台”的，视为响应文件撤回。如供应商未按规定递交“电子备份响应文件”的，视为响应文件撤回；</w:t>
            </w:r>
          </w:p>
          <w:p w14:paraId="57D45ED3">
            <w:pPr>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5、响应文件递交截止时间前，供应商仅递交了“电子备份响应文件”而未将“电子加密响应文件”上传至“政府采购云平台”的，响应无效。</w:t>
            </w:r>
          </w:p>
        </w:tc>
      </w:tr>
      <w:tr w14:paraId="5E64AF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7CDEF268">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27</w:t>
            </w:r>
          </w:p>
        </w:tc>
        <w:tc>
          <w:tcPr>
            <w:tcW w:w="1298" w:type="pct"/>
            <w:tcBorders>
              <w:top w:val="single" w:color="auto" w:sz="4" w:space="0"/>
              <w:left w:val="single" w:color="auto" w:sz="4" w:space="0"/>
              <w:bottom w:val="single" w:color="auto" w:sz="4" w:space="0"/>
              <w:right w:val="single" w:color="auto" w:sz="4" w:space="0"/>
            </w:tcBorders>
            <w:vAlign w:val="center"/>
          </w:tcPr>
          <w:p w14:paraId="50F1BF8A">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评审办法</w:t>
            </w:r>
          </w:p>
        </w:tc>
        <w:tc>
          <w:tcPr>
            <w:tcW w:w="3262" w:type="pct"/>
            <w:tcBorders>
              <w:top w:val="single" w:color="auto" w:sz="4" w:space="0"/>
              <w:left w:val="single" w:color="auto" w:sz="4" w:space="0"/>
              <w:bottom w:val="single" w:color="auto" w:sz="4" w:space="0"/>
              <w:right w:val="single" w:color="auto" w:sz="4" w:space="0"/>
            </w:tcBorders>
            <w:vAlign w:val="center"/>
          </w:tcPr>
          <w:p w14:paraId="64F10D71">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综合评分法</w:t>
            </w:r>
          </w:p>
        </w:tc>
      </w:tr>
      <w:tr w14:paraId="69AE56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7073F412">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28</w:t>
            </w:r>
          </w:p>
        </w:tc>
        <w:tc>
          <w:tcPr>
            <w:tcW w:w="1298" w:type="pct"/>
            <w:tcBorders>
              <w:top w:val="single" w:color="auto" w:sz="4" w:space="0"/>
              <w:left w:val="single" w:color="auto" w:sz="4" w:space="0"/>
              <w:bottom w:val="single" w:color="auto" w:sz="4" w:space="0"/>
              <w:right w:val="single" w:color="auto" w:sz="4" w:space="0"/>
            </w:tcBorders>
            <w:vAlign w:val="center"/>
          </w:tcPr>
          <w:p w14:paraId="55824FD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磋商响应文件有效期</w:t>
            </w:r>
          </w:p>
        </w:tc>
        <w:tc>
          <w:tcPr>
            <w:tcW w:w="3262" w:type="pct"/>
            <w:tcBorders>
              <w:top w:val="single" w:color="auto" w:sz="4" w:space="0"/>
              <w:left w:val="single" w:color="auto" w:sz="4" w:space="0"/>
              <w:bottom w:val="single" w:color="auto" w:sz="4" w:space="0"/>
              <w:right w:val="single" w:color="auto" w:sz="4" w:space="0"/>
            </w:tcBorders>
            <w:vAlign w:val="center"/>
          </w:tcPr>
          <w:p w14:paraId="112C2DD5">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自响应文件递交截止时间起</w:t>
            </w:r>
            <w:r>
              <w:rPr>
                <w:rFonts w:hint="eastAsia" w:ascii="仿宋" w:hAnsi="仿宋" w:eastAsia="仿宋" w:cs="宋体"/>
                <w:color w:val="auto"/>
                <w:sz w:val="24"/>
                <w:szCs w:val="24"/>
                <w:highlight w:val="none"/>
                <w:u w:val="single"/>
              </w:rPr>
              <w:t>90</w:t>
            </w:r>
            <w:r>
              <w:rPr>
                <w:rFonts w:hint="eastAsia" w:ascii="仿宋" w:hAnsi="仿宋" w:eastAsia="仿宋" w:cs="宋体"/>
                <w:color w:val="auto"/>
                <w:sz w:val="24"/>
                <w:szCs w:val="24"/>
                <w:highlight w:val="none"/>
              </w:rPr>
              <w:t>天</w:t>
            </w:r>
          </w:p>
        </w:tc>
      </w:tr>
      <w:tr w14:paraId="0E3C14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36C3FE0D">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29</w:t>
            </w:r>
          </w:p>
        </w:tc>
        <w:tc>
          <w:tcPr>
            <w:tcW w:w="1298" w:type="pct"/>
            <w:tcBorders>
              <w:top w:val="single" w:color="auto" w:sz="4" w:space="0"/>
              <w:left w:val="single" w:color="auto" w:sz="4" w:space="0"/>
              <w:bottom w:val="single" w:color="auto" w:sz="4" w:space="0"/>
              <w:right w:val="single" w:color="auto" w:sz="4" w:space="0"/>
            </w:tcBorders>
            <w:vAlign w:val="center"/>
          </w:tcPr>
          <w:p w14:paraId="5E1B1A4C">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进口</w:t>
            </w:r>
          </w:p>
        </w:tc>
        <w:tc>
          <w:tcPr>
            <w:tcW w:w="3262" w:type="pct"/>
            <w:tcBorders>
              <w:top w:val="single" w:color="auto" w:sz="4" w:space="0"/>
              <w:left w:val="single" w:color="auto" w:sz="4" w:space="0"/>
              <w:bottom w:val="single" w:color="auto" w:sz="4" w:space="0"/>
              <w:right w:val="single" w:color="auto" w:sz="4" w:space="0"/>
            </w:tcBorders>
            <w:vAlign w:val="center"/>
          </w:tcPr>
          <w:p w14:paraId="1EE14EA4">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不允许</w:t>
            </w:r>
          </w:p>
        </w:tc>
      </w:tr>
      <w:tr w14:paraId="7F474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09800FB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30</w:t>
            </w:r>
          </w:p>
        </w:tc>
        <w:tc>
          <w:tcPr>
            <w:tcW w:w="1298" w:type="pct"/>
            <w:tcBorders>
              <w:top w:val="single" w:color="auto" w:sz="4" w:space="0"/>
              <w:left w:val="single" w:color="auto" w:sz="4" w:space="0"/>
              <w:bottom w:val="single" w:color="auto" w:sz="4" w:space="0"/>
              <w:right w:val="single" w:color="auto" w:sz="4" w:space="0"/>
            </w:tcBorders>
            <w:vAlign w:val="center"/>
          </w:tcPr>
          <w:p w14:paraId="0E5794C0">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节能产品</w:t>
            </w:r>
          </w:p>
        </w:tc>
        <w:tc>
          <w:tcPr>
            <w:tcW w:w="3262" w:type="pct"/>
            <w:tcBorders>
              <w:top w:val="single" w:color="auto" w:sz="4" w:space="0"/>
              <w:left w:val="single" w:color="auto" w:sz="4" w:space="0"/>
              <w:bottom w:val="single" w:color="auto" w:sz="4" w:space="0"/>
              <w:right w:val="single" w:color="auto" w:sz="4" w:space="0"/>
            </w:tcBorders>
            <w:vAlign w:val="center"/>
          </w:tcPr>
          <w:p w14:paraId="265C08AF">
            <w:pPr>
              <w:autoSpaceDE w:val="0"/>
              <w:autoSpaceDN w:val="0"/>
              <w:snapToGrid w:val="0"/>
              <w:spacing w:line="276" w:lineRule="auto"/>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优先采购节能产品；</w:t>
            </w:r>
          </w:p>
          <w:p w14:paraId="4826898B">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b/>
                <w:color w:val="auto"/>
                <w:sz w:val="24"/>
                <w:szCs w:val="24"/>
                <w:highlight w:val="none"/>
              </w:rPr>
              <w:t>▲根据《关于印发节能产品政府采购品目清单的通知》的要求，涉及强制采购节能产品的材料（设备），本工程必须按照通知的要求使用强制采购节能产品的材料（设备）。</w:t>
            </w:r>
          </w:p>
        </w:tc>
      </w:tr>
      <w:tr w14:paraId="760A70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3368BAB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31</w:t>
            </w:r>
          </w:p>
        </w:tc>
        <w:tc>
          <w:tcPr>
            <w:tcW w:w="1298" w:type="pct"/>
            <w:tcBorders>
              <w:top w:val="single" w:color="auto" w:sz="4" w:space="0"/>
              <w:left w:val="single" w:color="auto" w:sz="4" w:space="0"/>
              <w:bottom w:val="single" w:color="auto" w:sz="4" w:space="0"/>
              <w:right w:val="single" w:color="auto" w:sz="4" w:space="0"/>
            </w:tcBorders>
            <w:vAlign w:val="center"/>
          </w:tcPr>
          <w:p w14:paraId="0E5BBD3B">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环境标志产品</w:t>
            </w:r>
          </w:p>
        </w:tc>
        <w:tc>
          <w:tcPr>
            <w:tcW w:w="3262" w:type="pct"/>
            <w:tcBorders>
              <w:top w:val="single" w:color="auto" w:sz="4" w:space="0"/>
              <w:left w:val="single" w:color="auto" w:sz="4" w:space="0"/>
              <w:bottom w:val="single" w:color="auto" w:sz="4" w:space="0"/>
              <w:right w:val="single" w:color="auto" w:sz="4" w:space="0"/>
            </w:tcBorders>
            <w:vAlign w:val="center"/>
          </w:tcPr>
          <w:p w14:paraId="0E02D8F6">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优先采购环境标志产品</w:t>
            </w:r>
          </w:p>
        </w:tc>
      </w:tr>
      <w:tr w14:paraId="3C6FEF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0CEED494">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32</w:t>
            </w:r>
          </w:p>
        </w:tc>
        <w:tc>
          <w:tcPr>
            <w:tcW w:w="1298" w:type="pct"/>
            <w:tcBorders>
              <w:top w:val="single" w:color="auto" w:sz="4" w:space="0"/>
              <w:left w:val="single" w:color="auto" w:sz="4" w:space="0"/>
              <w:bottom w:val="single" w:color="auto" w:sz="4" w:space="0"/>
              <w:right w:val="single" w:color="auto" w:sz="4" w:space="0"/>
            </w:tcBorders>
            <w:vAlign w:val="center"/>
          </w:tcPr>
          <w:p w14:paraId="6A6AAC15">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代理服务费</w:t>
            </w:r>
          </w:p>
        </w:tc>
        <w:tc>
          <w:tcPr>
            <w:tcW w:w="3262" w:type="pct"/>
            <w:tcBorders>
              <w:top w:val="single" w:color="auto" w:sz="4" w:space="0"/>
              <w:left w:val="single" w:color="auto" w:sz="4" w:space="0"/>
              <w:bottom w:val="single" w:color="auto" w:sz="4" w:space="0"/>
              <w:right w:val="single" w:color="auto" w:sz="4" w:space="0"/>
            </w:tcBorders>
            <w:vAlign w:val="center"/>
          </w:tcPr>
          <w:p w14:paraId="483C9F44">
            <w:pPr>
              <w:autoSpaceDN w:val="0"/>
              <w:snapToGrid w:val="0"/>
              <w:spacing w:line="276" w:lineRule="auto"/>
              <w:ind w:firstLine="360" w:firstLineChars="15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本次采购代理服务费按中标价作为基数，依据原国家发展计划委员会《招标代理服务收费管理办法》（计价格[2002]1980号）规定和国家发展改革委员会办公厅关于招标代理服务收费有关问题的通知（发改办价格[2011]534号）收费标准的70%进行计算（不足3000元时按3000元）。该费用在投标文件中不单列，由投标人在投标总报价中综合考虑。</w:t>
            </w:r>
          </w:p>
          <w:p w14:paraId="39BC6E1D">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中标供应商应当自</w:t>
            </w:r>
            <w:r>
              <w:rPr>
                <w:rFonts w:hint="eastAsia" w:ascii="仿宋" w:hAnsi="仿宋" w:eastAsia="仿宋" w:cs="Arial"/>
                <w:color w:val="auto"/>
                <w:kern w:val="0"/>
                <w:sz w:val="24"/>
                <w:highlight w:val="none"/>
              </w:rPr>
              <w:t>成交供应商确定后7日内</w:t>
            </w:r>
            <w:r>
              <w:rPr>
                <w:rFonts w:hint="eastAsia" w:ascii="仿宋" w:hAnsi="仿宋" w:eastAsia="仿宋" w:cs="宋体"/>
                <w:color w:val="auto"/>
                <w:sz w:val="24"/>
                <w:szCs w:val="24"/>
                <w:highlight w:val="none"/>
              </w:rPr>
              <w:t>一次性向采购代理机构支付代理服务费，并在响应文件中出具代理服务费支付承诺书（格式见第六章）。</w:t>
            </w:r>
          </w:p>
          <w:p w14:paraId="4FFD9592">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2、代理服务费支付：</w:t>
            </w:r>
          </w:p>
          <w:p w14:paraId="0BF507CC">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① 代理服务费缴纳形式：汇票/支票/电汇/现金</w:t>
            </w:r>
          </w:p>
          <w:p w14:paraId="10F1C12C">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② 代理服务费汇入以下账户 ：</w:t>
            </w:r>
          </w:p>
          <w:p w14:paraId="424FDEC1">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收款单位（户名）：浙江豪圣建设项目管理有限公司</w:t>
            </w:r>
          </w:p>
          <w:p w14:paraId="335AE38C">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开  户：上海浦东发展银行股份有限公司杭州和睦支行</w:t>
            </w:r>
          </w:p>
          <w:p w14:paraId="4036FDC5">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账  号：95160154800000653</w:t>
            </w:r>
          </w:p>
          <w:p w14:paraId="01D5F49A">
            <w:pPr>
              <w:autoSpaceDE w:val="0"/>
              <w:autoSpaceDN w:val="0"/>
              <w:snapToGrid w:val="0"/>
              <w:spacing w:line="276"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3、增值税发票开票资料：单位名称、税号（统一社会信用代码）、开户行名称、账号、地址及联系电话。</w:t>
            </w:r>
          </w:p>
        </w:tc>
      </w:tr>
      <w:tr w14:paraId="3AD2B7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76434537">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33</w:t>
            </w:r>
          </w:p>
        </w:tc>
        <w:tc>
          <w:tcPr>
            <w:tcW w:w="1298" w:type="pct"/>
            <w:tcBorders>
              <w:top w:val="single" w:color="auto" w:sz="4" w:space="0"/>
              <w:left w:val="single" w:color="auto" w:sz="4" w:space="0"/>
              <w:bottom w:val="single" w:color="auto" w:sz="4" w:space="0"/>
              <w:right w:val="single" w:color="auto" w:sz="4" w:space="0"/>
            </w:tcBorders>
            <w:vAlign w:val="center"/>
          </w:tcPr>
          <w:p w14:paraId="77B4875B">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履约保证金</w:t>
            </w:r>
          </w:p>
        </w:tc>
        <w:tc>
          <w:tcPr>
            <w:tcW w:w="3262" w:type="pct"/>
            <w:tcBorders>
              <w:top w:val="single" w:color="auto" w:sz="4" w:space="0"/>
              <w:left w:val="single" w:color="auto" w:sz="4" w:space="0"/>
              <w:bottom w:val="single" w:color="auto" w:sz="4" w:space="0"/>
              <w:right w:val="single" w:color="auto" w:sz="4" w:space="0"/>
            </w:tcBorders>
            <w:vAlign w:val="center"/>
          </w:tcPr>
          <w:p w14:paraId="57D4C0A3">
            <w:pPr>
              <w:autoSpaceDE w:val="0"/>
              <w:autoSpaceDN w:val="0"/>
              <w:snapToGrid w:val="0"/>
              <w:spacing w:line="276" w:lineRule="auto"/>
              <w:textAlignment w:val="bottom"/>
              <w:rPr>
                <w:rFonts w:ascii="仿宋" w:hAnsi="仿宋" w:eastAsia="仿宋" w:cs="宋体"/>
                <w:color w:val="auto"/>
                <w:sz w:val="24"/>
                <w:szCs w:val="24"/>
                <w:highlight w:val="none"/>
              </w:rPr>
            </w:pPr>
            <w:r>
              <w:rPr>
                <w:rFonts w:ascii="仿宋" w:hAnsi="仿宋" w:eastAsia="仿宋" w:cs="宋体"/>
                <w:color w:val="auto"/>
                <w:sz w:val="24"/>
                <w:szCs w:val="24"/>
                <w:highlight w:val="none"/>
              </w:rPr>
              <w:sym w:font="Wingdings 2" w:char="00A3"/>
            </w:r>
            <w:r>
              <w:rPr>
                <w:rFonts w:ascii="仿宋" w:hAnsi="仿宋" w:eastAsia="仿宋" w:cs="宋体"/>
                <w:color w:val="auto"/>
                <w:sz w:val="24"/>
                <w:szCs w:val="24"/>
                <w:highlight w:val="none"/>
              </w:rPr>
              <w:t xml:space="preserve"> 不要求提供</w:t>
            </w:r>
          </w:p>
          <w:p w14:paraId="4219B642">
            <w:pPr>
              <w:autoSpaceDE w:val="0"/>
              <w:autoSpaceDN w:val="0"/>
              <w:snapToGrid w:val="0"/>
              <w:spacing w:line="276" w:lineRule="auto"/>
              <w:textAlignment w:val="bottom"/>
              <w:rPr>
                <w:rFonts w:ascii="仿宋" w:hAnsi="仿宋" w:eastAsia="仿宋" w:cs="宋体"/>
                <w:color w:val="auto"/>
                <w:sz w:val="24"/>
                <w:szCs w:val="24"/>
                <w:highlight w:val="none"/>
              </w:rPr>
            </w:pPr>
            <w:r>
              <w:rPr>
                <w:rFonts w:ascii="仿宋" w:hAnsi="仿宋" w:eastAsia="仿宋" w:cs="宋体"/>
                <w:color w:val="auto"/>
                <w:sz w:val="24"/>
                <w:szCs w:val="24"/>
                <w:highlight w:val="none"/>
              </w:rPr>
              <w:sym w:font="Wingdings 2" w:char="0052"/>
            </w:r>
            <w:r>
              <w:rPr>
                <w:rFonts w:ascii="仿宋" w:hAnsi="仿宋" w:eastAsia="仿宋" w:cs="宋体"/>
                <w:color w:val="auto"/>
                <w:sz w:val="24"/>
                <w:szCs w:val="24"/>
                <w:highlight w:val="none"/>
              </w:rPr>
              <w:t xml:space="preserve"> 要求提供：</w:t>
            </w:r>
          </w:p>
          <w:p w14:paraId="23D6FF5C">
            <w:pPr>
              <w:autoSpaceDE w:val="0"/>
              <w:autoSpaceDN w:val="0"/>
              <w:snapToGrid w:val="0"/>
              <w:spacing w:line="276" w:lineRule="auto"/>
              <w:textAlignment w:val="bottom"/>
              <w:rPr>
                <w:rFonts w:ascii="仿宋" w:hAnsi="仿宋" w:eastAsia="仿宋" w:cs="宋体"/>
                <w:color w:val="auto"/>
                <w:sz w:val="24"/>
                <w:szCs w:val="24"/>
                <w:highlight w:val="none"/>
              </w:rPr>
            </w:pPr>
            <w:r>
              <w:rPr>
                <w:rFonts w:ascii="仿宋" w:hAnsi="仿宋" w:eastAsia="仿宋" w:cs="宋体"/>
                <w:color w:val="auto"/>
                <w:sz w:val="24"/>
                <w:szCs w:val="24"/>
                <w:highlight w:val="none"/>
              </w:rPr>
              <w:t>1、金额为合同金额的</w:t>
            </w:r>
            <w:r>
              <w:rPr>
                <w:rFonts w:hint="eastAsia" w:ascii="仿宋" w:hAnsi="仿宋" w:eastAsia="仿宋" w:cs="宋体"/>
                <w:color w:val="auto"/>
                <w:sz w:val="24"/>
                <w:szCs w:val="24"/>
                <w:highlight w:val="none"/>
              </w:rPr>
              <w:t>2</w:t>
            </w:r>
            <w:r>
              <w:rPr>
                <w:rFonts w:ascii="仿宋" w:hAnsi="仿宋" w:eastAsia="仿宋" w:cs="宋体"/>
                <w:color w:val="auto"/>
                <w:sz w:val="24"/>
                <w:szCs w:val="24"/>
                <w:highlight w:val="none"/>
              </w:rPr>
              <w:t>%</w:t>
            </w:r>
          </w:p>
          <w:p w14:paraId="3E12D07B">
            <w:pPr>
              <w:autoSpaceDE w:val="0"/>
              <w:autoSpaceDN w:val="0"/>
              <w:snapToGrid w:val="0"/>
              <w:spacing w:line="276" w:lineRule="auto"/>
              <w:textAlignment w:val="bottom"/>
              <w:rPr>
                <w:rFonts w:ascii="仿宋" w:hAnsi="仿宋" w:eastAsia="仿宋" w:cs="宋体"/>
                <w:color w:val="auto"/>
                <w:sz w:val="24"/>
                <w:szCs w:val="24"/>
                <w:highlight w:val="none"/>
              </w:rPr>
            </w:pPr>
            <w:r>
              <w:rPr>
                <w:rFonts w:ascii="仿宋" w:hAnsi="仿宋" w:eastAsia="仿宋" w:cs="宋体"/>
                <w:color w:val="auto"/>
                <w:sz w:val="24"/>
                <w:szCs w:val="24"/>
                <w:highlight w:val="none"/>
              </w:rPr>
              <w:t>2、合同签订后7日内向采购人缴纳履约保证金，以</w:t>
            </w:r>
            <w:r>
              <w:rPr>
                <w:rFonts w:hint="eastAsia" w:ascii="仿宋" w:hAnsi="仿宋" w:eastAsia="仿宋" w:cs="宋体"/>
                <w:color w:val="auto"/>
                <w:sz w:val="24"/>
                <w:szCs w:val="24"/>
                <w:highlight w:val="none"/>
              </w:rPr>
              <w:t>电汇、汇票、支票形式或银行、保险公司出具的保函</w:t>
            </w:r>
            <w:r>
              <w:rPr>
                <w:rFonts w:ascii="仿宋" w:hAnsi="仿宋" w:eastAsia="仿宋" w:cs="宋体"/>
                <w:color w:val="auto"/>
                <w:sz w:val="24"/>
                <w:szCs w:val="24"/>
                <w:highlight w:val="none"/>
              </w:rPr>
              <w:t>形式递交，项目验收结束后无息退还。</w:t>
            </w:r>
          </w:p>
        </w:tc>
      </w:tr>
      <w:tr w14:paraId="5E8151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7154DCC8">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34</w:t>
            </w:r>
          </w:p>
        </w:tc>
        <w:tc>
          <w:tcPr>
            <w:tcW w:w="1298" w:type="pct"/>
            <w:tcBorders>
              <w:top w:val="single" w:color="auto" w:sz="4" w:space="0"/>
              <w:left w:val="single" w:color="auto" w:sz="4" w:space="0"/>
              <w:bottom w:val="single" w:color="auto" w:sz="4" w:space="0"/>
              <w:right w:val="single" w:color="auto" w:sz="4" w:space="0"/>
            </w:tcBorders>
            <w:vAlign w:val="center"/>
          </w:tcPr>
          <w:p w14:paraId="3166A630">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工程款支付方式</w:t>
            </w:r>
          </w:p>
        </w:tc>
        <w:tc>
          <w:tcPr>
            <w:tcW w:w="3262" w:type="pct"/>
            <w:tcBorders>
              <w:top w:val="single" w:color="auto" w:sz="4" w:space="0"/>
              <w:left w:val="single" w:color="auto" w:sz="4" w:space="0"/>
              <w:bottom w:val="single" w:color="auto" w:sz="4" w:space="0"/>
              <w:right w:val="single" w:color="auto" w:sz="4" w:space="0"/>
            </w:tcBorders>
            <w:vAlign w:val="center"/>
          </w:tcPr>
          <w:p w14:paraId="659F72D4">
            <w:pPr>
              <w:autoSpaceDN w:val="0"/>
              <w:snapToGrid w:val="0"/>
              <w:spacing w:line="276" w:lineRule="auto"/>
              <w:rPr>
                <w:rFonts w:ascii="仿宋" w:hAnsi="仿宋" w:eastAsia="仿宋" w:cs="Times New Roman"/>
                <w:color w:val="auto"/>
                <w:szCs w:val="24"/>
                <w:highlight w:val="none"/>
              </w:rPr>
            </w:pPr>
            <w:r>
              <w:rPr>
                <w:rFonts w:hint="eastAsia" w:ascii="仿宋" w:hAnsi="仿宋" w:eastAsia="仿宋" w:cs="Arial"/>
                <w:bCs/>
                <w:color w:val="auto"/>
                <w:sz w:val="24"/>
                <w:szCs w:val="24"/>
                <w:highlight w:val="none"/>
              </w:rPr>
              <w:t>详见第四章 采购内容及需求“商务要求”</w:t>
            </w:r>
          </w:p>
        </w:tc>
      </w:tr>
      <w:tr w14:paraId="2F41E4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4944EA12">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35</w:t>
            </w:r>
          </w:p>
        </w:tc>
        <w:tc>
          <w:tcPr>
            <w:tcW w:w="1298" w:type="pct"/>
            <w:tcBorders>
              <w:top w:val="single" w:color="auto" w:sz="4" w:space="0"/>
              <w:left w:val="single" w:color="auto" w:sz="4" w:space="0"/>
              <w:bottom w:val="single" w:color="auto" w:sz="4" w:space="0"/>
              <w:right w:val="single" w:color="auto" w:sz="4" w:space="0"/>
            </w:tcBorders>
            <w:vAlign w:val="center"/>
          </w:tcPr>
          <w:p w14:paraId="3D5BEF6D">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质量保证金</w:t>
            </w:r>
          </w:p>
        </w:tc>
        <w:tc>
          <w:tcPr>
            <w:tcW w:w="3262" w:type="pct"/>
            <w:tcBorders>
              <w:top w:val="single" w:color="auto" w:sz="4" w:space="0"/>
              <w:left w:val="single" w:color="auto" w:sz="4" w:space="0"/>
              <w:bottom w:val="single" w:color="auto" w:sz="4" w:space="0"/>
              <w:right w:val="single" w:color="auto" w:sz="4" w:space="0"/>
            </w:tcBorders>
            <w:vAlign w:val="center"/>
          </w:tcPr>
          <w:p w14:paraId="1A836063">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审定价的1.5%，按《工程质量保修书》的有关规定退还。</w:t>
            </w:r>
          </w:p>
        </w:tc>
      </w:tr>
      <w:tr w14:paraId="42BF9C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6B9D4B4B">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36</w:t>
            </w:r>
          </w:p>
        </w:tc>
        <w:tc>
          <w:tcPr>
            <w:tcW w:w="1298" w:type="pct"/>
            <w:tcBorders>
              <w:top w:val="single" w:color="auto" w:sz="4" w:space="0"/>
              <w:left w:val="single" w:color="auto" w:sz="4" w:space="0"/>
              <w:bottom w:val="single" w:color="auto" w:sz="4" w:space="0"/>
              <w:right w:val="single" w:color="auto" w:sz="4" w:space="0"/>
            </w:tcBorders>
            <w:vAlign w:val="center"/>
          </w:tcPr>
          <w:p w14:paraId="6C7ED615">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Arial"/>
                <w:color w:val="auto"/>
                <w:sz w:val="24"/>
                <w:szCs w:val="24"/>
                <w:highlight w:val="none"/>
              </w:rPr>
              <w:t>施工用水电费</w:t>
            </w:r>
          </w:p>
        </w:tc>
        <w:tc>
          <w:tcPr>
            <w:tcW w:w="3262" w:type="pct"/>
            <w:tcBorders>
              <w:top w:val="single" w:color="auto" w:sz="4" w:space="0"/>
              <w:left w:val="single" w:color="auto" w:sz="4" w:space="0"/>
              <w:bottom w:val="single" w:color="auto" w:sz="4" w:space="0"/>
              <w:right w:val="single" w:color="auto" w:sz="4" w:space="0"/>
            </w:tcBorders>
            <w:vAlign w:val="center"/>
          </w:tcPr>
          <w:p w14:paraId="09C0BC01">
            <w:pPr>
              <w:autoSpaceDE w:val="0"/>
              <w:autoSpaceDN w:val="0"/>
              <w:snapToGrid w:val="0"/>
              <w:spacing w:line="276" w:lineRule="auto"/>
              <w:textAlignment w:val="bottom"/>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施工水电费按工程竣工结算审定价的</w:t>
            </w:r>
            <w:r>
              <w:rPr>
                <w:rFonts w:hint="eastAsia" w:ascii="仿宋" w:hAnsi="仿宋" w:eastAsia="仿宋" w:cs="宋体"/>
                <w:color w:val="auto"/>
                <w:sz w:val="24"/>
                <w:szCs w:val="24"/>
                <w:highlight w:val="none"/>
                <w:lang w:val="en-US" w:eastAsia="zh-CN"/>
              </w:rPr>
              <w:t>1</w:t>
            </w:r>
            <w:r>
              <w:rPr>
                <w:rFonts w:hint="eastAsia" w:ascii="仿宋" w:hAnsi="仿宋" w:eastAsia="仿宋" w:cs="宋体"/>
                <w:color w:val="auto"/>
                <w:sz w:val="24"/>
                <w:szCs w:val="24"/>
                <w:highlight w:val="none"/>
              </w:rPr>
              <w:t>％计算，在结算审定款中直接扣除。</w:t>
            </w:r>
          </w:p>
        </w:tc>
      </w:tr>
      <w:tr w14:paraId="7EE00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68212E39">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37</w:t>
            </w:r>
          </w:p>
        </w:tc>
        <w:tc>
          <w:tcPr>
            <w:tcW w:w="1298" w:type="pct"/>
            <w:tcBorders>
              <w:top w:val="single" w:color="auto" w:sz="4" w:space="0"/>
              <w:left w:val="single" w:color="auto" w:sz="4" w:space="0"/>
              <w:bottom w:val="single" w:color="auto" w:sz="4" w:space="0"/>
              <w:right w:val="single" w:color="auto" w:sz="4" w:space="0"/>
            </w:tcBorders>
            <w:vAlign w:val="center"/>
          </w:tcPr>
          <w:p w14:paraId="118E615A">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预付款担保</w:t>
            </w:r>
          </w:p>
        </w:tc>
        <w:tc>
          <w:tcPr>
            <w:tcW w:w="3262" w:type="pct"/>
            <w:tcBorders>
              <w:top w:val="single" w:color="auto" w:sz="4" w:space="0"/>
              <w:left w:val="single" w:color="auto" w:sz="4" w:space="0"/>
              <w:bottom w:val="single" w:color="auto" w:sz="4" w:space="0"/>
              <w:right w:val="single" w:color="auto" w:sz="4" w:space="0"/>
            </w:tcBorders>
            <w:vAlign w:val="center"/>
          </w:tcPr>
          <w:p w14:paraId="63891503">
            <w:pPr>
              <w:autoSpaceDN w:val="0"/>
              <w:snapToGrid w:val="0"/>
              <w:spacing w:line="276" w:lineRule="auto"/>
              <w:rPr>
                <w:rFonts w:ascii="仿宋" w:hAnsi="仿宋" w:eastAsia="仿宋" w:cs="Times New Roman"/>
                <w:color w:val="auto"/>
                <w:szCs w:val="24"/>
                <w:highlight w:val="none"/>
              </w:rPr>
            </w:pPr>
            <w:r>
              <w:rPr>
                <w:rFonts w:hint="eastAsia" w:ascii="仿宋" w:hAnsi="仿宋" w:eastAsia="仿宋" w:cs="Arial"/>
                <w:bCs/>
                <w:color w:val="auto"/>
                <w:sz w:val="24"/>
                <w:szCs w:val="24"/>
                <w:highlight w:val="none"/>
              </w:rPr>
              <w:t>详见第四章 采购内容及需求“商务要求”</w:t>
            </w:r>
          </w:p>
        </w:tc>
      </w:tr>
      <w:tr w14:paraId="6335F3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40" w:type="pct"/>
            <w:tcBorders>
              <w:top w:val="single" w:color="auto" w:sz="4" w:space="0"/>
              <w:left w:val="single" w:color="auto" w:sz="4" w:space="0"/>
              <w:bottom w:val="single" w:color="auto" w:sz="4" w:space="0"/>
              <w:right w:val="single" w:color="auto" w:sz="4" w:space="0"/>
            </w:tcBorders>
            <w:vAlign w:val="center"/>
          </w:tcPr>
          <w:p w14:paraId="52C6BBA3">
            <w:pPr>
              <w:autoSpaceDN w:val="0"/>
              <w:snapToGrid w:val="0"/>
              <w:spacing w:line="276"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38</w:t>
            </w:r>
          </w:p>
        </w:tc>
        <w:tc>
          <w:tcPr>
            <w:tcW w:w="1298" w:type="pct"/>
            <w:tcBorders>
              <w:top w:val="single" w:color="auto" w:sz="4" w:space="0"/>
              <w:left w:val="single" w:color="auto" w:sz="4" w:space="0"/>
              <w:bottom w:val="single" w:color="auto" w:sz="4" w:space="0"/>
              <w:right w:val="single" w:color="auto" w:sz="4" w:space="0"/>
            </w:tcBorders>
            <w:vAlign w:val="center"/>
          </w:tcPr>
          <w:p w14:paraId="3A665409">
            <w:pPr>
              <w:autoSpaceDN w:val="0"/>
              <w:snapToGrid w:val="0"/>
              <w:spacing w:line="276" w:lineRule="auto"/>
              <w:jc w:val="center"/>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重要提醒</w:t>
            </w:r>
          </w:p>
        </w:tc>
        <w:tc>
          <w:tcPr>
            <w:tcW w:w="3262" w:type="pct"/>
            <w:tcBorders>
              <w:top w:val="single" w:color="auto" w:sz="4" w:space="0"/>
              <w:left w:val="single" w:color="auto" w:sz="4" w:space="0"/>
              <w:bottom w:val="single" w:color="auto" w:sz="4" w:space="0"/>
              <w:right w:val="single" w:color="auto" w:sz="4" w:space="0"/>
            </w:tcBorders>
            <w:vAlign w:val="center"/>
          </w:tcPr>
          <w:p w14:paraId="5852C14D">
            <w:pPr>
              <w:autoSpaceDN w:val="0"/>
              <w:snapToGrid w:val="0"/>
              <w:spacing w:line="276" w:lineRule="auto"/>
              <w:rPr>
                <w:rFonts w:ascii="仿宋" w:hAnsi="仿宋" w:eastAsia="仿宋" w:cs="Arial"/>
                <w:b/>
                <w:bCs/>
                <w:color w:val="auto"/>
                <w:sz w:val="24"/>
                <w:szCs w:val="24"/>
                <w:highlight w:val="none"/>
              </w:rPr>
            </w:pPr>
            <w:r>
              <w:rPr>
                <w:rFonts w:hint="eastAsia" w:ascii="仿宋" w:hAnsi="仿宋" w:eastAsia="仿宋" w:cs="Arial"/>
                <w:b/>
                <w:bCs/>
                <w:color w:val="auto"/>
                <w:sz w:val="24"/>
                <w:szCs w:val="24"/>
                <w:highlight w:val="none"/>
              </w:rPr>
              <w:t>（1）磋商响应供应商应仔细对照磋商须知条款阅读本表，如本表与须知内容就同一事项规定不一致的，以本表为准；</w:t>
            </w:r>
          </w:p>
          <w:p w14:paraId="1003A160">
            <w:pPr>
              <w:autoSpaceDN w:val="0"/>
              <w:snapToGrid w:val="0"/>
              <w:spacing w:line="276" w:lineRule="auto"/>
              <w:rPr>
                <w:rFonts w:ascii="仿宋" w:hAnsi="仿宋" w:eastAsia="仿宋" w:cs="Arial"/>
                <w:b/>
                <w:bCs/>
                <w:color w:val="auto"/>
                <w:sz w:val="24"/>
                <w:szCs w:val="24"/>
                <w:highlight w:val="none"/>
              </w:rPr>
            </w:pPr>
            <w:r>
              <w:rPr>
                <w:rFonts w:hint="eastAsia" w:ascii="仿宋" w:hAnsi="仿宋" w:eastAsia="仿宋" w:cs="Arial"/>
                <w:b/>
                <w:bCs/>
                <w:color w:val="auto"/>
                <w:sz w:val="24"/>
                <w:szCs w:val="24"/>
                <w:highlight w:val="none"/>
              </w:rPr>
              <w:t>（2）磋商响应供应商在编制磋商响应文件时应作出符合客观事实的真实响应，采购人不接受任何不符客观事实的“响应”或者“应标”，情节严重的可视为“提供虚假材料”行为，并参照“提供虚假材料”进行处理；</w:t>
            </w:r>
          </w:p>
          <w:p w14:paraId="71D2188F">
            <w:pPr>
              <w:autoSpaceDN w:val="0"/>
              <w:snapToGrid w:val="0"/>
              <w:spacing w:line="276" w:lineRule="auto"/>
              <w:rPr>
                <w:rFonts w:ascii="仿宋" w:hAnsi="仿宋" w:eastAsia="仿宋" w:cs="Arial"/>
                <w:b/>
                <w:bCs/>
                <w:color w:val="auto"/>
                <w:sz w:val="24"/>
                <w:szCs w:val="24"/>
                <w:highlight w:val="none"/>
              </w:rPr>
            </w:pPr>
            <w:r>
              <w:rPr>
                <w:rFonts w:hint="eastAsia" w:ascii="仿宋" w:hAnsi="仿宋" w:eastAsia="仿宋" w:cs="Arial"/>
                <w:b/>
                <w:bCs/>
                <w:color w:val="auto"/>
                <w:sz w:val="24"/>
                <w:szCs w:val="24"/>
                <w:highlight w:val="none"/>
              </w:rPr>
              <w:t>（3）竞争性磋商文件中标注“▲”的技术或商务条款均为实质性要求条款，不满足实质性要求条款的投标响应无效；</w:t>
            </w:r>
          </w:p>
          <w:p w14:paraId="39A6EEF1">
            <w:pPr>
              <w:autoSpaceDN w:val="0"/>
              <w:snapToGrid w:val="0"/>
              <w:spacing w:line="276" w:lineRule="auto"/>
              <w:rPr>
                <w:rFonts w:ascii="仿宋" w:hAnsi="仿宋" w:eastAsia="仿宋" w:cs="Arial"/>
                <w:b/>
                <w:bCs/>
                <w:color w:val="auto"/>
                <w:sz w:val="24"/>
                <w:szCs w:val="24"/>
                <w:highlight w:val="none"/>
              </w:rPr>
            </w:pPr>
            <w:r>
              <w:rPr>
                <w:rFonts w:hint="eastAsia" w:ascii="仿宋" w:hAnsi="仿宋" w:eastAsia="仿宋" w:cs="Arial"/>
                <w:b/>
                <w:bCs/>
                <w:color w:val="auto"/>
                <w:sz w:val="24"/>
                <w:szCs w:val="24"/>
                <w:highlight w:val="none"/>
              </w:rPr>
              <w:t>（4）竞争性磋商文件中所有加粗及加下划线的条款着重提请各供应商注意，请各供应商认真查看竞争性磋商文件中的每一个条款及要求，因误读、漏读、错读竞争性磋商文件内容而造成的一切后果，由供应商自行承担，采购组织机构概不负责；</w:t>
            </w:r>
          </w:p>
          <w:p w14:paraId="4F7A7BFB">
            <w:pPr>
              <w:autoSpaceDE w:val="0"/>
              <w:autoSpaceDN w:val="0"/>
              <w:snapToGrid w:val="0"/>
              <w:spacing w:line="276" w:lineRule="auto"/>
              <w:textAlignment w:val="bottom"/>
              <w:rPr>
                <w:rFonts w:ascii="仿宋" w:hAnsi="仿宋" w:eastAsia="仿宋" w:cs="Arial"/>
                <w:b/>
                <w:color w:val="auto"/>
                <w:sz w:val="24"/>
                <w:szCs w:val="24"/>
                <w:highlight w:val="none"/>
              </w:rPr>
            </w:pPr>
            <w:r>
              <w:rPr>
                <w:rFonts w:hint="eastAsia" w:ascii="仿宋" w:hAnsi="仿宋" w:eastAsia="仿宋" w:cs="Arial"/>
                <w:b/>
                <w:bCs/>
                <w:color w:val="auto"/>
                <w:sz w:val="24"/>
                <w:szCs w:val="24"/>
                <w:highlight w:val="none"/>
              </w:rPr>
              <w:t>（5）</w:t>
            </w:r>
            <w:r>
              <w:rPr>
                <w:rFonts w:hint="eastAsia" w:ascii="仿宋" w:hAnsi="仿宋" w:eastAsia="仿宋" w:cs="Arial"/>
                <w:b/>
                <w:bCs/>
                <w:color w:val="auto"/>
                <w:sz w:val="24"/>
                <w:szCs w:val="24"/>
                <w:highlight w:val="none"/>
                <w:u w:val="single"/>
              </w:rPr>
              <w:t>竞争性磋商报价以最终报价为准，项目竣工结算时，最终结算价根据承诺优惠率同比例调整，调整范围包括合同部分及新增联系单部分</w:t>
            </w:r>
            <w:r>
              <w:rPr>
                <w:rFonts w:hint="eastAsia" w:ascii="仿宋" w:hAnsi="仿宋" w:eastAsia="仿宋" w:cs="Times New Roman"/>
                <w:b/>
                <w:bCs/>
                <w:color w:val="auto"/>
                <w:sz w:val="24"/>
                <w:szCs w:val="24"/>
                <w:highlight w:val="none"/>
              </w:rPr>
              <w:t>。</w:t>
            </w:r>
          </w:p>
        </w:tc>
      </w:tr>
    </w:tbl>
    <w:p w14:paraId="0DAC1F1A">
      <w:pPr>
        <w:autoSpaceDN w:val="0"/>
        <w:snapToGrid w:val="0"/>
        <w:spacing w:line="360" w:lineRule="auto"/>
        <w:rPr>
          <w:rFonts w:ascii="仿宋" w:hAnsi="仿宋" w:eastAsia="仿宋" w:cs="宋体"/>
          <w:color w:val="auto"/>
          <w:sz w:val="24"/>
          <w:szCs w:val="24"/>
          <w:highlight w:val="none"/>
        </w:rPr>
      </w:pPr>
    </w:p>
    <w:p w14:paraId="6EF27B43">
      <w:pPr>
        <w:rPr>
          <w:rFonts w:ascii="Times New Roman" w:hAnsi="仿宋" w:eastAsia="仿宋" w:cs="Times New Roman"/>
          <w:b/>
          <w:bCs/>
          <w:color w:val="auto"/>
          <w:sz w:val="28"/>
          <w:szCs w:val="28"/>
          <w:highlight w:val="none"/>
        </w:rPr>
      </w:pPr>
      <w:bookmarkStart w:id="37" w:name="_Toc82338239"/>
      <w:bookmarkStart w:id="38" w:name="_Toc82873322"/>
      <w:bookmarkStart w:id="39" w:name="_Toc96947060"/>
      <w:r>
        <w:rPr>
          <w:rFonts w:hint="eastAsia" w:ascii="Times New Roman" w:hAnsi="仿宋" w:eastAsia="仿宋" w:cs="Times New Roman"/>
          <w:b/>
          <w:bCs/>
          <w:color w:val="auto"/>
          <w:sz w:val="28"/>
          <w:szCs w:val="28"/>
          <w:highlight w:val="none"/>
        </w:rPr>
        <w:br w:type="page"/>
      </w:r>
    </w:p>
    <w:p w14:paraId="7A91259D">
      <w:pPr>
        <w:keepNext/>
        <w:keepLines/>
        <w:autoSpaceDN w:val="0"/>
        <w:spacing w:before="260" w:after="260" w:line="415" w:lineRule="auto"/>
        <w:outlineLvl w:val="1"/>
        <w:rPr>
          <w:rFonts w:ascii="仿宋" w:hAnsi="仿宋" w:eastAsia="仿宋" w:cs="Times New Roman"/>
          <w:b/>
          <w:bCs/>
          <w:color w:val="auto"/>
          <w:sz w:val="28"/>
          <w:szCs w:val="28"/>
          <w:highlight w:val="none"/>
        </w:rPr>
      </w:pPr>
      <w:bookmarkStart w:id="40" w:name="_Toc19240"/>
      <w:r>
        <w:rPr>
          <w:rFonts w:hint="eastAsia" w:ascii="Times New Roman" w:hAnsi="仿宋" w:eastAsia="仿宋" w:cs="Times New Roman"/>
          <w:b/>
          <w:bCs/>
          <w:color w:val="auto"/>
          <w:sz w:val="28"/>
          <w:szCs w:val="28"/>
          <w:highlight w:val="none"/>
        </w:rPr>
        <w:t>一、</w:t>
      </w:r>
      <w:bookmarkEnd w:id="37"/>
      <w:bookmarkEnd w:id="38"/>
      <w:r>
        <w:rPr>
          <w:rFonts w:hint="eastAsia" w:ascii="Times New Roman" w:hAnsi="仿宋" w:eastAsia="仿宋" w:cs="Times New Roman"/>
          <w:b/>
          <w:bCs/>
          <w:color w:val="auto"/>
          <w:sz w:val="28"/>
          <w:szCs w:val="28"/>
          <w:highlight w:val="none"/>
        </w:rPr>
        <w:t>总则</w:t>
      </w:r>
      <w:bookmarkEnd w:id="39"/>
      <w:bookmarkEnd w:id="40"/>
    </w:p>
    <w:p w14:paraId="18015A0F">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bookmarkStart w:id="41" w:name="_Toc82338240"/>
      <w:bookmarkStart w:id="42" w:name="_Toc82873323"/>
      <w:r>
        <w:rPr>
          <w:rFonts w:hint="eastAsia" w:ascii="仿宋" w:hAnsi="仿宋" w:eastAsia="仿宋" w:cs="Times New Roman"/>
          <w:b/>
          <w:bCs/>
          <w:color w:val="auto"/>
          <w:sz w:val="24"/>
          <w:szCs w:val="32"/>
          <w:highlight w:val="none"/>
        </w:rPr>
        <w:t>1.1、实施依据及适用范围</w:t>
      </w:r>
    </w:p>
    <w:p w14:paraId="1B8393C5">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kern w:val="0"/>
          <w:sz w:val="24"/>
          <w:szCs w:val="20"/>
          <w:highlight w:val="none"/>
        </w:rPr>
        <w:t>1.1.1实施依据：本次采购工作按照《中华人民共和国政府采购法》、《中华人民共和国政府采购法实施条例》、《浙江省政府采购项目电子交易管理暂行办法》、浙财采监[2022]3号等政府采购有关法律、法规、规章、文件的规定组织和实施；</w:t>
      </w:r>
    </w:p>
    <w:p w14:paraId="6301DD80">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1.1.2本竞争性磋商文件适用于</w:t>
      </w:r>
      <w:r>
        <w:rPr>
          <w:rFonts w:hint="eastAsia" w:ascii="仿宋" w:hAnsi="仿宋" w:eastAsia="仿宋" w:cs="Times New Roman"/>
          <w:color w:val="auto"/>
          <w:kern w:val="0"/>
          <w:sz w:val="24"/>
          <w:szCs w:val="20"/>
          <w:highlight w:val="none"/>
          <w:u w:val="single"/>
          <w:lang w:eastAsia="zh-CN"/>
        </w:rPr>
        <w:t>浙江工业大学2024年学生校区布局调整相关用房装修工程</w:t>
      </w:r>
      <w:r>
        <w:rPr>
          <w:rFonts w:hint="eastAsia" w:ascii="仿宋" w:hAnsi="仿宋" w:eastAsia="仿宋" w:cs="Times New Roman"/>
          <w:color w:val="auto"/>
          <w:kern w:val="0"/>
          <w:sz w:val="24"/>
          <w:szCs w:val="20"/>
          <w:highlight w:val="none"/>
          <w:u w:val="single"/>
        </w:rPr>
        <w:t>（项目编号：</w:t>
      </w:r>
      <w:r>
        <w:rPr>
          <w:rFonts w:hint="eastAsia" w:ascii="仿宋" w:hAnsi="仿宋" w:eastAsia="仿宋" w:cs="Times New Roman"/>
          <w:color w:val="auto"/>
          <w:kern w:val="0"/>
          <w:sz w:val="24"/>
          <w:szCs w:val="20"/>
          <w:highlight w:val="none"/>
          <w:u w:val="single"/>
          <w:lang w:eastAsia="zh-CN"/>
        </w:rPr>
        <w:t>HSZB-2024-598</w:t>
      </w:r>
      <w:r>
        <w:rPr>
          <w:rFonts w:hint="eastAsia" w:ascii="仿宋" w:hAnsi="仿宋" w:eastAsia="仿宋" w:cs="Times New Roman"/>
          <w:color w:val="auto"/>
          <w:kern w:val="0"/>
          <w:sz w:val="24"/>
          <w:szCs w:val="20"/>
          <w:highlight w:val="none"/>
          <w:u w:val="single"/>
        </w:rPr>
        <w:t>）</w:t>
      </w:r>
      <w:r>
        <w:rPr>
          <w:rFonts w:hint="eastAsia" w:ascii="仿宋" w:hAnsi="仿宋" w:eastAsia="仿宋" w:cs="Times New Roman"/>
          <w:color w:val="auto"/>
          <w:kern w:val="0"/>
          <w:sz w:val="24"/>
          <w:szCs w:val="20"/>
          <w:highlight w:val="none"/>
        </w:rPr>
        <w:t>的采购、响应、磋商、评标、定标、验收、合同履约、付款等（法律、法规另有规定的，从其规定）。</w:t>
      </w:r>
    </w:p>
    <w:p w14:paraId="0CD23CD3">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1.2 项目基本信息</w:t>
      </w:r>
    </w:p>
    <w:p w14:paraId="412ED2A7">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1.2.1项目名称：</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0AC12516">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1.2.2项目编号：</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49E84AFC">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1.2.3采购内容：</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0D55BC26">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1.2.4最高限价：</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5E5B2B03">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1.2.5资金落实情况：</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0D5991D0">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1.2.6采购人：</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2A5D7FB8">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1.2.7采购代理机构：</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7780E53B">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1.2.8交易方式：</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4B5943F6">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1.2.9电子交易平台：</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6CD99273">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1.2.10工期：</w:t>
      </w:r>
      <w:r>
        <w:rPr>
          <w:rFonts w:hint="eastAsia" w:ascii="仿宋" w:hAnsi="仿宋" w:eastAsia="仿宋" w:cs="Times New Roman"/>
          <w:b/>
          <w:color w:val="auto"/>
          <w:sz w:val="24"/>
          <w:szCs w:val="20"/>
          <w:highlight w:val="none"/>
          <w:u w:val="single"/>
        </w:rPr>
        <w:t>见《磋商须知前附表》。</w:t>
      </w:r>
    </w:p>
    <w:p w14:paraId="48D1C2E9">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1.3 采购方式和采购组织类型</w:t>
      </w:r>
    </w:p>
    <w:p w14:paraId="7A82CEA4">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1.3.1采购方式：</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color w:val="auto"/>
          <w:sz w:val="24"/>
          <w:szCs w:val="20"/>
          <w:highlight w:val="none"/>
        </w:rPr>
        <w:t>；</w:t>
      </w:r>
    </w:p>
    <w:p w14:paraId="6AAA3AC7">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1.3.2采购组织类型：</w:t>
      </w:r>
      <w:r>
        <w:rPr>
          <w:rFonts w:hint="eastAsia" w:ascii="仿宋" w:hAnsi="仿宋" w:eastAsia="仿宋" w:cs="Arial"/>
          <w:b/>
          <w:color w:val="auto"/>
          <w:sz w:val="24"/>
          <w:szCs w:val="20"/>
          <w:highlight w:val="none"/>
          <w:u w:val="single"/>
        </w:rPr>
        <w:t>分散采购-分散委托中介</w:t>
      </w:r>
      <w:r>
        <w:rPr>
          <w:rFonts w:hint="eastAsia" w:ascii="仿宋" w:hAnsi="仿宋" w:eastAsia="仿宋" w:cs="Times New Roman"/>
          <w:b/>
          <w:color w:val="auto"/>
          <w:kern w:val="0"/>
          <w:sz w:val="24"/>
          <w:szCs w:val="20"/>
          <w:highlight w:val="none"/>
        </w:rPr>
        <w:t>。</w:t>
      </w:r>
    </w:p>
    <w:p w14:paraId="056FDE1F">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1.4 合格供应商资格要求</w:t>
      </w:r>
    </w:p>
    <w:p w14:paraId="5D966E65">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color w:val="auto"/>
          <w:sz w:val="24"/>
          <w:szCs w:val="20"/>
          <w:highlight w:val="none"/>
        </w:rPr>
        <w:t>1.4.1合格供应商“基本资格”要求：</w:t>
      </w:r>
      <w:r>
        <w:rPr>
          <w:rFonts w:hint="eastAsia" w:ascii="仿宋" w:hAnsi="仿宋" w:eastAsia="仿宋" w:cs="Times New Roman"/>
          <w:b/>
          <w:color w:val="auto"/>
          <w:kern w:val="0"/>
          <w:sz w:val="24"/>
          <w:szCs w:val="20"/>
          <w:highlight w:val="none"/>
          <w:u w:val="single"/>
        </w:rPr>
        <w:t>见《第一章 竞争性磋商公告》</w:t>
      </w:r>
      <w:r>
        <w:rPr>
          <w:rFonts w:hint="eastAsia" w:ascii="仿宋" w:hAnsi="仿宋" w:eastAsia="仿宋" w:cs="Times New Roman"/>
          <w:color w:val="auto"/>
          <w:kern w:val="0"/>
          <w:sz w:val="24"/>
          <w:szCs w:val="20"/>
          <w:highlight w:val="none"/>
        </w:rPr>
        <w:t>；</w:t>
      </w:r>
    </w:p>
    <w:p w14:paraId="106B0799">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color w:val="auto"/>
          <w:sz w:val="24"/>
          <w:szCs w:val="20"/>
          <w:highlight w:val="none"/>
        </w:rPr>
        <w:t>1.4.2合格供应商“特定资格”要求：</w:t>
      </w:r>
      <w:r>
        <w:rPr>
          <w:rFonts w:hint="eastAsia" w:ascii="仿宋" w:hAnsi="仿宋" w:eastAsia="仿宋" w:cs="Times New Roman"/>
          <w:b/>
          <w:color w:val="auto"/>
          <w:kern w:val="0"/>
          <w:sz w:val="24"/>
          <w:szCs w:val="20"/>
          <w:highlight w:val="none"/>
          <w:u w:val="single"/>
        </w:rPr>
        <w:t>见《第一章 竞争性磋商公告》</w:t>
      </w:r>
      <w:r>
        <w:rPr>
          <w:rFonts w:hint="eastAsia" w:ascii="仿宋" w:hAnsi="仿宋" w:eastAsia="仿宋" w:cs="Times New Roman"/>
          <w:color w:val="auto"/>
          <w:kern w:val="0"/>
          <w:sz w:val="24"/>
          <w:szCs w:val="20"/>
          <w:highlight w:val="none"/>
        </w:rPr>
        <w:t>。</w:t>
      </w:r>
    </w:p>
    <w:p w14:paraId="46C64C83">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1.5 定义</w:t>
      </w:r>
    </w:p>
    <w:p w14:paraId="5B3A5E24">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1.5.1“采购人”：</w:t>
      </w:r>
      <w:r>
        <w:rPr>
          <w:rFonts w:hint="eastAsia" w:ascii="仿宋" w:hAnsi="仿宋" w:eastAsia="仿宋" w:cs="Times New Roman"/>
          <w:color w:val="auto"/>
          <w:sz w:val="24"/>
          <w:szCs w:val="20"/>
          <w:highlight w:val="none"/>
        </w:rPr>
        <w:t>是</w:t>
      </w:r>
      <w:r>
        <w:rPr>
          <w:rFonts w:hint="eastAsia" w:ascii="仿宋" w:hAnsi="仿宋" w:eastAsia="仿宋" w:cs="Times New Roman"/>
          <w:color w:val="auto"/>
          <w:kern w:val="0"/>
          <w:sz w:val="24"/>
          <w:szCs w:val="20"/>
          <w:highlight w:val="none"/>
        </w:rPr>
        <w:t>指依法进行政府采购的国家机关、事业单位、团体组织，即政府采购合同中的“甲方”</w:t>
      </w:r>
      <w:r>
        <w:rPr>
          <w:rFonts w:hint="eastAsia" w:ascii="仿宋" w:hAnsi="仿宋" w:eastAsia="仿宋" w:cs="Times New Roman"/>
          <w:b/>
          <w:color w:val="auto"/>
          <w:kern w:val="0"/>
          <w:sz w:val="24"/>
          <w:szCs w:val="20"/>
          <w:highlight w:val="none"/>
        </w:rPr>
        <w:t>（本项目的采购人是指“</w:t>
      </w:r>
      <w:r>
        <w:rPr>
          <w:rFonts w:hint="eastAsia" w:ascii="仿宋" w:hAnsi="仿宋" w:eastAsia="仿宋" w:cs="Times New Roman"/>
          <w:b/>
          <w:color w:val="auto"/>
          <w:sz w:val="24"/>
          <w:szCs w:val="20"/>
          <w:highlight w:val="none"/>
          <w:u w:val="single"/>
        </w:rPr>
        <w:t>浙江工业大学</w:t>
      </w:r>
      <w:r>
        <w:rPr>
          <w:rFonts w:hint="eastAsia" w:ascii="仿宋" w:hAnsi="仿宋" w:eastAsia="仿宋" w:cs="Times New Roman"/>
          <w:b/>
          <w:color w:val="auto"/>
          <w:kern w:val="0"/>
          <w:sz w:val="24"/>
          <w:szCs w:val="20"/>
          <w:highlight w:val="none"/>
        </w:rPr>
        <w:t>”）</w:t>
      </w:r>
      <w:r>
        <w:rPr>
          <w:rFonts w:hint="eastAsia" w:ascii="仿宋" w:hAnsi="仿宋" w:eastAsia="仿宋" w:cs="Times New Roman"/>
          <w:color w:val="auto"/>
          <w:kern w:val="0"/>
          <w:sz w:val="24"/>
          <w:szCs w:val="20"/>
          <w:highlight w:val="none"/>
        </w:rPr>
        <w:t>；</w:t>
      </w:r>
    </w:p>
    <w:p w14:paraId="7A53E13B">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1.5.2“采购代理机构”：</w:t>
      </w:r>
      <w:r>
        <w:rPr>
          <w:rFonts w:hint="eastAsia" w:ascii="仿宋" w:hAnsi="仿宋" w:eastAsia="仿宋" w:cs="Arial"/>
          <w:color w:val="auto"/>
          <w:sz w:val="24"/>
          <w:szCs w:val="20"/>
          <w:highlight w:val="none"/>
        </w:rPr>
        <w:t>是</w:t>
      </w:r>
      <w:r>
        <w:rPr>
          <w:rFonts w:hint="eastAsia" w:ascii="仿宋" w:hAnsi="仿宋" w:eastAsia="仿宋" w:cs="Arial"/>
          <w:color w:val="auto"/>
          <w:kern w:val="0"/>
          <w:sz w:val="24"/>
          <w:szCs w:val="20"/>
          <w:highlight w:val="none"/>
        </w:rPr>
        <w:t>指受采购人委托，在委托的范围内办理采购事宜的机构</w:t>
      </w:r>
      <w:r>
        <w:rPr>
          <w:rFonts w:hint="eastAsia" w:ascii="仿宋" w:hAnsi="仿宋" w:eastAsia="仿宋" w:cs="Arial"/>
          <w:b/>
          <w:color w:val="auto"/>
          <w:kern w:val="0"/>
          <w:sz w:val="24"/>
          <w:szCs w:val="20"/>
          <w:highlight w:val="none"/>
        </w:rPr>
        <w:t>（本项目的采购代理机构是指“</w:t>
      </w:r>
      <w:r>
        <w:rPr>
          <w:rFonts w:hint="eastAsia" w:ascii="仿宋" w:hAnsi="仿宋" w:eastAsia="仿宋" w:cs="Arial"/>
          <w:b/>
          <w:color w:val="auto"/>
          <w:kern w:val="0"/>
          <w:sz w:val="24"/>
          <w:szCs w:val="20"/>
          <w:highlight w:val="none"/>
          <w:u w:val="single"/>
        </w:rPr>
        <w:t xml:space="preserve"> 浙江豪圣建设项目管理有限公司 </w:t>
      </w:r>
      <w:r>
        <w:rPr>
          <w:rFonts w:hint="eastAsia" w:ascii="仿宋" w:hAnsi="仿宋" w:eastAsia="仿宋" w:cs="Arial"/>
          <w:b/>
          <w:color w:val="auto"/>
          <w:kern w:val="0"/>
          <w:sz w:val="24"/>
          <w:szCs w:val="20"/>
          <w:highlight w:val="none"/>
        </w:rPr>
        <w:t>”）</w:t>
      </w:r>
      <w:r>
        <w:rPr>
          <w:rFonts w:hint="eastAsia" w:ascii="仿宋" w:hAnsi="仿宋" w:eastAsia="仿宋" w:cs="Arial"/>
          <w:color w:val="auto"/>
          <w:kern w:val="0"/>
          <w:sz w:val="24"/>
          <w:szCs w:val="20"/>
          <w:highlight w:val="none"/>
        </w:rPr>
        <w:t>；</w:t>
      </w:r>
    </w:p>
    <w:p w14:paraId="3479C205">
      <w:pPr>
        <w:autoSpaceDN w:val="0"/>
        <w:spacing w:line="360" w:lineRule="auto"/>
        <w:ind w:firstLine="426" w:firstLineChars="177"/>
        <w:rPr>
          <w:rFonts w:ascii="仿宋" w:hAnsi="仿宋" w:eastAsia="仿宋" w:cs="Arial"/>
          <w:b/>
          <w:color w:val="auto"/>
          <w:kern w:val="0"/>
          <w:sz w:val="24"/>
          <w:szCs w:val="20"/>
          <w:highlight w:val="none"/>
        </w:rPr>
      </w:pPr>
      <w:r>
        <w:rPr>
          <w:rFonts w:hint="eastAsia" w:ascii="仿宋" w:hAnsi="仿宋" w:eastAsia="仿宋" w:cs="Arial"/>
          <w:b/>
          <w:color w:val="auto"/>
          <w:kern w:val="0"/>
          <w:sz w:val="24"/>
          <w:szCs w:val="20"/>
          <w:highlight w:val="none"/>
        </w:rPr>
        <w:t>1.5.3“采购组织机构”：</w:t>
      </w:r>
      <w:r>
        <w:rPr>
          <w:rFonts w:hint="eastAsia" w:ascii="仿宋" w:hAnsi="仿宋" w:eastAsia="仿宋" w:cs="Arial"/>
          <w:color w:val="auto"/>
          <w:sz w:val="24"/>
          <w:szCs w:val="20"/>
          <w:highlight w:val="none"/>
        </w:rPr>
        <w:t>是</w:t>
      </w:r>
      <w:r>
        <w:rPr>
          <w:rFonts w:hint="eastAsia" w:ascii="仿宋" w:hAnsi="仿宋" w:eastAsia="仿宋" w:cs="Arial"/>
          <w:color w:val="auto"/>
          <w:kern w:val="0"/>
          <w:sz w:val="24"/>
          <w:szCs w:val="20"/>
          <w:highlight w:val="none"/>
        </w:rPr>
        <w:t>指采购人和受采购人委托的采购代理机构；</w:t>
      </w:r>
    </w:p>
    <w:p w14:paraId="46F2CE19">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1.5.4“磋商响应供应商”（或磋商供应商或供应商）：</w:t>
      </w:r>
      <w:r>
        <w:rPr>
          <w:rFonts w:hint="eastAsia" w:ascii="仿宋" w:hAnsi="仿宋" w:eastAsia="仿宋" w:cs="Arial"/>
          <w:color w:val="auto"/>
          <w:sz w:val="24"/>
          <w:szCs w:val="20"/>
          <w:highlight w:val="none"/>
        </w:rPr>
        <w:t>是</w:t>
      </w:r>
      <w:r>
        <w:rPr>
          <w:rFonts w:hint="eastAsia" w:ascii="仿宋" w:hAnsi="仿宋" w:eastAsia="仿宋" w:cs="Arial"/>
          <w:color w:val="auto"/>
          <w:kern w:val="0"/>
          <w:sz w:val="24"/>
          <w:szCs w:val="20"/>
          <w:highlight w:val="none"/>
        </w:rPr>
        <w:t>指响应采购、参加投标竞争的法人、其他组织或者自然人；</w:t>
      </w:r>
    </w:p>
    <w:p w14:paraId="2C6D128B">
      <w:pPr>
        <w:autoSpaceDN w:val="0"/>
        <w:spacing w:line="360" w:lineRule="auto"/>
        <w:ind w:firstLine="426" w:firstLineChars="177"/>
        <w:rPr>
          <w:rFonts w:ascii="仿宋" w:hAnsi="仿宋" w:eastAsia="仿宋" w:cs="Arial"/>
          <w:color w:val="auto"/>
          <w:sz w:val="24"/>
          <w:szCs w:val="20"/>
          <w:highlight w:val="none"/>
        </w:rPr>
      </w:pPr>
      <w:r>
        <w:rPr>
          <w:rFonts w:hint="eastAsia" w:ascii="仿宋" w:hAnsi="仿宋" w:eastAsia="仿宋" w:cs="Arial"/>
          <w:b/>
          <w:color w:val="auto"/>
          <w:kern w:val="0"/>
          <w:sz w:val="24"/>
          <w:szCs w:val="20"/>
          <w:highlight w:val="none"/>
        </w:rPr>
        <w:t>1.5.5“磋商响应供应商代表”：</w:t>
      </w:r>
      <w:r>
        <w:rPr>
          <w:rFonts w:hint="eastAsia" w:ascii="仿宋" w:hAnsi="仿宋" w:eastAsia="仿宋" w:cs="Arial"/>
          <w:color w:val="auto"/>
          <w:sz w:val="24"/>
          <w:szCs w:val="20"/>
          <w:highlight w:val="none"/>
        </w:rPr>
        <w:t>是指参加本项目磋商活动的磋商响应供应商的法定代表人或法定代表人授权代表；</w:t>
      </w:r>
    </w:p>
    <w:p w14:paraId="02DEAF05">
      <w:pPr>
        <w:autoSpaceDN w:val="0"/>
        <w:spacing w:line="360" w:lineRule="auto"/>
        <w:ind w:firstLine="426" w:firstLineChars="177"/>
        <w:rPr>
          <w:rFonts w:ascii="仿宋" w:hAnsi="仿宋" w:eastAsia="仿宋" w:cs="Arial"/>
          <w:color w:val="auto"/>
          <w:sz w:val="24"/>
          <w:szCs w:val="20"/>
          <w:highlight w:val="none"/>
        </w:rPr>
      </w:pPr>
      <w:r>
        <w:rPr>
          <w:rFonts w:hint="eastAsia" w:ascii="仿宋" w:hAnsi="仿宋" w:eastAsia="仿宋" w:cs="Arial"/>
          <w:b/>
          <w:color w:val="auto"/>
          <w:kern w:val="0"/>
          <w:sz w:val="24"/>
          <w:szCs w:val="20"/>
          <w:highlight w:val="none"/>
        </w:rPr>
        <w:t>1.5.6“</w:t>
      </w:r>
      <w:r>
        <w:rPr>
          <w:rFonts w:hint="eastAsia" w:ascii="仿宋" w:hAnsi="仿宋" w:eastAsia="仿宋" w:cs="Arial"/>
          <w:b/>
          <w:color w:val="auto"/>
          <w:sz w:val="24"/>
          <w:szCs w:val="20"/>
          <w:highlight w:val="none"/>
        </w:rPr>
        <w:t>磋商联合体</w:t>
      </w:r>
      <w:r>
        <w:rPr>
          <w:rFonts w:hint="eastAsia" w:ascii="仿宋" w:hAnsi="仿宋" w:eastAsia="仿宋" w:cs="Arial"/>
          <w:b/>
          <w:color w:val="auto"/>
          <w:kern w:val="0"/>
          <w:sz w:val="24"/>
          <w:szCs w:val="20"/>
          <w:highlight w:val="none"/>
        </w:rPr>
        <w:t>”</w:t>
      </w:r>
      <w:r>
        <w:rPr>
          <w:rFonts w:hint="eastAsia" w:ascii="仿宋" w:hAnsi="仿宋" w:eastAsia="仿宋" w:cs="Arial"/>
          <w:b/>
          <w:color w:val="auto"/>
          <w:sz w:val="24"/>
          <w:szCs w:val="20"/>
          <w:highlight w:val="none"/>
        </w:rPr>
        <w:t>：</w:t>
      </w:r>
      <w:r>
        <w:rPr>
          <w:rFonts w:hint="eastAsia" w:ascii="仿宋" w:hAnsi="仿宋" w:eastAsia="仿宋" w:cs="Arial"/>
          <w:color w:val="auto"/>
          <w:sz w:val="24"/>
          <w:szCs w:val="20"/>
          <w:highlight w:val="none"/>
        </w:rPr>
        <w:t>是指两个或以上供应商组成联合体，以一个磋商响应供应商的身份参加磋商响应；</w:t>
      </w:r>
    </w:p>
    <w:p w14:paraId="310B4E37">
      <w:pPr>
        <w:autoSpaceDN w:val="0"/>
        <w:spacing w:line="360" w:lineRule="auto"/>
        <w:ind w:firstLine="426" w:firstLineChars="177"/>
        <w:rPr>
          <w:rFonts w:ascii="仿宋" w:hAnsi="仿宋" w:eastAsia="仿宋" w:cs="Arial"/>
          <w:color w:val="auto"/>
          <w:sz w:val="24"/>
          <w:szCs w:val="20"/>
          <w:highlight w:val="none"/>
        </w:rPr>
      </w:pPr>
      <w:r>
        <w:rPr>
          <w:rFonts w:hint="eastAsia" w:ascii="仿宋" w:hAnsi="仿宋" w:eastAsia="仿宋" w:cs="Arial"/>
          <w:b/>
          <w:color w:val="auto"/>
          <w:kern w:val="0"/>
          <w:sz w:val="24"/>
          <w:szCs w:val="20"/>
          <w:highlight w:val="none"/>
        </w:rPr>
        <w:t>1.5.7“成交供应商”（或中标供应商）：</w:t>
      </w:r>
      <w:r>
        <w:rPr>
          <w:rFonts w:hint="eastAsia" w:ascii="仿宋" w:hAnsi="仿宋" w:eastAsia="仿宋" w:cs="Arial"/>
          <w:color w:val="auto"/>
          <w:kern w:val="0"/>
          <w:sz w:val="24"/>
          <w:szCs w:val="20"/>
          <w:highlight w:val="none"/>
        </w:rPr>
        <w:t>是指经磋商小组推荐并经采购人确认的成交单位，</w:t>
      </w:r>
      <w:r>
        <w:rPr>
          <w:rFonts w:hint="eastAsia" w:ascii="仿宋" w:hAnsi="仿宋" w:eastAsia="仿宋" w:cs="Arial"/>
          <w:b/>
          <w:color w:val="auto"/>
          <w:kern w:val="0"/>
          <w:sz w:val="24"/>
          <w:szCs w:val="20"/>
          <w:highlight w:val="none"/>
        </w:rPr>
        <w:t>即政府采购合同中的“乙方”</w:t>
      </w:r>
      <w:r>
        <w:rPr>
          <w:rFonts w:hint="eastAsia" w:ascii="仿宋" w:hAnsi="仿宋" w:eastAsia="仿宋" w:cs="Arial"/>
          <w:color w:val="auto"/>
          <w:kern w:val="0"/>
          <w:sz w:val="24"/>
          <w:szCs w:val="20"/>
          <w:highlight w:val="none"/>
        </w:rPr>
        <w:t>；</w:t>
      </w:r>
    </w:p>
    <w:p w14:paraId="44CA0452">
      <w:pPr>
        <w:autoSpaceDN w:val="0"/>
        <w:spacing w:line="360" w:lineRule="auto"/>
        <w:ind w:firstLine="426" w:firstLineChars="177"/>
        <w:rPr>
          <w:rFonts w:ascii="仿宋" w:hAnsi="仿宋" w:eastAsia="仿宋" w:cs="Arial"/>
          <w:b/>
          <w:color w:val="auto"/>
          <w:kern w:val="0"/>
          <w:sz w:val="24"/>
          <w:szCs w:val="20"/>
          <w:highlight w:val="none"/>
        </w:rPr>
      </w:pPr>
      <w:r>
        <w:rPr>
          <w:rFonts w:hint="eastAsia" w:ascii="仿宋" w:hAnsi="仿宋" w:eastAsia="仿宋" w:cs="Arial"/>
          <w:b/>
          <w:color w:val="auto"/>
          <w:kern w:val="0"/>
          <w:sz w:val="24"/>
          <w:szCs w:val="20"/>
          <w:highlight w:val="none"/>
        </w:rPr>
        <w:t>1.5.8“同级政府采购监督管理部门”：是指“</w:t>
      </w:r>
      <w:r>
        <w:rPr>
          <w:rFonts w:hint="eastAsia" w:ascii="仿宋" w:hAnsi="仿宋" w:eastAsia="仿宋" w:cs="Arial"/>
          <w:b/>
          <w:color w:val="auto"/>
          <w:kern w:val="0"/>
          <w:sz w:val="24"/>
          <w:szCs w:val="20"/>
          <w:highlight w:val="none"/>
          <w:u w:val="single"/>
        </w:rPr>
        <w:t>浙江省财政厅政府采购监管处</w:t>
      </w:r>
      <w:r>
        <w:rPr>
          <w:rFonts w:hint="eastAsia" w:ascii="仿宋" w:hAnsi="仿宋" w:eastAsia="仿宋" w:cs="Arial"/>
          <w:b/>
          <w:color w:val="auto"/>
          <w:kern w:val="0"/>
          <w:sz w:val="24"/>
          <w:szCs w:val="20"/>
          <w:highlight w:val="none"/>
        </w:rPr>
        <w:t>”；</w:t>
      </w:r>
    </w:p>
    <w:p w14:paraId="5A39EE47">
      <w:pPr>
        <w:autoSpaceDN w:val="0"/>
        <w:spacing w:line="360" w:lineRule="auto"/>
        <w:ind w:firstLine="426" w:firstLineChars="177"/>
        <w:rPr>
          <w:rFonts w:ascii="仿宋" w:hAnsi="仿宋" w:eastAsia="仿宋" w:cs="Arial"/>
          <w:color w:val="auto"/>
          <w:sz w:val="24"/>
          <w:szCs w:val="20"/>
          <w:highlight w:val="none"/>
        </w:rPr>
      </w:pPr>
      <w:r>
        <w:rPr>
          <w:rFonts w:hint="eastAsia" w:ascii="仿宋" w:hAnsi="仿宋" w:eastAsia="仿宋" w:cs="Arial"/>
          <w:b/>
          <w:bCs/>
          <w:color w:val="auto"/>
          <w:sz w:val="24"/>
          <w:szCs w:val="20"/>
          <w:highlight w:val="none"/>
        </w:rPr>
        <w:t>1.5.9“中小企业（含中型、小型、微型）”：</w:t>
      </w:r>
      <w:r>
        <w:rPr>
          <w:rFonts w:hint="eastAsia" w:ascii="仿宋" w:hAnsi="仿宋" w:eastAsia="仿宋" w:cs="Arial"/>
          <w:color w:val="auto"/>
          <w:sz w:val="24"/>
          <w:szCs w:val="20"/>
          <w:highlight w:val="none"/>
        </w:rPr>
        <w:t>是指在中华人民共和国境内依法设立，依据国务院批准的中小企业划分标准（工信部联企业[2011]300号）确定的中型企业、小型企业和微型企业，但与大企业的负责人为同一人，或者与大企业存在直接控股、管理关系的除外。</w:t>
      </w:r>
    </w:p>
    <w:p w14:paraId="02F0C33B">
      <w:pPr>
        <w:autoSpaceDN w:val="0"/>
        <w:spacing w:line="360" w:lineRule="auto"/>
        <w:ind w:firstLine="424" w:firstLineChars="177"/>
        <w:rPr>
          <w:rFonts w:ascii="仿宋" w:hAnsi="仿宋" w:eastAsia="仿宋" w:cs="Arial"/>
          <w:color w:val="auto"/>
          <w:sz w:val="24"/>
          <w:szCs w:val="20"/>
          <w:highlight w:val="none"/>
        </w:rPr>
      </w:pPr>
      <w:r>
        <w:rPr>
          <w:rFonts w:hint="eastAsia" w:ascii="仿宋" w:hAnsi="仿宋" w:eastAsia="仿宋" w:cs="Arial"/>
          <w:color w:val="auto"/>
          <w:sz w:val="24"/>
          <w:szCs w:val="20"/>
          <w:highlight w:val="none"/>
        </w:rPr>
        <w:t>符合中小企业划分标准的个体工商户，在政府采购活动中视同中小企业。</w:t>
      </w:r>
    </w:p>
    <w:p w14:paraId="0A8D90EA">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1.5.10“监狱企业”：</w:t>
      </w:r>
      <w:r>
        <w:rPr>
          <w:rFonts w:hint="eastAsia" w:ascii="仿宋" w:hAnsi="仿宋" w:eastAsia="仿宋" w:cs="Arial"/>
          <w:color w:val="auto"/>
          <w:kern w:val="0"/>
          <w:sz w:val="24"/>
          <w:szCs w:val="20"/>
          <w:highlight w:val="none"/>
        </w:rPr>
        <w:t>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7900051">
      <w:pPr>
        <w:autoSpaceDN w:val="0"/>
        <w:spacing w:line="360" w:lineRule="auto"/>
        <w:ind w:firstLine="426" w:firstLineChars="177"/>
        <w:rPr>
          <w:rFonts w:ascii="仿宋" w:hAnsi="仿宋" w:eastAsia="仿宋" w:cs="Arial"/>
          <w:color w:val="auto"/>
          <w:sz w:val="24"/>
          <w:szCs w:val="20"/>
          <w:highlight w:val="none"/>
        </w:rPr>
      </w:pPr>
      <w:r>
        <w:rPr>
          <w:rFonts w:hint="eastAsia" w:ascii="仿宋" w:hAnsi="仿宋" w:eastAsia="仿宋" w:cs="Arial"/>
          <w:b/>
          <w:color w:val="auto"/>
          <w:kern w:val="0"/>
          <w:sz w:val="24"/>
          <w:szCs w:val="20"/>
          <w:highlight w:val="none"/>
        </w:rPr>
        <w:t>1.5.11“残疾人福利性单位”：</w:t>
      </w:r>
      <w:r>
        <w:rPr>
          <w:rFonts w:hint="eastAsia" w:ascii="仿宋" w:hAnsi="仿宋" w:eastAsia="仿宋" w:cs="Arial"/>
          <w:color w:val="auto"/>
          <w:kern w:val="0"/>
          <w:sz w:val="24"/>
          <w:szCs w:val="20"/>
          <w:highlight w:val="none"/>
        </w:rPr>
        <w:t>是指符合《财政部 民政部 中国残疾人联合会关于促进残疾人就业政府采购政策的通知》（财库〔2017〕141号）的规定单位；</w:t>
      </w:r>
    </w:p>
    <w:p w14:paraId="2625E8A5">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1.5.12“项目”：</w:t>
      </w:r>
      <w:r>
        <w:rPr>
          <w:rFonts w:hint="eastAsia" w:ascii="仿宋" w:hAnsi="仿宋" w:eastAsia="仿宋" w:cs="Arial"/>
          <w:color w:val="auto"/>
          <w:kern w:val="0"/>
          <w:sz w:val="24"/>
          <w:szCs w:val="20"/>
          <w:highlight w:val="none"/>
        </w:rPr>
        <w:t>是指磋商响应供应商按竞争性磋商文件规定向采购人提供的货物或服务或工程；</w:t>
      </w:r>
    </w:p>
    <w:p w14:paraId="384AF0A1">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1.5.13“书面形式”：</w:t>
      </w:r>
      <w:r>
        <w:rPr>
          <w:rFonts w:hint="eastAsia" w:ascii="仿宋" w:hAnsi="仿宋" w:eastAsia="仿宋" w:cs="Arial"/>
          <w:color w:val="auto"/>
          <w:kern w:val="0"/>
          <w:sz w:val="24"/>
          <w:szCs w:val="20"/>
          <w:highlight w:val="none"/>
        </w:rPr>
        <w:t>是指加盖有单位公章的信函、传真、电子扫描件等；</w:t>
      </w:r>
    </w:p>
    <w:p w14:paraId="2359EC3B">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1.5.14“个人有效身份证明”：</w:t>
      </w:r>
      <w:r>
        <w:rPr>
          <w:rFonts w:hint="eastAsia" w:ascii="仿宋" w:hAnsi="仿宋" w:eastAsia="仿宋" w:cs="Arial"/>
          <w:color w:val="auto"/>
          <w:kern w:val="0"/>
          <w:sz w:val="24"/>
          <w:szCs w:val="20"/>
          <w:highlight w:val="none"/>
        </w:rPr>
        <w:t>是指有效的居民身份证、临时居民身份证、护照、驾驶证等，有期限规定的证件在有效期内方为有效；</w:t>
      </w:r>
    </w:p>
    <w:p w14:paraId="74997F3B">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1.5.15“制造商”：</w:t>
      </w:r>
      <w:r>
        <w:rPr>
          <w:rFonts w:hint="eastAsia" w:ascii="仿宋" w:hAnsi="仿宋" w:eastAsia="仿宋" w:cs="Arial"/>
          <w:color w:val="auto"/>
          <w:kern w:val="0"/>
          <w:sz w:val="24"/>
          <w:szCs w:val="20"/>
          <w:highlight w:val="none"/>
        </w:rPr>
        <w:t>是指拥有投标产品自主知识产权的单位；</w:t>
      </w:r>
    </w:p>
    <w:p w14:paraId="5372EFB9">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1.5.16“竞争性磋商文件（或磋商文件或采购文件）”：</w:t>
      </w:r>
      <w:r>
        <w:rPr>
          <w:rFonts w:hint="eastAsia" w:ascii="仿宋" w:hAnsi="仿宋" w:eastAsia="仿宋" w:cs="Arial"/>
          <w:color w:val="auto"/>
          <w:kern w:val="0"/>
          <w:sz w:val="24"/>
          <w:szCs w:val="20"/>
          <w:highlight w:val="none"/>
        </w:rPr>
        <w:t>是指本文件；</w:t>
      </w:r>
    </w:p>
    <w:p w14:paraId="0F28F235">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1.5.17“进口产品”：</w:t>
      </w:r>
      <w:r>
        <w:rPr>
          <w:rFonts w:hint="eastAsia" w:ascii="仿宋" w:hAnsi="仿宋" w:eastAsia="仿宋" w:cs="Arial"/>
          <w:color w:val="auto"/>
          <w:kern w:val="0"/>
          <w:sz w:val="24"/>
          <w:szCs w:val="20"/>
          <w:highlight w:val="none"/>
        </w:rPr>
        <w:t>是指通过中国海关报关验放进入中国境内且产自关境外的产品；</w:t>
      </w:r>
    </w:p>
    <w:p w14:paraId="635EF86F">
      <w:pPr>
        <w:autoSpaceDN w:val="0"/>
        <w:spacing w:line="360" w:lineRule="auto"/>
        <w:ind w:firstLine="426" w:firstLineChars="177"/>
        <w:rPr>
          <w:rFonts w:ascii="仿宋" w:hAnsi="仿宋" w:eastAsia="仿宋" w:cs="Arial"/>
          <w:b/>
          <w:color w:val="auto"/>
          <w:kern w:val="0"/>
          <w:sz w:val="24"/>
          <w:szCs w:val="20"/>
          <w:highlight w:val="none"/>
        </w:rPr>
      </w:pPr>
      <w:r>
        <w:rPr>
          <w:rFonts w:hint="eastAsia" w:ascii="仿宋" w:hAnsi="仿宋" w:eastAsia="仿宋" w:cs="Arial"/>
          <w:b/>
          <w:color w:val="auto"/>
          <w:kern w:val="0"/>
          <w:sz w:val="24"/>
          <w:szCs w:val="20"/>
          <w:highlight w:val="none"/>
        </w:rPr>
        <w:t>1.5.18“实质性条款（或要求）”：</w:t>
      </w:r>
      <w:r>
        <w:rPr>
          <w:rFonts w:hint="eastAsia" w:ascii="仿宋" w:hAnsi="仿宋" w:eastAsia="仿宋" w:cs="Arial"/>
          <w:b/>
          <w:color w:val="auto"/>
          <w:kern w:val="0"/>
          <w:sz w:val="24"/>
          <w:szCs w:val="20"/>
          <w:highlight w:val="none"/>
          <w:u w:val="single"/>
        </w:rPr>
        <w:t>是指本文件《第四章 采购内容及技术要求》中标注“▲”号的技术或商务条款（或要求），供应商磋商响应时应对所有“实质性条款（或要求）”作出实质性响应，且不得出现负偏离，否则磋商响应无效</w:t>
      </w:r>
      <w:r>
        <w:rPr>
          <w:rFonts w:hint="eastAsia" w:ascii="仿宋" w:hAnsi="仿宋" w:eastAsia="仿宋" w:cs="Arial"/>
          <w:b/>
          <w:color w:val="auto"/>
          <w:kern w:val="0"/>
          <w:sz w:val="24"/>
          <w:szCs w:val="20"/>
          <w:highlight w:val="none"/>
        </w:rPr>
        <w:t>；</w:t>
      </w:r>
    </w:p>
    <w:p w14:paraId="720A3464">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Arial"/>
          <w:b/>
          <w:color w:val="auto"/>
          <w:kern w:val="0"/>
          <w:sz w:val="24"/>
          <w:szCs w:val="20"/>
          <w:highlight w:val="none"/>
        </w:rPr>
        <w:t>1.5.19“活页装订”：</w:t>
      </w:r>
      <w:r>
        <w:rPr>
          <w:rFonts w:hint="eastAsia" w:ascii="仿宋" w:hAnsi="仿宋" w:eastAsia="仿宋" w:cs="Arial"/>
          <w:color w:val="auto"/>
          <w:kern w:val="0"/>
          <w:sz w:val="24"/>
          <w:szCs w:val="20"/>
          <w:highlight w:val="none"/>
        </w:rPr>
        <w:t>是指不借助工具的情况下就随时可以拆卸替换复原或翻阅时容易自行脱落的装订方式。</w:t>
      </w:r>
    </w:p>
    <w:p w14:paraId="1AC1F18E">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color w:val="auto"/>
          <w:sz w:val="24"/>
          <w:szCs w:val="20"/>
          <w:highlight w:val="none"/>
        </w:rPr>
        <w:t>1.5.20“重大偏离”或“保留”：</w:t>
      </w:r>
      <w:r>
        <w:rPr>
          <w:rFonts w:hint="eastAsia" w:ascii="仿宋" w:hAnsi="仿宋" w:eastAsia="仿宋" w:cs="Times New Roman"/>
          <w:color w:val="auto"/>
          <w:sz w:val="24"/>
          <w:szCs w:val="20"/>
          <w:highlight w:val="none"/>
        </w:rPr>
        <w:t>是指将会影响到磋商文件规定的服务范围、质量标准，或会给合同中规定的采购人的权利和磋商响应供应商的责任造成实质性限制，而纠正这些偏离或保留将对其他递交了实质性响应的磋商响应文件的磋商响应供应商产生不公平影响的。</w:t>
      </w:r>
    </w:p>
    <w:p w14:paraId="43D4FEBA">
      <w:pPr>
        <w:autoSpaceDN w:val="0"/>
        <w:spacing w:line="360" w:lineRule="auto"/>
        <w:ind w:firstLine="426" w:firstLineChars="177"/>
        <w:rPr>
          <w:rFonts w:ascii="仿宋" w:hAnsi="仿宋" w:eastAsia="仿宋" w:cs="Arial"/>
          <w:color w:val="auto"/>
          <w:kern w:val="0"/>
          <w:sz w:val="24"/>
          <w:szCs w:val="20"/>
          <w:highlight w:val="none"/>
        </w:rPr>
      </w:pPr>
      <w:r>
        <w:rPr>
          <w:rFonts w:hint="eastAsia" w:ascii="仿宋" w:hAnsi="仿宋" w:eastAsia="仿宋" w:cs="Times New Roman"/>
          <w:b/>
          <w:color w:val="auto"/>
          <w:sz w:val="24"/>
          <w:szCs w:val="20"/>
          <w:highlight w:val="none"/>
        </w:rPr>
        <w:t>1.5.21“细微偏离”</w:t>
      </w:r>
      <w:r>
        <w:rPr>
          <w:rFonts w:hint="eastAsia" w:ascii="仿宋" w:hAnsi="仿宋" w:eastAsia="仿宋" w:cs="Times New Roman"/>
          <w:color w:val="auto"/>
          <w:sz w:val="24"/>
          <w:szCs w:val="20"/>
          <w:highlight w:val="none"/>
        </w:rPr>
        <w:t>：是指磋商响应文件对磋商文件的非实质性内容存在不完全响应或不响应。</w:t>
      </w:r>
    </w:p>
    <w:p w14:paraId="4974ED2A">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1.6 投标委托</w:t>
      </w:r>
    </w:p>
    <w:p w14:paraId="2A3A5056">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kern w:val="0"/>
          <w:sz w:val="24"/>
          <w:szCs w:val="20"/>
          <w:highlight w:val="none"/>
        </w:rPr>
        <w:t>磋商响应供应商的法定代表人可以授权其单位的其他在职员工全权代表其处理与本次磋商有关的事项，但其授权代表必须持有法定代表人出具的《法定代表人授权委托书》（格式见第六章磋商响应文件格式），《法定代表人授权委托书》</w:t>
      </w:r>
      <w:r>
        <w:rPr>
          <w:rFonts w:hint="eastAsia" w:ascii="仿宋" w:hAnsi="仿宋" w:eastAsia="仿宋" w:cs="Times New Roman"/>
          <w:b/>
          <w:color w:val="auto"/>
          <w:sz w:val="24"/>
          <w:szCs w:val="20"/>
          <w:highlight w:val="none"/>
        </w:rPr>
        <w:t>必须经法定代表人签字（或盖章），否则视为无效授权（等同未提供）。</w:t>
      </w:r>
    </w:p>
    <w:p w14:paraId="552CF414">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1.7.1是否接受联合体磋商响应：</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422864FB">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1.7.2《磋商须知前附表》规定接受联合体磋商的，参加磋商的联合体应遵守以下规定：</w:t>
      </w:r>
    </w:p>
    <w:p w14:paraId="1977E9CC">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（1）两个或以上供应商可以组成一个联合体，以一个磋商响应供应商的身份共同参加磋商；</w:t>
      </w:r>
    </w:p>
    <w:p w14:paraId="0E1C927F">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（2）两个或以上供应商组成联合体参加本项目磋商响应的，在登记获取竞争性磋商文件时应予以说明备注，并在资格文件中递交《联合投标协议书》，未递交《联合投标协议书》的联合体无效；</w:t>
      </w:r>
    </w:p>
    <w:p w14:paraId="05967339">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3）以联合体形式参加本项目磋商的，联合体的各成员均应当具备《中华人民共和国政府采购法》第二十二条规定的条件，联合体各方中至少应当有一方符合采购人规定的特定条件，联合体中有同类资质（以及荣誉、等级证书等资信内容）的供应商按照联合体分工承担相同工作的，按照资质等级较低的供应商确定资质（以及荣誉、等级证书等资信内容）等级；</w:t>
      </w:r>
    </w:p>
    <w:p w14:paraId="1A35D397">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4）联合体各方之间须签订《联合投标协议书》，明确约定联合体各方承担的工作和相应的责任，在《联合投标协议书》中指定本项目主办人，并将《联合投标协议书》作为磋商响应文件组成的一部分；本项目的主体、关键性工作须由主办人完成，并在《联合投标协议书》中进行说明；</w:t>
      </w:r>
    </w:p>
    <w:p w14:paraId="6A5954D4">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（5）联合体各方签订《联合投标协议书》后，不得再以自己名义单独在本项目中参加磋商，也不得组成新的联合体参加本项目磋商；</w:t>
      </w:r>
    </w:p>
    <w:p w14:paraId="0A898761">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（6）联合体各方共同与采购人签订采购合同，就采购合同约定的事项对采购人承担连带责任；</w:t>
      </w:r>
    </w:p>
    <w:p w14:paraId="3A187DA0">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（7）联合体磋商响应文件应由主办人按规定进行签章；</w:t>
      </w:r>
    </w:p>
    <w:p w14:paraId="1B3C742E">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（8）采购代理服务费可由主办人一方缴纳，也可以由联合体各方共同缴纳（具体缴纳金额须在《联合投标协议书》中明确）。</w:t>
      </w:r>
    </w:p>
    <w:p w14:paraId="36B21965">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1.8 进口产品磋商响应</w:t>
      </w:r>
    </w:p>
    <w:p w14:paraId="5B8C1CEB">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1.8.1是否允许进口产品磋商响应：</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10E60A53">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1.8.2</w:t>
      </w:r>
      <w:r>
        <w:rPr>
          <w:rFonts w:hint="eastAsia" w:ascii="仿宋" w:hAnsi="仿宋" w:eastAsia="仿宋" w:cs="Times New Roman"/>
          <w:b/>
          <w:color w:val="auto"/>
          <w:kern w:val="0"/>
          <w:sz w:val="24"/>
          <w:szCs w:val="20"/>
          <w:highlight w:val="none"/>
          <w:u w:val="single"/>
        </w:rPr>
        <w:t>《磋商须知前附表》未标明允许进口产品磋商的合同项（标项）一律拒绝“进口产品”参加磋商响应。“进口产品”系指通过中国海关报关验放进入中国境内且产自关境外的产品，“国外品牌产品”不等于“进口产品”</w:t>
      </w:r>
      <w:r>
        <w:rPr>
          <w:rFonts w:hint="eastAsia" w:ascii="仿宋" w:hAnsi="仿宋" w:eastAsia="仿宋" w:cs="Times New Roman"/>
          <w:b/>
          <w:color w:val="auto"/>
          <w:kern w:val="0"/>
          <w:sz w:val="24"/>
          <w:szCs w:val="20"/>
          <w:highlight w:val="none"/>
        </w:rPr>
        <w:t>。</w:t>
      </w:r>
    </w:p>
    <w:p w14:paraId="3620B4D8">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1.9 磋商费用</w:t>
      </w:r>
    </w:p>
    <w:p w14:paraId="45224917">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1.9.1不论磋商结果如何，磋商响应供应商均应自行承担所有与投标有关的全部费用，采购组织机构概不负责；</w:t>
      </w:r>
    </w:p>
    <w:p w14:paraId="3C2311BE">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1.9.2合同实施过程中，成交供应商须与采购人积极配合。成交供应商自行承担本次采购活动中所发生的全部费用。</w:t>
      </w:r>
    </w:p>
    <w:p w14:paraId="04274061">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1.10 语言文字及计量单位</w:t>
      </w:r>
    </w:p>
    <w:p w14:paraId="6935C88A">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1.10.1语言文字：</w:t>
      </w:r>
      <w:r>
        <w:rPr>
          <w:rFonts w:hint="eastAsia" w:ascii="仿宋" w:hAnsi="仿宋" w:eastAsia="仿宋" w:cs="Times New Roman"/>
          <w:color w:val="auto"/>
          <w:kern w:val="0"/>
          <w:sz w:val="24"/>
          <w:szCs w:val="20"/>
          <w:highlight w:val="none"/>
        </w:rPr>
        <w:t>除专业术语、签名、盖章、名称等特殊情形外，与本次采购工作有关的所有材料、来往函电语言均应使用中文，专业术语、名称应附有中文注释。</w:t>
      </w:r>
      <w:r>
        <w:rPr>
          <w:rFonts w:hint="eastAsia" w:ascii="仿宋" w:hAnsi="仿宋" w:eastAsia="仿宋" w:cs="Times New Roman"/>
          <w:b/>
          <w:color w:val="auto"/>
          <w:kern w:val="0"/>
          <w:sz w:val="24"/>
          <w:szCs w:val="20"/>
          <w:highlight w:val="none"/>
        </w:rPr>
        <w:t>仅以中文以外的文字表述的材料视同未提供。</w:t>
      </w:r>
    </w:p>
    <w:p w14:paraId="2C59E358">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1.10.2计量单位：</w:t>
      </w:r>
      <w:r>
        <w:rPr>
          <w:rFonts w:hint="eastAsia" w:ascii="仿宋" w:hAnsi="仿宋" w:eastAsia="仿宋" w:cs="Times New Roman"/>
          <w:color w:val="auto"/>
          <w:kern w:val="0"/>
          <w:sz w:val="24"/>
          <w:szCs w:val="20"/>
          <w:highlight w:val="none"/>
        </w:rPr>
        <w:t>竞争性磋商文件已有明确规定的，使用竞争性磋商文件规定的计量单位；</w:t>
      </w:r>
      <w:r>
        <w:rPr>
          <w:rFonts w:hint="eastAsia" w:ascii="仿宋" w:hAnsi="仿宋" w:eastAsia="仿宋" w:cs="Times New Roman"/>
          <w:b/>
          <w:color w:val="auto"/>
          <w:kern w:val="0"/>
          <w:sz w:val="24"/>
          <w:szCs w:val="20"/>
          <w:highlight w:val="none"/>
        </w:rPr>
        <w:t>竞争性磋商文件没有规定的，应采用中华人民共和国法定计量单位，否则视同未响应。</w:t>
      </w:r>
    </w:p>
    <w:p w14:paraId="0D38EDDE">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1.11 现场勘查</w:t>
      </w:r>
    </w:p>
    <w:p w14:paraId="57697422">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1.11.1现场勘查时间、地点、联系人：</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1DD7683E">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1.11.2《磋商须知前附表》规定组织统一现场勘查的，采购人将按《磋商须知前附表》规定的时间统一开放现场场地以便供应商进行现场勘查，此外其他任何时间采购人不再统一安排供应商进行现场勘查工作（特殊情形除外）；</w:t>
      </w:r>
    </w:p>
    <w:p w14:paraId="48EF23C9">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1.11.3供应商应自行前往规定的地点参加现场勘查，因参加现场勘查而发生的所有费用由供应商自行承担；</w:t>
      </w:r>
    </w:p>
    <w:p w14:paraId="180DFDFF">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1.11.4现场勘查过程中，供应商应注意勘查安全，除采购人的原因外，供应商在踏勘现场中所发生的人员伤亡和财产损失由供应商自行承担；</w:t>
      </w:r>
    </w:p>
    <w:p w14:paraId="4F853D8A">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1.11.5采购人在现场勘查中介绍的场地和相关的周边环境情况，仅供供应商在编制磋商响应文件时参考，采购人不对供应商据此作出的判断和决策负责。</w:t>
      </w:r>
    </w:p>
    <w:p w14:paraId="59848A9C">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1.12 标前答疑会</w:t>
      </w:r>
    </w:p>
    <w:p w14:paraId="7B614D31">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1.12.1标前答疑会时间、地点：</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sz w:val="24"/>
          <w:szCs w:val="20"/>
          <w:highlight w:val="none"/>
        </w:rPr>
        <w:t>；</w:t>
      </w:r>
    </w:p>
    <w:p w14:paraId="5A3D5404">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1.12.2前附表规定召开标前答疑会的，采购组织机构按《磋商须知前附表》规定的时间和地点召开标前答疑会，澄清供应商提出的问题；</w:t>
      </w:r>
    </w:p>
    <w:p w14:paraId="04CFB5E9">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1.12.3供应商应在答疑会时间的2日前，以书面形式将需要提出的问题送达采购组织机构，以便采购组织机构在会议期间澄清；</w:t>
      </w:r>
    </w:p>
    <w:p w14:paraId="1564C0C6">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1.12.4不召开标前答疑会或标前答疑会完成后的其他时间，采购组织机构将按本章第3.2款“竞争性磋商文件的提疑”、第3.3款“竞争性磋商文件的澄清、修改（更正）”相关规定对供应商所提问题进行澄清答复。</w:t>
      </w:r>
    </w:p>
    <w:p w14:paraId="66762616">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1.13 关联供应商投标限制</w:t>
      </w:r>
    </w:p>
    <w:p w14:paraId="1B59044A">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本竞争性磋商文件所称“关联企业”，是指存在关联关系的企业；“关联关系”的界定适用《中华人民共和国公司法》217条之规定。</w:t>
      </w:r>
    </w:p>
    <w:p w14:paraId="68546020">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1.13.1单位负责人为同一人或者存在直接控股、管理关系的不同供应商参加同一合同项下的政府采购活动的，相关磋商响应供应商均作资格无效处理。</w:t>
      </w:r>
    </w:p>
    <w:p w14:paraId="15053D1F">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1.13.2不同供应商之间存在以下利害关系并且存在影响政府采购公平竞争行为的，不得参加同一合同项下的政府采购活动，相关磋商响应供应商的磋商响应均作无效处理：</w:t>
      </w:r>
    </w:p>
    <w:p w14:paraId="25BA26A4">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（1）法定代表人或负责人或实际控制人是夫妻关系；</w:t>
      </w:r>
    </w:p>
    <w:p w14:paraId="73F29205">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（2）法定代表人或负责人或实际控制人是直系血亲关系；</w:t>
      </w:r>
    </w:p>
    <w:p w14:paraId="0E940605">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（3）法定代表人或负责人或实际控制人存在三代以内旁系血亲关系；</w:t>
      </w:r>
    </w:p>
    <w:p w14:paraId="42A88572">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（4）法定代表人或负责人或实际控制人存在近姻亲关系；</w:t>
      </w:r>
    </w:p>
    <w:p w14:paraId="75D980C9">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（5）法定代表人或负责人或实际控制人存在股份控制或实际控制关系；</w:t>
      </w:r>
    </w:p>
    <w:p w14:paraId="10B759E1">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（6）存在共同直接或间接投资设立子公司、联营企业和合营企业情况；</w:t>
      </w:r>
    </w:p>
    <w:p w14:paraId="50ABF309">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（7）存在分级代理或代销关系、同一生产制造商关系、管理关系、重要业务（占主营业务收入50%以上）或重要财务往来关系（如融资）等其他实质性控制关系。</w:t>
      </w:r>
    </w:p>
    <w:p w14:paraId="2C649955">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1.13.3除单一来源采购项目外，为采购项目提供整体设计、规范编制或者项目管理、监理、检测等服务的供应商，不得再参加该采购项目的其他采购活动，相关磋商响应供应商的磋商响应作无效处理。</w:t>
      </w:r>
    </w:p>
    <w:p w14:paraId="5AADFBB3">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1.13.4（综合评分法、单一产品采购项目适用）提供相同品牌产品且通过资格审查、符合性审查的不同磋商响应供应商参加同一合同项下磋商的，按一家磋商响应供应商计算，评审后综合得分最高的同品牌磋商响应供应商获得成交供应商推荐资格；综合得分相同时，最后报价最低的磋商响应供应商获得成交供应商推荐资格；综合得分和最后报价均相同时，商务技术分最高的磋商响应供应商获得成交供应商推荐资格；综合得分、最后报价、商务技术分均相同时，由磋商小组按少数服从多数的原则，集体决定；其他同品牌磋商响应供应商不作为成交候选供应商。</w:t>
      </w:r>
    </w:p>
    <w:p w14:paraId="52FE32BE">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1.13.5（综合评分法、非单一产品采购项目适用）通过资格审查、符合性审查的不同磋商响应供应商参加同一合同项下磋商响应时，提供的核心产品品牌均相同的，按照第1.13.4款处理；本项目核心产品内容见《磋商须知前附表》。</w:t>
      </w:r>
    </w:p>
    <w:p w14:paraId="5D4B7C1F">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1.14 特殊供应商投标规定</w:t>
      </w:r>
    </w:p>
    <w:p w14:paraId="7BC94CC7">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Arial"/>
          <w:b/>
          <w:color w:val="auto"/>
          <w:sz w:val="24"/>
          <w:szCs w:val="20"/>
          <w:highlight w:val="none"/>
        </w:rPr>
        <w:t>根据《关于规范政府采购供应商资格设定及资格审查的通知（浙财采监【2013】24号）》第六条规定，</w:t>
      </w:r>
      <w:r>
        <w:rPr>
          <w:rFonts w:hint="eastAsia" w:ascii="仿宋" w:hAnsi="仿宋" w:eastAsia="仿宋" w:cs="Times New Roman"/>
          <w:b/>
          <w:color w:val="auto"/>
          <w:kern w:val="0"/>
          <w:sz w:val="24"/>
          <w:szCs w:val="20"/>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14:paraId="3E18E473">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1.15 转包、分包</w:t>
      </w:r>
    </w:p>
    <w:p w14:paraId="32390D96">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1.15.1转包：</w:t>
      </w:r>
      <w:r>
        <w:rPr>
          <w:rFonts w:hint="eastAsia" w:ascii="仿宋" w:hAnsi="仿宋" w:eastAsia="仿宋" w:cs="Times New Roman"/>
          <w:b/>
          <w:color w:val="auto"/>
          <w:kern w:val="0"/>
          <w:sz w:val="24"/>
          <w:szCs w:val="20"/>
          <w:highlight w:val="none"/>
          <w:u w:val="single"/>
        </w:rPr>
        <w:t>不允许</w:t>
      </w:r>
      <w:r>
        <w:rPr>
          <w:rFonts w:hint="eastAsia" w:ascii="仿宋" w:hAnsi="仿宋" w:eastAsia="仿宋" w:cs="Times New Roman"/>
          <w:b/>
          <w:color w:val="auto"/>
          <w:kern w:val="0"/>
          <w:sz w:val="24"/>
          <w:szCs w:val="20"/>
          <w:highlight w:val="none"/>
        </w:rPr>
        <w:t>；</w:t>
      </w:r>
    </w:p>
    <w:p w14:paraId="7F2BCB7C">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1.15.2分包：</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2A7D2C95">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1.15.3《磋商须知前附表》中声明允许分包的，磋商响应供应商可以根据竞争性磋商文件的规定和采购项目的实际情况进行分包。</w:t>
      </w:r>
      <w:r>
        <w:rPr>
          <w:rFonts w:hint="eastAsia" w:ascii="仿宋" w:hAnsi="仿宋" w:eastAsia="仿宋" w:cs="Times New Roman"/>
          <w:b/>
          <w:color w:val="auto"/>
          <w:kern w:val="0"/>
          <w:sz w:val="24"/>
          <w:szCs w:val="20"/>
          <w:highlight w:val="none"/>
          <w:u w:val="single"/>
        </w:rPr>
        <w:t>磋商响应供应商根据竞争性磋商文件的规定和采购项目的实际情况，拟在成交后将成交项目的非主体、非关键性工作分包的，应当在磋商响应文件中载明分包承担主体，分包承担主体应当具备相应资质条件且不得再次分包。</w:t>
      </w:r>
      <w:r>
        <w:rPr>
          <w:rFonts w:hint="eastAsia" w:ascii="仿宋" w:hAnsi="仿宋" w:eastAsia="仿宋" w:cs="Times New Roman"/>
          <w:color w:val="auto"/>
          <w:kern w:val="0"/>
          <w:sz w:val="24"/>
          <w:szCs w:val="20"/>
          <w:highlight w:val="none"/>
        </w:rPr>
        <w:t>政府采购合同分包履行的，中标/成交供应商就采购项目和分包项目向采购人负责，分包供应商就分包项目承担责任。</w:t>
      </w:r>
    </w:p>
    <w:p w14:paraId="4F8C7454">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1.16 供应商询问、质疑和投诉</w:t>
      </w:r>
    </w:p>
    <w:p w14:paraId="68BFAD0D">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1.16.1询问：</w:t>
      </w:r>
      <w:r>
        <w:rPr>
          <w:rFonts w:hint="eastAsia" w:ascii="仿宋" w:hAnsi="仿宋" w:eastAsia="仿宋" w:cs="Times New Roman"/>
          <w:color w:val="auto"/>
          <w:kern w:val="0"/>
          <w:sz w:val="24"/>
          <w:szCs w:val="20"/>
          <w:highlight w:val="none"/>
        </w:rPr>
        <w:t>在采购活动中供应商可以就某一事项向采购组织机构发出“询问”，采购组织机构将在收到供应商“询问”后三个工作日内予以答复，但规定不予答复的内容除外。</w:t>
      </w:r>
    </w:p>
    <w:p w14:paraId="3F28E7B3">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1.16.2质疑：供应商认为竞争性磋商文件、采购过程和采购结果使自己的合法权益受到损害的，应当在知道或者应知其权益受到损害之日起七个工作日内，以书面形式一次性向采购人、采购代理机构提出质疑。</w:t>
      </w:r>
    </w:p>
    <w:p w14:paraId="4FE5B3E8">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1.16.2.1上述所指“供应商应知其权益受到损害之日”，是指：</w:t>
      </w:r>
    </w:p>
    <w:p w14:paraId="5340D245">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w:t>
      </w:r>
      <w:r>
        <w:rPr>
          <w:rFonts w:hint="eastAsia" w:ascii="仿宋" w:hAnsi="仿宋" w:eastAsia="仿宋" w:cs="Times New Roman"/>
          <w:color w:val="auto"/>
          <w:kern w:val="0"/>
          <w:sz w:val="24"/>
          <w:szCs w:val="20"/>
          <w:highlight w:val="none"/>
          <w:u w:val="single"/>
        </w:rPr>
        <w:t>对</w:t>
      </w:r>
      <w:r>
        <w:rPr>
          <w:rFonts w:hint="eastAsia" w:ascii="仿宋" w:hAnsi="仿宋" w:eastAsia="仿宋" w:cs="Times New Roman"/>
          <w:color w:val="auto"/>
          <w:sz w:val="24"/>
          <w:szCs w:val="20"/>
          <w:highlight w:val="none"/>
          <w:u w:val="single"/>
        </w:rPr>
        <w:t>竞争性磋商文件</w:t>
      </w:r>
      <w:r>
        <w:rPr>
          <w:rFonts w:hint="eastAsia" w:ascii="仿宋" w:hAnsi="仿宋" w:eastAsia="仿宋" w:cs="Times New Roman"/>
          <w:color w:val="auto"/>
          <w:kern w:val="0"/>
          <w:sz w:val="24"/>
          <w:szCs w:val="20"/>
          <w:highlight w:val="none"/>
          <w:u w:val="single"/>
        </w:rPr>
        <w:t>提出质疑的，</w:t>
      </w:r>
      <w:r>
        <w:rPr>
          <w:rFonts w:hint="eastAsia" w:ascii="仿宋" w:hAnsi="仿宋" w:eastAsia="仿宋" w:cs="Times New Roman"/>
          <w:color w:val="auto"/>
          <w:sz w:val="24"/>
          <w:szCs w:val="20"/>
          <w:highlight w:val="none"/>
          <w:u w:val="single"/>
        </w:rPr>
        <w:t>为获取竞争性磋商文件之日或者竞争性磋商文件公告期限届满之日（竞争性磋商文件公告期限届满后获取竞争性磋商文件的，以竞争性磋商文件公告期限届满之日为准），</w:t>
      </w:r>
      <w:r>
        <w:rPr>
          <w:rFonts w:hint="eastAsia" w:ascii="仿宋" w:hAnsi="仿宋" w:eastAsia="仿宋" w:cs="Times New Roman"/>
          <w:b/>
          <w:bCs/>
          <w:color w:val="auto"/>
          <w:sz w:val="24"/>
          <w:szCs w:val="20"/>
          <w:highlight w:val="none"/>
          <w:u w:val="single"/>
        </w:rPr>
        <w:t>但</w:t>
      </w:r>
      <w:r>
        <w:rPr>
          <w:rFonts w:hint="eastAsia" w:ascii="仿宋" w:hAnsi="仿宋" w:eastAsia="仿宋" w:cs="Times New Roman"/>
          <w:b/>
          <w:color w:val="auto"/>
          <w:kern w:val="0"/>
          <w:sz w:val="24"/>
          <w:szCs w:val="20"/>
          <w:highlight w:val="none"/>
          <w:u w:val="single"/>
        </w:rPr>
        <w:t>须在磋商响应文件提交截止时间前提出</w:t>
      </w:r>
      <w:r>
        <w:rPr>
          <w:rFonts w:hint="eastAsia" w:ascii="仿宋" w:hAnsi="仿宋" w:eastAsia="仿宋" w:cs="Times New Roman"/>
          <w:color w:val="auto"/>
          <w:kern w:val="0"/>
          <w:sz w:val="24"/>
          <w:szCs w:val="20"/>
          <w:highlight w:val="none"/>
          <w:u w:val="single"/>
        </w:rPr>
        <w:t>；</w:t>
      </w:r>
    </w:p>
    <w:p w14:paraId="45A2DDDE">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（2）</w:t>
      </w:r>
      <w:r>
        <w:rPr>
          <w:rFonts w:hint="eastAsia" w:ascii="仿宋" w:hAnsi="仿宋" w:eastAsia="仿宋" w:cs="Times New Roman"/>
          <w:color w:val="auto"/>
          <w:kern w:val="0"/>
          <w:sz w:val="24"/>
          <w:szCs w:val="20"/>
          <w:highlight w:val="none"/>
          <w:u w:val="single"/>
        </w:rPr>
        <w:t>对采购过程提出质疑的，为各采购程序环节结束之日</w:t>
      </w:r>
      <w:r>
        <w:rPr>
          <w:rFonts w:hint="eastAsia" w:ascii="仿宋" w:hAnsi="仿宋" w:eastAsia="仿宋" w:cs="Times New Roman"/>
          <w:color w:val="auto"/>
          <w:kern w:val="0"/>
          <w:sz w:val="24"/>
          <w:szCs w:val="20"/>
          <w:highlight w:val="none"/>
        </w:rPr>
        <w:t>；</w:t>
      </w:r>
    </w:p>
    <w:p w14:paraId="7FE89E01">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（3）</w:t>
      </w:r>
      <w:r>
        <w:rPr>
          <w:rFonts w:hint="eastAsia" w:ascii="仿宋" w:hAnsi="仿宋" w:eastAsia="仿宋" w:cs="Times New Roman"/>
          <w:color w:val="auto"/>
          <w:kern w:val="0"/>
          <w:sz w:val="24"/>
          <w:szCs w:val="20"/>
          <w:highlight w:val="none"/>
          <w:u w:val="single"/>
        </w:rPr>
        <w:t>对成交结果提出质疑的，为成交结果公告期限届满之日</w:t>
      </w:r>
      <w:r>
        <w:rPr>
          <w:rFonts w:hint="eastAsia" w:ascii="仿宋" w:hAnsi="仿宋" w:eastAsia="仿宋" w:cs="Times New Roman"/>
          <w:color w:val="auto"/>
          <w:kern w:val="0"/>
          <w:sz w:val="24"/>
          <w:szCs w:val="20"/>
          <w:highlight w:val="none"/>
        </w:rPr>
        <w:t>。</w:t>
      </w:r>
    </w:p>
    <w:p w14:paraId="12CF113C">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1.16.2.2</w:t>
      </w:r>
      <w:r>
        <w:rPr>
          <w:rFonts w:hint="eastAsia" w:ascii="仿宋" w:hAnsi="仿宋" w:eastAsia="仿宋" w:cs="Times New Roman"/>
          <w:b/>
          <w:color w:val="auto"/>
          <w:sz w:val="24"/>
          <w:szCs w:val="28"/>
          <w:highlight w:val="none"/>
        </w:rPr>
        <w:t>供应商提出质疑应当递交质疑函和必要的证明材料。</w:t>
      </w:r>
      <w:r>
        <w:rPr>
          <w:rFonts w:hint="eastAsia" w:ascii="仿宋" w:hAnsi="仿宋" w:eastAsia="仿宋" w:cs="Times New Roman"/>
          <w:color w:val="auto"/>
          <w:sz w:val="24"/>
          <w:szCs w:val="28"/>
          <w:highlight w:val="none"/>
        </w:rPr>
        <w:t>质疑函应当包括下列内容：</w:t>
      </w:r>
    </w:p>
    <w:p w14:paraId="1E821F16">
      <w:pPr>
        <w:autoSpaceDN w:val="0"/>
        <w:spacing w:line="360" w:lineRule="auto"/>
        <w:ind w:firstLine="424" w:firstLineChars="177"/>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（1）供应商的姓名或者名称、地址、邮编、联系人及联系电话；</w:t>
      </w:r>
    </w:p>
    <w:p w14:paraId="0DEC093D">
      <w:pPr>
        <w:autoSpaceDN w:val="0"/>
        <w:spacing w:line="360" w:lineRule="auto"/>
        <w:ind w:firstLine="424" w:firstLineChars="177"/>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（2）质疑项目的名称、编号；</w:t>
      </w:r>
    </w:p>
    <w:p w14:paraId="24CB5002">
      <w:pPr>
        <w:autoSpaceDN w:val="0"/>
        <w:spacing w:line="360" w:lineRule="auto"/>
        <w:ind w:firstLine="424" w:firstLineChars="177"/>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（3）具体、明确的质疑事项和与质疑事项相关的请求；</w:t>
      </w:r>
    </w:p>
    <w:p w14:paraId="7811915B">
      <w:pPr>
        <w:autoSpaceDN w:val="0"/>
        <w:spacing w:line="360" w:lineRule="auto"/>
        <w:ind w:firstLine="424" w:firstLineChars="177"/>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（4）事实依据；</w:t>
      </w:r>
    </w:p>
    <w:p w14:paraId="0A34EBC6">
      <w:pPr>
        <w:autoSpaceDN w:val="0"/>
        <w:spacing w:line="360" w:lineRule="auto"/>
        <w:ind w:firstLine="424" w:firstLineChars="177"/>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（5）必要的法律依据；</w:t>
      </w:r>
    </w:p>
    <w:p w14:paraId="3A5F52A9">
      <w:pPr>
        <w:autoSpaceDN w:val="0"/>
        <w:spacing w:line="360" w:lineRule="auto"/>
        <w:ind w:firstLine="424" w:firstLineChars="177"/>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（6）提出质疑的日期。</w:t>
      </w:r>
    </w:p>
    <w:p w14:paraId="687E0299">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sz w:val="24"/>
          <w:szCs w:val="28"/>
          <w:highlight w:val="none"/>
        </w:rPr>
        <w:t>供应商为自然人的，应当由本人签字并附上身份证明；供应商为法人或者其他组织的，应当由法定代表人或者其授权代表签字或者盖章，并加盖公章。</w:t>
      </w:r>
    </w:p>
    <w:p w14:paraId="09054644">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1.16.2.3供应商认可采购组织机构在质疑答复程序中启用的调查和重新评审等程序，在该程序操作过程未明显违反法律禁止性规定时，不得再提出异议；</w:t>
      </w:r>
    </w:p>
    <w:p w14:paraId="1320E028">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1.16.2.4质疑、投诉应当采用书面形式（原件一式三份），经法定代表人或其授权代表签署后加盖单位公章，质疑书、投诉书均应明确阐述竞争性磋商文件、磋商过程和成交结果中使自己合法权益受到损害的实质性内容，供应商提出的质疑、投诉应当有明确的诉求（即通过质疑所要达到的具体目标）和必要的证明材料（</w:t>
      </w:r>
      <w:r>
        <w:rPr>
          <w:rFonts w:hint="eastAsia" w:ascii="仿宋" w:hAnsi="仿宋" w:eastAsia="仿宋" w:cs="Times New Roman"/>
          <w:b/>
          <w:color w:val="auto"/>
          <w:kern w:val="0"/>
          <w:sz w:val="24"/>
          <w:szCs w:val="20"/>
          <w:highlight w:val="none"/>
          <w:u w:val="single"/>
        </w:rPr>
        <w:t>即通过合法手段获得的能够证明供应商的诉求成立的必要材料</w:t>
      </w:r>
      <w:r>
        <w:rPr>
          <w:rFonts w:hint="eastAsia" w:ascii="仿宋" w:hAnsi="仿宋" w:eastAsia="仿宋" w:cs="Times New Roman"/>
          <w:b/>
          <w:color w:val="auto"/>
          <w:kern w:val="0"/>
          <w:sz w:val="24"/>
          <w:szCs w:val="20"/>
          <w:highlight w:val="none"/>
        </w:rPr>
        <w:t>）；</w:t>
      </w:r>
    </w:p>
    <w:p w14:paraId="22E67CEF">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1.16.3投诉：</w:t>
      </w:r>
      <w:r>
        <w:rPr>
          <w:rFonts w:hint="eastAsia" w:ascii="仿宋" w:hAnsi="仿宋" w:eastAsia="仿宋" w:cs="Times New Roman"/>
          <w:color w:val="auto"/>
          <w:kern w:val="0"/>
          <w:sz w:val="24"/>
          <w:szCs w:val="20"/>
          <w:highlight w:val="none"/>
        </w:rPr>
        <w:t>供应商对采购组织机构的质疑答复不满意或者采购组织机构未在规定时间内作出答复的，可以在答复期满后十五个工作日内向同级采购监管部门投诉。</w:t>
      </w:r>
    </w:p>
    <w:p w14:paraId="50247F65">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1.17 其他说明</w:t>
      </w:r>
    </w:p>
    <w:p w14:paraId="34D88CFE">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1.17.1磋商响应供应商磋商所使用的资格、信誉、荣誉、磋商响应供应商业绩与企业认证必须为本法人所拥有。磋商响应供应商磋商所使用的项目实施人员可以为其控股公司的工作人员。</w:t>
      </w:r>
      <w:r>
        <w:rPr>
          <w:rFonts w:hint="eastAsia" w:ascii="仿宋" w:hAnsi="仿宋" w:eastAsia="仿宋" w:cs="Times New Roman"/>
          <w:color w:val="auto"/>
          <w:kern w:val="0"/>
          <w:sz w:val="24"/>
          <w:szCs w:val="20"/>
          <w:highlight w:val="none"/>
        </w:rPr>
        <w:t>在组织资格审查、商务技术评审时，属于磋商响应供应商母公司（总机构）或者同一母公司下属的其他子公司（同一总机构下属的其他分支机构）的人员、业绩、荣誉、知识产权、项目案例等，不得作为该磋商响应供应商的资信文件予以确认或审查通过。</w:t>
      </w:r>
    </w:p>
    <w:p w14:paraId="485808C6">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1.17.2磋商响应供应商在磋商活动中提供任何虚假材料或从事其他违法活动的，其磋商响应无效，并报监管部门查处；成交后发现的，成交结果无效，并须依照相关规定双倍赔偿给采购人。且民事赔偿并不免除违法磋商响应供应商的行政与刑事责任。</w:t>
      </w:r>
    </w:p>
    <w:p w14:paraId="6D9AE555">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1.17.3磋商响应供应商应仔细阅读竞争性磋商文件的所有内容，按照竞争性磋商文件的要求递交《磋商响应文件》。</w:t>
      </w:r>
      <w:r>
        <w:rPr>
          <w:rFonts w:hint="eastAsia" w:ascii="仿宋" w:hAnsi="仿宋" w:eastAsia="仿宋" w:cs="Times New Roman"/>
          <w:bCs/>
          <w:color w:val="auto"/>
          <w:kern w:val="0"/>
          <w:sz w:val="24"/>
          <w:szCs w:val="20"/>
          <w:highlight w:val="none"/>
        </w:rPr>
        <w:t>《磋商响应文件》应对竞争性磋商文件的要求作出实质性响应，并对所提供的全部资料的真实性承担法律责任。</w:t>
      </w:r>
    </w:p>
    <w:p w14:paraId="252A0536">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1.17.4竞争性磋商文件所涉及的产品品牌或型号为建议性要求或档次选择要求或为代替部分技术指标描述，磋商响应供应商可以自行选择其他品牌型号的产品参加磋商，但所投产品应当具有相等或更优于磋商文件要求的指标、性能、档次，否则，磋商小组将对其作出不利的评审。</w:t>
      </w:r>
    </w:p>
    <w:p w14:paraId="14A9A555">
      <w:pPr>
        <w:autoSpaceDN w:val="0"/>
        <w:spacing w:before="120" w:after="120" w:line="360" w:lineRule="auto"/>
        <w:ind w:firstLine="482"/>
        <w:rPr>
          <w:rFonts w:ascii="仿宋" w:hAnsi="仿宋" w:eastAsia="仿宋"/>
          <w:b/>
          <w:bCs/>
          <w:color w:val="auto"/>
          <w:sz w:val="24"/>
          <w:szCs w:val="20"/>
          <w:highlight w:val="none"/>
        </w:rPr>
      </w:pPr>
      <w:r>
        <w:rPr>
          <w:rFonts w:hint="eastAsia" w:ascii="仿宋" w:hAnsi="仿宋" w:eastAsia="仿宋"/>
          <w:b/>
          <w:bCs/>
          <w:color w:val="auto"/>
          <w:kern w:val="0"/>
          <w:sz w:val="24"/>
          <w:highlight w:val="none"/>
        </w:rPr>
        <w:t>1.17.5</w:t>
      </w:r>
      <w:r>
        <w:rPr>
          <w:rFonts w:hint="eastAsia" w:ascii="仿宋" w:hAnsi="仿宋" w:eastAsia="仿宋"/>
          <w:b/>
          <w:bCs/>
          <w:color w:val="auto"/>
          <w:sz w:val="24"/>
          <w:highlight w:val="none"/>
          <w:u w:val="single"/>
        </w:rPr>
        <w:t>磋商响应供应商对所响应项内的采购内容必须全部进行响应</w:t>
      </w:r>
      <w:r>
        <w:rPr>
          <w:rFonts w:hint="eastAsia" w:ascii="仿宋" w:hAnsi="仿宋" w:eastAsia="仿宋"/>
          <w:b/>
          <w:bCs/>
          <w:color w:val="auto"/>
          <w:sz w:val="24"/>
          <w:highlight w:val="none"/>
        </w:rPr>
        <w:t>。</w:t>
      </w:r>
    </w:p>
    <w:p w14:paraId="48F3BD32">
      <w:pPr>
        <w:autoSpaceDN w:val="0"/>
        <w:spacing w:before="120" w:after="120" w:line="360" w:lineRule="auto"/>
        <w:ind w:firstLine="480"/>
        <w:rPr>
          <w:rFonts w:ascii="仿宋" w:hAnsi="仿宋" w:eastAsia="仿宋"/>
          <w:b/>
          <w:bCs/>
          <w:color w:val="auto"/>
          <w:sz w:val="24"/>
          <w:highlight w:val="none"/>
        </w:rPr>
      </w:pPr>
      <w:r>
        <w:rPr>
          <w:rFonts w:hint="eastAsia" w:ascii="仿宋" w:hAnsi="仿宋" w:eastAsia="仿宋"/>
          <w:b/>
          <w:color w:val="auto"/>
          <w:kern w:val="0"/>
          <w:sz w:val="24"/>
          <w:highlight w:val="none"/>
        </w:rPr>
        <w:t>1.17.6</w:t>
      </w:r>
      <w:r>
        <w:rPr>
          <w:rFonts w:hint="eastAsia" w:ascii="仿宋" w:hAnsi="仿宋" w:eastAsia="仿宋"/>
          <w:b/>
          <w:bCs/>
          <w:color w:val="auto"/>
          <w:sz w:val="24"/>
          <w:highlight w:val="none"/>
        </w:rPr>
        <w:t>竞争性磋商文件中如有描述歧义或前后不一致的地方，磋商小组有权按公平、合理的原则进行评判，但对同一条款的评判适用于每个供应商。</w:t>
      </w:r>
    </w:p>
    <w:p w14:paraId="363E077A">
      <w:pPr>
        <w:autoSpaceDN w:val="0"/>
        <w:spacing w:before="120" w:after="120" w:line="360" w:lineRule="auto"/>
        <w:ind w:firstLine="480"/>
        <w:rPr>
          <w:rFonts w:ascii="仿宋" w:hAnsi="仿宋" w:eastAsia="仿宋"/>
          <w:b/>
          <w:color w:val="auto"/>
          <w:sz w:val="24"/>
          <w:highlight w:val="none"/>
        </w:rPr>
      </w:pPr>
      <w:r>
        <w:rPr>
          <w:rFonts w:hint="eastAsia" w:ascii="仿宋" w:hAnsi="仿宋" w:eastAsia="仿宋"/>
          <w:b/>
          <w:color w:val="auto"/>
          <w:kern w:val="0"/>
          <w:sz w:val="24"/>
          <w:highlight w:val="none"/>
        </w:rPr>
        <w:t>1.17.7</w:t>
      </w:r>
      <w:r>
        <w:rPr>
          <w:rFonts w:hint="eastAsia" w:ascii="仿宋" w:hAnsi="仿宋" w:eastAsia="仿宋"/>
          <w:b/>
          <w:bCs/>
          <w:color w:val="auto"/>
          <w:sz w:val="24"/>
          <w:highlight w:val="none"/>
        </w:rPr>
        <w:t>响应文件的响应内容必须真实、明确、准确。否则，磋商小组将对其作出不利的评审。</w:t>
      </w:r>
    </w:p>
    <w:p w14:paraId="2681F9C0">
      <w:pPr>
        <w:autoSpaceDN w:val="0"/>
        <w:adjustRightInd w:val="0"/>
        <w:snapToGrid w:val="0"/>
        <w:spacing w:line="360" w:lineRule="auto"/>
        <w:ind w:firstLine="480" w:firstLineChars="200"/>
        <w:rPr>
          <w:rFonts w:ascii="仿宋" w:hAnsi="仿宋" w:eastAsia="仿宋" w:cs="Times New Roman"/>
          <w:color w:val="auto"/>
          <w:sz w:val="24"/>
          <w:szCs w:val="24"/>
          <w:highlight w:val="none"/>
        </w:rPr>
      </w:pPr>
      <w:r>
        <w:rPr>
          <w:rFonts w:hint="eastAsia" w:ascii="仿宋" w:hAnsi="仿宋" w:eastAsia="仿宋" w:cs="Times New Roman"/>
          <w:color w:val="auto"/>
          <w:kern w:val="0"/>
          <w:sz w:val="24"/>
          <w:szCs w:val="20"/>
          <w:highlight w:val="none"/>
        </w:rPr>
        <w:t>1.17.8</w:t>
      </w:r>
      <w:r>
        <w:rPr>
          <w:rFonts w:hint="eastAsia" w:ascii="仿宋" w:hAnsi="仿宋" w:eastAsia="仿宋" w:cs="Times New Roman"/>
          <w:color w:val="auto"/>
          <w:sz w:val="24"/>
          <w:szCs w:val="24"/>
          <w:highlight w:val="none"/>
        </w:rPr>
        <w:t>供应商须对所提供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bookmarkEnd w:id="41"/>
    <w:bookmarkEnd w:id="42"/>
    <w:p w14:paraId="3BC5ED50">
      <w:pPr>
        <w:keepNext/>
        <w:keepLines/>
        <w:autoSpaceDN w:val="0"/>
        <w:spacing w:before="260" w:after="260" w:line="415" w:lineRule="auto"/>
        <w:outlineLvl w:val="1"/>
        <w:rPr>
          <w:rFonts w:ascii="Times New Roman" w:hAnsi="仿宋" w:eastAsia="仿宋" w:cs="Times New Roman"/>
          <w:b/>
          <w:bCs/>
          <w:color w:val="auto"/>
          <w:sz w:val="28"/>
          <w:szCs w:val="28"/>
          <w:highlight w:val="none"/>
        </w:rPr>
      </w:pPr>
      <w:bookmarkStart w:id="43" w:name="_Toc96947061"/>
      <w:bookmarkStart w:id="44" w:name="_Toc19497"/>
      <w:bookmarkStart w:id="45" w:name="_Toc29661"/>
      <w:bookmarkStart w:id="46" w:name="_Toc10168"/>
      <w:r>
        <w:rPr>
          <w:rFonts w:hint="eastAsia" w:ascii="Times New Roman" w:hAnsi="仿宋" w:eastAsia="仿宋" w:cs="Times New Roman"/>
          <w:b/>
          <w:bCs/>
          <w:color w:val="auto"/>
          <w:sz w:val="28"/>
          <w:szCs w:val="28"/>
          <w:highlight w:val="none"/>
        </w:rPr>
        <w:t>二、落实的政府采购政策</w:t>
      </w:r>
      <w:bookmarkEnd w:id="43"/>
      <w:bookmarkEnd w:id="44"/>
    </w:p>
    <w:p w14:paraId="51F455AA">
      <w:pPr>
        <w:keepNext/>
        <w:keepLines/>
        <w:autoSpaceDN w:val="0"/>
        <w:spacing w:before="97" w:beforeLines="30" w:after="97" w:afterLines="30" w:line="360" w:lineRule="auto"/>
        <w:ind w:firstLine="284" w:firstLineChars="118"/>
        <w:outlineLvl w:val="2"/>
        <w:rPr>
          <w:rFonts w:hint="eastAsia" w:ascii="仿宋" w:hAnsi="仿宋" w:eastAsia="仿宋" w:cs="仿宋"/>
          <w:b/>
          <w:bCs/>
          <w:color w:val="auto"/>
          <w:sz w:val="24"/>
          <w:szCs w:val="32"/>
          <w:highlight w:val="none"/>
        </w:rPr>
      </w:pPr>
      <w:bookmarkStart w:id="47" w:name="_Toc82338241"/>
      <w:bookmarkStart w:id="48" w:name="_Toc82873324"/>
      <w:r>
        <w:rPr>
          <w:rFonts w:hint="eastAsia" w:ascii="仿宋" w:hAnsi="仿宋" w:eastAsia="仿宋" w:cs="仿宋"/>
          <w:b/>
          <w:bCs/>
          <w:color w:val="auto"/>
          <w:sz w:val="24"/>
          <w:szCs w:val="32"/>
          <w:highlight w:val="none"/>
        </w:rPr>
        <w:t>2.1 支持中小企业发展</w:t>
      </w:r>
    </w:p>
    <w:p w14:paraId="2E708950">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2.1.1是否专门面向中小企业采购：</w:t>
      </w:r>
      <w:r>
        <w:rPr>
          <w:rFonts w:hint="eastAsia" w:ascii="仿宋" w:hAnsi="仿宋" w:eastAsia="仿宋" w:cs="Times New Roman"/>
          <w:b/>
          <w:color w:val="auto"/>
          <w:sz w:val="24"/>
          <w:szCs w:val="20"/>
          <w:highlight w:val="none"/>
          <w:u w:val="single"/>
        </w:rPr>
        <w:t>见《磋商须知前附表》</w:t>
      </w:r>
      <w:r>
        <w:rPr>
          <w:rFonts w:hint="eastAsia" w:ascii="仿宋" w:hAnsi="仿宋" w:eastAsia="仿宋" w:cs="Times New Roman"/>
          <w:b/>
          <w:color w:val="auto"/>
          <w:sz w:val="24"/>
          <w:szCs w:val="20"/>
          <w:highlight w:val="none"/>
        </w:rPr>
        <w:t>；</w:t>
      </w:r>
    </w:p>
    <w:p w14:paraId="3BCD500F">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2.1.2 本项目中小企业划分标准所属行业：</w:t>
      </w:r>
      <w:r>
        <w:rPr>
          <w:rFonts w:hint="eastAsia" w:ascii="仿宋" w:hAnsi="仿宋" w:eastAsia="仿宋" w:cs="Times New Roman"/>
          <w:b/>
          <w:color w:val="auto"/>
          <w:sz w:val="24"/>
          <w:szCs w:val="20"/>
          <w:highlight w:val="none"/>
          <w:u w:val="single"/>
        </w:rPr>
        <w:t>见《磋商须知前附表》</w:t>
      </w:r>
      <w:r>
        <w:rPr>
          <w:rFonts w:hint="eastAsia" w:ascii="仿宋" w:hAnsi="仿宋" w:eastAsia="仿宋" w:cs="Times New Roman"/>
          <w:b/>
          <w:color w:val="auto"/>
          <w:sz w:val="24"/>
          <w:szCs w:val="20"/>
          <w:highlight w:val="none"/>
        </w:rPr>
        <w:t>。</w:t>
      </w:r>
    </w:p>
    <w:p w14:paraId="3F30DF58">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2.1.3在政府采购活动中，供应商提供的货物、工程或者服务符合下列情形的，享受中小企业扶持政策：</w:t>
      </w:r>
    </w:p>
    <w:p w14:paraId="612CB63A">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（1）在货物采购项目中，货物由中小企业制造，即货物由中小企业生产且使用该中小企业商号或者注册商标；如供应商提供的货物既有中小企业制造货物，也有大型企业制造货物的，不享受中小企业扶持政策。</w:t>
      </w:r>
    </w:p>
    <w:p w14:paraId="4B9E4E39">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bCs/>
          <w:color w:val="auto"/>
          <w:sz w:val="24"/>
          <w:szCs w:val="20"/>
          <w:highlight w:val="none"/>
        </w:rPr>
        <w:t>（2）在工程采购项目中，工程由中小企业承建，即工程施工单位为中小企业；</w:t>
      </w:r>
    </w:p>
    <w:p w14:paraId="7DA76E3F">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（3）在服务采购项目中，服务由中小企业承接，即提供服务的人员为中小企业依照《中华人民共和国劳动合同法》订立劳动合同的从业人员。</w:t>
      </w:r>
    </w:p>
    <w:p w14:paraId="2F2C8630">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以联合体形式参加政府采购活动，联合体各方均为中小企业的，联合体视同中小企业。其中，联合体各方均为小微企业的，联合体视同小微企业。</w:t>
      </w:r>
    </w:p>
    <w:p w14:paraId="774C452A">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2.1.4对于未预留份额专门面向中小企业采购的采购项目，以及预留份额项目中的非预留部分采购包，对小微企业报价给予3%的扣除，用扣除后的价格参加评审。</w:t>
      </w:r>
    </w:p>
    <w:p w14:paraId="78B56B75">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2.1.5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1%的扣除，用扣除后的价格参加评审。组成联合体或者接受分包的小微企业与联合体内其他企业、分包企业之间存在直接控股、管理关系的，不享受价格扣除优惠政策。</w:t>
      </w:r>
    </w:p>
    <w:p w14:paraId="7EBDF334">
      <w:pPr>
        <w:autoSpaceDN w:val="0"/>
        <w:spacing w:line="360" w:lineRule="auto"/>
        <w:ind w:firstLine="482" w:firstLineChars="200"/>
        <w:rPr>
          <w:rFonts w:ascii="仿宋_GB2312" w:hAnsi="仿宋" w:eastAsia="仿宋_GB2312" w:cs="Times New Roman"/>
          <w:b/>
          <w:bCs/>
          <w:color w:val="auto"/>
          <w:sz w:val="24"/>
          <w:szCs w:val="24"/>
          <w:highlight w:val="none"/>
        </w:rPr>
      </w:pPr>
      <w:r>
        <w:rPr>
          <w:rFonts w:hint="eastAsia" w:ascii="仿宋" w:hAnsi="仿宋" w:eastAsia="仿宋" w:cs="Times New Roman"/>
          <w:b/>
          <w:bCs/>
          <w:color w:val="auto"/>
          <w:sz w:val="24"/>
          <w:szCs w:val="20"/>
          <w:highlight w:val="none"/>
        </w:rPr>
        <w:t>2.1.6</w:t>
      </w:r>
      <w:r>
        <w:rPr>
          <w:rFonts w:hint="eastAsia" w:ascii="仿宋_GB2312" w:hAnsi="仿宋" w:eastAsia="仿宋_GB2312" w:cs="Times New Roman"/>
          <w:b/>
          <w:bCs/>
          <w:color w:val="auto"/>
          <w:sz w:val="24"/>
          <w:szCs w:val="24"/>
          <w:highlight w:val="none"/>
        </w:rPr>
        <w:t>可享受</w:t>
      </w:r>
      <w:r>
        <w:rPr>
          <w:rFonts w:hint="eastAsia" w:ascii="仿宋_GB2312" w:hAnsi="宋体" w:eastAsia="仿宋_GB2312" w:cs="宋体"/>
          <w:b/>
          <w:bCs/>
          <w:color w:val="auto"/>
          <w:kern w:val="0"/>
          <w:sz w:val="24"/>
          <w:szCs w:val="24"/>
          <w:highlight w:val="none"/>
        </w:rPr>
        <w:t>中小企业扶持政策</w:t>
      </w:r>
      <w:r>
        <w:rPr>
          <w:rFonts w:hint="eastAsia" w:ascii="仿宋_GB2312" w:hAnsi="仿宋" w:eastAsia="仿宋_GB2312" w:cs="Times New Roman"/>
          <w:b/>
          <w:bCs/>
          <w:color w:val="auto"/>
          <w:sz w:val="24"/>
          <w:szCs w:val="24"/>
          <w:highlight w:val="none"/>
        </w:rPr>
        <w:t>的供应商应按照磋商响应文件格式要求提供《中小企业声明函》。</w:t>
      </w:r>
    </w:p>
    <w:p w14:paraId="27A53DBE">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2.1.7符合《财政部、司法部关于政府采购支持监狱企业发展有关问题的通知》（财库[2014]68号）规定的监狱企业在全部提供本单位制造的货物（由本单位承担工程/提供服务）或者提供其他监狱企业制造的货物（不包括使用非监狱企业注册商标的货物）参加本政府采购活动时，视同小型、微型企业。</w:t>
      </w:r>
    </w:p>
    <w:p w14:paraId="44728409">
      <w:pPr>
        <w:autoSpaceDN w:val="0"/>
        <w:spacing w:line="360" w:lineRule="auto"/>
        <w:ind w:firstLine="424" w:firstLineChars="177"/>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备注：（1）监狱企业证明文件：省级或以上监狱管理局、戒毒管理局（含新疆生产建设兵团）出具的属于监狱企业的证明文件。（2）如果提供其他监狱企业制造的货物，还须同时提供该企业为监狱企业的证明文件。</w:t>
      </w:r>
    </w:p>
    <w:p w14:paraId="57AE9FB9">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2.1.8符合《财政部、民政部、中国残疾人联合会关于促进残疾人就业政府采购政策的通知》（财库[2017]141号）规定的残疾人福利性单位，在全部提供本单位制造的货物（由本单位承担工程/提供服务）或者提供其他残疾人福利性单位制造的货物（不包括使用非残疾人福利性单位注册商标的货物）参加本政府采购活动时，视同小型、微型企业。</w:t>
      </w:r>
    </w:p>
    <w:p w14:paraId="3B470F30">
      <w:pPr>
        <w:autoSpaceDN w:val="0"/>
        <w:spacing w:line="360" w:lineRule="auto"/>
        <w:ind w:firstLine="480" w:firstLineChars="200"/>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备注：（1）残疾人福利性单位证明材料：残疾人福利性单位声明函（见第六章 磋商响应文件格式）；（2）如提供其他残疾人福利性单位制造的货物，还须同时提供该企业的残疾人福利性单位声明函。</w:t>
      </w:r>
    </w:p>
    <w:p w14:paraId="0FB76819">
      <w:pPr>
        <w:autoSpaceDN w:val="0"/>
        <w:spacing w:line="360" w:lineRule="auto"/>
        <w:ind w:firstLine="480" w:firstLineChars="200"/>
        <w:rPr>
          <w:rFonts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2.1.9中小企业享受扶持政策获得政府采购合同的，小微企业不得将合同分包给大中型企业，中型企业不得将合同分包给大型企业。</w:t>
      </w:r>
    </w:p>
    <w:p w14:paraId="65784762">
      <w:pPr>
        <w:keepNext/>
        <w:keepLines/>
        <w:autoSpaceDN w:val="0"/>
        <w:spacing w:before="97" w:beforeLines="30" w:after="97" w:afterLines="30" w:line="360" w:lineRule="auto"/>
        <w:ind w:firstLine="284" w:firstLineChars="118"/>
        <w:outlineLvl w:val="2"/>
        <w:rPr>
          <w:rFonts w:hint="eastAsia"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rPr>
        <w:t>2.2 节能、环保产品政府采购实施相关规定</w:t>
      </w:r>
    </w:p>
    <w:p w14:paraId="3F0E354E">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2.2.1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和强制采购。</w:t>
      </w:r>
    </w:p>
    <w:p w14:paraId="45D2AFB5">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color w:val="auto"/>
          <w:sz w:val="24"/>
          <w:szCs w:val="20"/>
          <w:highlight w:val="none"/>
        </w:rPr>
        <w:t>2.2.2《节能产品政府采购品目清单》详见《关于印发节能产品政府采购品目清单的通知（财库[2019]19号）》（如遇调整，按最新清单执行）。</w:t>
      </w:r>
    </w:p>
    <w:tbl>
      <w:tblPr>
        <w:tblStyle w:val="61"/>
        <w:tblW w:w="9705" w:type="dxa"/>
        <w:jc w:val="center"/>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Layout w:type="fixed"/>
        <w:tblCellMar>
          <w:top w:w="0" w:type="dxa"/>
          <w:left w:w="108" w:type="dxa"/>
          <w:bottom w:w="0" w:type="dxa"/>
          <w:right w:w="108" w:type="dxa"/>
        </w:tblCellMar>
      </w:tblPr>
      <w:tblGrid>
        <w:gridCol w:w="1026"/>
        <w:gridCol w:w="2439"/>
        <w:gridCol w:w="6240"/>
      </w:tblGrid>
      <w:tr w14:paraId="4EBD8F15">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tblHeader/>
          <w:jc w:val="center"/>
        </w:trPr>
        <w:tc>
          <w:tcPr>
            <w:tcW w:w="1026" w:type="dxa"/>
            <w:tcBorders>
              <w:top w:val="thinThickSmallGap" w:color="0070C0" w:sz="12" w:space="0"/>
              <w:left w:val="thinThickSmallGap" w:color="0070C0" w:sz="12" w:space="0"/>
              <w:bottom w:val="single" w:color="0070C0" w:sz="6" w:space="0"/>
              <w:right w:val="single" w:color="0070C0" w:sz="6" w:space="0"/>
            </w:tcBorders>
            <w:shd w:val="clear" w:color="auto" w:fill="DAEEF3"/>
            <w:noWrap/>
            <w:vAlign w:val="center"/>
          </w:tcPr>
          <w:p w14:paraId="626F6414">
            <w:pPr>
              <w:autoSpaceDN w:val="0"/>
              <w:adjustRightInd w:val="0"/>
              <w:snapToGrid w:val="0"/>
              <w:spacing w:line="276" w:lineRule="auto"/>
              <w:jc w:val="center"/>
              <w:rPr>
                <w:rFonts w:ascii="仿宋" w:hAnsi="仿宋" w:eastAsia="仿宋" w:cs="Times New Roman"/>
                <w:b/>
                <w:color w:val="auto"/>
                <w:w w:val="80"/>
                <w:sz w:val="24"/>
                <w:szCs w:val="24"/>
                <w:highlight w:val="none"/>
              </w:rPr>
            </w:pPr>
            <w:r>
              <w:rPr>
                <w:rFonts w:hint="eastAsia" w:ascii="仿宋" w:hAnsi="仿宋" w:eastAsia="仿宋" w:cs="Times New Roman"/>
                <w:b/>
                <w:color w:val="auto"/>
                <w:w w:val="80"/>
                <w:sz w:val="24"/>
                <w:szCs w:val="24"/>
                <w:highlight w:val="none"/>
              </w:rPr>
              <w:t>品目清单序号</w:t>
            </w:r>
          </w:p>
        </w:tc>
        <w:tc>
          <w:tcPr>
            <w:tcW w:w="8680" w:type="dxa"/>
            <w:gridSpan w:val="2"/>
            <w:tcBorders>
              <w:top w:val="thinThickSmallGap" w:color="0070C0" w:sz="12" w:space="0"/>
              <w:left w:val="single" w:color="0070C0" w:sz="6" w:space="0"/>
              <w:bottom w:val="single" w:color="0070C0" w:sz="6" w:space="0"/>
              <w:right w:val="thickThinSmallGap" w:color="0070C0" w:sz="12" w:space="0"/>
            </w:tcBorders>
            <w:shd w:val="clear" w:color="auto" w:fill="DAEEF3"/>
            <w:noWrap/>
            <w:vAlign w:val="center"/>
          </w:tcPr>
          <w:p w14:paraId="1315246F">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产品名称（以“★”标注的为政府强制采购产品）</w:t>
            </w:r>
          </w:p>
        </w:tc>
      </w:tr>
      <w:tr w14:paraId="09B5B411">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49B8D24C">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1</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5FBC2702">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A020101计算机设备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567EEAC7">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A02010104台式计算机</w:t>
            </w:r>
            <w:r>
              <w:rPr>
                <w:rFonts w:hint="eastAsia" w:ascii="仿宋" w:hAnsi="仿宋" w:eastAsia="仿宋" w:cs="Times New Roman"/>
                <w:color w:val="auto"/>
                <w:sz w:val="24"/>
                <w:szCs w:val="24"/>
                <w:highlight w:val="none"/>
              </w:rPr>
              <w:t>；</w:t>
            </w:r>
          </w:p>
          <w:p w14:paraId="0BCF8892">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A02010105便携式计算机</w:t>
            </w:r>
            <w:r>
              <w:rPr>
                <w:rFonts w:hint="eastAsia" w:ascii="仿宋" w:hAnsi="仿宋" w:eastAsia="仿宋" w:cs="Times New Roman"/>
                <w:color w:val="auto"/>
                <w:sz w:val="24"/>
                <w:szCs w:val="24"/>
                <w:highlight w:val="none"/>
              </w:rPr>
              <w:t>；</w:t>
            </w:r>
          </w:p>
          <w:p w14:paraId="0F53B253">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A02010107平板式微型计算机</w:t>
            </w:r>
            <w:r>
              <w:rPr>
                <w:rFonts w:hint="eastAsia" w:ascii="仿宋" w:hAnsi="仿宋" w:eastAsia="仿宋" w:cs="Times New Roman"/>
                <w:color w:val="auto"/>
                <w:sz w:val="24"/>
                <w:szCs w:val="24"/>
                <w:highlight w:val="none"/>
              </w:rPr>
              <w:t>。</w:t>
            </w:r>
          </w:p>
        </w:tc>
      </w:tr>
      <w:tr w14:paraId="3DA2873A">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22C68532">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2</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53059F67">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A020106输入输出设备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3D9F4830">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A0201060102激光打印机</w:t>
            </w:r>
            <w:r>
              <w:rPr>
                <w:rFonts w:hint="eastAsia" w:ascii="仿宋" w:hAnsi="仿宋" w:eastAsia="仿宋" w:cs="Times New Roman"/>
                <w:color w:val="auto"/>
                <w:sz w:val="24"/>
                <w:szCs w:val="24"/>
                <w:highlight w:val="none"/>
              </w:rPr>
              <w:t>；</w:t>
            </w:r>
          </w:p>
          <w:p w14:paraId="776BFF0A">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A0201060104针式打印机</w:t>
            </w:r>
            <w:r>
              <w:rPr>
                <w:rFonts w:hint="eastAsia" w:ascii="仿宋" w:hAnsi="仿宋" w:eastAsia="仿宋" w:cs="Times New Roman"/>
                <w:color w:val="auto"/>
                <w:sz w:val="24"/>
                <w:szCs w:val="24"/>
                <w:highlight w:val="none"/>
              </w:rPr>
              <w:t>；</w:t>
            </w:r>
          </w:p>
          <w:p w14:paraId="443CB577">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A0201060401液晶显示器</w:t>
            </w:r>
            <w:r>
              <w:rPr>
                <w:rFonts w:hint="eastAsia" w:ascii="仿宋" w:hAnsi="仿宋" w:eastAsia="仿宋" w:cs="Times New Roman"/>
                <w:color w:val="auto"/>
                <w:sz w:val="24"/>
                <w:szCs w:val="24"/>
                <w:highlight w:val="none"/>
              </w:rPr>
              <w:t>。</w:t>
            </w:r>
          </w:p>
        </w:tc>
      </w:tr>
      <w:tr w14:paraId="27F12B70">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1CAF9064">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6</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4DA58E50">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A020523制冷空调设备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0FE86065">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A02052301制冷压缩机：</w:t>
            </w:r>
            <w:r>
              <w:rPr>
                <w:rFonts w:hint="eastAsia" w:ascii="仿宋" w:hAnsi="仿宋" w:eastAsia="仿宋" w:cs="Times New Roman"/>
                <w:color w:val="auto"/>
                <w:sz w:val="24"/>
                <w:szCs w:val="24"/>
                <w:highlight w:val="none"/>
              </w:rPr>
              <w:t>冷水机组、水源热泵机组、溴化锂吸收式冷水机组；</w:t>
            </w:r>
          </w:p>
          <w:p w14:paraId="68130EE1">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A02052305空调机组:</w:t>
            </w:r>
            <w:r>
              <w:rPr>
                <w:rFonts w:hint="eastAsia" w:ascii="仿宋" w:hAnsi="仿宋" w:eastAsia="仿宋" w:cs="Times New Roman"/>
                <w:color w:val="auto"/>
                <w:sz w:val="24"/>
                <w:szCs w:val="24"/>
                <w:highlight w:val="none"/>
              </w:rPr>
              <w:t>多联式空调（热泵）机组(制冷量&gt;14000W)）、单元式空气调节机(制冷量&gt;14000W)；</w:t>
            </w:r>
          </w:p>
          <w:p w14:paraId="0308DDE9">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A02052309专用制冷、空调设备：</w:t>
            </w:r>
            <w:r>
              <w:rPr>
                <w:rFonts w:hint="eastAsia" w:ascii="仿宋" w:hAnsi="仿宋" w:eastAsia="仿宋" w:cs="Times New Roman"/>
                <w:color w:val="auto"/>
                <w:sz w:val="24"/>
                <w:szCs w:val="24"/>
                <w:highlight w:val="none"/>
              </w:rPr>
              <w:t>机房空调。</w:t>
            </w:r>
          </w:p>
        </w:tc>
      </w:tr>
      <w:tr w14:paraId="677DF86A">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2D2AE8E1">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9</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7D67D561">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★A020609镇流器</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2A2C5340">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管型荧光灯镇流器</w:t>
            </w:r>
            <w:r>
              <w:rPr>
                <w:rFonts w:hint="eastAsia" w:ascii="仿宋" w:hAnsi="仿宋" w:eastAsia="仿宋" w:cs="Times New Roman"/>
                <w:color w:val="auto"/>
                <w:sz w:val="24"/>
                <w:szCs w:val="24"/>
                <w:highlight w:val="none"/>
              </w:rPr>
              <w:t>。</w:t>
            </w:r>
          </w:p>
        </w:tc>
      </w:tr>
      <w:tr w14:paraId="537CAD9A">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4891FFA3">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10</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473241F8">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A020618生活用电器</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6BA6AB20">
            <w:pPr>
              <w:autoSpaceDN w:val="0"/>
              <w:adjustRightInd w:val="0"/>
              <w:snapToGrid w:val="0"/>
              <w:spacing w:line="276" w:lineRule="auto"/>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A0206180203空调机：</w:t>
            </w:r>
            <w:r>
              <w:rPr>
                <w:rFonts w:hint="eastAsia" w:ascii="仿宋" w:hAnsi="仿宋" w:eastAsia="仿宋" w:cs="Times New Roman"/>
                <w:color w:val="auto"/>
                <w:sz w:val="24"/>
                <w:szCs w:val="24"/>
                <w:highlight w:val="none"/>
              </w:rPr>
              <w:t>房间空气调节器、多联式空调（热泵）机组（制冷量≤14000W）、单元式空气调节机(制冷量≤14000W)）；</w:t>
            </w:r>
          </w:p>
          <w:p w14:paraId="5CF43DC7">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A02061808热水器：★</w:t>
            </w:r>
            <w:r>
              <w:rPr>
                <w:rFonts w:hint="eastAsia" w:ascii="仿宋" w:hAnsi="仿宋" w:eastAsia="仿宋" w:cs="Times New Roman"/>
                <w:b/>
                <w:color w:val="auto"/>
                <w:sz w:val="24"/>
                <w:szCs w:val="24"/>
                <w:highlight w:val="none"/>
              </w:rPr>
              <w:t>电热水器</w:t>
            </w:r>
            <w:r>
              <w:rPr>
                <w:rFonts w:hint="eastAsia" w:ascii="仿宋" w:hAnsi="仿宋" w:eastAsia="仿宋" w:cs="Times New Roman"/>
                <w:color w:val="auto"/>
                <w:sz w:val="24"/>
                <w:szCs w:val="24"/>
                <w:highlight w:val="none"/>
              </w:rPr>
              <w:t>。</w:t>
            </w:r>
          </w:p>
        </w:tc>
      </w:tr>
      <w:tr w14:paraId="2C702E7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24A0716E">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11</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7619E7A1">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A020619照明设备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6E41D7D1">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w:t>
            </w:r>
            <w:r>
              <w:rPr>
                <w:rFonts w:hint="eastAsia" w:ascii="仿宋" w:hAnsi="仿宋" w:eastAsia="仿宋" w:cs="Times New Roman"/>
                <w:b/>
                <w:color w:val="auto"/>
                <w:sz w:val="24"/>
                <w:szCs w:val="24"/>
                <w:highlight w:val="none"/>
              </w:rPr>
              <w:t>普通照明用双端荧光灯</w:t>
            </w:r>
            <w:r>
              <w:rPr>
                <w:rFonts w:hint="eastAsia" w:ascii="仿宋" w:hAnsi="仿宋" w:eastAsia="仿宋" w:cs="Times New Roman"/>
                <w:color w:val="auto"/>
                <w:sz w:val="24"/>
                <w:szCs w:val="24"/>
                <w:highlight w:val="none"/>
              </w:rPr>
              <w:t>。</w:t>
            </w:r>
          </w:p>
        </w:tc>
      </w:tr>
      <w:tr w14:paraId="39E8DDBC">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681E7C6F">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12</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3C1EED0B">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★A020910电视设备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672540D3">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A02091001普通电视设备（电视机）。</w:t>
            </w:r>
          </w:p>
        </w:tc>
      </w:tr>
      <w:tr w14:paraId="43B38AB1">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56CDE9EA">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13</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384D4BE5">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★A020911视频设备</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1A11BF2B">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监视器。</w:t>
            </w:r>
          </w:p>
        </w:tc>
      </w:tr>
      <w:tr w14:paraId="3FAF5840">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single" w:color="0070C0" w:sz="6" w:space="0"/>
              <w:right w:val="single" w:color="0070C0" w:sz="6" w:space="0"/>
            </w:tcBorders>
            <w:noWrap/>
            <w:vAlign w:val="center"/>
          </w:tcPr>
          <w:p w14:paraId="4C99585B">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15</w:t>
            </w:r>
          </w:p>
        </w:tc>
        <w:tc>
          <w:tcPr>
            <w:tcW w:w="2439" w:type="dxa"/>
            <w:tcBorders>
              <w:top w:val="single" w:color="0070C0" w:sz="6" w:space="0"/>
              <w:left w:val="single" w:color="0070C0" w:sz="6" w:space="0"/>
              <w:bottom w:val="single" w:color="0070C0" w:sz="6" w:space="0"/>
              <w:right w:val="single" w:color="0070C0" w:sz="6" w:space="0"/>
            </w:tcBorders>
            <w:noWrap/>
            <w:vAlign w:val="center"/>
          </w:tcPr>
          <w:p w14:paraId="1A32BBE1">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★A060805便器</w:t>
            </w:r>
          </w:p>
        </w:tc>
        <w:tc>
          <w:tcPr>
            <w:tcW w:w="6241" w:type="dxa"/>
            <w:tcBorders>
              <w:top w:val="single" w:color="0070C0" w:sz="6" w:space="0"/>
              <w:left w:val="single" w:color="0070C0" w:sz="6" w:space="0"/>
              <w:bottom w:val="single" w:color="0070C0" w:sz="6" w:space="0"/>
              <w:right w:val="thickThinSmallGap" w:color="0070C0" w:sz="12" w:space="0"/>
            </w:tcBorders>
            <w:noWrap/>
            <w:vAlign w:val="center"/>
          </w:tcPr>
          <w:p w14:paraId="290B597F">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坐便器、蹲便器、小便器。</w:t>
            </w:r>
          </w:p>
        </w:tc>
      </w:tr>
      <w:tr w14:paraId="2E21CD38">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510" w:hRule="atLeast"/>
          <w:jc w:val="center"/>
        </w:trPr>
        <w:tc>
          <w:tcPr>
            <w:tcW w:w="1026" w:type="dxa"/>
            <w:tcBorders>
              <w:top w:val="single" w:color="0070C0" w:sz="6" w:space="0"/>
              <w:left w:val="thinThickSmallGap" w:color="0070C0" w:sz="12" w:space="0"/>
              <w:bottom w:val="thickThinSmallGap" w:color="0070C0" w:sz="12" w:space="0"/>
              <w:right w:val="single" w:color="0070C0" w:sz="6" w:space="0"/>
            </w:tcBorders>
            <w:noWrap/>
            <w:vAlign w:val="center"/>
          </w:tcPr>
          <w:p w14:paraId="344A8C72">
            <w:pPr>
              <w:autoSpaceDN w:val="0"/>
              <w:adjustRightInd w:val="0"/>
              <w:snapToGrid w:val="0"/>
              <w:spacing w:line="276" w:lineRule="auto"/>
              <w:jc w:val="center"/>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16</w:t>
            </w:r>
          </w:p>
        </w:tc>
        <w:tc>
          <w:tcPr>
            <w:tcW w:w="2439" w:type="dxa"/>
            <w:tcBorders>
              <w:top w:val="single" w:color="0070C0" w:sz="6" w:space="0"/>
              <w:left w:val="single" w:color="0070C0" w:sz="6" w:space="0"/>
              <w:bottom w:val="thickThinSmallGap" w:color="0070C0" w:sz="12" w:space="0"/>
              <w:right w:val="single" w:color="0070C0" w:sz="6" w:space="0"/>
            </w:tcBorders>
            <w:noWrap/>
            <w:vAlign w:val="center"/>
          </w:tcPr>
          <w:p w14:paraId="62C303CB">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★A060806 水嘴</w:t>
            </w:r>
          </w:p>
        </w:tc>
        <w:tc>
          <w:tcPr>
            <w:tcW w:w="6241" w:type="dxa"/>
            <w:tcBorders>
              <w:top w:val="single" w:color="0070C0" w:sz="6" w:space="0"/>
              <w:left w:val="single" w:color="0070C0" w:sz="6" w:space="0"/>
              <w:bottom w:val="thickThinSmallGap" w:color="0070C0" w:sz="12" w:space="0"/>
              <w:right w:val="thickThinSmallGap" w:color="0070C0" w:sz="12" w:space="0"/>
            </w:tcBorders>
            <w:noWrap/>
            <w:vAlign w:val="center"/>
          </w:tcPr>
          <w:p w14:paraId="789A1B4F">
            <w:pPr>
              <w:autoSpaceDN w:val="0"/>
              <w:adjustRightInd w:val="0"/>
              <w:snapToGrid w:val="0"/>
              <w:spacing w:line="276" w:lineRule="auto"/>
              <w:rPr>
                <w:rFonts w:ascii="仿宋" w:hAnsi="仿宋" w:eastAsia="仿宋" w:cs="Times New Roman"/>
                <w:b/>
                <w:color w:val="auto"/>
                <w:sz w:val="24"/>
                <w:szCs w:val="24"/>
                <w:highlight w:val="none"/>
              </w:rPr>
            </w:pPr>
            <w:r>
              <w:rPr>
                <w:rFonts w:hint="eastAsia" w:ascii="仿宋" w:hAnsi="仿宋" w:eastAsia="仿宋" w:cs="Times New Roman"/>
                <w:color w:val="auto"/>
                <w:sz w:val="24"/>
                <w:szCs w:val="24"/>
                <w:highlight w:val="none"/>
              </w:rPr>
              <w:t>水嘴。</w:t>
            </w:r>
          </w:p>
        </w:tc>
      </w:tr>
    </w:tbl>
    <w:p w14:paraId="4CBE61E1">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2.2.3本次采购对属于节能产品政府采购品目清单规定的政府强制采购产品范围内的产品实施强制采购。供应商应当在磋商响应文件中提供国家确定的认证机构出具的、处于有效期之内的节能产品认证证书（扫描件、加盖公章）。不能提供上述证书的，磋商响应文件无效。</w:t>
      </w:r>
    </w:p>
    <w:p w14:paraId="185140F0">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color w:val="auto"/>
          <w:sz w:val="24"/>
          <w:szCs w:val="20"/>
          <w:highlight w:val="none"/>
        </w:rPr>
        <w:t>2.2.4《环境标志产品政府采购品目清单》详见《关于印发环境标志产品政府采购品目清单的通知（财库[2019]18号）》（如遇调整，按最新清单执行）。</w:t>
      </w:r>
    </w:p>
    <w:p w14:paraId="1DBA6E0F">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color w:val="auto"/>
          <w:sz w:val="24"/>
          <w:szCs w:val="20"/>
          <w:highlight w:val="none"/>
        </w:rPr>
        <w:t>2.2.5本次采购对属于品目清单范围但不属于政府强制采购产品的，实施优先采购，详见第七章评分标准中有关节能、环保评分内容。</w:t>
      </w:r>
      <w:r>
        <w:rPr>
          <w:rFonts w:hint="eastAsia" w:ascii="仿宋" w:hAnsi="仿宋" w:eastAsia="仿宋" w:cs="Times New Roman"/>
          <w:color w:val="auto"/>
          <w:sz w:val="24"/>
          <w:szCs w:val="20"/>
          <w:highlight w:val="none"/>
        </w:rPr>
        <w:t>供应商在响应文件中提供国家确定的认证机构出具的、处于有效期之内的节能产品或环境标志产品认证证书（扫描件）。</w:t>
      </w:r>
    </w:p>
    <w:p w14:paraId="400066B2">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2.2.6节能产品政府采购品目清单，以财政部、国家发展改革委发布的最新一期节能产品政府采购品目清单为准。环境标志产品政府采购品目清单，以财政部、生态环境部发布的最新一期环境标志产品政府采购品目清单为准。</w:t>
      </w:r>
    </w:p>
    <w:p w14:paraId="5973882A">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sz w:val="24"/>
          <w:szCs w:val="20"/>
          <w:highlight w:val="none"/>
        </w:rPr>
        <w:t>2.2.7国家确定的认证机构以国家市场监管总局发布的参与实施政府采购节能产品、环境标志产品认证机构名录为准，详见第八章附件（如遇调整，请以最新公布的为准）。</w:t>
      </w:r>
      <w:bookmarkEnd w:id="47"/>
      <w:bookmarkEnd w:id="48"/>
    </w:p>
    <w:bookmarkEnd w:id="45"/>
    <w:p w14:paraId="34A5749F">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49" w:name="_Toc1246"/>
      <w:bookmarkStart w:id="50" w:name="_Toc96947062"/>
      <w:r>
        <w:rPr>
          <w:rFonts w:hint="eastAsia" w:ascii="仿宋" w:hAnsi="仿宋" w:eastAsia="仿宋" w:cs="Times New Roman"/>
          <w:b/>
          <w:bCs/>
          <w:color w:val="auto"/>
          <w:sz w:val="28"/>
          <w:szCs w:val="28"/>
          <w:highlight w:val="none"/>
        </w:rPr>
        <w:t>三、竞争性磋商文件</w:t>
      </w:r>
      <w:bookmarkEnd w:id="46"/>
      <w:bookmarkEnd w:id="49"/>
      <w:bookmarkEnd w:id="50"/>
    </w:p>
    <w:p w14:paraId="37A93B7D">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3.1 竞争性磋商文件的组成</w:t>
      </w:r>
    </w:p>
    <w:p w14:paraId="4281CE3F">
      <w:pPr>
        <w:numPr>
          <w:ilvl w:val="0"/>
          <w:numId w:val="6"/>
        </w:numPr>
        <w:autoSpaceDN w:val="0"/>
        <w:spacing w:line="360" w:lineRule="auto"/>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第一章 竞争性磋商公告；</w:t>
      </w:r>
    </w:p>
    <w:p w14:paraId="66122D85">
      <w:pPr>
        <w:numPr>
          <w:ilvl w:val="0"/>
          <w:numId w:val="6"/>
        </w:numPr>
        <w:autoSpaceDN w:val="0"/>
        <w:spacing w:line="360" w:lineRule="auto"/>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第二章 磋商须知；</w:t>
      </w:r>
    </w:p>
    <w:p w14:paraId="07E93E40">
      <w:pPr>
        <w:numPr>
          <w:ilvl w:val="0"/>
          <w:numId w:val="6"/>
        </w:numPr>
        <w:autoSpaceDN w:val="0"/>
        <w:spacing w:line="360" w:lineRule="auto"/>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第三章 评审办法</w:t>
      </w:r>
    </w:p>
    <w:p w14:paraId="06830E8C">
      <w:pPr>
        <w:numPr>
          <w:ilvl w:val="0"/>
          <w:numId w:val="6"/>
        </w:numPr>
        <w:autoSpaceDN w:val="0"/>
        <w:spacing w:line="360" w:lineRule="auto"/>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第四章 采购内容及需求；</w:t>
      </w:r>
    </w:p>
    <w:p w14:paraId="77813C32">
      <w:pPr>
        <w:numPr>
          <w:ilvl w:val="0"/>
          <w:numId w:val="6"/>
        </w:numPr>
        <w:autoSpaceDN w:val="0"/>
        <w:spacing w:line="360" w:lineRule="auto"/>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第五章 合同；</w:t>
      </w:r>
    </w:p>
    <w:p w14:paraId="5CCBA1B0">
      <w:pPr>
        <w:numPr>
          <w:ilvl w:val="0"/>
          <w:numId w:val="6"/>
        </w:numPr>
        <w:autoSpaceDN w:val="0"/>
        <w:spacing w:line="360" w:lineRule="auto"/>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第六章 磋商响应文件格式</w:t>
      </w:r>
    </w:p>
    <w:p w14:paraId="6D43442E">
      <w:pPr>
        <w:numPr>
          <w:ilvl w:val="0"/>
          <w:numId w:val="6"/>
        </w:numPr>
        <w:autoSpaceDN w:val="0"/>
        <w:spacing w:line="360" w:lineRule="auto"/>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第七章 附件（如有）；</w:t>
      </w:r>
    </w:p>
    <w:p w14:paraId="0955B532">
      <w:pPr>
        <w:numPr>
          <w:ilvl w:val="0"/>
          <w:numId w:val="6"/>
        </w:numPr>
        <w:autoSpaceDN w:val="0"/>
        <w:adjustRightInd w:val="0"/>
        <w:spacing w:line="360" w:lineRule="auto"/>
        <w:ind w:left="425"/>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竞争性磋商文件的澄清、修改文件以及磋商过程中对磋商文件作出的实质性变动（如有，另册）。</w:t>
      </w:r>
    </w:p>
    <w:p w14:paraId="10474D1B">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3.2 竞争性磋商文件的提疑</w:t>
      </w:r>
    </w:p>
    <w:p w14:paraId="02F9CF85">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3.2.1竞争性磋商文件提疑截止时间：</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6BC66503">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3.2.2供应商应认真阅读通过“政府采购云平台”获取的竞争性磋商文件，如发现竞争性磋商文件或清单、图纸中有前后不一致或不清楚或有误的内容，应在“竞争性磋商文件提疑截止时间”前以书面形式向采购组织机构提出，否则造成的一切后果由供应商自行承担，采购组织机构概不负责；</w:t>
      </w:r>
    </w:p>
    <w:p w14:paraId="121DE43A">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3.2.3采购组织机构将在收到供应商递交的《疑问函》后三个工作日内以书面形式答复供应商提出的问题，并将不包含问题来源的答复通知所有已登记获取竞争性磋商文件的供应商。</w:t>
      </w:r>
    </w:p>
    <w:p w14:paraId="6A63EF80">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3.3 竞争性磋商文件的澄清、修改（更正）</w:t>
      </w:r>
    </w:p>
    <w:p w14:paraId="17C3BECD">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3.3.1采购人或者采购代理机构可以对已发出的竞争性磋商文件进行必要的澄清或者修改，澄清或修改将在原公告发布媒体上发布澄清或更正公告，并以传真或邮件（原文扫描件）或网上公告等形式告知所有已登记获取竞争性磋商文件的供应商；</w:t>
      </w:r>
    </w:p>
    <w:p w14:paraId="2B31926A">
      <w:pPr>
        <w:autoSpaceDN w:val="0"/>
        <w:spacing w:line="360" w:lineRule="auto"/>
        <w:ind w:firstLine="426" w:firstLineChars="177"/>
        <w:rPr>
          <w:rFonts w:ascii="仿宋" w:hAnsi="仿宋" w:eastAsia="仿宋" w:cs="Times New Roman"/>
          <w:color w:val="auto"/>
          <w:kern w:val="0"/>
          <w:sz w:val="24"/>
          <w:szCs w:val="20"/>
          <w:highlight w:val="none"/>
        </w:rPr>
      </w:pPr>
      <w:r>
        <w:rPr>
          <w:rFonts w:hint="eastAsia" w:ascii="仿宋" w:hAnsi="仿宋" w:eastAsia="仿宋" w:cs="Times New Roman"/>
          <w:b/>
          <w:color w:val="auto"/>
          <w:kern w:val="0"/>
          <w:sz w:val="24"/>
          <w:szCs w:val="20"/>
          <w:highlight w:val="none"/>
        </w:rPr>
        <w:t>3.3.2竞争性磋商文件的澄清或者修改内容为竞争性磋商文件的组成部分，对所有参加本次采购活动的供应商均有约束力；</w:t>
      </w:r>
      <w:r>
        <w:rPr>
          <w:rFonts w:hint="eastAsia" w:ascii="仿宋" w:hAnsi="仿宋" w:eastAsia="仿宋" w:cs="Times New Roman"/>
          <w:color w:val="auto"/>
          <w:kern w:val="0"/>
          <w:sz w:val="24"/>
          <w:szCs w:val="20"/>
          <w:highlight w:val="none"/>
        </w:rPr>
        <w:t>当原竞争性磋商文件与澄清、修改的内容就同一事项的表述不一致时，以最后发出的文件为准；</w:t>
      </w:r>
    </w:p>
    <w:p w14:paraId="4222F7D9">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3.3.3竞争性磋商文件的澄清、修改的内容影响到供应商磋商响应文件编制的，采购人或采购代理机构将按相关规定顺延磋商响应文件截止时间及开启时间，使之满足政府采购相关规定；</w:t>
      </w:r>
    </w:p>
    <w:p w14:paraId="09B45CC3">
      <w:pPr>
        <w:autoSpaceDN w:val="0"/>
        <w:spacing w:line="360" w:lineRule="auto"/>
        <w:ind w:left="1" w:firstLine="422" w:firstLineChars="175"/>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3.3.4供应商收到采购组织机构发出的澄清、修改（更正）文件后，应在24小时内向采购组织机构递交书面回执；</w:t>
      </w:r>
    </w:p>
    <w:p w14:paraId="7128EB7D">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3.3.5供应商对收到的澄清、修改（更正）文件内容有疑问的，应当同时在书面回执中加注说明并与采购人或采购代理机构确认，疑问内容应加盖单位公章、写明日期；</w:t>
      </w:r>
    </w:p>
    <w:p w14:paraId="38F2644B">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3.3.6任何口头形式的答复、说明均不属于竞争性磋商文件的组成部分。</w:t>
      </w:r>
    </w:p>
    <w:p w14:paraId="29F9BBA6">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3.4 竞争性磋商文件的质疑</w:t>
      </w:r>
    </w:p>
    <w:p w14:paraId="4E55679A">
      <w:pPr>
        <w:autoSpaceDN w:val="0"/>
        <w:spacing w:line="360" w:lineRule="auto"/>
        <w:ind w:firstLine="424" w:firstLineChars="177"/>
        <w:rPr>
          <w:rFonts w:ascii="仿宋" w:hAnsi="仿宋" w:eastAsia="仿宋" w:cs="Times New Roman"/>
          <w:color w:val="auto"/>
          <w:kern w:val="0"/>
          <w:sz w:val="24"/>
          <w:szCs w:val="20"/>
          <w:highlight w:val="none"/>
        </w:rPr>
      </w:pPr>
      <w:r>
        <w:rPr>
          <w:rFonts w:hint="eastAsia" w:ascii="仿宋" w:hAnsi="仿宋" w:eastAsia="仿宋" w:cs="Times New Roman"/>
          <w:color w:val="auto"/>
          <w:kern w:val="0"/>
          <w:sz w:val="24"/>
          <w:szCs w:val="20"/>
          <w:highlight w:val="none"/>
        </w:rPr>
        <w:t>供应商认为竞争性磋商文件使自己的合法权益受到损害的，应当按照本章节第1.16.2款规定，以书面形式一次性向采购人、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14:paraId="0736507B">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51" w:name="_Toc1284"/>
      <w:bookmarkStart w:id="52" w:name="_Toc96947063"/>
      <w:r>
        <w:rPr>
          <w:rFonts w:hint="eastAsia" w:ascii="仿宋" w:hAnsi="仿宋" w:eastAsia="仿宋" w:cs="Times New Roman"/>
          <w:b/>
          <w:bCs/>
          <w:color w:val="auto"/>
          <w:sz w:val="28"/>
          <w:szCs w:val="28"/>
          <w:highlight w:val="none"/>
        </w:rPr>
        <w:t>四、磋商响应文件</w:t>
      </w:r>
      <w:bookmarkEnd w:id="51"/>
      <w:bookmarkEnd w:id="52"/>
    </w:p>
    <w:p w14:paraId="4DCDA395">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4.1 磋商响应文件的形式</w:t>
      </w:r>
    </w:p>
    <w:p w14:paraId="2C1A3CCD">
      <w:pPr>
        <w:autoSpaceDN w:val="0"/>
        <w:spacing w:line="360" w:lineRule="auto"/>
        <w:ind w:firstLine="426" w:firstLineChars="177"/>
        <w:rPr>
          <w:rFonts w:ascii="仿宋" w:hAnsi="仿宋" w:eastAsia="仿宋" w:cs="仿宋"/>
          <w:color w:val="auto"/>
          <w:sz w:val="24"/>
          <w:szCs w:val="20"/>
          <w:highlight w:val="none"/>
        </w:rPr>
      </w:pPr>
      <w:r>
        <w:rPr>
          <w:rFonts w:hint="eastAsia" w:ascii="仿宋" w:hAnsi="仿宋" w:eastAsia="仿宋" w:cs="仿宋"/>
          <w:b/>
          <w:color w:val="auto"/>
          <w:sz w:val="24"/>
          <w:szCs w:val="20"/>
          <w:highlight w:val="none"/>
        </w:rPr>
        <w:t>4.1.1磋商响应文件的形式：</w:t>
      </w:r>
      <w:r>
        <w:rPr>
          <w:rFonts w:hint="eastAsia" w:ascii="仿宋" w:hAnsi="仿宋" w:eastAsia="仿宋" w:cs="仿宋"/>
          <w:b/>
          <w:color w:val="auto"/>
          <w:sz w:val="24"/>
          <w:szCs w:val="20"/>
          <w:highlight w:val="none"/>
          <w:u w:val="single"/>
        </w:rPr>
        <w:t>电子加密磋商响应文件</w:t>
      </w:r>
      <w:r>
        <w:rPr>
          <w:rFonts w:hint="eastAsia" w:ascii="仿宋" w:hAnsi="仿宋" w:eastAsia="仿宋" w:cs="仿宋"/>
          <w:b/>
          <w:color w:val="auto"/>
          <w:sz w:val="24"/>
          <w:szCs w:val="20"/>
          <w:highlight w:val="none"/>
        </w:rPr>
        <w:t>（是指通过“政采云电子交易客户端”完成磋商响应文件编制后生成并加密的数据电文形式的磋商响应文件，文件格式“.jmbs”）。</w:t>
      </w:r>
    </w:p>
    <w:p w14:paraId="13B7FEE3">
      <w:pPr>
        <w:keepNext/>
        <w:keepLines/>
        <w:autoSpaceDN w:val="0"/>
        <w:spacing w:before="97" w:beforeLines="30" w:after="97" w:afterLines="30" w:line="360" w:lineRule="auto"/>
        <w:ind w:firstLine="284" w:firstLineChars="118"/>
        <w:outlineLvl w:val="2"/>
        <w:rPr>
          <w:rFonts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rPr>
        <w:t>4.2 磋商响应文件的组成</w:t>
      </w:r>
    </w:p>
    <w:p w14:paraId="74704581">
      <w:pPr>
        <w:autoSpaceDN w:val="0"/>
        <w:spacing w:line="360" w:lineRule="auto"/>
        <w:ind w:firstLine="426" w:firstLineChars="177"/>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4.2.1</w:t>
      </w:r>
      <w:r>
        <w:rPr>
          <w:rFonts w:hint="eastAsia" w:ascii="仿宋" w:hAnsi="仿宋" w:eastAsia="仿宋" w:cs="仿宋"/>
          <w:b/>
          <w:color w:val="auto"/>
          <w:sz w:val="24"/>
          <w:szCs w:val="20"/>
          <w:highlight w:val="none"/>
        </w:rPr>
        <w:t>完整的磋商响应文件由《资格文件》、《商务技术文件》和《报价文件》三个部分组成</w:t>
      </w:r>
      <w:r>
        <w:rPr>
          <w:rFonts w:hint="eastAsia" w:ascii="仿宋" w:hAnsi="仿宋" w:eastAsia="仿宋" w:cs="仿宋"/>
          <w:b/>
          <w:color w:val="auto"/>
          <w:kern w:val="0"/>
          <w:sz w:val="24"/>
          <w:highlight w:val="none"/>
        </w:rPr>
        <w:t>（以下统称“磋商响应文件”）。</w:t>
      </w:r>
    </w:p>
    <w:p w14:paraId="718112DA">
      <w:pPr>
        <w:autoSpaceDN w:val="0"/>
        <w:spacing w:line="360" w:lineRule="auto"/>
        <w:ind w:firstLine="426" w:firstLineChars="177"/>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4.2.2磋商响应文件内容组成</w:t>
      </w:r>
    </w:p>
    <w:p w14:paraId="2F6E207F">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第一部分：《资格文件》组成内容（资格证明文件未提供或提供的资格证明材料不齐全的，资格审查作不通过处理，不得进入评审程序。）</w:t>
      </w:r>
    </w:p>
    <w:p w14:paraId="55566055">
      <w:pPr>
        <w:autoSpaceDN w:val="0"/>
        <w:spacing w:line="360" w:lineRule="auto"/>
        <w:ind w:firstLine="434" w:firstLineChars="200"/>
        <w:rPr>
          <w:rFonts w:ascii="仿宋" w:hAnsi="仿宋" w:eastAsia="仿宋" w:cs="Arial"/>
          <w:b/>
          <w:color w:val="auto"/>
          <w:w w:val="90"/>
          <w:kern w:val="0"/>
          <w:sz w:val="24"/>
          <w:szCs w:val="24"/>
          <w:highlight w:val="none"/>
        </w:rPr>
      </w:pPr>
      <w:r>
        <w:rPr>
          <w:rFonts w:hint="eastAsia" w:ascii="仿宋" w:hAnsi="仿宋" w:eastAsia="仿宋" w:cs="Arial"/>
          <w:b/>
          <w:color w:val="auto"/>
          <w:w w:val="90"/>
          <w:kern w:val="0"/>
          <w:sz w:val="24"/>
          <w:szCs w:val="24"/>
          <w:highlight w:val="none"/>
        </w:rPr>
        <w:t>▲ 1-1 符合“申请人的资格要求”第1条规定的证明文件</w:t>
      </w:r>
      <w:r>
        <w:rPr>
          <w:rFonts w:hint="eastAsia" w:ascii="仿宋" w:hAnsi="仿宋" w:eastAsia="仿宋" w:cs="Arial"/>
          <w:bCs/>
          <w:color w:val="auto"/>
          <w:w w:val="90"/>
          <w:kern w:val="0"/>
          <w:sz w:val="24"/>
          <w:szCs w:val="24"/>
          <w:highlight w:val="none"/>
        </w:rPr>
        <w:t>的证明文件：</w:t>
      </w:r>
    </w:p>
    <w:p w14:paraId="3140B3AD">
      <w:pPr>
        <w:autoSpaceDN w:val="0"/>
        <w:spacing w:line="360" w:lineRule="auto"/>
        <w:ind w:firstLine="432" w:firstLineChars="200"/>
        <w:rPr>
          <w:rFonts w:ascii="仿宋" w:hAnsi="仿宋" w:eastAsia="仿宋" w:cs="Arial"/>
          <w:b/>
          <w:color w:val="auto"/>
          <w:w w:val="90"/>
          <w:kern w:val="0"/>
          <w:sz w:val="24"/>
          <w:szCs w:val="24"/>
          <w:highlight w:val="none"/>
        </w:rPr>
      </w:pPr>
      <w:bookmarkStart w:id="53" w:name="_Hlk96938544"/>
      <w:r>
        <w:rPr>
          <w:rFonts w:hint="eastAsia" w:ascii="仿宋" w:hAnsi="仿宋" w:eastAsia="仿宋" w:cs="Arial"/>
          <w:color w:val="auto"/>
          <w:w w:val="90"/>
          <w:kern w:val="0"/>
          <w:sz w:val="24"/>
          <w:szCs w:val="24"/>
          <w:highlight w:val="none"/>
        </w:rPr>
        <w:t>▲</w:t>
      </w:r>
      <w:bookmarkEnd w:id="53"/>
      <w:r>
        <w:rPr>
          <w:rFonts w:hint="eastAsia" w:ascii="仿宋" w:hAnsi="仿宋" w:eastAsia="仿宋" w:cs="Arial"/>
          <w:b/>
          <w:color w:val="auto"/>
          <w:w w:val="90"/>
          <w:kern w:val="0"/>
          <w:sz w:val="24"/>
          <w:szCs w:val="24"/>
          <w:highlight w:val="none"/>
        </w:rPr>
        <w:t>（1）</w:t>
      </w:r>
      <w:r>
        <w:rPr>
          <w:rFonts w:hint="eastAsia" w:ascii="仿宋" w:hAnsi="仿宋" w:eastAsia="仿宋" w:cs="Arial"/>
          <w:b/>
          <w:color w:val="auto"/>
          <w:w w:val="90"/>
          <w:kern w:val="0"/>
          <w:sz w:val="24"/>
          <w:szCs w:val="24"/>
          <w:highlight w:val="none"/>
          <w:u w:val="single"/>
        </w:rPr>
        <w:t>资格承诺函（联合体各方均须提供）：承诺函（格式见第六章）</w:t>
      </w:r>
    </w:p>
    <w:p w14:paraId="18806F1F">
      <w:pPr>
        <w:autoSpaceDN w:val="0"/>
        <w:spacing w:line="360" w:lineRule="auto"/>
        <w:ind w:firstLine="651" w:firstLineChars="300"/>
        <w:rPr>
          <w:rFonts w:ascii="仿宋" w:hAnsi="仿宋" w:eastAsia="仿宋" w:cs="Arial"/>
          <w:b/>
          <w:color w:val="auto"/>
          <w:w w:val="90"/>
          <w:kern w:val="0"/>
          <w:sz w:val="24"/>
          <w:szCs w:val="24"/>
          <w:highlight w:val="none"/>
        </w:rPr>
      </w:pPr>
      <w:r>
        <w:rPr>
          <w:rFonts w:hint="eastAsia" w:ascii="仿宋" w:hAnsi="仿宋" w:eastAsia="仿宋" w:cs="Arial"/>
          <w:b/>
          <w:color w:val="auto"/>
          <w:w w:val="90"/>
          <w:kern w:val="0"/>
          <w:sz w:val="24"/>
          <w:szCs w:val="24"/>
          <w:highlight w:val="none"/>
        </w:rPr>
        <w:t>（2）</w:t>
      </w:r>
      <w:r>
        <w:rPr>
          <w:rFonts w:hint="eastAsia" w:ascii="仿宋" w:hAnsi="仿宋" w:eastAsia="仿宋" w:cs="Arial"/>
          <w:b/>
          <w:color w:val="auto"/>
          <w:w w:val="90"/>
          <w:kern w:val="0"/>
          <w:sz w:val="24"/>
          <w:szCs w:val="24"/>
          <w:highlight w:val="none"/>
          <w:u w:val="single"/>
        </w:rPr>
        <w:t>营业执照（或其他同类证明文件）：提供营业执照等证明文件（复制件加盖磋商响应供应商公章）</w:t>
      </w:r>
      <w:r>
        <w:rPr>
          <w:rFonts w:hint="eastAsia" w:ascii="仿宋" w:hAnsi="仿宋" w:eastAsia="仿宋" w:cs="Arial"/>
          <w:b/>
          <w:color w:val="auto"/>
          <w:w w:val="90"/>
          <w:kern w:val="0"/>
          <w:sz w:val="24"/>
          <w:szCs w:val="24"/>
          <w:highlight w:val="none"/>
        </w:rPr>
        <w:t>；</w:t>
      </w:r>
    </w:p>
    <w:p w14:paraId="0F53D5B2">
      <w:pPr>
        <w:autoSpaceDN w:val="0"/>
        <w:spacing w:line="360" w:lineRule="auto"/>
        <w:ind w:firstLine="432" w:firstLineChars="200"/>
        <w:rPr>
          <w:rFonts w:ascii="仿宋" w:hAnsi="仿宋" w:eastAsia="仿宋" w:cs="Arial"/>
          <w:color w:val="auto"/>
          <w:w w:val="90"/>
          <w:kern w:val="0"/>
          <w:sz w:val="24"/>
          <w:szCs w:val="24"/>
          <w:highlight w:val="none"/>
        </w:rPr>
      </w:pPr>
      <w:bookmarkStart w:id="54" w:name="_Hlk96939541"/>
      <w:r>
        <w:rPr>
          <w:rFonts w:hint="eastAsia" w:ascii="仿宋" w:hAnsi="仿宋" w:eastAsia="仿宋" w:cs="Arial"/>
          <w:color w:val="auto"/>
          <w:w w:val="90"/>
          <w:kern w:val="0"/>
          <w:sz w:val="24"/>
          <w:szCs w:val="24"/>
          <w:highlight w:val="none"/>
        </w:rPr>
        <w:t xml:space="preserve">▲ </w:t>
      </w:r>
      <w:r>
        <w:rPr>
          <w:rFonts w:hint="eastAsia" w:ascii="仿宋" w:hAnsi="仿宋" w:eastAsia="仿宋" w:cs="Arial"/>
          <w:b/>
          <w:color w:val="auto"/>
          <w:w w:val="90"/>
          <w:kern w:val="0"/>
          <w:sz w:val="24"/>
          <w:szCs w:val="24"/>
          <w:highlight w:val="none"/>
          <w:u w:val="single"/>
        </w:rPr>
        <w:t>1-2 符合“申请人的资格要求”第2条“落实政府采购政策需满足的资格要求”规定的证明文件</w:t>
      </w:r>
    </w:p>
    <w:p w14:paraId="4A7732F4">
      <w:pPr>
        <w:widowControl/>
        <w:autoSpaceDE w:val="0"/>
        <w:autoSpaceDN w:val="0"/>
        <w:spacing w:line="360" w:lineRule="auto"/>
        <w:ind w:firstLine="432" w:firstLineChars="200"/>
        <w:outlineLvl w:val="2"/>
        <w:rPr>
          <w:rFonts w:ascii="仿宋" w:hAnsi="仿宋" w:eastAsia="仿宋" w:cs="Arial"/>
          <w:b/>
          <w:color w:val="auto"/>
          <w:w w:val="90"/>
          <w:kern w:val="0"/>
          <w:sz w:val="24"/>
          <w:szCs w:val="24"/>
          <w:highlight w:val="none"/>
        </w:rPr>
      </w:pPr>
      <w:r>
        <w:rPr>
          <w:rFonts w:hint="eastAsia" w:ascii="仿宋" w:hAnsi="仿宋" w:eastAsia="仿宋" w:cs="Arial"/>
          <w:color w:val="auto"/>
          <w:w w:val="90"/>
          <w:kern w:val="0"/>
          <w:sz w:val="24"/>
          <w:szCs w:val="24"/>
          <w:highlight w:val="none"/>
        </w:rPr>
        <w:t>▲</w:t>
      </w:r>
      <w:r>
        <w:rPr>
          <w:rFonts w:hint="eastAsia" w:ascii="仿宋" w:hAnsi="仿宋" w:eastAsia="仿宋" w:cs="Arial"/>
          <w:b/>
          <w:color w:val="auto"/>
          <w:w w:val="90"/>
          <w:kern w:val="0"/>
          <w:sz w:val="24"/>
          <w:szCs w:val="24"/>
          <w:highlight w:val="none"/>
        </w:rPr>
        <w:t xml:space="preserve"> 中小企业声明函（格式见第六章）</w:t>
      </w:r>
    </w:p>
    <w:p w14:paraId="396B3936">
      <w:pPr>
        <w:autoSpaceDN w:val="0"/>
        <w:spacing w:line="360" w:lineRule="auto"/>
        <w:ind w:firstLine="480" w:firstLineChars="200"/>
        <w:rPr>
          <w:rFonts w:ascii="仿宋" w:hAnsi="仿宋" w:eastAsia="仿宋" w:cs="仿宋_GB2312"/>
          <w:color w:val="auto"/>
          <w:sz w:val="24"/>
          <w:szCs w:val="24"/>
          <w:highlight w:val="none"/>
        </w:rPr>
      </w:pPr>
      <w:r>
        <w:rPr>
          <w:rFonts w:hint="eastAsia" w:ascii="仿宋" w:hAnsi="仿宋" w:eastAsia="仿宋" w:cs="Times New Roman"/>
          <w:color w:val="auto"/>
          <w:sz w:val="24"/>
          <w:szCs w:val="24"/>
          <w:highlight w:val="none"/>
        </w:rPr>
        <w:t>提示和说明：</w:t>
      </w:r>
      <w:r>
        <w:rPr>
          <w:rFonts w:hint="eastAsia" w:ascii="仿宋" w:hAnsi="仿宋" w:eastAsia="仿宋" w:cs="仿宋_GB2312"/>
          <w:color w:val="auto"/>
          <w:sz w:val="24"/>
          <w:szCs w:val="24"/>
          <w:highlight w:val="none"/>
        </w:rPr>
        <w:t>符合《关于促进残疾人就业政府采购政策的通知》（财库〔2017〕141号）规定的条件并提供《残疾人福利性单位声明函》的残疾人福利性单位（如提供其他残疾人福利性单位</w:t>
      </w:r>
      <w:r>
        <w:rPr>
          <w:rFonts w:hint="eastAsia" w:ascii="仿宋" w:hAnsi="仿宋" w:eastAsia="仿宋" w:cs="仿宋_GB2312"/>
          <w:color w:val="auto"/>
          <w:sz w:val="24"/>
          <w:szCs w:val="24"/>
          <w:highlight w:val="none"/>
          <w:lang w:val="en-US" w:eastAsia="zh-CN"/>
        </w:rPr>
        <w:t>承接</w:t>
      </w:r>
      <w:r>
        <w:rPr>
          <w:rFonts w:hint="eastAsia" w:ascii="仿宋" w:hAnsi="仿宋" w:eastAsia="仿宋" w:cs="仿宋_GB2312"/>
          <w:color w:val="auto"/>
          <w:sz w:val="24"/>
          <w:szCs w:val="24"/>
          <w:highlight w:val="none"/>
        </w:rPr>
        <w:t>的</w:t>
      </w:r>
      <w:r>
        <w:rPr>
          <w:rFonts w:hint="eastAsia" w:ascii="仿宋" w:hAnsi="仿宋" w:eastAsia="仿宋" w:cs="仿宋_GB2312"/>
          <w:color w:val="auto"/>
          <w:sz w:val="24"/>
          <w:szCs w:val="24"/>
          <w:highlight w:val="none"/>
          <w:lang w:val="en-US" w:eastAsia="zh-CN"/>
        </w:rPr>
        <w:t>工程</w:t>
      </w:r>
      <w:r>
        <w:rPr>
          <w:rFonts w:hint="eastAsia" w:ascii="仿宋" w:hAnsi="仿宋" w:eastAsia="仿宋" w:cs="仿宋_GB2312"/>
          <w:color w:val="auto"/>
          <w:sz w:val="24"/>
          <w:szCs w:val="24"/>
          <w:highlight w:val="none"/>
        </w:rPr>
        <w:t>，还须同时提供该企业的残疾人福利性单位声明函）视同小型、微型企业；根据《关于政府采购支持监狱企业发展有关问题的通知》（财库[2014]68号）的规定，供应商提供由省级以上监狱管理局、戒毒管理局（含新疆生产建设兵团）出具的属于监狱企业证明文件的（如提供其他监狱企业</w:t>
      </w:r>
      <w:r>
        <w:rPr>
          <w:rFonts w:hint="eastAsia" w:ascii="仿宋" w:hAnsi="仿宋" w:eastAsia="仿宋" w:cs="仿宋_GB2312"/>
          <w:color w:val="auto"/>
          <w:sz w:val="24"/>
          <w:szCs w:val="24"/>
          <w:highlight w:val="none"/>
          <w:lang w:val="en-US" w:eastAsia="zh-CN"/>
        </w:rPr>
        <w:t>承接</w:t>
      </w:r>
      <w:r>
        <w:rPr>
          <w:rFonts w:hint="eastAsia" w:ascii="仿宋" w:hAnsi="仿宋" w:eastAsia="仿宋" w:cs="仿宋_GB2312"/>
          <w:color w:val="auto"/>
          <w:sz w:val="24"/>
          <w:szCs w:val="24"/>
          <w:highlight w:val="none"/>
        </w:rPr>
        <w:t>的</w:t>
      </w:r>
      <w:r>
        <w:rPr>
          <w:rFonts w:hint="eastAsia" w:ascii="仿宋" w:hAnsi="仿宋" w:eastAsia="仿宋" w:cs="仿宋_GB2312"/>
          <w:color w:val="auto"/>
          <w:sz w:val="24"/>
          <w:szCs w:val="24"/>
          <w:highlight w:val="none"/>
          <w:lang w:val="en-US" w:eastAsia="zh-CN"/>
        </w:rPr>
        <w:t>工程</w:t>
      </w:r>
      <w:r>
        <w:rPr>
          <w:rFonts w:hint="eastAsia" w:ascii="仿宋" w:hAnsi="仿宋" w:eastAsia="仿宋" w:cs="仿宋_GB2312"/>
          <w:color w:val="auto"/>
          <w:sz w:val="24"/>
          <w:szCs w:val="24"/>
          <w:highlight w:val="none"/>
        </w:rPr>
        <w:t>，还须同时提供该企业为监狱企业的证明文件），视同为小型和微型企业。</w:t>
      </w:r>
    </w:p>
    <w:p w14:paraId="72A4CC0B">
      <w:pPr>
        <w:autoSpaceDN w:val="0"/>
        <w:spacing w:line="360" w:lineRule="auto"/>
        <w:ind w:firstLine="432" w:firstLineChars="200"/>
        <w:rPr>
          <w:rFonts w:ascii="仿宋" w:hAnsi="仿宋" w:eastAsia="仿宋" w:cs="Arial"/>
          <w:b/>
          <w:color w:val="auto"/>
          <w:w w:val="90"/>
          <w:kern w:val="0"/>
          <w:sz w:val="24"/>
          <w:szCs w:val="24"/>
          <w:highlight w:val="none"/>
        </w:rPr>
      </w:pPr>
      <w:r>
        <w:rPr>
          <w:rFonts w:hint="eastAsia" w:ascii="仿宋" w:hAnsi="仿宋" w:eastAsia="仿宋" w:cs="Arial"/>
          <w:color w:val="auto"/>
          <w:w w:val="90"/>
          <w:kern w:val="0"/>
          <w:sz w:val="24"/>
          <w:szCs w:val="24"/>
          <w:highlight w:val="none"/>
        </w:rPr>
        <w:t>▲</w:t>
      </w:r>
      <w:r>
        <w:rPr>
          <w:rFonts w:hint="eastAsia" w:ascii="仿宋" w:hAnsi="仿宋" w:eastAsia="仿宋" w:cs="Arial"/>
          <w:b/>
          <w:color w:val="auto"/>
          <w:w w:val="90"/>
          <w:kern w:val="0"/>
          <w:sz w:val="24"/>
          <w:szCs w:val="24"/>
          <w:highlight w:val="none"/>
        </w:rPr>
        <w:t>1-3</w:t>
      </w:r>
      <w:r>
        <w:rPr>
          <w:rFonts w:hint="eastAsia" w:ascii="仿宋" w:hAnsi="仿宋" w:eastAsia="仿宋" w:cs="Arial"/>
          <w:b/>
          <w:color w:val="auto"/>
          <w:w w:val="90"/>
          <w:kern w:val="0"/>
          <w:sz w:val="24"/>
          <w:szCs w:val="24"/>
          <w:highlight w:val="none"/>
          <w:u w:val="single"/>
        </w:rPr>
        <w:t>符合“申请人的资格要求”第3条“本项目的特定资格要求”的证明文件</w:t>
      </w:r>
      <w:r>
        <w:rPr>
          <w:rFonts w:hint="eastAsia" w:ascii="仿宋" w:hAnsi="仿宋" w:eastAsia="仿宋" w:cs="Arial"/>
          <w:color w:val="auto"/>
          <w:w w:val="90"/>
          <w:kern w:val="0"/>
          <w:sz w:val="24"/>
          <w:szCs w:val="24"/>
          <w:highlight w:val="none"/>
        </w:rPr>
        <w:t>的证明材料：</w:t>
      </w:r>
      <w:r>
        <w:rPr>
          <w:rFonts w:hint="eastAsia" w:ascii="仿宋" w:hAnsi="仿宋" w:eastAsia="仿宋" w:cs="Arial"/>
          <w:b/>
          <w:color w:val="auto"/>
          <w:w w:val="90"/>
          <w:kern w:val="0"/>
          <w:sz w:val="24"/>
          <w:szCs w:val="24"/>
          <w:highlight w:val="none"/>
        </w:rPr>
        <w:t>（格式见第六章）</w:t>
      </w:r>
    </w:p>
    <w:bookmarkEnd w:id="54"/>
    <w:p w14:paraId="48822C7C">
      <w:pPr>
        <w:autoSpaceDN w:val="0"/>
        <w:spacing w:line="360" w:lineRule="auto"/>
        <w:ind w:firstLine="432" w:firstLineChars="200"/>
        <w:rPr>
          <w:rFonts w:ascii="仿宋" w:hAnsi="仿宋" w:eastAsia="仿宋" w:cs="Arial"/>
          <w:b/>
          <w:color w:val="auto"/>
          <w:w w:val="90"/>
          <w:kern w:val="0"/>
          <w:sz w:val="24"/>
          <w:szCs w:val="24"/>
          <w:highlight w:val="none"/>
        </w:rPr>
      </w:pPr>
      <w:r>
        <w:rPr>
          <w:rFonts w:hint="eastAsia" w:ascii="仿宋" w:hAnsi="仿宋" w:eastAsia="仿宋" w:cs="Arial"/>
          <w:color w:val="auto"/>
          <w:w w:val="90"/>
          <w:kern w:val="0"/>
          <w:sz w:val="24"/>
          <w:szCs w:val="24"/>
          <w:highlight w:val="none"/>
        </w:rPr>
        <w:t>▲</w:t>
      </w:r>
      <w:r>
        <w:rPr>
          <w:rFonts w:hint="eastAsia" w:ascii="仿宋" w:hAnsi="仿宋" w:eastAsia="仿宋" w:cs="Arial"/>
          <w:b/>
          <w:color w:val="auto"/>
          <w:w w:val="90"/>
          <w:kern w:val="0"/>
          <w:sz w:val="24"/>
          <w:szCs w:val="24"/>
          <w:highlight w:val="none"/>
        </w:rPr>
        <w:t>1-4联合投标协议书（仅联合体适用）（格式见第六章）</w:t>
      </w:r>
    </w:p>
    <w:p w14:paraId="2D5125DE">
      <w:pPr>
        <w:autoSpaceDN w:val="0"/>
        <w:spacing w:line="360" w:lineRule="auto"/>
        <w:ind w:firstLine="432" w:firstLineChars="200"/>
        <w:rPr>
          <w:rFonts w:ascii="仿宋" w:hAnsi="仿宋" w:eastAsia="仿宋" w:cs="Arial"/>
          <w:b/>
          <w:color w:val="auto"/>
          <w:w w:val="90"/>
          <w:kern w:val="0"/>
          <w:sz w:val="24"/>
          <w:szCs w:val="24"/>
          <w:highlight w:val="none"/>
        </w:rPr>
      </w:pPr>
      <w:r>
        <w:rPr>
          <w:rFonts w:hint="eastAsia" w:ascii="仿宋" w:hAnsi="仿宋" w:eastAsia="仿宋" w:cs="Arial"/>
          <w:color w:val="auto"/>
          <w:w w:val="90"/>
          <w:kern w:val="0"/>
          <w:sz w:val="24"/>
          <w:szCs w:val="24"/>
          <w:highlight w:val="none"/>
        </w:rPr>
        <w:t>▲</w:t>
      </w:r>
      <w:r>
        <w:rPr>
          <w:rFonts w:hint="eastAsia" w:ascii="仿宋" w:hAnsi="仿宋" w:eastAsia="仿宋" w:cs="Arial"/>
          <w:b/>
          <w:color w:val="auto"/>
          <w:w w:val="90"/>
          <w:kern w:val="0"/>
          <w:sz w:val="24"/>
          <w:szCs w:val="24"/>
          <w:highlight w:val="none"/>
        </w:rPr>
        <w:t>1-5有效的《分包意向协议》（仅分包适用）</w:t>
      </w:r>
      <w:bookmarkStart w:id="55" w:name="_Hlk106785833"/>
      <w:r>
        <w:rPr>
          <w:rFonts w:hint="eastAsia" w:ascii="仿宋" w:hAnsi="仿宋" w:eastAsia="仿宋" w:cs="Arial"/>
          <w:b/>
          <w:color w:val="auto"/>
          <w:w w:val="90"/>
          <w:kern w:val="0"/>
          <w:sz w:val="24"/>
          <w:szCs w:val="24"/>
          <w:highlight w:val="none"/>
        </w:rPr>
        <w:t>（格式见第六章）</w:t>
      </w:r>
      <w:bookmarkEnd w:id="55"/>
    </w:p>
    <w:p w14:paraId="5C87DC78">
      <w:pPr>
        <w:autoSpaceDN w:val="0"/>
        <w:spacing w:line="360" w:lineRule="auto"/>
        <w:ind w:firstLine="482" w:firstLineChars="200"/>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第二部分：《商务技术文件》组成内容</w:t>
      </w:r>
    </w:p>
    <w:p w14:paraId="51688197">
      <w:pPr>
        <w:autoSpaceDN w:val="0"/>
        <w:spacing w:line="360" w:lineRule="auto"/>
        <w:ind w:firstLine="434" w:firstLineChars="200"/>
        <w:jc w:val="left"/>
        <w:rPr>
          <w:rFonts w:ascii="仿宋" w:hAnsi="仿宋" w:eastAsia="仿宋" w:cs="Times New Roman"/>
          <w:b/>
          <w:bCs/>
          <w:color w:val="auto"/>
          <w:sz w:val="24"/>
          <w:szCs w:val="24"/>
          <w:highlight w:val="none"/>
        </w:rPr>
      </w:pPr>
      <w:bookmarkStart w:id="56" w:name="_Hlk96939561"/>
      <w:r>
        <w:rPr>
          <w:rFonts w:hint="eastAsia" w:ascii="仿宋" w:hAnsi="仿宋" w:eastAsia="仿宋" w:cs="Arial"/>
          <w:b/>
          <w:bCs/>
          <w:color w:val="auto"/>
          <w:w w:val="90"/>
          <w:kern w:val="0"/>
          <w:sz w:val="24"/>
          <w:szCs w:val="24"/>
          <w:highlight w:val="none"/>
        </w:rPr>
        <w:t>▲</w:t>
      </w:r>
      <w:bookmarkEnd w:id="56"/>
      <w:r>
        <w:rPr>
          <w:rFonts w:hint="eastAsia" w:ascii="仿宋" w:hAnsi="仿宋" w:eastAsia="仿宋" w:cs="Arial"/>
          <w:b/>
          <w:bCs/>
          <w:color w:val="auto"/>
          <w:w w:val="90"/>
          <w:kern w:val="0"/>
          <w:sz w:val="24"/>
          <w:szCs w:val="24"/>
          <w:highlight w:val="none"/>
        </w:rPr>
        <w:t xml:space="preserve"> </w:t>
      </w:r>
      <w:r>
        <w:rPr>
          <w:rFonts w:hint="eastAsia" w:ascii="仿宋" w:hAnsi="仿宋" w:eastAsia="仿宋" w:cs="Times New Roman"/>
          <w:b/>
          <w:bCs/>
          <w:color w:val="auto"/>
          <w:sz w:val="24"/>
          <w:szCs w:val="24"/>
          <w:highlight w:val="none"/>
        </w:rPr>
        <w:t xml:space="preserve">2-1 </w:t>
      </w:r>
      <w:r>
        <w:rPr>
          <w:rFonts w:hint="eastAsia" w:ascii="仿宋" w:hAnsi="仿宋" w:eastAsia="仿宋" w:cs="Times New Roman"/>
          <w:b/>
          <w:bCs/>
          <w:color w:val="auto"/>
          <w:sz w:val="24"/>
          <w:szCs w:val="24"/>
          <w:highlight w:val="none"/>
          <w:u w:val="single"/>
        </w:rPr>
        <w:t>关于投标文件所有内容真实有效的承诺函：（格式见第六章）</w:t>
      </w:r>
    </w:p>
    <w:p w14:paraId="2EF3018F">
      <w:pPr>
        <w:autoSpaceDN w:val="0"/>
        <w:spacing w:line="360" w:lineRule="auto"/>
        <w:ind w:firstLine="434" w:firstLineChars="200"/>
        <w:jc w:val="left"/>
        <w:rPr>
          <w:rFonts w:ascii="仿宋" w:hAnsi="仿宋" w:eastAsia="仿宋" w:cs="Times New Roman"/>
          <w:b/>
          <w:bCs/>
          <w:color w:val="auto"/>
          <w:sz w:val="24"/>
          <w:szCs w:val="24"/>
          <w:highlight w:val="none"/>
        </w:rPr>
      </w:pPr>
      <w:r>
        <w:rPr>
          <w:rFonts w:hint="eastAsia" w:ascii="仿宋" w:hAnsi="仿宋" w:eastAsia="仿宋" w:cs="Arial"/>
          <w:b/>
          <w:bCs/>
          <w:color w:val="auto"/>
          <w:w w:val="90"/>
          <w:kern w:val="0"/>
          <w:sz w:val="24"/>
          <w:szCs w:val="24"/>
          <w:highlight w:val="none"/>
        </w:rPr>
        <w:t xml:space="preserve">▲ </w:t>
      </w:r>
      <w:r>
        <w:rPr>
          <w:rFonts w:hint="eastAsia" w:ascii="仿宋" w:hAnsi="仿宋" w:eastAsia="仿宋" w:cs="Times New Roman"/>
          <w:b/>
          <w:bCs/>
          <w:color w:val="auto"/>
          <w:sz w:val="24"/>
          <w:szCs w:val="24"/>
          <w:highlight w:val="none"/>
        </w:rPr>
        <w:t>2-2</w:t>
      </w:r>
      <w:r>
        <w:rPr>
          <w:rFonts w:hint="eastAsia" w:ascii="仿宋" w:hAnsi="仿宋" w:eastAsia="仿宋" w:cs="Times New Roman"/>
          <w:b/>
          <w:bCs/>
          <w:color w:val="auto"/>
          <w:sz w:val="24"/>
          <w:szCs w:val="24"/>
          <w:highlight w:val="none"/>
          <w:u w:val="single"/>
        </w:rPr>
        <w:t>法定代表人资格证明书</w:t>
      </w:r>
      <w:r>
        <w:rPr>
          <w:rFonts w:hint="eastAsia" w:ascii="仿宋" w:hAnsi="仿宋" w:eastAsia="仿宋" w:cs="Times New Roman"/>
          <w:b/>
          <w:bCs/>
          <w:color w:val="auto"/>
          <w:sz w:val="24"/>
          <w:szCs w:val="24"/>
          <w:highlight w:val="none"/>
        </w:rPr>
        <w:t>；</w:t>
      </w:r>
    </w:p>
    <w:p w14:paraId="1C404505">
      <w:pPr>
        <w:autoSpaceDN w:val="0"/>
        <w:spacing w:line="360" w:lineRule="auto"/>
        <w:ind w:firstLine="434" w:firstLineChars="200"/>
        <w:jc w:val="left"/>
        <w:rPr>
          <w:rFonts w:ascii="仿宋" w:hAnsi="仿宋" w:eastAsia="仿宋" w:cs="Times New Roman"/>
          <w:bCs/>
          <w:color w:val="auto"/>
          <w:sz w:val="24"/>
          <w:szCs w:val="24"/>
          <w:highlight w:val="none"/>
        </w:rPr>
      </w:pPr>
      <w:r>
        <w:rPr>
          <w:rFonts w:hint="eastAsia" w:ascii="仿宋" w:hAnsi="仿宋" w:eastAsia="仿宋" w:cs="Arial"/>
          <w:b/>
          <w:bCs/>
          <w:color w:val="auto"/>
          <w:w w:val="90"/>
          <w:kern w:val="0"/>
          <w:sz w:val="24"/>
          <w:szCs w:val="24"/>
          <w:highlight w:val="none"/>
        </w:rPr>
        <w:t xml:space="preserve">▲ </w:t>
      </w:r>
      <w:r>
        <w:rPr>
          <w:rFonts w:hint="eastAsia" w:ascii="仿宋" w:hAnsi="仿宋" w:eastAsia="仿宋" w:cs="Times New Roman"/>
          <w:b/>
          <w:bCs/>
          <w:color w:val="auto"/>
          <w:sz w:val="24"/>
          <w:szCs w:val="24"/>
          <w:highlight w:val="none"/>
        </w:rPr>
        <w:t>2-3</w:t>
      </w:r>
      <w:r>
        <w:rPr>
          <w:rFonts w:hint="eastAsia" w:ascii="仿宋" w:hAnsi="仿宋" w:eastAsia="仿宋" w:cs="Times New Roman"/>
          <w:b/>
          <w:bCs/>
          <w:color w:val="auto"/>
          <w:sz w:val="24"/>
          <w:szCs w:val="24"/>
          <w:highlight w:val="none"/>
          <w:u w:val="single"/>
        </w:rPr>
        <w:t>法定代表人授权委托书</w:t>
      </w:r>
      <w:r>
        <w:rPr>
          <w:rFonts w:hint="eastAsia" w:ascii="仿宋" w:hAnsi="仿宋" w:eastAsia="仿宋" w:cs="Times New Roman"/>
          <w:b/>
          <w:bCs/>
          <w:color w:val="auto"/>
          <w:sz w:val="24"/>
          <w:szCs w:val="24"/>
          <w:highlight w:val="none"/>
        </w:rPr>
        <w:t>（</w:t>
      </w:r>
      <w:r>
        <w:rPr>
          <w:rFonts w:hint="eastAsia" w:ascii="仿宋" w:hAnsi="仿宋" w:eastAsia="仿宋" w:cs="Times New Roman"/>
          <w:bCs/>
          <w:color w:val="auto"/>
          <w:sz w:val="24"/>
          <w:szCs w:val="24"/>
          <w:highlight w:val="none"/>
        </w:rPr>
        <w:t>法定代表人授权其公司员工签署及参加磋商响应的，在磋商响应文件中同时出具法定代表人资格证明书及此授权书）；</w:t>
      </w:r>
    </w:p>
    <w:p w14:paraId="6FEB45C1">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2-4</w:t>
      </w:r>
      <w:r>
        <w:rPr>
          <w:rFonts w:hint="eastAsia" w:ascii="仿宋" w:hAnsi="仿宋" w:eastAsia="仿宋" w:cs="Times New Roman"/>
          <w:b/>
          <w:bCs/>
          <w:color w:val="auto"/>
          <w:sz w:val="24"/>
          <w:szCs w:val="24"/>
          <w:highlight w:val="none"/>
          <w:u w:val="single"/>
        </w:rPr>
        <w:t>磋商响应供应商履约能力评价证明材料</w:t>
      </w:r>
      <w:r>
        <w:rPr>
          <w:rFonts w:hint="eastAsia" w:ascii="仿宋" w:hAnsi="仿宋" w:eastAsia="仿宋" w:cs="Times New Roman"/>
          <w:b/>
          <w:bCs/>
          <w:color w:val="auto"/>
          <w:sz w:val="24"/>
          <w:szCs w:val="24"/>
          <w:highlight w:val="none"/>
        </w:rPr>
        <w:t>；</w:t>
      </w:r>
    </w:p>
    <w:p w14:paraId="744BEB07">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2-5</w:t>
      </w:r>
      <w:r>
        <w:rPr>
          <w:rFonts w:hint="eastAsia" w:ascii="仿宋" w:hAnsi="仿宋" w:eastAsia="仿宋" w:cs="Times New Roman"/>
          <w:b/>
          <w:bCs/>
          <w:color w:val="auto"/>
          <w:sz w:val="24"/>
          <w:szCs w:val="24"/>
          <w:highlight w:val="none"/>
          <w:u w:val="single"/>
        </w:rPr>
        <w:t>磋商响应供应商类似项目业绩情况</w:t>
      </w:r>
      <w:r>
        <w:rPr>
          <w:rFonts w:hint="eastAsia" w:ascii="仿宋" w:hAnsi="仿宋" w:eastAsia="仿宋" w:cs="Times New Roman"/>
          <w:b/>
          <w:bCs/>
          <w:color w:val="auto"/>
          <w:sz w:val="24"/>
          <w:szCs w:val="24"/>
          <w:highlight w:val="none"/>
        </w:rPr>
        <w:t>；</w:t>
      </w:r>
    </w:p>
    <w:p w14:paraId="4F22C662">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2-6</w:t>
      </w:r>
      <w:r>
        <w:rPr>
          <w:rFonts w:hint="eastAsia" w:ascii="仿宋" w:hAnsi="仿宋" w:eastAsia="仿宋" w:cs="Times New Roman"/>
          <w:b/>
          <w:bCs/>
          <w:color w:val="auto"/>
          <w:sz w:val="24"/>
          <w:szCs w:val="24"/>
          <w:highlight w:val="none"/>
          <w:u w:val="single"/>
        </w:rPr>
        <w:t>拟派项目经理类似项目业绩情况</w:t>
      </w:r>
      <w:r>
        <w:rPr>
          <w:rFonts w:hint="eastAsia" w:ascii="仿宋" w:hAnsi="仿宋" w:eastAsia="仿宋" w:cs="Times New Roman"/>
          <w:b/>
          <w:bCs/>
          <w:color w:val="auto"/>
          <w:sz w:val="24"/>
          <w:szCs w:val="24"/>
          <w:highlight w:val="none"/>
        </w:rPr>
        <w:t>；</w:t>
      </w:r>
    </w:p>
    <w:p w14:paraId="0B98A909">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2-7</w:t>
      </w:r>
      <w:r>
        <w:rPr>
          <w:rFonts w:hint="eastAsia" w:ascii="仿宋" w:hAnsi="仿宋" w:eastAsia="仿宋" w:cs="Times New Roman"/>
          <w:b/>
          <w:bCs/>
          <w:color w:val="auto"/>
          <w:sz w:val="24"/>
          <w:szCs w:val="24"/>
          <w:highlight w:val="none"/>
          <w:u w:val="single"/>
        </w:rPr>
        <w:t>商务技术偏离表</w:t>
      </w:r>
      <w:r>
        <w:rPr>
          <w:rFonts w:hint="eastAsia" w:ascii="仿宋" w:hAnsi="仿宋" w:eastAsia="仿宋" w:cs="Times New Roman"/>
          <w:b/>
          <w:bCs/>
          <w:color w:val="auto"/>
          <w:sz w:val="24"/>
          <w:szCs w:val="24"/>
          <w:highlight w:val="none"/>
        </w:rPr>
        <w:t>；</w:t>
      </w:r>
    </w:p>
    <w:p w14:paraId="0EA1C15D">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2-8</w:t>
      </w:r>
      <w:r>
        <w:rPr>
          <w:rFonts w:hint="eastAsia" w:ascii="仿宋" w:hAnsi="仿宋" w:eastAsia="仿宋" w:cs="Times New Roman"/>
          <w:b/>
          <w:bCs/>
          <w:color w:val="auto"/>
          <w:sz w:val="24"/>
          <w:szCs w:val="24"/>
          <w:highlight w:val="none"/>
          <w:u w:val="single"/>
        </w:rPr>
        <w:t>施工组织设计</w:t>
      </w:r>
      <w:r>
        <w:rPr>
          <w:rFonts w:hint="eastAsia" w:ascii="仿宋" w:hAnsi="仿宋" w:eastAsia="仿宋" w:cs="Times New Roman"/>
          <w:b/>
          <w:bCs/>
          <w:color w:val="auto"/>
          <w:sz w:val="24"/>
          <w:szCs w:val="24"/>
          <w:highlight w:val="none"/>
        </w:rPr>
        <w:t>；</w:t>
      </w:r>
    </w:p>
    <w:p w14:paraId="5F995A14">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2-9</w:t>
      </w:r>
      <w:r>
        <w:rPr>
          <w:rFonts w:hint="eastAsia" w:ascii="仿宋" w:hAnsi="仿宋" w:eastAsia="仿宋" w:cs="Times New Roman"/>
          <w:b/>
          <w:bCs/>
          <w:color w:val="auto"/>
          <w:sz w:val="24"/>
          <w:szCs w:val="24"/>
          <w:highlight w:val="none"/>
          <w:u w:val="single"/>
        </w:rPr>
        <w:t>技术（服务）方案</w:t>
      </w:r>
      <w:r>
        <w:rPr>
          <w:rFonts w:hint="eastAsia" w:ascii="仿宋" w:hAnsi="仿宋" w:eastAsia="仿宋" w:cs="Times New Roman"/>
          <w:b/>
          <w:bCs/>
          <w:color w:val="auto"/>
          <w:sz w:val="24"/>
          <w:szCs w:val="24"/>
          <w:highlight w:val="none"/>
        </w:rPr>
        <w:t>；</w:t>
      </w:r>
    </w:p>
    <w:p w14:paraId="639B2018">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2-10</w:t>
      </w:r>
      <w:r>
        <w:rPr>
          <w:rFonts w:hint="eastAsia" w:ascii="仿宋" w:hAnsi="仿宋" w:eastAsia="仿宋" w:cs="Times New Roman"/>
          <w:b/>
          <w:bCs/>
          <w:color w:val="auto"/>
          <w:sz w:val="24"/>
          <w:szCs w:val="24"/>
          <w:highlight w:val="none"/>
          <w:u w:val="single"/>
        </w:rPr>
        <w:t>节能、环保产品证明材料</w:t>
      </w:r>
      <w:r>
        <w:rPr>
          <w:rFonts w:hint="eastAsia" w:ascii="仿宋" w:hAnsi="仿宋" w:eastAsia="仿宋" w:cs="Times New Roman"/>
          <w:b/>
          <w:bCs/>
          <w:color w:val="auto"/>
          <w:sz w:val="24"/>
          <w:szCs w:val="24"/>
          <w:highlight w:val="none"/>
        </w:rPr>
        <w:t>；</w:t>
      </w:r>
    </w:p>
    <w:p w14:paraId="69F588C6">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2-11</w:t>
      </w:r>
      <w:r>
        <w:rPr>
          <w:rFonts w:hint="eastAsia" w:ascii="仿宋" w:hAnsi="仿宋" w:eastAsia="仿宋" w:cs="Times New Roman"/>
          <w:b/>
          <w:bCs/>
          <w:color w:val="auto"/>
          <w:sz w:val="24"/>
          <w:szCs w:val="24"/>
          <w:highlight w:val="none"/>
          <w:u w:val="single"/>
        </w:rPr>
        <w:t>主要材料推荐品牌</w:t>
      </w:r>
      <w:r>
        <w:rPr>
          <w:rFonts w:hint="eastAsia" w:ascii="仿宋" w:hAnsi="仿宋" w:eastAsia="仿宋" w:cs="Times New Roman"/>
          <w:b/>
          <w:bCs/>
          <w:color w:val="auto"/>
          <w:sz w:val="24"/>
          <w:szCs w:val="24"/>
          <w:highlight w:val="none"/>
        </w:rPr>
        <w:t>；</w:t>
      </w:r>
    </w:p>
    <w:p w14:paraId="4CA7C40C">
      <w:pPr>
        <w:autoSpaceDN w:val="0"/>
        <w:spacing w:line="360" w:lineRule="auto"/>
        <w:ind w:firstLine="723" w:firstLineChars="300"/>
        <w:jc w:val="left"/>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2-12</w:t>
      </w:r>
      <w:r>
        <w:rPr>
          <w:rFonts w:hint="eastAsia" w:ascii="仿宋" w:hAnsi="仿宋" w:eastAsia="仿宋" w:cs="Times New Roman"/>
          <w:b/>
          <w:bCs/>
          <w:color w:val="auto"/>
          <w:sz w:val="24"/>
          <w:szCs w:val="24"/>
          <w:highlight w:val="none"/>
          <w:u w:val="single"/>
        </w:rPr>
        <w:t>其他资料（格式自拟）</w:t>
      </w:r>
      <w:r>
        <w:rPr>
          <w:rFonts w:hint="eastAsia" w:ascii="仿宋" w:hAnsi="仿宋" w:eastAsia="仿宋" w:cs="Times New Roman"/>
          <w:b/>
          <w:bCs/>
          <w:color w:val="auto"/>
          <w:sz w:val="24"/>
          <w:szCs w:val="24"/>
          <w:highlight w:val="none"/>
        </w:rPr>
        <w:t>。</w:t>
      </w:r>
    </w:p>
    <w:p w14:paraId="5ED72271">
      <w:pPr>
        <w:autoSpaceDN w:val="0"/>
        <w:spacing w:line="360" w:lineRule="auto"/>
        <w:ind w:firstLine="482" w:firstLineChars="200"/>
        <w:rPr>
          <w:rFonts w:ascii="仿宋" w:hAnsi="仿宋" w:eastAsia="仿宋" w:cs="Times New Roman"/>
          <w:b/>
          <w:color w:val="auto"/>
          <w:kern w:val="0"/>
          <w:sz w:val="24"/>
          <w:szCs w:val="20"/>
          <w:highlight w:val="none"/>
        </w:rPr>
      </w:pPr>
      <w:r>
        <w:rPr>
          <w:rFonts w:hint="eastAsia" w:ascii="仿宋" w:hAnsi="仿宋" w:eastAsia="仿宋" w:cs="Times New Roman"/>
          <w:b/>
          <w:color w:val="auto"/>
          <w:kern w:val="0"/>
          <w:sz w:val="24"/>
          <w:szCs w:val="20"/>
          <w:highlight w:val="none"/>
        </w:rPr>
        <w:t>第三部分：《报价文件》组成内容</w:t>
      </w:r>
    </w:p>
    <w:p w14:paraId="29D40859">
      <w:pPr>
        <w:autoSpaceDN w:val="0"/>
        <w:spacing w:line="360" w:lineRule="auto"/>
        <w:ind w:firstLine="723" w:firstLineChars="3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u w:val="single"/>
        </w:rPr>
        <w:t>投标函</w:t>
      </w:r>
      <w:r>
        <w:rPr>
          <w:rFonts w:hint="eastAsia" w:ascii="仿宋" w:hAnsi="仿宋" w:eastAsia="仿宋" w:cs="仿宋"/>
          <w:b/>
          <w:bCs/>
          <w:color w:val="auto"/>
          <w:sz w:val="24"/>
          <w:szCs w:val="24"/>
          <w:highlight w:val="none"/>
        </w:rPr>
        <w:t>；</w:t>
      </w:r>
    </w:p>
    <w:p w14:paraId="798621E1">
      <w:pPr>
        <w:autoSpaceDN w:val="0"/>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u w:val="single"/>
        </w:rPr>
        <w:t>工程量清单及计价表</w:t>
      </w:r>
      <w:r>
        <w:rPr>
          <w:rFonts w:hint="eastAsia" w:ascii="仿宋" w:hAnsi="仿宋" w:eastAsia="仿宋" w:cs="仿宋"/>
          <w:b/>
          <w:bCs/>
          <w:color w:val="auto"/>
          <w:sz w:val="24"/>
          <w:szCs w:val="24"/>
          <w:highlight w:val="none"/>
        </w:rPr>
        <w:t>；</w:t>
      </w:r>
    </w:p>
    <w:p w14:paraId="390B1B38">
      <w:pPr>
        <w:autoSpaceDE w:val="0"/>
        <w:autoSpaceDN w:val="0"/>
        <w:adjustRightInd w:val="0"/>
        <w:spacing w:line="360" w:lineRule="auto"/>
        <w:ind w:firstLine="482" w:firstLineChars="200"/>
        <w:jc w:val="left"/>
        <w:rPr>
          <w:rFonts w:ascii="仿宋" w:hAnsi="仿宋" w:eastAsia="仿宋" w:cs="仿宋"/>
          <w:bCs/>
          <w:color w:val="auto"/>
          <w:sz w:val="24"/>
          <w:szCs w:val="24"/>
          <w:highlight w:val="none"/>
        </w:rPr>
      </w:pPr>
      <w:r>
        <w:rPr>
          <w:rFonts w:hint="eastAsia" w:ascii="仿宋" w:hAnsi="仿宋" w:eastAsia="仿宋" w:cs="仿宋"/>
          <w:b/>
          <w:bCs/>
          <w:color w:val="auto"/>
          <w:sz w:val="24"/>
          <w:szCs w:val="24"/>
          <w:highlight w:val="none"/>
        </w:rPr>
        <w:t>（3）</w:t>
      </w:r>
      <w:r>
        <w:rPr>
          <w:rFonts w:hint="eastAsia" w:ascii="仿宋" w:hAnsi="仿宋" w:eastAsia="仿宋" w:cs="仿宋"/>
          <w:b/>
          <w:bCs/>
          <w:color w:val="auto"/>
          <w:sz w:val="24"/>
          <w:szCs w:val="24"/>
          <w:highlight w:val="none"/>
          <w:u w:val="single"/>
        </w:rPr>
        <w:t>供应商认为其他需要提供的资料（格式自拟）</w:t>
      </w:r>
      <w:r>
        <w:rPr>
          <w:rFonts w:hint="eastAsia" w:ascii="仿宋" w:hAnsi="仿宋" w:eastAsia="仿宋" w:cs="仿宋"/>
          <w:b/>
          <w:bCs/>
          <w:color w:val="auto"/>
          <w:sz w:val="24"/>
          <w:szCs w:val="24"/>
          <w:highlight w:val="none"/>
        </w:rPr>
        <w:t>。</w:t>
      </w:r>
    </w:p>
    <w:p w14:paraId="5CA03D9C">
      <w:pPr>
        <w:autoSpaceDN w:val="0"/>
        <w:spacing w:line="360" w:lineRule="auto"/>
        <w:ind w:firstLine="542" w:firstLineChars="225"/>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注：以上目录是编制响应文件的基本格式要求，各供应商可根据自身情况进一步细化。</w:t>
      </w:r>
    </w:p>
    <w:p w14:paraId="30B85EC2">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4.3 磋商响应文件的编制</w:t>
      </w:r>
    </w:p>
    <w:p w14:paraId="2629DF59">
      <w:pPr>
        <w:autoSpaceDN w:val="0"/>
        <w:spacing w:line="360" w:lineRule="auto"/>
        <w:ind w:firstLine="422" w:firstLineChars="175"/>
        <w:rPr>
          <w:rFonts w:ascii="仿宋" w:hAnsi="仿宋" w:eastAsia="仿宋" w:cs="Arial"/>
          <w:b/>
          <w:color w:val="auto"/>
          <w:sz w:val="24"/>
          <w:szCs w:val="24"/>
          <w:highlight w:val="none"/>
        </w:rPr>
      </w:pPr>
      <w:r>
        <w:rPr>
          <w:rFonts w:hint="eastAsia" w:ascii="仿宋" w:hAnsi="仿宋" w:eastAsia="仿宋" w:cs="Arial"/>
          <w:b/>
          <w:color w:val="auto"/>
          <w:kern w:val="0"/>
          <w:sz w:val="24"/>
          <w:szCs w:val="24"/>
          <w:highlight w:val="none"/>
        </w:rPr>
        <w:t>4.3.1</w:t>
      </w:r>
      <w:r>
        <w:rPr>
          <w:rFonts w:hint="eastAsia" w:ascii="仿宋" w:hAnsi="仿宋" w:eastAsia="仿宋" w:cs="Arial"/>
          <w:b/>
          <w:color w:val="auto"/>
          <w:sz w:val="24"/>
          <w:szCs w:val="24"/>
          <w:highlight w:val="none"/>
        </w:rPr>
        <w:t>依据《浙江省政府采购项目电子交易管理暂行办法》，本项目通过“政府采购云平台”（网址：</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仿宋" w:hAnsi="仿宋" w:eastAsia="仿宋" w:cs="Arial"/>
          <w:b/>
          <w:color w:val="auto"/>
          <w:sz w:val="24"/>
          <w:szCs w:val="24"/>
          <w:highlight w:val="none"/>
          <w:u w:val="single"/>
        </w:rPr>
        <w:t>www.zcygov.cn</w:t>
      </w:r>
      <w:r>
        <w:rPr>
          <w:rFonts w:hint="eastAsia" w:ascii="仿宋" w:hAnsi="仿宋" w:eastAsia="仿宋" w:cs="Arial"/>
          <w:b/>
          <w:color w:val="auto"/>
          <w:sz w:val="24"/>
          <w:szCs w:val="24"/>
          <w:highlight w:val="none"/>
          <w:u w:val="single"/>
        </w:rPr>
        <w:fldChar w:fldCharType="end"/>
      </w:r>
      <w:r>
        <w:rPr>
          <w:rFonts w:hint="eastAsia" w:ascii="仿宋" w:hAnsi="仿宋" w:eastAsia="仿宋" w:cs="Arial"/>
          <w:b/>
          <w:color w:val="auto"/>
          <w:sz w:val="24"/>
          <w:szCs w:val="24"/>
          <w:highlight w:val="none"/>
        </w:rPr>
        <w:t>）实行电子交易（在线磋商响应）。供应商参加本项目电子交易应当安装“政采云电子交易客户端”，并按照本竞争性磋商文件和“政府采购云平台”的要求编制并加密磋商响应文件。</w:t>
      </w:r>
      <w:r>
        <w:rPr>
          <w:rFonts w:hint="eastAsia" w:ascii="仿宋" w:hAnsi="仿宋" w:eastAsia="仿宋" w:cs="Arial"/>
          <w:b/>
          <w:color w:val="auto"/>
          <w:sz w:val="24"/>
          <w:szCs w:val="24"/>
          <w:highlight w:val="none"/>
          <w:u w:val="single"/>
        </w:rPr>
        <w:t>供应商未按规定加密的磋商响应文件，“政府采购云平台”将予以拒收</w:t>
      </w:r>
      <w:r>
        <w:rPr>
          <w:rFonts w:hint="eastAsia" w:ascii="仿宋" w:hAnsi="仿宋" w:eastAsia="仿宋" w:cs="Arial"/>
          <w:b/>
          <w:color w:val="auto"/>
          <w:sz w:val="24"/>
          <w:szCs w:val="24"/>
          <w:highlight w:val="none"/>
        </w:rPr>
        <w:t>。</w:t>
      </w:r>
    </w:p>
    <w:p w14:paraId="7057488C">
      <w:pPr>
        <w:autoSpaceDN w:val="0"/>
        <w:spacing w:line="360" w:lineRule="auto"/>
        <w:ind w:firstLine="422" w:firstLineChars="175"/>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4.3.2供应商应当按照本章节第4.2.2款规定的内容在“政采云电子交易客户端”编制磋商响应文件。</w:t>
      </w:r>
    </w:p>
    <w:p w14:paraId="6672FFC5">
      <w:pPr>
        <w:autoSpaceDN w:val="0"/>
        <w:spacing w:line="360" w:lineRule="auto"/>
        <w:ind w:firstLine="422" w:firstLineChars="175"/>
        <w:rPr>
          <w:rFonts w:ascii="仿宋" w:hAnsi="仿宋" w:eastAsia="仿宋" w:cs="Times New Roman"/>
          <w:b/>
          <w:color w:val="auto"/>
          <w:sz w:val="24"/>
          <w:szCs w:val="24"/>
          <w:highlight w:val="none"/>
        </w:rPr>
      </w:pPr>
      <w:r>
        <w:rPr>
          <w:rFonts w:hint="eastAsia" w:ascii="仿宋" w:hAnsi="仿宋" w:eastAsia="仿宋" w:cs="Arial"/>
          <w:b/>
          <w:color w:val="auto"/>
          <w:kern w:val="0"/>
          <w:sz w:val="24"/>
          <w:szCs w:val="24"/>
          <w:highlight w:val="none"/>
        </w:rPr>
        <w:t>4.3.3</w:t>
      </w:r>
      <w:r>
        <w:rPr>
          <w:rFonts w:hint="eastAsia" w:ascii="仿宋" w:hAnsi="仿宋" w:eastAsia="仿宋" w:cs="Times New Roman"/>
          <w:b/>
          <w:color w:val="auto"/>
          <w:sz w:val="24"/>
          <w:szCs w:val="24"/>
          <w:highlight w:val="none"/>
        </w:rPr>
        <w:t>本文件《第六章 磋商响应文件格式》中有提供格式的，供应商应按照格式进行编制（格式中要求提供相关证明材料的还需后附相关证明材料），并按格式要求在指定位置根据要求进行签章，否则视为未提供；本文件《第六章磋商响应文件格式》未提供格式的，请供应商自行拟定格式，并加盖单位公章，否则视为未提供。</w:t>
      </w:r>
    </w:p>
    <w:p w14:paraId="77E6A419">
      <w:pPr>
        <w:autoSpaceDN w:val="0"/>
        <w:spacing w:line="360" w:lineRule="auto"/>
        <w:ind w:firstLine="422" w:firstLineChars="175"/>
        <w:rPr>
          <w:rFonts w:ascii="仿宋" w:hAnsi="仿宋" w:eastAsia="仿宋" w:cs="Times New Roman"/>
          <w:color w:val="auto"/>
          <w:sz w:val="24"/>
          <w:szCs w:val="24"/>
          <w:highlight w:val="none"/>
        </w:rPr>
      </w:pPr>
      <w:r>
        <w:rPr>
          <w:rFonts w:hint="eastAsia" w:ascii="仿宋" w:hAnsi="仿宋" w:eastAsia="仿宋" w:cs="Times New Roman"/>
          <w:b/>
          <w:color w:val="auto"/>
          <w:sz w:val="24"/>
          <w:szCs w:val="24"/>
          <w:highlight w:val="none"/>
        </w:rPr>
        <w:t>4.3.4</w:t>
      </w:r>
      <w:r>
        <w:rPr>
          <w:rFonts w:hint="eastAsia" w:ascii="仿宋" w:hAnsi="仿宋" w:eastAsia="仿宋" w:cs="Arial"/>
          <w:b/>
          <w:color w:val="auto"/>
          <w:kern w:val="0"/>
          <w:sz w:val="24"/>
          <w:szCs w:val="24"/>
          <w:highlight w:val="none"/>
        </w:rPr>
        <w:t>本章节第4.2.2款内容中约定</w:t>
      </w:r>
      <w:r>
        <w:rPr>
          <w:rFonts w:hint="eastAsia" w:ascii="仿宋" w:hAnsi="仿宋" w:eastAsia="仿宋" w:cs="Times New Roman"/>
          <w:b/>
          <w:color w:val="auto"/>
          <w:sz w:val="24"/>
          <w:szCs w:val="24"/>
          <w:highlight w:val="none"/>
        </w:rPr>
        <w:t>可以提供扫描件（或复制件）的相关证明材料必须加盖供应商公章，否则视为未提供</w:t>
      </w:r>
      <w:r>
        <w:rPr>
          <w:rFonts w:hint="eastAsia" w:ascii="仿宋" w:hAnsi="仿宋" w:eastAsia="仿宋" w:cs="Times New Roman"/>
          <w:color w:val="auto"/>
          <w:sz w:val="24"/>
          <w:szCs w:val="24"/>
          <w:highlight w:val="none"/>
        </w:rPr>
        <w:t>（例如：各类资格资质证书、业绩材料、许可材料、荣誉证书、产品注册登记材料、产品检测材料、验收材料等）。</w:t>
      </w:r>
    </w:p>
    <w:p w14:paraId="1291C494">
      <w:pPr>
        <w:autoSpaceDN w:val="0"/>
        <w:spacing w:line="360" w:lineRule="auto"/>
        <w:ind w:firstLine="422" w:firstLineChars="175"/>
        <w:rPr>
          <w:rFonts w:ascii="仿宋" w:hAnsi="仿宋" w:eastAsia="仿宋" w:cs="Arial"/>
          <w:b/>
          <w:color w:val="auto"/>
          <w:kern w:val="0"/>
          <w:sz w:val="24"/>
          <w:szCs w:val="24"/>
          <w:highlight w:val="none"/>
        </w:rPr>
      </w:pPr>
      <w:r>
        <w:rPr>
          <w:rFonts w:hint="eastAsia" w:ascii="仿宋" w:hAnsi="仿宋" w:eastAsia="仿宋" w:cs="Times New Roman"/>
          <w:b/>
          <w:color w:val="auto"/>
          <w:sz w:val="24"/>
          <w:szCs w:val="24"/>
          <w:highlight w:val="none"/>
        </w:rPr>
        <w:t>4.3.5</w:t>
      </w:r>
      <w:r>
        <w:rPr>
          <w:rFonts w:hint="eastAsia" w:ascii="仿宋" w:hAnsi="仿宋" w:eastAsia="仿宋" w:cs="Arial"/>
          <w:b/>
          <w:color w:val="auto"/>
          <w:kern w:val="0"/>
          <w:sz w:val="24"/>
          <w:szCs w:val="24"/>
          <w:highlight w:val="none"/>
        </w:rPr>
        <w:t>本章节第4.2.2款内容中标注“▲”的内容为必须提供的内容，未提供的磋商响应文件无效。</w:t>
      </w:r>
    </w:p>
    <w:p w14:paraId="3F6B70D5">
      <w:pPr>
        <w:autoSpaceDN w:val="0"/>
        <w:spacing w:line="360" w:lineRule="auto"/>
        <w:ind w:firstLine="420" w:firstLineChars="175"/>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4.3.6《磋商响应文件》内容不完整、编排混乱导致《磋商响应文件》被误读、漏读或者查找不到相关内容的，是磋商响应供应商的责任。</w:t>
      </w:r>
    </w:p>
    <w:p w14:paraId="7B3B773C">
      <w:pPr>
        <w:autoSpaceDN w:val="0"/>
        <w:spacing w:line="360" w:lineRule="auto"/>
        <w:ind w:firstLine="420" w:firstLineChars="175"/>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4.3.7《磋商响应文件》因字迹潦草或表达不清所引起的后果由磋商响应供应商负责。</w:t>
      </w:r>
    </w:p>
    <w:p w14:paraId="6AE5E3EB">
      <w:pPr>
        <w:autoSpaceDN w:val="0"/>
        <w:spacing w:line="360" w:lineRule="auto"/>
        <w:ind w:firstLine="420" w:firstLineChars="175"/>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4.3.8</w:t>
      </w:r>
      <w:r>
        <w:rPr>
          <w:rFonts w:hint="eastAsia" w:ascii="仿宋" w:hAnsi="仿宋" w:eastAsia="仿宋" w:cs="Arial"/>
          <w:color w:val="auto"/>
          <w:kern w:val="0"/>
          <w:sz w:val="24"/>
          <w:highlight w:val="none"/>
        </w:rPr>
        <w:t>磋商响应供应商没有按照</w:t>
      </w:r>
      <w:r>
        <w:rPr>
          <w:rFonts w:hint="eastAsia" w:ascii="仿宋" w:hAnsi="仿宋" w:eastAsia="仿宋" w:cs="Arial"/>
          <w:color w:val="auto"/>
          <w:kern w:val="0"/>
          <w:sz w:val="24"/>
          <w:szCs w:val="24"/>
          <w:highlight w:val="none"/>
        </w:rPr>
        <w:t>本章节第4.2.2款“</w:t>
      </w:r>
      <w:r>
        <w:rPr>
          <w:rFonts w:hint="eastAsia" w:ascii="仿宋" w:hAnsi="仿宋" w:eastAsia="仿宋" w:cs="Arial"/>
          <w:color w:val="auto"/>
          <w:kern w:val="0"/>
          <w:sz w:val="24"/>
          <w:highlight w:val="none"/>
        </w:rPr>
        <w:t>磋商响应文件内容组成</w:t>
      </w:r>
      <w:r>
        <w:rPr>
          <w:rFonts w:hint="eastAsia" w:ascii="仿宋" w:hAnsi="仿宋" w:eastAsia="仿宋" w:cs="Arial"/>
          <w:color w:val="auto"/>
          <w:kern w:val="0"/>
          <w:sz w:val="24"/>
          <w:szCs w:val="24"/>
          <w:highlight w:val="none"/>
        </w:rPr>
        <w:t>”</w:t>
      </w:r>
      <w:r>
        <w:rPr>
          <w:rFonts w:hint="eastAsia" w:ascii="仿宋" w:hAnsi="仿宋" w:eastAsia="仿宋" w:cs="Arial"/>
          <w:color w:val="auto"/>
          <w:kern w:val="0"/>
          <w:sz w:val="24"/>
          <w:highlight w:val="none"/>
        </w:rPr>
        <w:t>要求提供全部资料，或者没有仔细阅读竞争性磋商文件，或者没有对竞争性磋商文件在各方面的要求作出实质性响应是磋商响应供应商的风险，由此造成的一切后果由磋商响应供应商自行承担。</w:t>
      </w:r>
    </w:p>
    <w:p w14:paraId="6452C8E9">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4.4 磋商响应文件的签章</w:t>
      </w:r>
    </w:p>
    <w:p w14:paraId="3326AB2A">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4.4.1磋商响应文件的签章形式：</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sz w:val="24"/>
          <w:szCs w:val="24"/>
          <w:highlight w:val="none"/>
        </w:rPr>
        <w:t>；</w:t>
      </w:r>
    </w:p>
    <w:p w14:paraId="7E69620A">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szCs w:val="24"/>
          <w:highlight w:val="none"/>
        </w:rPr>
        <w:t>4.4.2《磋商响应文件》内容应按</w:t>
      </w:r>
      <w:r>
        <w:rPr>
          <w:rFonts w:hint="eastAsia" w:ascii="仿宋" w:hAnsi="仿宋" w:eastAsia="仿宋" w:cs="Arial"/>
          <w:b/>
          <w:color w:val="auto"/>
          <w:sz w:val="24"/>
          <w:szCs w:val="24"/>
          <w:highlight w:val="none"/>
        </w:rPr>
        <w:t>《第三章 磋商须知》规定和</w:t>
      </w:r>
      <w:r>
        <w:rPr>
          <w:rFonts w:hint="eastAsia" w:ascii="仿宋" w:hAnsi="仿宋" w:eastAsia="仿宋" w:cs="Arial"/>
          <w:b/>
          <w:color w:val="auto"/>
          <w:kern w:val="0"/>
          <w:sz w:val="24"/>
          <w:szCs w:val="24"/>
          <w:highlight w:val="none"/>
        </w:rPr>
        <w:t>《第六章 磋商响应文件格式》</w:t>
      </w:r>
      <w:r>
        <w:rPr>
          <w:rFonts w:hint="eastAsia" w:ascii="仿宋" w:hAnsi="仿宋" w:eastAsia="仿宋" w:cs="Arial"/>
          <w:b/>
          <w:color w:val="auto"/>
          <w:sz w:val="24"/>
          <w:szCs w:val="24"/>
          <w:highlight w:val="none"/>
        </w:rPr>
        <w:t>标注的要求进行盖章、签署</w:t>
      </w:r>
      <w:r>
        <w:rPr>
          <w:rFonts w:hint="eastAsia" w:ascii="仿宋" w:hAnsi="仿宋" w:eastAsia="仿宋" w:cs="Arial"/>
          <w:b/>
          <w:color w:val="auto"/>
          <w:kern w:val="0"/>
          <w:sz w:val="24"/>
          <w:szCs w:val="24"/>
          <w:highlight w:val="none"/>
        </w:rPr>
        <w:t>，应签章而未签章的材料视为未提供。请各供应商详细查阅本章节第4.3款“磋商响应文件的编制”规定（磋商响应供应商为自然人的，须由自然人本人签字（或盖章），同时提供自然人本人有效身份证明材料，否则视为未提供）。</w:t>
      </w:r>
    </w:p>
    <w:p w14:paraId="55C9BE8F">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4.5 磋商报价</w:t>
      </w:r>
    </w:p>
    <w:p w14:paraId="1C0973C6">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4.5.1磋商报价应按《第六章 磋商响应文件格式》中提供的相关报价格式填写；</w:t>
      </w:r>
    </w:p>
    <w:p w14:paraId="0EE41BA1">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sz w:val="24"/>
          <w:szCs w:val="24"/>
          <w:highlight w:val="none"/>
        </w:rPr>
        <w:t>4.5.2本项目最高限价：</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b/>
          <w:color w:val="auto"/>
          <w:kern w:val="0"/>
          <w:sz w:val="24"/>
          <w:szCs w:val="24"/>
          <w:highlight w:val="none"/>
        </w:rPr>
        <w:t>；</w:t>
      </w:r>
    </w:p>
    <w:p w14:paraId="41B2CB37">
      <w:pPr>
        <w:autoSpaceDN w:val="0"/>
        <w:spacing w:line="360" w:lineRule="auto"/>
        <w:ind w:firstLine="424" w:firstLineChars="176"/>
        <w:rPr>
          <w:rFonts w:ascii="仿宋" w:hAnsi="仿宋" w:eastAsia="仿宋" w:cs="Arial"/>
          <w:b/>
          <w:color w:val="auto"/>
          <w:kern w:val="0"/>
          <w:sz w:val="24"/>
          <w:szCs w:val="24"/>
          <w:highlight w:val="none"/>
          <w:u w:val="single"/>
        </w:rPr>
      </w:pPr>
      <w:r>
        <w:rPr>
          <w:rFonts w:hint="eastAsia" w:ascii="仿宋" w:hAnsi="仿宋" w:eastAsia="仿宋" w:cs="Arial"/>
          <w:b/>
          <w:color w:val="auto"/>
          <w:kern w:val="0"/>
          <w:sz w:val="24"/>
          <w:szCs w:val="24"/>
          <w:highlight w:val="none"/>
          <w:u w:val="single"/>
        </w:rPr>
        <w:t>4.5.3《磋商响应文件》针对每个标项每一轮只允许有一个报价，不接受有选择报价的磋商响应（作无效标处理）；</w:t>
      </w:r>
    </w:p>
    <w:p w14:paraId="4D2C7217">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4.5.5最低报价不是成交的保证，采购人及采购代理机构不作任何落标解释。</w:t>
      </w:r>
    </w:p>
    <w:p w14:paraId="45AFE6EE">
      <w:pPr>
        <w:autoSpaceDN w:val="0"/>
        <w:spacing w:before="120" w:after="120" w:line="360" w:lineRule="auto"/>
        <w:ind w:firstLine="480"/>
        <w:rPr>
          <w:rFonts w:ascii="仿宋" w:hAnsi="仿宋" w:eastAsia="仿宋" w:cs="Times New Roman"/>
          <w:b/>
          <w:color w:val="auto"/>
          <w:sz w:val="24"/>
          <w:highlight w:val="none"/>
        </w:rPr>
      </w:pPr>
      <w:r>
        <w:rPr>
          <w:rFonts w:hint="eastAsia" w:ascii="仿宋" w:hAnsi="仿宋" w:eastAsia="仿宋"/>
          <w:b/>
          <w:color w:val="auto"/>
          <w:sz w:val="24"/>
          <w:highlight w:val="none"/>
        </w:rPr>
        <w:t>4.5.6 ▲</w:t>
      </w:r>
      <w:r>
        <w:rPr>
          <w:rFonts w:hint="eastAsia" w:ascii="仿宋" w:hAnsi="仿宋" w:eastAsia="仿宋" w:cs="Arial"/>
          <w:b/>
          <w:color w:val="auto"/>
          <w:kern w:val="0"/>
          <w:sz w:val="24"/>
          <w:highlight w:val="none"/>
          <w:u w:val="single"/>
        </w:rPr>
        <w:t>本次磋商报价为含税人民币价</w:t>
      </w:r>
      <w:r>
        <w:rPr>
          <w:rFonts w:hint="eastAsia" w:ascii="仿宋" w:hAnsi="仿宋" w:eastAsia="仿宋" w:cs="Arial"/>
          <w:b/>
          <w:color w:val="auto"/>
          <w:kern w:val="0"/>
          <w:sz w:val="24"/>
          <w:highlight w:val="none"/>
        </w:rPr>
        <w:t>。</w:t>
      </w:r>
    </w:p>
    <w:p w14:paraId="6C175B4B">
      <w:pPr>
        <w:autoSpaceDN w:val="0"/>
        <w:adjustRightInd w:val="0"/>
        <w:snapToGrid w:val="0"/>
        <w:spacing w:line="360" w:lineRule="auto"/>
        <w:ind w:firstLine="480" w:firstLineChars="200"/>
        <w:rPr>
          <w:rFonts w:ascii="仿宋" w:hAnsi="仿宋" w:eastAsia="仿宋" w:cs="宋体"/>
          <w:bCs/>
          <w:color w:val="auto"/>
          <w:sz w:val="24"/>
          <w:highlight w:val="none"/>
        </w:rPr>
      </w:pPr>
      <w:r>
        <w:rPr>
          <w:rFonts w:hint="eastAsia" w:ascii="仿宋" w:hAnsi="仿宋" w:eastAsia="仿宋" w:cs="宋体"/>
          <w:color w:val="auto"/>
          <w:sz w:val="24"/>
          <w:highlight w:val="none"/>
        </w:rPr>
        <w:t>4.5.7磋商报价为磋商响应供应商的磋商响应文件中提出的各项支付金额的总和。</w:t>
      </w:r>
    </w:p>
    <w:p w14:paraId="6FEA9327">
      <w:pPr>
        <w:autoSpaceDN w:val="0"/>
        <w:spacing w:before="120" w:after="120" w:line="360" w:lineRule="auto"/>
        <w:ind w:firstLine="480"/>
        <w:rPr>
          <w:rFonts w:ascii="仿宋" w:hAnsi="仿宋" w:eastAsia="仿宋"/>
          <w:b/>
          <w:bCs/>
          <w:color w:val="auto"/>
          <w:sz w:val="24"/>
          <w:highlight w:val="none"/>
        </w:rPr>
      </w:pPr>
      <w:r>
        <w:rPr>
          <w:rFonts w:hint="eastAsia" w:ascii="仿宋" w:hAnsi="仿宋" w:eastAsia="仿宋"/>
          <w:b/>
          <w:color w:val="auto"/>
          <w:sz w:val="24"/>
          <w:highlight w:val="none"/>
        </w:rPr>
        <w:t>4.5.8采用工程量清单报价的，磋商响应供应商应按清单中列出的工程项目填报单价和合价。每一项目只允许有一个报价。任何有选择的报价将不予接受，磋商响应供应商未填单价或合价的工程项目，在实施后，采购人将不予以支付，并视作该项费用已包括在其它有价款的单价或合价内</w:t>
      </w:r>
      <w:r>
        <w:rPr>
          <w:rFonts w:hint="eastAsia" w:ascii="仿宋" w:hAnsi="仿宋" w:eastAsia="仿宋"/>
          <w:b/>
          <w:bCs/>
          <w:color w:val="auto"/>
          <w:sz w:val="24"/>
          <w:highlight w:val="none"/>
        </w:rPr>
        <w:t>。</w:t>
      </w:r>
    </w:p>
    <w:p w14:paraId="13EC63FE">
      <w:pPr>
        <w:autoSpaceDN w:val="0"/>
        <w:spacing w:before="162" w:beforeLines="50" w:after="162" w:afterLines="50" w:line="360" w:lineRule="auto"/>
        <w:ind w:firstLine="420"/>
        <w:rPr>
          <w:rFonts w:ascii="仿宋" w:hAnsi="仿宋" w:eastAsia="仿宋" w:cs="Times New Roman"/>
          <w:bCs/>
          <w:color w:val="auto"/>
          <w:kern w:val="0"/>
          <w:sz w:val="24"/>
          <w:szCs w:val="24"/>
          <w:highlight w:val="none"/>
        </w:rPr>
      </w:pPr>
      <w:r>
        <w:rPr>
          <w:rFonts w:hint="eastAsia" w:ascii="仿宋" w:hAnsi="仿宋" w:eastAsia="仿宋" w:cs="Times New Roman"/>
          <w:color w:val="auto"/>
          <w:kern w:val="0"/>
          <w:sz w:val="24"/>
          <w:szCs w:val="24"/>
          <w:highlight w:val="none"/>
        </w:rPr>
        <w:t>4.5.9</w:t>
      </w:r>
      <w:r>
        <w:rPr>
          <w:rFonts w:hint="eastAsia" w:ascii="仿宋" w:hAnsi="仿宋" w:eastAsia="仿宋" w:cs="Times New Roman"/>
          <w:bCs/>
          <w:color w:val="auto"/>
          <w:kern w:val="0"/>
          <w:sz w:val="24"/>
          <w:szCs w:val="24"/>
          <w:highlight w:val="none"/>
        </w:rPr>
        <w:t>技术规范要求和设计施工图中所列的施工技术要求所产生的费用均应包括在磋商报价中。上述要求凡采购人提供的工程量清单中未列入的，由磋商响应供应商在相应的分部分项工程量清单项目的综合单价中考虑，采购人不单独列项支付；</w:t>
      </w:r>
    </w:p>
    <w:p w14:paraId="419F470F">
      <w:pPr>
        <w:autoSpaceDN w:val="0"/>
        <w:spacing w:line="360" w:lineRule="auto"/>
        <w:ind w:firstLine="420"/>
        <w:rPr>
          <w:rFonts w:ascii="仿宋" w:hAnsi="仿宋" w:eastAsia="仿宋" w:cs="Times New Roman"/>
          <w:bCs/>
          <w:color w:val="auto"/>
          <w:sz w:val="24"/>
          <w:szCs w:val="24"/>
          <w:highlight w:val="none"/>
        </w:rPr>
      </w:pPr>
      <w:r>
        <w:rPr>
          <w:rFonts w:hint="eastAsia" w:ascii="仿宋" w:hAnsi="仿宋" w:eastAsia="仿宋" w:cs="Times New Roman"/>
          <w:color w:val="auto"/>
          <w:sz w:val="24"/>
          <w:szCs w:val="24"/>
          <w:highlight w:val="none"/>
        </w:rPr>
        <w:t>4.5.10</w:t>
      </w:r>
      <w:r>
        <w:rPr>
          <w:rFonts w:hint="eastAsia" w:ascii="仿宋" w:hAnsi="仿宋" w:eastAsia="仿宋" w:cs="Times New Roman"/>
          <w:b/>
          <w:color w:val="auto"/>
          <w:sz w:val="24"/>
          <w:szCs w:val="24"/>
          <w:highlight w:val="none"/>
          <w:u w:val="single"/>
        </w:rPr>
        <w:t>凡在磋商报价中涉及到规费、税金、企业管理费、措施费等国家、省、市强制性要求的费用，若磋商响应供应商报价不足或未报价，则视作优惠，一旦成交，磋商响应供应商自行承担该费用。竞争性磋商报价以最后报价为准，单价同比例调整（暂列金不调整）</w:t>
      </w:r>
      <w:r>
        <w:rPr>
          <w:rFonts w:hint="eastAsia" w:ascii="仿宋" w:hAnsi="仿宋" w:eastAsia="仿宋" w:cs="Times New Roman"/>
          <w:b/>
          <w:color w:val="auto"/>
          <w:sz w:val="24"/>
          <w:szCs w:val="24"/>
          <w:highlight w:val="none"/>
        </w:rPr>
        <w:t>。</w:t>
      </w:r>
    </w:p>
    <w:p w14:paraId="03D01C8F">
      <w:pPr>
        <w:autoSpaceDN w:val="0"/>
        <w:spacing w:before="162" w:beforeLines="50" w:after="162" w:afterLines="50" w:line="360" w:lineRule="auto"/>
        <w:ind w:firstLine="480"/>
        <w:rPr>
          <w:rFonts w:ascii="仿宋" w:hAnsi="仿宋" w:eastAsia="仿宋" w:cs="Times New Roman"/>
          <w:color w:val="auto"/>
          <w:kern w:val="0"/>
          <w:sz w:val="24"/>
          <w:szCs w:val="24"/>
          <w:highlight w:val="none"/>
          <w:u w:val="single"/>
        </w:rPr>
      </w:pPr>
      <w:r>
        <w:rPr>
          <w:rFonts w:hint="eastAsia" w:ascii="仿宋" w:hAnsi="仿宋" w:eastAsia="仿宋" w:cs="Times New Roman"/>
          <w:color w:val="auto"/>
          <w:kern w:val="0"/>
          <w:sz w:val="24"/>
          <w:szCs w:val="24"/>
          <w:highlight w:val="none"/>
        </w:rPr>
        <w:t>4.5.11除非合同中另有规定，磋商响应供应商在磋商总价中的价格均包括完成该工程项目的直接费、间接费、利润、税金、风险费等所有费用；</w:t>
      </w:r>
    </w:p>
    <w:p w14:paraId="6A7FD632">
      <w:pPr>
        <w:autoSpaceDN w:val="0"/>
        <w:spacing w:before="162" w:beforeLines="50" w:after="162" w:afterLines="50" w:line="360" w:lineRule="auto"/>
        <w:ind w:firstLine="48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4.5.12磋商响应供应商应先到工地踏勘以充分了解工地位置、情况、道路、储存空间、装卸限制及任何其它足以影响承包价的情况，任何因忽视或误解工地情况而导致的索赔或工期延长申请将不获批准；</w:t>
      </w:r>
    </w:p>
    <w:p w14:paraId="379C04E5">
      <w:pPr>
        <w:autoSpaceDN w:val="0"/>
        <w:adjustRightInd w:val="0"/>
        <w:snapToGrid w:val="0"/>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4.5.13除非本磋商文件对工程量清单编制和报价另有说明的，否则，磋商响应供应商应按工程量清单中的项目和数量进行报价。</w:t>
      </w:r>
    </w:p>
    <w:p w14:paraId="2EE1231C">
      <w:pPr>
        <w:autoSpaceDN w:val="0"/>
        <w:adjustRightInd w:val="0"/>
        <w:snapToGrid w:val="0"/>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4.5.14本项目磋商文件提供的工程量清单是根据采购人提供的图纸（如有）及工作联系函的要求按工程量计算规则的要求计量并提供的，供应商在提疑截止时间前同样应根据采购人提供的图纸（如有）及工作联系函按计算规则计算工程量，并对工程量及列项的完整性进行复核。供应商对工程量清单中的工程量及项目中不合理或缺漏项部分可以书面形式提出疑问，采购人将以磋商文件补充文件或答疑文件的形式书面给以解答和修订。采购人最终确认的工程量清单及提供的图纸（如有）、联系函即作为本工程报价的依据，各供应商须严格按照最终确认的工程量清单进行报价，任何偏离工程量清单的响应报价所引起的一切后果由供应商自行承担。</w:t>
      </w:r>
    </w:p>
    <w:p w14:paraId="25565A13">
      <w:pPr>
        <w:autoSpaceDN w:val="0"/>
        <w:adjustRightInd w:val="0"/>
        <w:snapToGrid w:val="0"/>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4.5.15供应商采购过程中对采购人提供的最终工程量清单未提出异议的，须在磋商单价及磋商总价中充分考虑固定总价合同可能存在的工程量与图纸（如有）不一致的风险。</w:t>
      </w:r>
    </w:p>
    <w:p w14:paraId="4771E5A5">
      <w:pPr>
        <w:autoSpaceDN w:val="0"/>
        <w:adjustRightInd w:val="0"/>
        <w:snapToGrid w:val="0"/>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4.5.16供应商须在磋商总价中考虑人、材、机可能的价格变化。</w:t>
      </w:r>
    </w:p>
    <w:p w14:paraId="13D28724">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4.6 磋商响应文件的有效期</w:t>
      </w:r>
    </w:p>
    <w:p w14:paraId="2EFF726D">
      <w:pPr>
        <w:autoSpaceDN w:val="0"/>
        <w:spacing w:line="360" w:lineRule="auto"/>
        <w:ind w:firstLine="422" w:firstLineChars="175"/>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4.6.1《磋商响应文件》有效期：</w:t>
      </w:r>
      <w:r>
        <w:rPr>
          <w:rFonts w:hint="eastAsia" w:ascii="仿宋" w:hAnsi="仿宋" w:eastAsia="仿宋" w:cs="Arial"/>
          <w:b/>
          <w:color w:val="auto"/>
          <w:kern w:val="0"/>
          <w:sz w:val="24"/>
          <w:szCs w:val="24"/>
          <w:highlight w:val="none"/>
          <w:u w:val="single"/>
        </w:rPr>
        <w:t>见《磋商须知前附表》</w:t>
      </w:r>
      <w:r>
        <w:rPr>
          <w:rFonts w:hint="eastAsia" w:ascii="仿宋" w:hAnsi="仿宋" w:eastAsia="仿宋" w:cs="Arial"/>
          <w:b/>
          <w:color w:val="auto"/>
          <w:kern w:val="0"/>
          <w:sz w:val="24"/>
          <w:szCs w:val="24"/>
          <w:highlight w:val="none"/>
        </w:rPr>
        <w:t>，《磋商响应文件》有效期少于这个规定期限的投标将作无效标处理；</w:t>
      </w:r>
    </w:p>
    <w:p w14:paraId="3474A573">
      <w:pPr>
        <w:autoSpaceDN w:val="0"/>
        <w:spacing w:line="360" w:lineRule="auto"/>
        <w:ind w:firstLine="420" w:firstLineChars="175"/>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4.6.2在特殊情况下，采购人可与磋商响应供应商协商延长《磋商响应文件》的有效期，协商过程以书面形式进行；</w:t>
      </w:r>
    </w:p>
    <w:p w14:paraId="73CEFDEE">
      <w:pPr>
        <w:autoSpaceDN w:val="0"/>
        <w:spacing w:line="360" w:lineRule="auto"/>
        <w:ind w:firstLine="420" w:firstLineChars="175"/>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4.6.3磋商响应供应商可拒绝接受延期要求，同意延长有效期的磋商响应供应商不能修改《磋商响应文件》；</w:t>
      </w:r>
    </w:p>
    <w:p w14:paraId="6B4CA8C2">
      <w:pPr>
        <w:autoSpaceDN w:val="0"/>
        <w:spacing w:line="360" w:lineRule="auto"/>
        <w:ind w:firstLine="420" w:firstLineChars="175"/>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4.6.4成交供应商的《磋商响应文件》作为合同组成部分，其有效期自动延长至合同履行完毕止；</w:t>
      </w:r>
    </w:p>
    <w:p w14:paraId="7D93F3EE">
      <w:pPr>
        <w:autoSpaceDN w:val="0"/>
        <w:spacing w:line="360" w:lineRule="auto"/>
        <w:ind w:firstLine="422" w:firstLineChars="175"/>
        <w:rPr>
          <w:rFonts w:ascii="仿宋" w:hAnsi="仿宋" w:eastAsia="仿宋" w:cs="Arial"/>
          <w:color w:val="auto"/>
          <w:kern w:val="0"/>
          <w:sz w:val="24"/>
          <w:szCs w:val="24"/>
          <w:highlight w:val="none"/>
        </w:rPr>
      </w:pPr>
      <w:r>
        <w:rPr>
          <w:rFonts w:hint="eastAsia" w:ascii="仿宋" w:hAnsi="仿宋" w:eastAsia="仿宋" w:cs="Arial"/>
          <w:b/>
          <w:color w:val="auto"/>
          <w:kern w:val="0"/>
          <w:sz w:val="24"/>
          <w:szCs w:val="24"/>
          <w:highlight w:val="none"/>
        </w:rPr>
        <w:t>4.6.5磋商响应供应商在《磋商响应文件》有效期内强行撤回（撤销）其磋商响应文件的，</w:t>
      </w:r>
      <w:r>
        <w:rPr>
          <w:rFonts w:hint="eastAsia" w:ascii="仿宋" w:hAnsi="仿宋" w:eastAsia="仿宋" w:cs="Times New Roman"/>
          <w:b/>
          <w:color w:val="auto"/>
          <w:sz w:val="24"/>
          <w:szCs w:val="24"/>
          <w:highlight w:val="none"/>
        </w:rPr>
        <w:t>采购人将按采购预算金额的5%对其进行追偿（追偿金额不足伍万的按伍万计），以弥补采购人、采购代理机构损失，同时将对其失信行为上报至同级政府采购监督管理部门依法处理。</w:t>
      </w:r>
    </w:p>
    <w:p w14:paraId="404D2849">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4.7 备份磋商响应文件</w:t>
      </w:r>
    </w:p>
    <w:p w14:paraId="0390850C">
      <w:pPr>
        <w:autoSpaceDN w:val="0"/>
        <w:spacing w:line="360" w:lineRule="auto"/>
        <w:ind w:firstLine="424" w:firstLineChars="176"/>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4.7.1备份磋商响应文件的约定：</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kern w:val="0"/>
          <w:sz w:val="24"/>
          <w:szCs w:val="24"/>
          <w:highlight w:val="none"/>
        </w:rPr>
        <w:t>。</w:t>
      </w:r>
    </w:p>
    <w:p w14:paraId="42602059">
      <w:pPr>
        <w:autoSpaceDN w:val="0"/>
        <w:spacing w:line="360" w:lineRule="auto"/>
        <w:ind w:firstLine="424" w:firstLineChars="176"/>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4.7.2备份磋商响应文件的编制：</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kern w:val="0"/>
          <w:sz w:val="24"/>
          <w:szCs w:val="24"/>
          <w:highlight w:val="none"/>
        </w:rPr>
        <w:t>。</w:t>
      </w:r>
    </w:p>
    <w:p w14:paraId="1B8B4564">
      <w:pPr>
        <w:autoSpaceDN w:val="0"/>
        <w:spacing w:line="360" w:lineRule="auto"/>
        <w:ind w:firstLine="424" w:firstLineChars="176"/>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4.7.3备份磋商响应文件的存储、份数、密封包装、标识、递交与接收</w:t>
      </w:r>
    </w:p>
    <w:p w14:paraId="441C3D03">
      <w:pPr>
        <w:autoSpaceDN w:val="0"/>
        <w:spacing w:line="360" w:lineRule="auto"/>
        <w:ind w:firstLine="424" w:firstLineChars="176"/>
        <w:rPr>
          <w:rFonts w:ascii="仿宋" w:hAnsi="仿宋" w:eastAsia="仿宋" w:cs="Arial"/>
          <w:color w:val="auto"/>
          <w:sz w:val="24"/>
          <w:szCs w:val="24"/>
          <w:highlight w:val="none"/>
        </w:rPr>
      </w:pPr>
      <w:r>
        <w:rPr>
          <w:rFonts w:hint="eastAsia" w:ascii="仿宋" w:hAnsi="仿宋" w:eastAsia="仿宋" w:cs="Arial"/>
          <w:b/>
          <w:color w:val="auto"/>
          <w:sz w:val="24"/>
          <w:szCs w:val="24"/>
          <w:highlight w:val="none"/>
        </w:rPr>
        <w:t>（1）存储：</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color w:val="auto"/>
          <w:sz w:val="24"/>
          <w:szCs w:val="24"/>
          <w:highlight w:val="none"/>
        </w:rPr>
        <w:t>；</w:t>
      </w:r>
    </w:p>
    <w:p w14:paraId="2CD3D51D">
      <w:pPr>
        <w:autoSpaceDN w:val="0"/>
        <w:spacing w:line="360" w:lineRule="auto"/>
        <w:ind w:firstLine="424" w:firstLineChars="176"/>
        <w:rPr>
          <w:rFonts w:ascii="仿宋" w:hAnsi="仿宋" w:eastAsia="仿宋" w:cs="Arial"/>
          <w:color w:val="auto"/>
          <w:sz w:val="24"/>
          <w:szCs w:val="24"/>
          <w:highlight w:val="none"/>
        </w:rPr>
      </w:pPr>
      <w:r>
        <w:rPr>
          <w:rFonts w:hint="eastAsia" w:ascii="仿宋" w:hAnsi="仿宋" w:eastAsia="仿宋" w:cs="Arial"/>
          <w:b/>
          <w:color w:val="auto"/>
          <w:sz w:val="24"/>
          <w:szCs w:val="24"/>
          <w:highlight w:val="none"/>
        </w:rPr>
        <w:t>（2）份数：</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color w:val="auto"/>
          <w:sz w:val="24"/>
          <w:szCs w:val="24"/>
          <w:highlight w:val="none"/>
        </w:rPr>
        <w:t>；</w:t>
      </w:r>
    </w:p>
    <w:p w14:paraId="6B4ED850">
      <w:pPr>
        <w:autoSpaceDN w:val="0"/>
        <w:spacing w:line="360" w:lineRule="auto"/>
        <w:ind w:firstLine="424" w:firstLineChars="176"/>
        <w:rPr>
          <w:rFonts w:ascii="仿宋" w:hAnsi="仿宋" w:eastAsia="仿宋" w:cs="Times New Roman"/>
          <w:b/>
          <w:color w:val="auto"/>
          <w:sz w:val="24"/>
          <w:szCs w:val="24"/>
          <w:highlight w:val="none"/>
        </w:rPr>
      </w:pPr>
      <w:r>
        <w:rPr>
          <w:rFonts w:hint="eastAsia" w:ascii="仿宋" w:hAnsi="仿宋" w:eastAsia="仿宋" w:cs="Arial"/>
          <w:b/>
          <w:color w:val="auto"/>
          <w:sz w:val="24"/>
          <w:szCs w:val="24"/>
          <w:highlight w:val="none"/>
        </w:rPr>
        <w:t>（3）密封包装、标识：</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kern w:val="0"/>
          <w:sz w:val="24"/>
          <w:szCs w:val="24"/>
          <w:highlight w:val="none"/>
        </w:rPr>
        <w:t>，</w:t>
      </w:r>
      <w:r>
        <w:rPr>
          <w:rFonts w:hint="eastAsia" w:ascii="仿宋" w:hAnsi="仿宋" w:eastAsia="仿宋" w:cs="Times New Roman"/>
          <w:b/>
          <w:color w:val="auto"/>
          <w:sz w:val="24"/>
          <w:szCs w:val="24"/>
          <w:highlight w:val="none"/>
        </w:rPr>
        <w:t>备份磋商响应文件没有密封包装或</w:t>
      </w:r>
      <w:r>
        <w:rPr>
          <w:rFonts w:hint="eastAsia" w:ascii="仿宋" w:hAnsi="仿宋" w:eastAsia="仿宋" w:cs="Arial"/>
          <w:b/>
          <w:color w:val="auto"/>
          <w:sz w:val="24"/>
          <w:szCs w:val="24"/>
          <w:highlight w:val="none"/>
        </w:rPr>
        <w:t>标识或盖章</w:t>
      </w:r>
      <w:r>
        <w:rPr>
          <w:rFonts w:hint="eastAsia" w:ascii="仿宋" w:hAnsi="仿宋" w:eastAsia="仿宋" w:cs="Times New Roman"/>
          <w:b/>
          <w:color w:val="auto"/>
          <w:sz w:val="24"/>
          <w:szCs w:val="24"/>
          <w:highlight w:val="none"/>
        </w:rPr>
        <w:t>的</w:t>
      </w:r>
      <w:r>
        <w:rPr>
          <w:rFonts w:hint="eastAsia" w:ascii="仿宋" w:hAnsi="仿宋" w:eastAsia="仿宋" w:cs="Arial"/>
          <w:b/>
          <w:color w:val="auto"/>
          <w:sz w:val="24"/>
          <w:szCs w:val="24"/>
          <w:highlight w:val="none"/>
        </w:rPr>
        <w:t>视为未递交</w:t>
      </w:r>
      <w:r>
        <w:rPr>
          <w:rFonts w:hint="eastAsia" w:ascii="仿宋" w:hAnsi="仿宋" w:eastAsia="仿宋" w:cs="Times New Roman"/>
          <w:b/>
          <w:color w:val="auto"/>
          <w:sz w:val="24"/>
          <w:szCs w:val="24"/>
          <w:highlight w:val="none"/>
        </w:rPr>
        <w:t>。</w:t>
      </w:r>
    </w:p>
    <w:p w14:paraId="026313E7">
      <w:pPr>
        <w:autoSpaceDN w:val="0"/>
        <w:spacing w:line="360" w:lineRule="auto"/>
        <w:ind w:firstLine="424" w:firstLineChars="176"/>
        <w:rPr>
          <w:rFonts w:ascii="仿宋" w:hAnsi="仿宋" w:eastAsia="仿宋" w:cs="Times New Roman"/>
          <w:color w:val="auto"/>
          <w:sz w:val="24"/>
          <w:szCs w:val="24"/>
          <w:highlight w:val="none"/>
        </w:rPr>
      </w:pPr>
      <w:r>
        <w:rPr>
          <w:rFonts w:hint="eastAsia" w:ascii="仿宋" w:hAnsi="仿宋" w:eastAsia="仿宋" w:cs="Times New Roman"/>
          <w:b/>
          <w:color w:val="auto"/>
          <w:sz w:val="24"/>
          <w:szCs w:val="24"/>
          <w:highlight w:val="none"/>
        </w:rPr>
        <w:t>（4）</w:t>
      </w:r>
      <w:r>
        <w:rPr>
          <w:rFonts w:hint="eastAsia" w:ascii="仿宋" w:hAnsi="仿宋" w:eastAsia="仿宋" w:cs="Arial"/>
          <w:b/>
          <w:color w:val="auto"/>
          <w:sz w:val="24"/>
          <w:szCs w:val="24"/>
          <w:highlight w:val="none"/>
        </w:rPr>
        <w:t>递交与接收：</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kern w:val="0"/>
          <w:sz w:val="24"/>
          <w:szCs w:val="24"/>
          <w:highlight w:val="none"/>
        </w:rPr>
        <w:t>，</w:t>
      </w:r>
      <w:r>
        <w:rPr>
          <w:rFonts w:hint="eastAsia" w:ascii="仿宋" w:hAnsi="仿宋" w:eastAsia="仿宋" w:cs="Arial"/>
          <w:b/>
          <w:color w:val="auto"/>
          <w:sz w:val="24"/>
          <w:szCs w:val="24"/>
          <w:highlight w:val="none"/>
        </w:rPr>
        <w:t>备份磋商响应文件逾期送达的视为未递交。</w:t>
      </w:r>
    </w:p>
    <w:p w14:paraId="69454029">
      <w:pPr>
        <w:autoSpaceDN w:val="0"/>
        <w:spacing w:line="360" w:lineRule="auto"/>
        <w:ind w:firstLine="422" w:firstLineChars="175"/>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4.7.4备份磋商响应文件的使用与失效</w:t>
      </w:r>
    </w:p>
    <w:p w14:paraId="7412D777">
      <w:pPr>
        <w:autoSpaceDN w:val="0"/>
        <w:spacing w:line="360" w:lineRule="auto"/>
        <w:ind w:firstLine="420" w:firstLineChars="175"/>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合格的备份磋商响应文件在电子加密“磋商响应文件”解密异常时拆封、使用，电子加密“磋商响应文件”正常解密的备份磋商响应文件自动失效，不再拆封、使用。</w:t>
      </w:r>
      <w:r>
        <w:rPr>
          <w:rFonts w:hint="eastAsia" w:ascii="仿宋" w:hAnsi="仿宋" w:eastAsia="仿宋" w:cs="Times New Roman"/>
          <w:b/>
          <w:color w:val="auto"/>
          <w:sz w:val="24"/>
          <w:szCs w:val="24"/>
          <w:highlight w:val="none"/>
        </w:rPr>
        <w:t>“磋商响应文件解密异常情况处理”办法见《磋商须知前附表》。</w:t>
      </w:r>
    </w:p>
    <w:p w14:paraId="00ED0920">
      <w:pPr>
        <w:autoSpaceDN w:val="0"/>
        <w:spacing w:line="360" w:lineRule="auto"/>
        <w:ind w:firstLine="424" w:firstLineChars="176"/>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4.7.5“备份磋商响应文件”与电子加密的“磋商响应文件”同时生成，不属于磋商响应备选（替代）方案。</w:t>
      </w:r>
    </w:p>
    <w:p w14:paraId="4FD144D2">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57" w:name="_Toc82873325"/>
      <w:bookmarkStart w:id="58" w:name="_Toc82338242"/>
      <w:bookmarkStart w:id="59" w:name="_Toc11633"/>
      <w:bookmarkStart w:id="60" w:name="_Toc96947064"/>
      <w:r>
        <w:rPr>
          <w:rFonts w:hint="eastAsia" w:ascii="仿宋" w:hAnsi="仿宋" w:eastAsia="仿宋" w:cs="Times New Roman"/>
          <w:b/>
          <w:bCs/>
          <w:color w:val="auto"/>
          <w:sz w:val="28"/>
          <w:szCs w:val="28"/>
          <w:highlight w:val="none"/>
        </w:rPr>
        <w:t>五、</w:t>
      </w:r>
      <w:bookmarkEnd w:id="57"/>
      <w:bookmarkEnd w:id="58"/>
      <w:r>
        <w:rPr>
          <w:rFonts w:hint="eastAsia" w:ascii="仿宋" w:hAnsi="仿宋" w:eastAsia="仿宋" w:cs="Times New Roman"/>
          <w:b/>
          <w:bCs/>
          <w:color w:val="auto"/>
          <w:sz w:val="28"/>
          <w:szCs w:val="28"/>
          <w:highlight w:val="none"/>
        </w:rPr>
        <w:t>磋商响应</w:t>
      </w:r>
      <w:bookmarkEnd w:id="59"/>
      <w:bookmarkEnd w:id="60"/>
    </w:p>
    <w:p w14:paraId="2A2F1ABB">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bookmarkStart w:id="61" w:name="_Toc82873326"/>
      <w:bookmarkStart w:id="62" w:name="_Toc82338243"/>
      <w:r>
        <w:rPr>
          <w:rFonts w:hint="eastAsia" w:ascii="仿宋" w:hAnsi="仿宋" w:eastAsia="仿宋" w:cs="Times New Roman"/>
          <w:b/>
          <w:bCs/>
          <w:color w:val="auto"/>
          <w:sz w:val="24"/>
          <w:szCs w:val="32"/>
          <w:highlight w:val="none"/>
        </w:rPr>
        <w:t>5.1 磋商响应文件提交截止时间</w:t>
      </w:r>
    </w:p>
    <w:p w14:paraId="292D5C39">
      <w:pPr>
        <w:autoSpaceDN w:val="0"/>
        <w:spacing w:line="360" w:lineRule="auto"/>
        <w:ind w:firstLine="426" w:firstLineChars="177"/>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5.1.1磋商响应文件提交截止时间：</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sz w:val="24"/>
          <w:szCs w:val="24"/>
          <w:highlight w:val="none"/>
        </w:rPr>
        <w:t>。</w:t>
      </w:r>
    </w:p>
    <w:p w14:paraId="14BF6969">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5.2 投标地点</w:t>
      </w:r>
    </w:p>
    <w:p w14:paraId="33706836">
      <w:pPr>
        <w:autoSpaceDN w:val="0"/>
        <w:spacing w:line="360" w:lineRule="auto"/>
        <w:ind w:firstLine="426" w:firstLineChars="177"/>
        <w:rPr>
          <w:rFonts w:ascii="仿宋" w:hAnsi="仿宋" w:eastAsia="仿宋" w:cs="Times New Roman"/>
          <w:color w:val="auto"/>
          <w:szCs w:val="24"/>
          <w:highlight w:val="none"/>
        </w:rPr>
      </w:pPr>
      <w:r>
        <w:rPr>
          <w:rFonts w:hint="eastAsia" w:ascii="仿宋" w:hAnsi="仿宋" w:eastAsia="仿宋" w:cs="Times New Roman"/>
          <w:b/>
          <w:color w:val="auto"/>
          <w:sz w:val="24"/>
          <w:szCs w:val="24"/>
          <w:highlight w:val="none"/>
        </w:rPr>
        <w:t>5.2.1磋商响应文件提交地点：</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sz w:val="24"/>
          <w:szCs w:val="24"/>
          <w:highlight w:val="none"/>
        </w:rPr>
        <w:t>。</w:t>
      </w:r>
    </w:p>
    <w:p w14:paraId="04219E61">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5.3 磋商响应文件的传输递交</w:t>
      </w:r>
    </w:p>
    <w:p w14:paraId="3573ABE6">
      <w:pPr>
        <w:autoSpaceDN w:val="0"/>
        <w:spacing w:line="360" w:lineRule="auto"/>
        <w:ind w:firstLine="424" w:firstLineChars="176"/>
        <w:rPr>
          <w:rFonts w:ascii="仿宋" w:hAnsi="仿宋" w:eastAsia="仿宋" w:cs="Arial"/>
          <w:b/>
          <w:color w:val="auto"/>
          <w:sz w:val="24"/>
          <w:szCs w:val="24"/>
          <w:highlight w:val="none"/>
        </w:rPr>
      </w:pPr>
      <w:r>
        <w:rPr>
          <w:rFonts w:hint="eastAsia" w:ascii="仿宋" w:hAnsi="仿宋" w:eastAsia="仿宋" w:cs="Arial"/>
          <w:b/>
          <w:color w:val="auto"/>
          <w:kern w:val="0"/>
          <w:sz w:val="24"/>
          <w:szCs w:val="24"/>
          <w:highlight w:val="none"/>
        </w:rPr>
        <w:t>5.3.1电子加密“磋商响应文件”的传输递交：</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sz w:val="24"/>
          <w:szCs w:val="24"/>
          <w:highlight w:val="none"/>
        </w:rPr>
        <w:t>。</w:t>
      </w:r>
    </w:p>
    <w:p w14:paraId="3C520610">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5.4 磋商响应文件的补充、修改或撤回</w:t>
      </w:r>
    </w:p>
    <w:p w14:paraId="04BCF82F">
      <w:pPr>
        <w:autoSpaceDN w:val="0"/>
        <w:spacing w:line="360" w:lineRule="auto"/>
        <w:ind w:firstLine="426" w:firstLineChars="177"/>
        <w:rPr>
          <w:rFonts w:ascii="仿宋" w:hAnsi="仿宋" w:eastAsia="仿宋" w:cs="Arial"/>
          <w:color w:val="auto"/>
          <w:kern w:val="0"/>
          <w:sz w:val="24"/>
          <w:szCs w:val="24"/>
          <w:highlight w:val="none"/>
        </w:rPr>
      </w:pPr>
      <w:r>
        <w:rPr>
          <w:rFonts w:hint="eastAsia" w:ascii="仿宋" w:hAnsi="仿宋" w:eastAsia="仿宋" w:cs="Arial"/>
          <w:b/>
          <w:color w:val="auto"/>
          <w:kern w:val="0"/>
          <w:sz w:val="24"/>
          <w:szCs w:val="24"/>
          <w:highlight w:val="none"/>
        </w:rPr>
        <w:t>5.4.1磋商响应文件提交截止时间前，供应商可以补充、修改或者撤回磋商响应文件。供应商补充或者修改磋商响应文件的，应当先行撤回已传输递交的原文件，补充、修改后重新传输递交。磋商响应文件提交截止时间前未重新完成传输的，视为撤回磋商响应文件。磋商响应文件提交截止时间后传输递交的磋商响应文件，“政府采购云平台”将予以拒收。</w:t>
      </w:r>
    </w:p>
    <w:p w14:paraId="39EDA0B5">
      <w:pPr>
        <w:autoSpaceDN w:val="0"/>
        <w:spacing w:line="360" w:lineRule="auto"/>
        <w:ind w:firstLine="426" w:firstLineChars="177"/>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5.4.2磋商响应文件提交截止时间后，供应商不得对磋商响应文件进行补充、修改或撤回。</w:t>
      </w:r>
    </w:p>
    <w:p w14:paraId="533E3ED1">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5.5 磋商响应文件的备选方案</w:t>
      </w:r>
    </w:p>
    <w:p w14:paraId="47F17687">
      <w:pPr>
        <w:autoSpaceDN w:val="0"/>
        <w:spacing w:line="360" w:lineRule="auto"/>
        <w:ind w:firstLine="424" w:firstLineChars="176"/>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5.5.1磋商响应供应商不得递交任何的</w:t>
      </w:r>
      <w:r>
        <w:rPr>
          <w:rFonts w:hint="eastAsia" w:ascii="仿宋" w:hAnsi="仿宋" w:eastAsia="仿宋" w:cs="Arial"/>
          <w:b/>
          <w:color w:val="auto"/>
          <w:kern w:val="0"/>
          <w:sz w:val="24"/>
          <w:szCs w:val="24"/>
          <w:highlight w:val="none"/>
        </w:rPr>
        <w:t>磋商响应备选（替代）方案</w:t>
      </w:r>
      <w:r>
        <w:rPr>
          <w:rFonts w:hint="eastAsia" w:ascii="仿宋" w:hAnsi="仿宋" w:eastAsia="仿宋" w:cs="Times New Roman"/>
          <w:b/>
          <w:color w:val="auto"/>
          <w:sz w:val="24"/>
          <w:szCs w:val="24"/>
          <w:highlight w:val="none"/>
        </w:rPr>
        <w:t>，否则作无效标处理。</w:t>
      </w:r>
    </w:p>
    <w:p w14:paraId="58511AC8">
      <w:pPr>
        <w:autoSpaceDN w:val="0"/>
        <w:spacing w:line="360" w:lineRule="auto"/>
        <w:ind w:firstLine="424" w:firstLineChars="176"/>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5.5.2与“电子加密磋商响应文件”同时生成的“备份磋商响应文件”不是磋商响应备选（替代）方案。</w:t>
      </w:r>
    </w:p>
    <w:p w14:paraId="5ED79D77">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5.6 磋商响应供应商不足法定数量的处理</w:t>
      </w:r>
    </w:p>
    <w:p w14:paraId="507A5BE3">
      <w:pPr>
        <w:autoSpaceDN w:val="0"/>
        <w:spacing w:line="360" w:lineRule="auto"/>
        <w:ind w:firstLine="424" w:firstLineChars="176"/>
        <w:rPr>
          <w:rFonts w:ascii="仿宋" w:hAnsi="仿宋" w:eastAsia="仿宋" w:cs="Arial"/>
          <w:color w:val="auto"/>
          <w:szCs w:val="24"/>
          <w:highlight w:val="none"/>
        </w:rPr>
      </w:pPr>
      <w:r>
        <w:rPr>
          <w:rFonts w:hint="eastAsia" w:ascii="仿宋" w:hAnsi="仿宋" w:eastAsia="仿宋" w:cs="Arial"/>
          <w:b/>
          <w:color w:val="auto"/>
          <w:kern w:val="0"/>
          <w:sz w:val="24"/>
          <w:highlight w:val="none"/>
        </w:rPr>
        <w:t>5.6.1到磋商响应文件提交截止时间止，若某个标项成功解密（备份磋商响应文件成功上传的视为成功解密）《磋商响应文件》的供应商少于三家的，除采购任务取消情形外，采购人可选择以下方式之一处理：</w:t>
      </w:r>
    </w:p>
    <w:p w14:paraId="4F20FAA0">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（1）不再进行开标，将本标项作废标处理，重新组织采购；</w:t>
      </w:r>
    </w:p>
    <w:p w14:paraId="2D42310D">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（2）按同级政府采购监督管理部门的审批意见采用其他采购方式组织采购。</w:t>
      </w:r>
    </w:p>
    <w:p w14:paraId="23C592E8">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63" w:name="_Toc96947065"/>
      <w:bookmarkStart w:id="64" w:name="_Toc640"/>
      <w:r>
        <w:rPr>
          <w:rFonts w:hint="eastAsia" w:ascii="仿宋" w:hAnsi="仿宋" w:eastAsia="仿宋" w:cs="Times New Roman"/>
          <w:b/>
          <w:bCs/>
          <w:color w:val="auto"/>
          <w:sz w:val="28"/>
          <w:szCs w:val="28"/>
          <w:highlight w:val="none"/>
        </w:rPr>
        <w:t>六、</w:t>
      </w:r>
      <w:bookmarkEnd w:id="61"/>
      <w:bookmarkEnd w:id="62"/>
      <w:r>
        <w:rPr>
          <w:rFonts w:hint="eastAsia" w:ascii="仿宋" w:hAnsi="仿宋" w:eastAsia="仿宋" w:cs="Times New Roman"/>
          <w:b/>
          <w:bCs/>
          <w:color w:val="auto"/>
          <w:sz w:val="28"/>
          <w:szCs w:val="28"/>
          <w:highlight w:val="none"/>
        </w:rPr>
        <w:t>开标</w:t>
      </w:r>
      <w:bookmarkEnd w:id="63"/>
      <w:bookmarkEnd w:id="64"/>
    </w:p>
    <w:p w14:paraId="60BBF944">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6.1 磋商时间、地点</w:t>
      </w:r>
    </w:p>
    <w:p w14:paraId="38B0F0B1">
      <w:pPr>
        <w:autoSpaceDN w:val="0"/>
        <w:spacing w:line="360" w:lineRule="auto"/>
        <w:ind w:firstLine="426" w:firstLineChars="177"/>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6.1.1</w:t>
      </w:r>
      <w:r>
        <w:rPr>
          <w:rFonts w:hint="eastAsia" w:ascii="仿宋" w:hAnsi="仿宋" w:eastAsia="仿宋" w:cs="仿宋"/>
          <w:b/>
          <w:color w:val="auto"/>
          <w:sz w:val="24"/>
          <w:szCs w:val="24"/>
          <w:highlight w:val="none"/>
        </w:rPr>
        <w:t>磋商时间：</w:t>
      </w:r>
      <w:r>
        <w:rPr>
          <w:rFonts w:hint="eastAsia" w:ascii="仿宋" w:hAnsi="仿宋" w:eastAsia="仿宋" w:cs="仿宋"/>
          <w:b/>
          <w:color w:val="auto"/>
          <w:kern w:val="0"/>
          <w:sz w:val="24"/>
          <w:szCs w:val="24"/>
          <w:highlight w:val="none"/>
          <w:u w:val="single"/>
        </w:rPr>
        <w:t>见《磋商须知前附表》</w:t>
      </w:r>
      <w:r>
        <w:rPr>
          <w:rFonts w:hint="eastAsia" w:ascii="仿宋" w:hAnsi="仿宋" w:eastAsia="仿宋" w:cs="仿宋"/>
          <w:b/>
          <w:color w:val="auto"/>
          <w:sz w:val="24"/>
          <w:szCs w:val="24"/>
          <w:highlight w:val="none"/>
        </w:rPr>
        <w:t>；</w:t>
      </w:r>
    </w:p>
    <w:p w14:paraId="097E4E04">
      <w:pPr>
        <w:autoSpaceDN w:val="0"/>
        <w:spacing w:line="360" w:lineRule="auto"/>
        <w:ind w:firstLine="426" w:firstLineChars="177"/>
        <w:rPr>
          <w:rFonts w:ascii="仿宋" w:hAnsi="仿宋" w:eastAsia="仿宋" w:cs="Times New Roman"/>
          <w:color w:val="auto"/>
          <w:sz w:val="24"/>
          <w:szCs w:val="24"/>
          <w:highlight w:val="none"/>
        </w:rPr>
      </w:pPr>
      <w:r>
        <w:rPr>
          <w:rFonts w:hint="eastAsia" w:ascii="仿宋" w:hAnsi="仿宋" w:eastAsia="仿宋" w:cs="Times New Roman"/>
          <w:b/>
          <w:color w:val="auto"/>
          <w:sz w:val="24"/>
          <w:szCs w:val="24"/>
          <w:highlight w:val="none"/>
        </w:rPr>
        <w:t>6.1.2</w:t>
      </w:r>
      <w:r>
        <w:rPr>
          <w:rFonts w:hint="eastAsia" w:ascii="仿宋" w:hAnsi="仿宋" w:eastAsia="仿宋" w:cs="仿宋"/>
          <w:b/>
          <w:color w:val="auto"/>
          <w:sz w:val="24"/>
          <w:szCs w:val="24"/>
          <w:highlight w:val="none"/>
        </w:rPr>
        <w:t>磋商地点：</w:t>
      </w:r>
      <w:r>
        <w:rPr>
          <w:rFonts w:hint="eastAsia" w:ascii="仿宋" w:hAnsi="仿宋" w:eastAsia="仿宋" w:cs="仿宋"/>
          <w:b/>
          <w:color w:val="auto"/>
          <w:kern w:val="0"/>
          <w:sz w:val="24"/>
          <w:szCs w:val="24"/>
          <w:highlight w:val="none"/>
          <w:u w:val="single"/>
        </w:rPr>
        <w:t>见《磋商须知前附表》</w:t>
      </w:r>
      <w:r>
        <w:rPr>
          <w:rFonts w:hint="eastAsia" w:ascii="仿宋" w:hAnsi="仿宋" w:eastAsia="仿宋" w:cs="仿宋"/>
          <w:b/>
          <w:color w:val="auto"/>
          <w:sz w:val="24"/>
          <w:szCs w:val="24"/>
          <w:highlight w:val="none"/>
        </w:rPr>
        <w:t>。</w:t>
      </w:r>
    </w:p>
    <w:p w14:paraId="49FEAF8F">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6.2 磋商组织与邀请</w:t>
      </w:r>
    </w:p>
    <w:p w14:paraId="347403A9">
      <w:pPr>
        <w:autoSpaceDN w:val="0"/>
        <w:spacing w:line="360" w:lineRule="auto"/>
        <w:ind w:firstLine="424" w:firstLineChars="176"/>
        <w:rPr>
          <w:rFonts w:ascii="仿宋" w:hAnsi="仿宋" w:eastAsia="仿宋" w:cs="Arial"/>
          <w:color w:val="auto"/>
          <w:kern w:val="0"/>
          <w:sz w:val="24"/>
          <w:szCs w:val="24"/>
          <w:highlight w:val="none"/>
        </w:rPr>
      </w:pPr>
      <w:r>
        <w:rPr>
          <w:rFonts w:hint="eastAsia" w:ascii="仿宋" w:hAnsi="仿宋" w:eastAsia="仿宋" w:cs="Arial"/>
          <w:b/>
          <w:color w:val="auto"/>
          <w:kern w:val="0"/>
          <w:sz w:val="24"/>
          <w:szCs w:val="24"/>
          <w:highlight w:val="none"/>
        </w:rPr>
        <w:t>6.2.1磋商准备：</w:t>
      </w:r>
      <w:r>
        <w:rPr>
          <w:rFonts w:hint="eastAsia" w:ascii="仿宋" w:hAnsi="仿宋" w:eastAsia="仿宋" w:cs="仿宋"/>
          <w:color w:val="auto"/>
          <w:kern w:val="0"/>
          <w:sz w:val="24"/>
          <w:szCs w:val="24"/>
          <w:highlight w:val="none"/>
        </w:rPr>
        <w:t>本项目磋商</w:t>
      </w:r>
      <w:r>
        <w:rPr>
          <w:rFonts w:hint="eastAsia" w:ascii="仿宋" w:hAnsi="仿宋" w:eastAsia="仿宋" w:cs="Arial"/>
          <w:color w:val="auto"/>
          <w:kern w:val="0"/>
          <w:sz w:val="24"/>
          <w:highlight w:val="none"/>
        </w:rPr>
        <w:t>现场活动由采购人或采购代理机构（以下简称“采购组织机构”）组织实施，准备工作由采购组织机构负责落实，磋商过程由采购组织机构负责记录，磋商现场由采购组织机构人员主持。</w:t>
      </w:r>
    </w:p>
    <w:p w14:paraId="63CCA184">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6.2.2磋商邀请：本项目采用电子交易，采购组织机构将按照</w:t>
      </w:r>
      <w:r>
        <w:rPr>
          <w:rFonts w:hint="eastAsia" w:ascii="仿宋" w:hAnsi="仿宋" w:eastAsia="仿宋" w:cs="仿宋"/>
          <w:b/>
          <w:color w:val="auto"/>
          <w:kern w:val="0"/>
          <w:sz w:val="24"/>
          <w:szCs w:val="24"/>
          <w:highlight w:val="none"/>
        </w:rPr>
        <w:t>竞争性磋商文件规定的时间通过</w:t>
      </w:r>
      <w:r>
        <w:rPr>
          <w:rFonts w:hint="eastAsia" w:ascii="仿宋" w:hAnsi="仿宋" w:eastAsia="仿宋" w:cs="Arial"/>
          <w:b/>
          <w:color w:val="auto"/>
          <w:kern w:val="0"/>
          <w:sz w:val="24"/>
          <w:szCs w:val="24"/>
          <w:highlight w:val="none"/>
        </w:rPr>
        <w:t>“政府采购云平台，网址：</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仿宋" w:hAnsi="仿宋" w:eastAsia="仿宋" w:cs="Times New Roman"/>
          <w:b/>
          <w:color w:val="auto"/>
          <w:kern w:val="0"/>
          <w:szCs w:val="21"/>
          <w:highlight w:val="none"/>
          <w:u w:val="single"/>
        </w:rPr>
        <w:t>www.zcygov.cn</w:t>
      </w:r>
      <w:r>
        <w:rPr>
          <w:rFonts w:hint="eastAsia" w:ascii="仿宋" w:hAnsi="仿宋" w:eastAsia="仿宋" w:cs="Times New Roman"/>
          <w:b/>
          <w:color w:val="auto"/>
          <w:kern w:val="0"/>
          <w:szCs w:val="21"/>
          <w:highlight w:val="none"/>
          <w:u w:val="single"/>
        </w:rPr>
        <w:fldChar w:fldCharType="end"/>
      </w:r>
      <w:r>
        <w:rPr>
          <w:rFonts w:hint="eastAsia" w:ascii="仿宋" w:hAnsi="仿宋" w:eastAsia="仿宋" w:cs="Arial"/>
          <w:b/>
          <w:color w:val="auto"/>
          <w:kern w:val="0"/>
          <w:sz w:val="24"/>
          <w:szCs w:val="24"/>
          <w:highlight w:val="none"/>
        </w:rPr>
        <w:t>”组织开标、开启磋商响应文件，所有供应商均应当准时在线参加。</w:t>
      </w:r>
    </w:p>
    <w:p w14:paraId="67505115">
      <w:pPr>
        <w:autoSpaceDN w:val="0"/>
        <w:spacing w:line="360" w:lineRule="auto"/>
        <w:ind w:firstLine="424" w:firstLineChars="176"/>
        <w:rPr>
          <w:rFonts w:ascii="仿宋" w:hAnsi="仿宋" w:eastAsia="仿宋" w:cs="Times New Roman"/>
          <w:color w:val="auto"/>
          <w:szCs w:val="24"/>
          <w:highlight w:val="none"/>
        </w:rPr>
      </w:pPr>
      <w:r>
        <w:rPr>
          <w:rFonts w:hint="eastAsia" w:ascii="仿宋" w:hAnsi="仿宋" w:eastAsia="仿宋" w:cs="Arial"/>
          <w:b/>
          <w:color w:val="auto"/>
          <w:kern w:val="0"/>
          <w:sz w:val="24"/>
          <w:highlight w:val="none"/>
        </w:rPr>
        <w:t>6.2.3磋商响应文件开启顺序：</w:t>
      </w:r>
      <w:r>
        <w:rPr>
          <w:rFonts w:hint="eastAsia" w:ascii="仿宋" w:hAnsi="仿宋" w:eastAsia="仿宋" w:cs="Times New Roman"/>
          <w:b/>
          <w:color w:val="auto"/>
          <w:kern w:val="0"/>
          <w:sz w:val="24"/>
          <w:szCs w:val="24"/>
          <w:highlight w:val="none"/>
          <w:u w:val="single"/>
        </w:rPr>
        <w:t>资格文件、商务技术文件、报价文件</w:t>
      </w:r>
      <w:r>
        <w:rPr>
          <w:rFonts w:hint="eastAsia" w:ascii="仿宋" w:hAnsi="仿宋" w:eastAsia="仿宋" w:cs="Arial"/>
          <w:color w:val="auto"/>
          <w:kern w:val="0"/>
          <w:sz w:val="24"/>
          <w:highlight w:val="none"/>
        </w:rPr>
        <w:t>。</w:t>
      </w:r>
    </w:p>
    <w:p w14:paraId="4E9CC38D">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6.2.4供应商对磋商过程和磋商记录有疑义，以及认为采购人、采购代理机构相关工作人员有需要回避的情形的，应当场提出询问或回避申请。供应商未参加磋商的视同认可磋商结果</w:t>
      </w:r>
      <w:r>
        <w:rPr>
          <w:rFonts w:hint="eastAsia" w:ascii="仿宋" w:hAnsi="仿宋" w:eastAsia="仿宋" w:cs="仿宋"/>
          <w:b/>
          <w:color w:val="auto"/>
          <w:kern w:val="0"/>
          <w:sz w:val="24"/>
          <w:szCs w:val="24"/>
          <w:highlight w:val="none"/>
        </w:rPr>
        <w:t>。</w:t>
      </w:r>
    </w:p>
    <w:p w14:paraId="5916B8C5">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6.3 开标流程（两阶段）</w:t>
      </w:r>
    </w:p>
    <w:p w14:paraId="51859B60">
      <w:pPr>
        <w:autoSpaceDN w:val="0"/>
        <w:spacing w:line="360" w:lineRule="auto"/>
        <w:ind w:firstLine="426" w:firstLineChars="177"/>
        <w:jc w:val="left"/>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6.3.1开标流程：</w:t>
      </w:r>
    </w:p>
    <w:p w14:paraId="3284632E">
      <w:pPr>
        <w:numPr>
          <w:ilvl w:val="0"/>
          <w:numId w:val="7"/>
        </w:numPr>
        <w:autoSpaceDN w:val="0"/>
        <w:spacing w:line="360" w:lineRule="auto"/>
        <w:ind w:firstLine="480" w:firstLineChars="200"/>
        <w:jc w:val="left"/>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磋商响应文件提交截止时间止，由采购代理机构向各磋商响应供应商发出电子加密响应文件的【开始解密】通知，由供应商按磋商文件规定的时间内自行进行磋商响应文件的解密</w:t>
      </w:r>
      <w:r>
        <w:rPr>
          <w:rFonts w:hint="eastAsia" w:ascii="仿宋" w:hAnsi="仿宋" w:eastAsia="仿宋" w:cs="仿宋"/>
          <w:color w:val="auto"/>
          <w:kern w:val="0"/>
          <w:sz w:val="24"/>
          <w:szCs w:val="24"/>
          <w:highlight w:val="none"/>
        </w:rPr>
        <w:t>（</w:t>
      </w:r>
      <w:r>
        <w:rPr>
          <w:rFonts w:hint="eastAsia" w:ascii="仿宋" w:hAnsi="仿宋" w:eastAsia="仿宋" w:cs="仿宋"/>
          <w:b/>
          <w:color w:val="auto"/>
          <w:kern w:val="0"/>
          <w:sz w:val="24"/>
          <w:szCs w:val="24"/>
          <w:highlight w:val="none"/>
        </w:rPr>
        <w:t>解密规定见《磋商须知前附表》</w:t>
      </w: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w:t>
      </w:r>
    </w:p>
    <w:p w14:paraId="4E1BDFC4">
      <w:pPr>
        <w:autoSpaceDN w:val="0"/>
        <w:spacing w:line="360" w:lineRule="auto"/>
        <w:ind w:firstLine="480" w:firstLineChars="200"/>
        <w:jc w:val="left"/>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（2）磋商响应供应商在规定的时间内无法完成已递交的“电子加密响应文件”解密的，按磋商响应文件解密异常情况处理（</w:t>
      </w:r>
      <w:r>
        <w:rPr>
          <w:rFonts w:hint="eastAsia" w:ascii="仿宋" w:hAnsi="仿宋" w:eastAsia="仿宋" w:cs="仿宋"/>
          <w:b/>
          <w:color w:val="auto"/>
          <w:kern w:val="0"/>
          <w:sz w:val="24"/>
          <w:szCs w:val="24"/>
          <w:highlight w:val="none"/>
        </w:rPr>
        <w:t>处理办法见《磋商须知前附表》</w:t>
      </w:r>
      <w:r>
        <w:rPr>
          <w:rFonts w:hint="eastAsia" w:ascii="仿宋" w:hAnsi="仿宋" w:eastAsia="仿宋" w:cs="Arial"/>
          <w:color w:val="auto"/>
          <w:kern w:val="0"/>
          <w:sz w:val="24"/>
          <w:szCs w:val="24"/>
          <w:highlight w:val="none"/>
        </w:rPr>
        <w:t>）；</w:t>
      </w:r>
    </w:p>
    <w:p w14:paraId="6CFFA9D9">
      <w:pPr>
        <w:autoSpaceDN w:val="0"/>
        <w:spacing w:line="360" w:lineRule="auto"/>
        <w:ind w:firstLine="424" w:firstLineChars="177"/>
        <w:jc w:val="left"/>
        <w:rPr>
          <w:rFonts w:ascii="仿宋" w:hAnsi="仿宋" w:eastAsia="仿宋" w:cs="Arial"/>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3）公布</w:t>
      </w:r>
      <w:r>
        <w:rPr>
          <w:rFonts w:hint="eastAsia" w:ascii="仿宋" w:hAnsi="仿宋" w:eastAsia="仿宋" w:cs="仿宋"/>
          <w:color w:val="auto"/>
          <w:kern w:val="0"/>
          <w:sz w:val="24"/>
          <w:szCs w:val="24"/>
          <w:highlight w:val="none"/>
        </w:rPr>
        <w:t>磋商响应文件解密情况（磋商响应文件成功解密的供应商名单等信息）；</w:t>
      </w:r>
    </w:p>
    <w:p w14:paraId="2E180D12">
      <w:pPr>
        <w:autoSpaceDN w:val="0"/>
        <w:spacing w:line="360" w:lineRule="auto"/>
        <w:ind w:firstLine="424" w:firstLineChars="177"/>
        <w:jc w:val="left"/>
        <w:rPr>
          <w:rFonts w:ascii="仿宋" w:hAnsi="仿宋" w:eastAsia="仿宋" w:cs="Arial"/>
          <w:b/>
          <w:bCs/>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4）开启标书信息（资格文件、商务技术文件）。标书信息开启后，首先由</w:t>
      </w:r>
      <w:r>
        <w:rPr>
          <w:rFonts w:hint="eastAsia" w:ascii="仿宋" w:hAnsi="仿宋" w:eastAsia="仿宋" w:cs="仿宋"/>
          <w:color w:val="auto"/>
          <w:kern w:val="0"/>
          <w:sz w:val="24"/>
          <w:szCs w:val="24"/>
          <w:highlight w:val="none"/>
        </w:rPr>
        <w:t>磋商小组依法对磋商响应供应商的资格文件进行审查，审查磋商响应供应商的资格符合情况</w:t>
      </w:r>
      <w:r>
        <w:rPr>
          <w:rFonts w:hint="eastAsia" w:ascii="仿宋" w:hAnsi="仿宋" w:eastAsia="仿宋" w:cs="Arial"/>
          <w:color w:val="auto"/>
          <w:kern w:val="0"/>
          <w:sz w:val="24"/>
          <w:szCs w:val="24"/>
          <w:highlight w:val="none"/>
        </w:rPr>
        <w:t>。资格审查结束后进入商务技术评审。</w:t>
      </w:r>
      <w:r>
        <w:rPr>
          <w:rFonts w:hint="eastAsia" w:ascii="仿宋" w:hAnsi="仿宋" w:eastAsia="仿宋" w:cs="仿宋"/>
          <w:b/>
          <w:bCs/>
          <w:color w:val="auto"/>
          <w:kern w:val="0"/>
          <w:sz w:val="24"/>
          <w:szCs w:val="24"/>
          <w:highlight w:val="none"/>
        </w:rPr>
        <w:t>资格审查合格的磋商响应供应商数量不足三家的，项目不再进行评审。</w:t>
      </w:r>
    </w:p>
    <w:p w14:paraId="6B4BF465">
      <w:pPr>
        <w:autoSpaceDN w:val="0"/>
        <w:spacing w:line="360" w:lineRule="auto"/>
        <w:ind w:firstLine="424" w:firstLineChars="177"/>
        <w:jc w:val="left"/>
        <w:rPr>
          <w:rFonts w:ascii="仿宋" w:hAnsi="仿宋" w:eastAsia="仿宋" w:cs="Arial"/>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5）</w:t>
      </w:r>
      <w:r>
        <w:rPr>
          <w:rFonts w:hint="eastAsia" w:ascii="仿宋" w:hAnsi="仿宋" w:eastAsia="仿宋" w:cs="仿宋"/>
          <w:color w:val="auto"/>
          <w:kern w:val="0"/>
          <w:sz w:val="24"/>
          <w:szCs w:val="24"/>
          <w:highlight w:val="none"/>
        </w:rPr>
        <w:t>商务技术磋商、评审结束后，公布商务技术评审无效供应商名称及理由及经商务技术评审的有效磋商响应供应商名单。</w:t>
      </w:r>
    </w:p>
    <w:p w14:paraId="20D728E3">
      <w:pPr>
        <w:autoSpaceDN w:val="0"/>
        <w:spacing w:line="360" w:lineRule="auto"/>
        <w:ind w:firstLine="424" w:firstLineChars="177"/>
        <w:jc w:val="left"/>
        <w:rPr>
          <w:rFonts w:ascii="仿宋" w:hAnsi="仿宋" w:eastAsia="仿宋" w:cs="Arial"/>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6）开启有效</w:t>
      </w:r>
      <w:r>
        <w:rPr>
          <w:rFonts w:hint="eastAsia" w:ascii="仿宋" w:hAnsi="仿宋" w:eastAsia="仿宋" w:cs="仿宋"/>
          <w:color w:val="auto"/>
          <w:kern w:val="0"/>
          <w:sz w:val="24"/>
          <w:szCs w:val="24"/>
          <w:highlight w:val="none"/>
        </w:rPr>
        <w:t>磋商响应供应商的《报价文件》，由磋商小组对报价的合理性、准确性等进行审查核实。</w:t>
      </w:r>
    </w:p>
    <w:p w14:paraId="15371A90">
      <w:pPr>
        <w:autoSpaceDN w:val="0"/>
        <w:spacing w:line="360" w:lineRule="auto"/>
        <w:ind w:firstLine="480" w:firstLineChars="200"/>
        <w:rPr>
          <w:rFonts w:ascii="仿宋" w:hAnsi="仿宋" w:eastAsia="仿宋" w:cs="仿宋"/>
          <w:color w:val="auto"/>
          <w:szCs w:val="21"/>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7）经</w:t>
      </w:r>
      <w:r>
        <w:rPr>
          <w:rFonts w:hint="eastAsia" w:ascii="仿宋" w:hAnsi="仿宋" w:eastAsia="仿宋" w:cs="仿宋"/>
          <w:color w:val="auto"/>
          <w:kern w:val="0"/>
          <w:sz w:val="24"/>
          <w:szCs w:val="24"/>
          <w:highlight w:val="none"/>
        </w:rPr>
        <w:t>磋商小组对报价文件的评审及磋商后，要求供应商在规定的时间内提交最后报价，采购代理机构向各磋商响应供应商发出最后报价通知，由供应商在规定的时间内自行填写最终报价加盖签章并上传。</w:t>
      </w:r>
    </w:p>
    <w:p w14:paraId="3310DC07">
      <w:pPr>
        <w:autoSpaceDN w:val="0"/>
        <w:spacing w:line="360" w:lineRule="auto"/>
        <w:ind w:firstLine="424" w:firstLineChars="177"/>
        <w:jc w:val="left"/>
        <w:rPr>
          <w:rFonts w:ascii="仿宋" w:hAnsi="仿宋" w:eastAsia="仿宋" w:cs="Arial"/>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8）</w:t>
      </w:r>
      <w:r>
        <w:rPr>
          <w:rFonts w:hint="eastAsia" w:ascii="仿宋" w:hAnsi="仿宋" w:eastAsia="仿宋" w:cs="仿宋"/>
          <w:color w:val="auto"/>
          <w:kern w:val="0"/>
          <w:sz w:val="24"/>
          <w:szCs w:val="24"/>
          <w:highlight w:val="none"/>
        </w:rPr>
        <w:t>已提交磋商响应文件的供应商，在提交最后报价之前，若因磋商文件实质性变动导致供应商无法满足采购需求的，允许供应商退出磋商。</w:t>
      </w:r>
    </w:p>
    <w:p w14:paraId="2571786D">
      <w:pPr>
        <w:autoSpaceDN w:val="0"/>
        <w:spacing w:line="360" w:lineRule="auto"/>
        <w:ind w:firstLine="424" w:firstLineChars="177"/>
        <w:jc w:val="left"/>
        <w:rPr>
          <w:rFonts w:ascii="仿宋" w:hAnsi="仿宋" w:eastAsia="仿宋" w:cs="Arial"/>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9</w:t>
      </w:r>
      <w:r>
        <w:rPr>
          <w:rFonts w:hint="eastAsia" w:ascii="仿宋" w:hAnsi="仿宋" w:eastAsia="仿宋" w:cs="仿宋"/>
          <w:color w:val="auto"/>
          <w:kern w:val="0"/>
          <w:sz w:val="24"/>
          <w:szCs w:val="24"/>
          <w:highlight w:val="none"/>
        </w:rPr>
        <w:t>）采购代理机构公布各有效供应商的商务技术得分情况及最后报价情况，制作开标记录表，供应商予以确认，</w:t>
      </w:r>
      <w:r>
        <w:rPr>
          <w:rFonts w:hint="eastAsia" w:ascii="仿宋" w:hAnsi="仿宋" w:eastAsia="仿宋" w:cs="仿宋"/>
          <w:b/>
          <w:bCs/>
          <w:color w:val="auto"/>
          <w:kern w:val="0"/>
          <w:sz w:val="24"/>
          <w:szCs w:val="24"/>
          <w:highlight w:val="none"/>
        </w:rPr>
        <w:t>不予确认的应说明理由，否则视为无异议</w:t>
      </w:r>
      <w:r>
        <w:rPr>
          <w:rFonts w:hint="eastAsia" w:ascii="仿宋" w:hAnsi="仿宋" w:eastAsia="仿宋" w:cs="仿宋"/>
          <w:color w:val="auto"/>
          <w:kern w:val="0"/>
          <w:sz w:val="24"/>
          <w:szCs w:val="24"/>
          <w:highlight w:val="none"/>
        </w:rPr>
        <w:t>。</w:t>
      </w:r>
    </w:p>
    <w:p w14:paraId="1E509595">
      <w:pPr>
        <w:autoSpaceDN w:val="0"/>
        <w:spacing w:line="360" w:lineRule="auto"/>
        <w:ind w:firstLine="424" w:firstLineChars="177"/>
        <w:jc w:val="left"/>
        <w:rPr>
          <w:rFonts w:ascii="仿宋" w:hAnsi="仿宋" w:eastAsia="仿宋" w:cs="Arial"/>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Arial"/>
          <w:color w:val="auto"/>
          <w:kern w:val="0"/>
          <w:sz w:val="24"/>
          <w:szCs w:val="24"/>
          <w:highlight w:val="none"/>
        </w:rPr>
        <w:t>10）</w:t>
      </w:r>
      <w:r>
        <w:rPr>
          <w:rFonts w:hint="eastAsia" w:ascii="仿宋" w:hAnsi="仿宋" w:eastAsia="仿宋" w:cs="仿宋"/>
          <w:color w:val="auto"/>
          <w:kern w:val="0"/>
          <w:sz w:val="24"/>
          <w:szCs w:val="24"/>
          <w:highlight w:val="none"/>
        </w:rPr>
        <w:t>评审结束后，公布成交候选供应商名单及采购人最终确定成交供应商名单的时间和公告方式等。</w:t>
      </w:r>
    </w:p>
    <w:p w14:paraId="0D9577E2">
      <w:pPr>
        <w:autoSpaceDN w:val="0"/>
        <w:spacing w:line="360" w:lineRule="auto"/>
        <w:ind w:firstLine="426" w:firstLineChars="177"/>
        <w:jc w:val="left"/>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6.3.2特殊情况说明</w:t>
      </w:r>
    </w:p>
    <w:p w14:paraId="6B92ACFA">
      <w:pPr>
        <w:autoSpaceDN w:val="0"/>
        <w:spacing w:line="360" w:lineRule="auto"/>
        <w:ind w:firstLine="426" w:firstLineChars="177"/>
        <w:jc w:val="left"/>
        <w:rPr>
          <w:rFonts w:ascii="仿宋" w:hAnsi="仿宋" w:eastAsia="仿宋" w:cs="Arial"/>
          <w:b/>
          <w:color w:val="auto"/>
          <w:kern w:val="0"/>
          <w:sz w:val="24"/>
          <w:szCs w:val="24"/>
          <w:highlight w:val="none"/>
        </w:rPr>
      </w:pPr>
      <w:r>
        <w:rPr>
          <w:rFonts w:hint="eastAsia" w:ascii="仿宋" w:hAnsi="仿宋" w:eastAsia="仿宋" w:cs="仿宋"/>
          <w:b/>
          <w:color w:val="auto"/>
          <w:kern w:val="0"/>
          <w:sz w:val="24"/>
          <w:szCs w:val="24"/>
          <w:highlight w:val="none"/>
        </w:rPr>
        <w:t>（</w:t>
      </w:r>
      <w:r>
        <w:rPr>
          <w:rFonts w:hint="eastAsia" w:ascii="仿宋" w:hAnsi="仿宋" w:eastAsia="仿宋" w:cs="Arial"/>
          <w:b/>
          <w:color w:val="auto"/>
          <w:kern w:val="0"/>
          <w:sz w:val="24"/>
          <w:szCs w:val="24"/>
          <w:highlight w:val="none"/>
        </w:rPr>
        <w:t>1）本项目采用电子交易，如遇“政府采购云平台”电子化开标或评审程序调整的，按调整后程序执行。</w:t>
      </w:r>
    </w:p>
    <w:p w14:paraId="480AC282">
      <w:pPr>
        <w:autoSpaceDN w:val="0"/>
        <w:spacing w:line="360" w:lineRule="auto"/>
        <w:ind w:firstLine="426" w:firstLineChars="177"/>
        <w:jc w:val="left"/>
        <w:rPr>
          <w:rFonts w:ascii="仿宋" w:hAnsi="仿宋" w:eastAsia="仿宋" w:cs="Arial"/>
          <w:b/>
          <w:color w:val="auto"/>
          <w:kern w:val="0"/>
          <w:sz w:val="22"/>
          <w:highlight w:val="none"/>
        </w:rPr>
      </w:pPr>
      <w:r>
        <w:rPr>
          <w:rFonts w:hint="eastAsia" w:ascii="仿宋" w:hAnsi="仿宋" w:eastAsia="仿宋" w:cs="仿宋"/>
          <w:b/>
          <w:color w:val="auto"/>
          <w:kern w:val="0"/>
          <w:sz w:val="24"/>
          <w:szCs w:val="24"/>
          <w:highlight w:val="none"/>
        </w:rPr>
        <w:t>（</w:t>
      </w:r>
      <w:r>
        <w:rPr>
          <w:rFonts w:hint="eastAsia" w:ascii="仿宋" w:hAnsi="仿宋" w:eastAsia="仿宋" w:cs="Arial"/>
          <w:b/>
          <w:color w:val="auto"/>
          <w:kern w:val="0"/>
          <w:sz w:val="24"/>
          <w:szCs w:val="24"/>
          <w:highlight w:val="none"/>
        </w:rPr>
        <w:t>2）磋商过程中需要相关当事人进行签字或盖章确认的材料将通过“政府采购云平台”进行，若因“政府采购云平台”技术问题无法进行签字或盖章确认的，采购组织机构将通过邮件、传真等形式予以确认。</w:t>
      </w:r>
    </w:p>
    <w:p w14:paraId="549E0D42">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65" w:name="_Toc96947066"/>
      <w:bookmarkStart w:id="66" w:name="_Toc32126"/>
      <w:r>
        <w:rPr>
          <w:rFonts w:hint="eastAsia" w:ascii="仿宋" w:hAnsi="仿宋" w:eastAsia="仿宋" w:cs="Times New Roman"/>
          <w:b/>
          <w:bCs/>
          <w:color w:val="auto"/>
          <w:sz w:val="28"/>
          <w:szCs w:val="28"/>
          <w:highlight w:val="none"/>
        </w:rPr>
        <w:t>七、评审</w:t>
      </w:r>
      <w:bookmarkEnd w:id="65"/>
      <w:bookmarkEnd w:id="66"/>
    </w:p>
    <w:p w14:paraId="7FE0022F">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7.1 评审工作的组织</w:t>
      </w:r>
    </w:p>
    <w:p w14:paraId="5424C955">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采购人或采购代理机构负责组织本项目的评审工作，并依据相关规定履行职责。</w:t>
      </w:r>
    </w:p>
    <w:p w14:paraId="68932048">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7.2 磋商小组的组建</w:t>
      </w:r>
    </w:p>
    <w:p w14:paraId="331E06BA">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7.2.1磋商小组由采购人或采购代理机构依法组建，成员由采购人代表和评审专家组成，成员人数为三人或以上单数，其中评审专家不少于成员总数的三分之二。</w:t>
      </w:r>
    </w:p>
    <w:p w14:paraId="0A041550">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7.2.2评审专家从省级或以上财政部门设立的政府采购评审专家库中通过随机方式抽取产生。磋商小组成员名单在采购结果公告前保密。</w:t>
      </w:r>
    </w:p>
    <w:p w14:paraId="312494DD">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7.3 磋商小组的职责</w:t>
      </w:r>
    </w:p>
    <w:p w14:paraId="4FF12DCA">
      <w:pPr>
        <w:autoSpaceDN w:val="0"/>
        <w:spacing w:line="360" w:lineRule="auto"/>
        <w:ind w:firstLine="424" w:firstLineChars="176"/>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7.3.1磋商小组负责具体评审事务，并独立履行下列职责：</w:t>
      </w:r>
    </w:p>
    <w:p w14:paraId="71833BF5">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（1）审查、评价磋商响应文件是否符合竞争性磋商文件的资格、商务、技术等实质性要求；</w:t>
      </w:r>
    </w:p>
    <w:p w14:paraId="1E2F61A9">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（2）要求磋商响应供应商对磋商响应文件有关事项作出澄清或者说明；</w:t>
      </w:r>
    </w:p>
    <w:p w14:paraId="346BD01B">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（3）对磋商响应文件进行比较和评价；</w:t>
      </w:r>
    </w:p>
    <w:p w14:paraId="59FD57A0">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（4）确定成交候选供应商名单，以及根据采购人委托直接确定成交供应商；</w:t>
      </w:r>
    </w:p>
    <w:p w14:paraId="603F9C4D">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（5）向采购人、采购代理机构或者有关部门报告评审中发现的违法行为。</w:t>
      </w:r>
    </w:p>
    <w:p w14:paraId="05824A16">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7.4 评审原则</w:t>
      </w:r>
    </w:p>
    <w:p w14:paraId="671924D8">
      <w:pPr>
        <w:autoSpaceDN w:val="0"/>
        <w:spacing w:line="360" w:lineRule="auto"/>
        <w:ind w:firstLine="424" w:firstLineChars="177"/>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7.4.1评审原则：</w:t>
      </w:r>
      <w:r>
        <w:rPr>
          <w:rFonts w:hint="eastAsia" w:ascii="仿宋" w:hAnsi="仿宋" w:eastAsia="仿宋" w:cs="Arial"/>
          <w:color w:val="auto"/>
          <w:kern w:val="0"/>
          <w:sz w:val="24"/>
          <w:highlight w:val="none"/>
        </w:rPr>
        <w:t>磋商小组</w:t>
      </w:r>
      <w:r>
        <w:rPr>
          <w:rFonts w:hint="eastAsia" w:ascii="仿宋" w:hAnsi="仿宋" w:eastAsia="仿宋" w:cs="Arial"/>
          <w:color w:val="auto"/>
          <w:sz w:val="24"/>
          <w:szCs w:val="24"/>
          <w:highlight w:val="none"/>
        </w:rPr>
        <w:t>按照客观、公正、审慎、择优的原则，根据竞争性磋商文件规定的评审程序、评审方法和评审标准进行独立评审。</w:t>
      </w:r>
    </w:p>
    <w:p w14:paraId="5930083E">
      <w:pPr>
        <w:autoSpaceDN w:val="0"/>
        <w:spacing w:line="360" w:lineRule="auto"/>
        <w:ind w:firstLine="424" w:firstLineChars="177"/>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7.4.2评审工作将依据</w:t>
      </w:r>
      <w:r>
        <w:rPr>
          <w:rFonts w:hint="eastAsia" w:ascii="仿宋" w:hAnsi="仿宋" w:eastAsia="仿宋" w:cs="Arial"/>
          <w:color w:val="auto"/>
          <w:kern w:val="0"/>
          <w:sz w:val="24"/>
          <w:highlight w:val="none"/>
        </w:rPr>
        <w:t>竞争性磋商文件、磋商响应文件及竞争性磋商文件中事先已列明的内容进行（如现场方案讲解、演示、样品等）。</w:t>
      </w:r>
    </w:p>
    <w:p w14:paraId="31D43C46">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7.5 评审意见的争议处理</w:t>
      </w:r>
    </w:p>
    <w:p w14:paraId="41B9E5FF">
      <w:pPr>
        <w:autoSpaceDN w:val="0"/>
        <w:spacing w:line="360" w:lineRule="auto"/>
        <w:ind w:firstLine="426" w:firstLineChars="177"/>
        <w:rPr>
          <w:rFonts w:ascii="仿宋" w:hAnsi="仿宋" w:eastAsia="仿宋" w:cs="Arial"/>
          <w:color w:val="auto"/>
          <w:sz w:val="24"/>
          <w:szCs w:val="24"/>
          <w:highlight w:val="none"/>
        </w:rPr>
      </w:pPr>
      <w:r>
        <w:rPr>
          <w:rFonts w:hint="eastAsia" w:ascii="仿宋" w:hAnsi="仿宋" w:eastAsia="仿宋" w:cs="Arial"/>
          <w:b/>
          <w:color w:val="auto"/>
          <w:sz w:val="24"/>
          <w:szCs w:val="24"/>
          <w:highlight w:val="none"/>
        </w:rPr>
        <w:t>磋商小组成员对需要共同认定的事项存在争议的，按照少数服从多数的原则作出结论。</w:t>
      </w:r>
      <w:r>
        <w:rPr>
          <w:rFonts w:hint="eastAsia" w:ascii="仿宋" w:hAnsi="仿宋" w:eastAsia="仿宋" w:cs="Arial"/>
          <w:color w:val="auto"/>
          <w:sz w:val="24"/>
          <w:szCs w:val="24"/>
          <w:highlight w:val="none"/>
        </w:rPr>
        <w:t>持不同意见的磋商小组成员应当在评审报告上签署不同意见及理由，否则视为同意评审报告。</w:t>
      </w:r>
    </w:p>
    <w:p w14:paraId="020CF667">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7.6 评委纪律</w:t>
      </w:r>
    </w:p>
    <w:p w14:paraId="716A6A15">
      <w:pPr>
        <w:autoSpaceDN w:val="0"/>
        <w:spacing w:line="360" w:lineRule="auto"/>
        <w:ind w:firstLine="424" w:firstLineChars="177"/>
        <w:rPr>
          <w:rFonts w:ascii="仿宋" w:hAnsi="仿宋" w:eastAsia="仿宋" w:cs="Times New Roman"/>
          <w:color w:val="auto"/>
          <w:szCs w:val="24"/>
          <w:highlight w:val="none"/>
        </w:rPr>
      </w:pPr>
      <w:r>
        <w:rPr>
          <w:rFonts w:hint="eastAsia" w:ascii="仿宋" w:hAnsi="仿宋" w:eastAsia="仿宋" w:cs="Arial"/>
          <w:color w:val="auto"/>
          <w:sz w:val="24"/>
          <w:szCs w:val="24"/>
          <w:highlight w:val="none"/>
        </w:rPr>
        <w:t>磋商小组成员必须严格遵守保密规定，不得泄露评审的有关情况</w:t>
      </w:r>
      <w:r>
        <w:rPr>
          <w:rFonts w:hint="eastAsia" w:ascii="仿宋" w:hAnsi="仿宋" w:eastAsia="仿宋" w:cs="Arial"/>
          <w:color w:val="auto"/>
          <w:kern w:val="0"/>
          <w:sz w:val="24"/>
          <w:highlight w:val="none"/>
        </w:rPr>
        <w:t>，任何单位和个人不得干扰、影响评标的正常进行，磋商小组成员不得私下与磋商响应供应商接触，不得出现浙江省政府采购活动现场组织管理办法中规定的其他禁止行为。</w:t>
      </w:r>
    </w:p>
    <w:p w14:paraId="5778C0AA">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7.7 评审方法和标准</w:t>
      </w:r>
    </w:p>
    <w:p w14:paraId="2DFC8E73">
      <w:pPr>
        <w:autoSpaceDN w:val="0"/>
        <w:spacing w:line="360" w:lineRule="auto"/>
        <w:ind w:firstLine="426" w:firstLineChars="177"/>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7.7.1评审方法和标准：</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kern w:val="0"/>
          <w:sz w:val="24"/>
          <w:szCs w:val="24"/>
          <w:highlight w:val="none"/>
        </w:rPr>
        <w:t>；</w:t>
      </w:r>
    </w:p>
    <w:p w14:paraId="18A42AF2">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Times New Roman"/>
          <w:b/>
          <w:color w:val="auto"/>
          <w:kern w:val="0"/>
          <w:sz w:val="24"/>
          <w:szCs w:val="24"/>
          <w:highlight w:val="none"/>
        </w:rPr>
        <w:t>7.7.2</w:t>
      </w:r>
      <w:r>
        <w:rPr>
          <w:rFonts w:hint="eastAsia" w:ascii="仿宋" w:hAnsi="仿宋" w:eastAsia="仿宋" w:cs="Arial"/>
          <w:b/>
          <w:color w:val="auto"/>
          <w:kern w:val="0"/>
          <w:sz w:val="24"/>
          <w:highlight w:val="none"/>
        </w:rPr>
        <w:t>标书信息开启后，磋商小组首先依法对磋商响应供应商的资格文件进行审查，审查各磋商响应供应商的资格符合情况。</w:t>
      </w:r>
      <w:r>
        <w:rPr>
          <w:rFonts w:hint="eastAsia" w:ascii="仿宋" w:hAnsi="仿宋" w:eastAsia="仿宋" w:cs="Arial"/>
          <w:b/>
          <w:color w:val="auto"/>
          <w:kern w:val="0"/>
          <w:sz w:val="24"/>
          <w:szCs w:val="24"/>
          <w:highlight w:val="none"/>
        </w:rPr>
        <w:t>供应商</w:t>
      </w:r>
      <w:r>
        <w:rPr>
          <w:rFonts w:hint="eastAsia" w:ascii="仿宋" w:hAnsi="仿宋" w:eastAsia="仿宋" w:cs="Arial"/>
          <w:b/>
          <w:color w:val="auto"/>
          <w:sz w:val="24"/>
          <w:szCs w:val="24"/>
          <w:highlight w:val="none"/>
        </w:rPr>
        <w:t>信用记录查询与使用：</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b/>
          <w:color w:val="auto"/>
          <w:sz w:val="24"/>
          <w:szCs w:val="24"/>
          <w:highlight w:val="none"/>
        </w:rPr>
        <w:t>；</w:t>
      </w:r>
    </w:p>
    <w:p w14:paraId="5D5E7B1F">
      <w:pPr>
        <w:autoSpaceDN w:val="0"/>
        <w:spacing w:line="360" w:lineRule="auto"/>
        <w:ind w:firstLine="426" w:firstLineChars="177"/>
        <w:rPr>
          <w:rFonts w:ascii="仿宋" w:hAnsi="仿宋" w:eastAsia="仿宋" w:cs="Times New Roman"/>
          <w:color w:val="auto"/>
          <w:kern w:val="0"/>
          <w:szCs w:val="24"/>
          <w:highlight w:val="none"/>
        </w:rPr>
      </w:pPr>
      <w:r>
        <w:rPr>
          <w:rFonts w:hint="eastAsia" w:ascii="仿宋" w:hAnsi="仿宋" w:eastAsia="仿宋" w:cs="Times New Roman"/>
          <w:b/>
          <w:color w:val="auto"/>
          <w:kern w:val="0"/>
          <w:sz w:val="24"/>
          <w:szCs w:val="24"/>
          <w:highlight w:val="none"/>
        </w:rPr>
        <w:t>7.7.3资格审查结束后，磋商小组将按照竞争性磋商文件中规定的评审方法和标准，对符合性审查合格的磋商响应文件进行商务和技术评估，综合比较与评价。</w:t>
      </w:r>
      <w:r>
        <w:rPr>
          <w:rFonts w:hint="eastAsia" w:ascii="仿宋" w:hAnsi="仿宋" w:eastAsia="仿宋" w:cs="Times New Roman"/>
          <w:color w:val="auto"/>
          <w:kern w:val="0"/>
          <w:sz w:val="24"/>
          <w:szCs w:val="24"/>
          <w:highlight w:val="none"/>
        </w:rPr>
        <w:t>详细评审方法和标准见本竞争性磋商文件第七章《评审办法》</w:t>
      </w:r>
      <w:r>
        <w:rPr>
          <w:rFonts w:hint="eastAsia" w:ascii="仿宋" w:hAnsi="仿宋" w:eastAsia="仿宋" w:cs="Times New Roman"/>
          <w:color w:val="auto"/>
          <w:kern w:val="0"/>
          <w:szCs w:val="24"/>
          <w:highlight w:val="none"/>
        </w:rPr>
        <w:t>。</w:t>
      </w:r>
    </w:p>
    <w:p w14:paraId="50875DFA">
      <w:pPr>
        <w:autoSpaceDN w:val="0"/>
        <w:rPr>
          <w:rFonts w:ascii="仿宋" w:hAnsi="仿宋" w:eastAsia="仿宋" w:cs="Times New Roman"/>
          <w:color w:val="auto"/>
          <w:szCs w:val="24"/>
          <w:highlight w:val="none"/>
        </w:rPr>
      </w:pPr>
    </w:p>
    <w:p w14:paraId="7C38B309">
      <w:pPr>
        <w:keepNext/>
        <w:keepLines/>
        <w:autoSpaceDN w:val="0"/>
        <w:spacing w:before="260" w:after="260" w:line="415" w:lineRule="auto"/>
        <w:ind w:firstLine="281" w:firstLineChars="100"/>
        <w:outlineLvl w:val="1"/>
        <w:rPr>
          <w:rFonts w:ascii="仿宋" w:hAnsi="仿宋" w:eastAsia="仿宋" w:cs="Times New Roman"/>
          <w:b/>
          <w:bCs/>
          <w:color w:val="auto"/>
          <w:sz w:val="32"/>
          <w:szCs w:val="32"/>
          <w:highlight w:val="none"/>
        </w:rPr>
      </w:pPr>
      <w:bookmarkStart w:id="67" w:name="_Toc96947067"/>
      <w:bookmarkStart w:id="68" w:name="_Toc11895"/>
      <w:r>
        <w:rPr>
          <w:rFonts w:hint="eastAsia" w:ascii="仿宋" w:hAnsi="仿宋" w:eastAsia="仿宋" w:cs="Times New Roman"/>
          <w:b/>
          <w:bCs/>
          <w:color w:val="auto"/>
          <w:sz w:val="28"/>
          <w:szCs w:val="28"/>
          <w:highlight w:val="none"/>
        </w:rPr>
        <w:t>八、采购结果确认与公告</w:t>
      </w:r>
      <w:bookmarkEnd w:id="67"/>
      <w:bookmarkEnd w:id="68"/>
    </w:p>
    <w:p w14:paraId="4B4CD568">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8.1 采购结果确认（确定成交供应商）</w:t>
      </w:r>
    </w:p>
    <w:p w14:paraId="4955596E">
      <w:pPr>
        <w:autoSpaceDN w:val="0"/>
        <w:spacing w:line="360" w:lineRule="auto"/>
        <w:ind w:firstLine="422" w:firstLineChars="175"/>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8.1.1采购结果确认（确定成交供应商）：本项目由采购人根据磋商小组递交的《评审报告》，通过“政府采购云平台”依法确认采购结果、确定成交供应商。具体流程如下：</w:t>
      </w:r>
    </w:p>
    <w:p w14:paraId="22D6FB81">
      <w:pPr>
        <w:autoSpaceDN w:val="0"/>
        <w:spacing w:line="360" w:lineRule="auto"/>
        <w:ind w:firstLine="420" w:firstLineChars="175"/>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（1）采购代理机构将在评审结束后2个工作日内将评审报告送采购人。</w:t>
      </w:r>
    </w:p>
    <w:p w14:paraId="36637A9D">
      <w:pPr>
        <w:autoSpaceDN w:val="0"/>
        <w:spacing w:line="360" w:lineRule="auto"/>
        <w:ind w:firstLine="420" w:firstLineChars="175"/>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（2）采购人将在收到评审报告之日起5个工作日内，在评审报告推荐的成交候选供应商名单中按顺序确定1名成交供应商，并将确认意见以书面形式回复采购代理机构。</w:t>
      </w:r>
    </w:p>
    <w:p w14:paraId="5A9E8390">
      <w:pPr>
        <w:autoSpaceDN w:val="0"/>
        <w:spacing w:line="360" w:lineRule="auto"/>
        <w:ind w:firstLine="422" w:firstLineChars="175"/>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8.1.2采购人及采购组织机构不对评审结果做任何解释。</w:t>
      </w:r>
    </w:p>
    <w:p w14:paraId="6800862A">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8.2 采购结果公告和成交通知书签发</w:t>
      </w:r>
    </w:p>
    <w:p w14:paraId="42C15D34">
      <w:pPr>
        <w:autoSpaceDN w:val="0"/>
        <w:spacing w:line="360" w:lineRule="auto"/>
        <w:ind w:firstLine="422" w:firstLineChars="175"/>
        <w:rPr>
          <w:rFonts w:ascii="仿宋" w:hAnsi="仿宋" w:eastAsia="仿宋" w:cs="Times New Roman"/>
          <w:b/>
          <w:color w:val="auto"/>
          <w:kern w:val="0"/>
          <w:sz w:val="24"/>
          <w:szCs w:val="24"/>
          <w:highlight w:val="none"/>
        </w:rPr>
      </w:pPr>
      <w:r>
        <w:rPr>
          <w:rFonts w:hint="eastAsia" w:ascii="仿宋" w:hAnsi="仿宋" w:eastAsia="仿宋" w:cs="Arial"/>
          <w:b/>
          <w:color w:val="auto"/>
          <w:kern w:val="0"/>
          <w:sz w:val="24"/>
          <w:highlight w:val="none"/>
        </w:rPr>
        <w:t>8.2.1采购结果公告及《成交通知书》签发：</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Times New Roman"/>
          <w:b/>
          <w:color w:val="auto"/>
          <w:kern w:val="0"/>
          <w:sz w:val="24"/>
          <w:szCs w:val="24"/>
          <w:highlight w:val="none"/>
        </w:rPr>
        <w:t>；</w:t>
      </w:r>
    </w:p>
    <w:p w14:paraId="30393EE6">
      <w:pPr>
        <w:autoSpaceDN w:val="0"/>
        <w:spacing w:line="360" w:lineRule="auto"/>
        <w:ind w:firstLine="422" w:firstLineChars="175"/>
        <w:rPr>
          <w:rFonts w:ascii="仿宋" w:hAnsi="仿宋" w:eastAsia="仿宋" w:cs="Arial"/>
          <w:color w:val="auto"/>
          <w:kern w:val="0"/>
          <w:sz w:val="24"/>
          <w:highlight w:val="none"/>
        </w:rPr>
      </w:pPr>
      <w:r>
        <w:rPr>
          <w:rFonts w:hint="eastAsia" w:ascii="仿宋" w:hAnsi="仿宋" w:eastAsia="仿宋" w:cs="Times New Roman"/>
          <w:b/>
          <w:color w:val="auto"/>
          <w:kern w:val="0"/>
          <w:sz w:val="24"/>
          <w:szCs w:val="24"/>
          <w:highlight w:val="none"/>
        </w:rPr>
        <w:t>8.2.2成交公告期限为1个工作日；</w:t>
      </w:r>
    </w:p>
    <w:p w14:paraId="649600DD">
      <w:pPr>
        <w:autoSpaceDN w:val="0"/>
        <w:spacing w:line="360" w:lineRule="auto"/>
        <w:ind w:firstLine="420" w:firstLineChars="175"/>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9.2.3成交通知书发出后，成交供应商无正当理由不得放弃成交。</w:t>
      </w:r>
    </w:p>
    <w:p w14:paraId="13645DCA">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bookmarkStart w:id="69" w:name="_Toc35391900"/>
      <w:r>
        <w:rPr>
          <w:rFonts w:hint="eastAsia" w:ascii="仿宋" w:hAnsi="仿宋" w:eastAsia="仿宋" w:cs="Times New Roman"/>
          <w:b/>
          <w:bCs/>
          <w:color w:val="auto"/>
          <w:sz w:val="24"/>
          <w:szCs w:val="32"/>
          <w:highlight w:val="none"/>
        </w:rPr>
        <w:t>8.3 采购过程、采购结果的质疑</w:t>
      </w:r>
    </w:p>
    <w:p w14:paraId="2FDA0C00">
      <w:pPr>
        <w:autoSpaceDN w:val="0"/>
        <w:spacing w:line="360" w:lineRule="auto"/>
        <w:ind w:firstLine="426" w:firstLineChars="177"/>
        <w:rPr>
          <w:rFonts w:ascii="仿宋" w:hAnsi="仿宋" w:eastAsia="仿宋" w:cs="Arial"/>
          <w:color w:val="auto"/>
          <w:sz w:val="24"/>
          <w:szCs w:val="24"/>
          <w:highlight w:val="none"/>
        </w:rPr>
      </w:pPr>
      <w:r>
        <w:rPr>
          <w:rFonts w:hint="eastAsia" w:ascii="仿宋" w:hAnsi="仿宋" w:eastAsia="仿宋" w:cs="Arial"/>
          <w:b/>
          <w:color w:val="auto"/>
          <w:kern w:val="0"/>
          <w:sz w:val="24"/>
          <w:szCs w:val="24"/>
          <w:highlight w:val="none"/>
        </w:rPr>
        <w:t>磋商响应供应商认为采购过程、采购结果使自己的合法权益受到损害的，应当按照本章节第1.16.2款规定，以书面形式一次性向采购人、采购代理机构提出质疑。</w:t>
      </w:r>
      <w:r>
        <w:rPr>
          <w:rFonts w:hint="eastAsia" w:ascii="仿宋" w:hAnsi="仿宋" w:eastAsia="仿宋" w:cs="Arial"/>
          <w:color w:val="auto"/>
          <w:sz w:val="24"/>
          <w:szCs w:val="24"/>
          <w:highlight w:val="none"/>
        </w:rPr>
        <w:t>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14:paraId="3A27DABC">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70" w:name="_Toc96947068"/>
      <w:bookmarkStart w:id="71" w:name="_Toc17503"/>
      <w:r>
        <w:rPr>
          <w:rFonts w:hint="eastAsia" w:ascii="仿宋" w:hAnsi="仿宋" w:eastAsia="仿宋" w:cs="Times New Roman"/>
          <w:b/>
          <w:bCs/>
          <w:color w:val="auto"/>
          <w:sz w:val="28"/>
          <w:szCs w:val="28"/>
          <w:highlight w:val="none"/>
        </w:rPr>
        <w:t>九、采购代理服务费</w:t>
      </w:r>
      <w:bookmarkEnd w:id="69"/>
      <w:bookmarkEnd w:id="70"/>
      <w:bookmarkEnd w:id="71"/>
    </w:p>
    <w:p w14:paraId="1C1AD8B2">
      <w:pPr>
        <w:autoSpaceDN w:val="0"/>
        <w:spacing w:line="360" w:lineRule="auto"/>
        <w:ind w:right="42" w:rightChars="20" w:firstLine="426" w:firstLineChars="177"/>
        <w:rPr>
          <w:rFonts w:ascii="仿宋" w:hAnsi="仿宋" w:eastAsia="仿宋" w:cs="Arial"/>
          <w:b/>
          <w:color w:val="auto"/>
          <w:kern w:val="0"/>
          <w:sz w:val="24"/>
          <w:highlight w:val="none"/>
        </w:rPr>
      </w:pPr>
      <w:r>
        <w:rPr>
          <w:rFonts w:hint="eastAsia" w:ascii="仿宋" w:hAnsi="仿宋" w:eastAsia="仿宋" w:cs="Arial"/>
          <w:b/>
          <w:color w:val="auto"/>
          <w:sz w:val="24"/>
          <w:highlight w:val="none"/>
        </w:rPr>
        <w:t>9.1.1采购代理服务费的</w:t>
      </w:r>
      <w:r>
        <w:rPr>
          <w:rFonts w:hint="eastAsia" w:ascii="仿宋" w:hAnsi="仿宋" w:eastAsia="仿宋" w:cs="Arial"/>
          <w:b/>
          <w:color w:val="auto"/>
          <w:kern w:val="0"/>
          <w:sz w:val="24"/>
          <w:highlight w:val="none"/>
        </w:rPr>
        <w:t>支付方：</w:t>
      </w:r>
      <w:r>
        <w:rPr>
          <w:rFonts w:hint="eastAsia" w:ascii="仿宋" w:hAnsi="仿宋" w:eastAsia="仿宋" w:cs="Arial"/>
          <w:b/>
          <w:color w:val="auto"/>
          <w:kern w:val="0"/>
          <w:sz w:val="24"/>
          <w:highlight w:val="none"/>
          <w:u w:val="single"/>
        </w:rPr>
        <w:t>成交供应商</w:t>
      </w:r>
      <w:r>
        <w:rPr>
          <w:rFonts w:hint="eastAsia" w:ascii="仿宋" w:hAnsi="仿宋" w:eastAsia="仿宋" w:cs="Arial"/>
          <w:b/>
          <w:color w:val="auto"/>
          <w:kern w:val="0"/>
          <w:sz w:val="24"/>
          <w:highlight w:val="none"/>
        </w:rPr>
        <w:t>；</w:t>
      </w:r>
    </w:p>
    <w:p w14:paraId="57FD089E">
      <w:pPr>
        <w:autoSpaceDN w:val="0"/>
        <w:spacing w:line="360" w:lineRule="auto"/>
        <w:ind w:right="42" w:rightChars="20" w:firstLine="426" w:firstLineChars="177"/>
        <w:rPr>
          <w:rFonts w:ascii="仿宋" w:hAnsi="仿宋" w:eastAsia="仿宋" w:cs="Arial"/>
          <w:b/>
          <w:color w:val="auto"/>
          <w:sz w:val="24"/>
          <w:highlight w:val="none"/>
        </w:rPr>
      </w:pPr>
      <w:r>
        <w:rPr>
          <w:rFonts w:hint="eastAsia" w:ascii="仿宋" w:hAnsi="仿宋" w:eastAsia="仿宋" w:cs="Arial"/>
          <w:b/>
          <w:color w:val="auto"/>
          <w:kern w:val="0"/>
          <w:sz w:val="24"/>
          <w:highlight w:val="none"/>
        </w:rPr>
        <w:t>9.1.2</w:t>
      </w:r>
      <w:r>
        <w:rPr>
          <w:rFonts w:hint="eastAsia" w:ascii="仿宋" w:hAnsi="仿宋" w:eastAsia="仿宋" w:cs="Arial"/>
          <w:b/>
          <w:color w:val="auto"/>
          <w:sz w:val="24"/>
          <w:highlight w:val="none"/>
        </w:rPr>
        <w:t>收取标准或金额：</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b/>
          <w:color w:val="auto"/>
          <w:sz w:val="24"/>
          <w:highlight w:val="none"/>
        </w:rPr>
        <w:t>；</w:t>
      </w:r>
    </w:p>
    <w:p w14:paraId="382E478B">
      <w:pPr>
        <w:autoSpaceDN w:val="0"/>
        <w:spacing w:line="360" w:lineRule="auto"/>
        <w:ind w:right="42" w:rightChars="20"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9.1.3缴纳时间：成交供应商确定后7日内，一次性缴纳；</w:t>
      </w:r>
    </w:p>
    <w:p w14:paraId="016073E6">
      <w:pPr>
        <w:autoSpaceDN w:val="0"/>
        <w:spacing w:line="360" w:lineRule="auto"/>
        <w:ind w:right="42" w:rightChars="20"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9.1.4缴纳形式：电汇、转账、支票、汇票（不接受现金），由成交供应商账户转出；</w:t>
      </w:r>
    </w:p>
    <w:p w14:paraId="5C9D19C2">
      <w:pPr>
        <w:autoSpaceDN w:val="0"/>
        <w:spacing w:line="360" w:lineRule="auto"/>
        <w:ind w:right="42" w:rightChars="20"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9.1.5特别说明：</w:t>
      </w:r>
    </w:p>
    <w:p w14:paraId="1A692F4F">
      <w:pPr>
        <w:autoSpaceDN w:val="0"/>
        <w:spacing w:line="360" w:lineRule="auto"/>
        <w:ind w:right="42" w:rightChars="20"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（1）磋商响应供应商在磋商报价时应将采购代理服务费计入磋商总价（单独列项或列入综合单价内，未计入的视为已包含）；</w:t>
      </w:r>
    </w:p>
    <w:p w14:paraId="4A2FAFA9">
      <w:pPr>
        <w:autoSpaceDN w:val="0"/>
        <w:spacing w:line="360" w:lineRule="auto"/>
        <w:ind w:right="42" w:rightChars="20"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（2）采购代理服务费缴纳凭证将作为采购人合同付款和验收的前提条件，成交供应商未按上述规定和投标承诺缴纳采购代理服务费的，合同款不予支付、合同验收不予通过；</w:t>
      </w:r>
    </w:p>
    <w:p w14:paraId="23696348">
      <w:pPr>
        <w:autoSpaceDN w:val="0"/>
        <w:spacing w:line="360" w:lineRule="auto"/>
        <w:ind w:firstLine="426" w:firstLineChars="177"/>
        <w:rPr>
          <w:rFonts w:ascii="仿宋" w:hAnsi="仿宋" w:eastAsia="仿宋" w:cs="Arial"/>
          <w:color w:val="auto"/>
          <w:kern w:val="0"/>
          <w:sz w:val="22"/>
          <w:highlight w:val="none"/>
        </w:rPr>
      </w:pPr>
      <w:r>
        <w:rPr>
          <w:rFonts w:hint="eastAsia" w:ascii="仿宋" w:hAnsi="仿宋" w:eastAsia="仿宋" w:cs="Arial"/>
          <w:b/>
          <w:color w:val="auto"/>
          <w:sz w:val="24"/>
          <w:highlight w:val="none"/>
        </w:rPr>
        <w:t>9.1.6</w:t>
      </w:r>
      <w:r>
        <w:rPr>
          <w:rFonts w:hint="eastAsia" w:ascii="仿宋" w:hAnsi="仿宋" w:eastAsia="仿宋" w:cs="Arial"/>
          <w:b/>
          <w:color w:val="auto"/>
          <w:sz w:val="24"/>
          <w:szCs w:val="24"/>
          <w:highlight w:val="none"/>
        </w:rPr>
        <w:t>成交供应商确定后，成交供应商拒绝签订合同的，或因自身原因被取消成交资格或放弃成交的，已收取的采购代理服务费不予退还，未支付的采购代理服务费由采购人追偿后支付。</w:t>
      </w:r>
    </w:p>
    <w:p w14:paraId="5AF1775A">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72" w:name="_Toc424164160"/>
      <w:bookmarkStart w:id="73" w:name="_Toc440162792"/>
      <w:bookmarkStart w:id="74" w:name="_Toc35391901"/>
      <w:bookmarkStart w:id="75" w:name="_Toc7194"/>
      <w:bookmarkStart w:id="76" w:name="_Toc96947069"/>
      <w:r>
        <w:rPr>
          <w:rFonts w:hint="eastAsia" w:ascii="仿宋" w:hAnsi="仿宋" w:eastAsia="仿宋" w:cs="Times New Roman"/>
          <w:b/>
          <w:bCs/>
          <w:color w:val="auto"/>
          <w:sz w:val="28"/>
          <w:szCs w:val="28"/>
          <w:highlight w:val="none"/>
        </w:rPr>
        <w:t>十、</w:t>
      </w:r>
      <w:bookmarkEnd w:id="72"/>
      <w:bookmarkEnd w:id="73"/>
      <w:r>
        <w:rPr>
          <w:rFonts w:hint="eastAsia" w:ascii="仿宋" w:hAnsi="仿宋" w:eastAsia="仿宋" w:cs="Times New Roman"/>
          <w:b/>
          <w:bCs/>
          <w:color w:val="auto"/>
          <w:sz w:val="28"/>
          <w:szCs w:val="28"/>
          <w:highlight w:val="none"/>
        </w:rPr>
        <w:t>合同签订和履约担保</w:t>
      </w:r>
      <w:bookmarkEnd w:id="74"/>
      <w:bookmarkEnd w:id="75"/>
      <w:bookmarkEnd w:id="76"/>
    </w:p>
    <w:p w14:paraId="30C8CB23">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10.1 签订合同</w:t>
      </w:r>
    </w:p>
    <w:p w14:paraId="00306944">
      <w:pPr>
        <w:autoSpaceDN w:val="0"/>
        <w:spacing w:line="360" w:lineRule="auto"/>
        <w:ind w:firstLine="424" w:firstLineChars="176"/>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10.1.1合同签订时间期限：</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b/>
          <w:color w:val="auto"/>
          <w:kern w:val="0"/>
          <w:sz w:val="24"/>
          <w:highlight w:val="none"/>
        </w:rPr>
        <w:t>；</w:t>
      </w:r>
    </w:p>
    <w:p w14:paraId="780DA4C0">
      <w:pPr>
        <w:autoSpaceDN w:val="0"/>
        <w:spacing w:line="360" w:lineRule="auto"/>
        <w:ind w:firstLine="424" w:firstLineChars="176"/>
        <w:rPr>
          <w:rFonts w:ascii="仿宋" w:hAnsi="仿宋" w:eastAsia="仿宋" w:cs="Arial"/>
          <w:color w:val="auto"/>
          <w:kern w:val="0"/>
          <w:sz w:val="24"/>
          <w:highlight w:val="none"/>
        </w:rPr>
      </w:pPr>
      <w:r>
        <w:rPr>
          <w:rFonts w:hint="eastAsia" w:ascii="仿宋" w:hAnsi="仿宋" w:eastAsia="仿宋" w:cs="Arial"/>
          <w:b/>
          <w:color w:val="auto"/>
          <w:kern w:val="0"/>
          <w:sz w:val="24"/>
          <w:highlight w:val="none"/>
        </w:rPr>
        <w:t>10.1.2成交供应商应在《磋商须知前附表》中规定的时间内，与采购人通过“政府采购云平台”签订政府采购合同。</w:t>
      </w:r>
      <w:r>
        <w:rPr>
          <w:rFonts w:hint="eastAsia" w:ascii="仿宋" w:hAnsi="仿宋" w:eastAsia="仿宋" w:cs="Arial"/>
          <w:color w:val="auto"/>
          <w:kern w:val="0"/>
          <w:sz w:val="24"/>
          <w:highlight w:val="none"/>
        </w:rPr>
        <w:t>所签订的合同不得对竞争性磋商文件确定的事项和成交供应商磋商响应文件作实质性修改。</w:t>
      </w:r>
    </w:p>
    <w:p w14:paraId="56AC8026">
      <w:pPr>
        <w:autoSpaceDN w:val="0"/>
        <w:spacing w:line="360" w:lineRule="auto"/>
        <w:ind w:firstLine="424" w:firstLineChars="176"/>
        <w:rPr>
          <w:rFonts w:ascii="仿宋" w:hAnsi="仿宋" w:eastAsia="仿宋" w:cs="Arial"/>
          <w:color w:val="auto"/>
          <w:kern w:val="0"/>
          <w:sz w:val="24"/>
          <w:highlight w:val="none"/>
        </w:rPr>
      </w:pPr>
      <w:r>
        <w:rPr>
          <w:rFonts w:hint="eastAsia" w:ascii="仿宋" w:hAnsi="仿宋" w:eastAsia="仿宋" w:cs="Arial"/>
          <w:b/>
          <w:color w:val="auto"/>
          <w:sz w:val="24"/>
          <w:highlight w:val="none"/>
        </w:rPr>
        <w:t>10.1.3</w:t>
      </w:r>
      <w:r>
        <w:rPr>
          <w:rFonts w:hint="eastAsia" w:ascii="仿宋" w:hAnsi="仿宋" w:eastAsia="仿宋" w:cs="Arial"/>
          <w:b/>
          <w:color w:val="auto"/>
          <w:kern w:val="0"/>
          <w:sz w:val="24"/>
          <w:highlight w:val="none"/>
        </w:rPr>
        <w:t>成交供应商</w:t>
      </w:r>
      <w:r>
        <w:rPr>
          <w:rFonts w:hint="eastAsia" w:ascii="仿宋" w:hAnsi="仿宋" w:eastAsia="仿宋" w:cs="Arial"/>
          <w:b/>
          <w:color w:val="auto"/>
          <w:sz w:val="24"/>
          <w:highlight w:val="none"/>
        </w:rPr>
        <w:t>拒绝与采购人签订合同的</w:t>
      </w:r>
      <w:r>
        <w:rPr>
          <w:rFonts w:hint="eastAsia" w:ascii="仿宋" w:hAnsi="仿宋" w:eastAsia="仿宋" w:cs="Arial"/>
          <w:b/>
          <w:color w:val="auto"/>
          <w:kern w:val="0"/>
          <w:sz w:val="24"/>
          <w:highlight w:val="none"/>
        </w:rPr>
        <w:t>，</w:t>
      </w:r>
      <w:r>
        <w:rPr>
          <w:rFonts w:hint="eastAsia" w:ascii="仿宋" w:hAnsi="仿宋" w:eastAsia="仿宋" w:cs="Times New Roman"/>
          <w:b/>
          <w:color w:val="auto"/>
          <w:sz w:val="24"/>
          <w:szCs w:val="24"/>
          <w:highlight w:val="none"/>
        </w:rPr>
        <w:t>采购人、采购代理机构将对其失信行为上报至同级政府采购监督管理部门对其依法处理。</w:t>
      </w:r>
    </w:p>
    <w:p w14:paraId="1E2216ED">
      <w:pPr>
        <w:autoSpaceDN w:val="0"/>
        <w:spacing w:line="360" w:lineRule="auto"/>
        <w:ind w:firstLine="424" w:firstLineChars="176"/>
        <w:rPr>
          <w:rFonts w:ascii="仿宋" w:hAnsi="仿宋" w:eastAsia="仿宋" w:cs="Arial"/>
          <w:b/>
          <w:color w:val="auto"/>
          <w:sz w:val="24"/>
          <w:highlight w:val="none"/>
        </w:rPr>
      </w:pPr>
      <w:r>
        <w:rPr>
          <w:rFonts w:hint="eastAsia" w:ascii="仿宋" w:hAnsi="仿宋" w:eastAsia="仿宋" w:cs="Arial"/>
          <w:b/>
          <w:color w:val="auto"/>
          <w:kern w:val="0"/>
          <w:sz w:val="24"/>
          <w:highlight w:val="none"/>
        </w:rPr>
        <w:t>10.1.4原</w:t>
      </w:r>
      <w:r>
        <w:rPr>
          <w:rFonts w:hint="eastAsia" w:ascii="仿宋" w:hAnsi="仿宋" w:eastAsia="仿宋" w:cs="Arial"/>
          <w:b/>
          <w:color w:val="auto"/>
          <w:sz w:val="24"/>
          <w:highlight w:val="none"/>
        </w:rPr>
        <w:t>成交供应商拒绝与采购人签订合同后，采购人可以按照评审报告推荐的成交候选人名单排序，确定下一候选人为成交供应商，也可以重新开展政府采购活动。</w:t>
      </w:r>
    </w:p>
    <w:p w14:paraId="227F32F5">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10.2 履约担保（履约保证金）</w:t>
      </w:r>
    </w:p>
    <w:p w14:paraId="6E9D65C6">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10.2.1履约担保递交要求：</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b/>
          <w:color w:val="auto"/>
          <w:kern w:val="0"/>
          <w:sz w:val="24"/>
          <w:highlight w:val="none"/>
        </w:rPr>
        <w:t>；成交供应商应递交而未递交履约担保的，合同款不予支付、合同验收不予通过。</w:t>
      </w:r>
    </w:p>
    <w:p w14:paraId="1E5E4B59">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10.2.2采购合同签订后，成交供应商不按合同约定履约的，采购人可以解除采购合同，并对成交供应商已缴纳的履约保证金作“不予退还”处理。同时，成交供应商还须按以下约定向采购人支付违约金、承担违约责任：</w:t>
      </w:r>
    </w:p>
    <w:p w14:paraId="01241A6D">
      <w:pPr>
        <w:autoSpaceDN w:val="0"/>
        <w:spacing w:line="360" w:lineRule="auto"/>
        <w:ind w:firstLine="422" w:firstLineChars="176"/>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（1）采购人已向</w:t>
      </w:r>
      <w:r>
        <w:rPr>
          <w:rFonts w:hint="eastAsia" w:ascii="仿宋" w:hAnsi="仿宋" w:eastAsia="仿宋" w:cs="Arial"/>
          <w:color w:val="auto"/>
          <w:kern w:val="0"/>
          <w:sz w:val="24"/>
          <w:highlight w:val="none"/>
        </w:rPr>
        <w:t>成交供应商</w:t>
      </w:r>
      <w:r>
        <w:rPr>
          <w:rFonts w:hint="eastAsia" w:ascii="仿宋" w:hAnsi="仿宋" w:eastAsia="仿宋" w:cs="Arial"/>
          <w:color w:val="auto"/>
          <w:kern w:val="0"/>
          <w:sz w:val="24"/>
          <w:szCs w:val="24"/>
          <w:highlight w:val="none"/>
        </w:rPr>
        <w:t>支付了合同款的，</w:t>
      </w:r>
      <w:r>
        <w:rPr>
          <w:rFonts w:hint="eastAsia" w:ascii="仿宋" w:hAnsi="仿宋" w:eastAsia="仿宋" w:cs="Arial"/>
          <w:color w:val="auto"/>
          <w:kern w:val="0"/>
          <w:sz w:val="24"/>
          <w:highlight w:val="none"/>
        </w:rPr>
        <w:t>成交供应商</w:t>
      </w:r>
      <w:r>
        <w:rPr>
          <w:rFonts w:hint="eastAsia" w:ascii="仿宋" w:hAnsi="仿宋" w:eastAsia="仿宋" w:cs="Arial"/>
          <w:color w:val="auto"/>
          <w:kern w:val="0"/>
          <w:sz w:val="24"/>
          <w:szCs w:val="24"/>
          <w:highlight w:val="none"/>
        </w:rPr>
        <w:t>须一次性退还采购人已支付的合同款，并向采购人支付等额违约金；</w:t>
      </w:r>
    </w:p>
    <w:p w14:paraId="7672B1FD">
      <w:pPr>
        <w:autoSpaceDN w:val="0"/>
        <w:spacing w:line="360" w:lineRule="auto"/>
        <w:ind w:firstLine="424" w:firstLineChars="177"/>
        <w:rPr>
          <w:rFonts w:ascii="仿宋" w:hAnsi="仿宋" w:eastAsia="仿宋" w:cs="Arial"/>
          <w:b/>
          <w:color w:val="auto"/>
          <w:kern w:val="0"/>
          <w:sz w:val="24"/>
          <w:highlight w:val="none"/>
        </w:rPr>
      </w:pPr>
      <w:r>
        <w:rPr>
          <w:rFonts w:hint="eastAsia" w:ascii="仿宋" w:hAnsi="仿宋" w:eastAsia="仿宋" w:cs="Arial"/>
          <w:color w:val="auto"/>
          <w:kern w:val="0"/>
          <w:sz w:val="24"/>
          <w:szCs w:val="24"/>
          <w:highlight w:val="none"/>
        </w:rPr>
        <w:t>（2）采购人还未向</w:t>
      </w:r>
      <w:r>
        <w:rPr>
          <w:rFonts w:hint="eastAsia" w:ascii="仿宋" w:hAnsi="仿宋" w:eastAsia="仿宋" w:cs="Arial"/>
          <w:color w:val="auto"/>
          <w:kern w:val="0"/>
          <w:sz w:val="24"/>
          <w:highlight w:val="none"/>
        </w:rPr>
        <w:t>成交供应商</w:t>
      </w:r>
      <w:r>
        <w:rPr>
          <w:rFonts w:hint="eastAsia" w:ascii="仿宋" w:hAnsi="仿宋" w:eastAsia="仿宋" w:cs="Arial"/>
          <w:color w:val="auto"/>
          <w:kern w:val="0"/>
          <w:sz w:val="24"/>
          <w:szCs w:val="24"/>
          <w:highlight w:val="none"/>
        </w:rPr>
        <w:t>支付合同款的，</w:t>
      </w:r>
      <w:r>
        <w:rPr>
          <w:rFonts w:hint="eastAsia" w:ascii="仿宋" w:hAnsi="仿宋" w:eastAsia="仿宋" w:cs="Arial"/>
          <w:color w:val="auto"/>
          <w:kern w:val="0"/>
          <w:sz w:val="24"/>
          <w:highlight w:val="none"/>
        </w:rPr>
        <w:t>成交供应商</w:t>
      </w:r>
      <w:r>
        <w:rPr>
          <w:rFonts w:hint="eastAsia" w:ascii="仿宋" w:hAnsi="仿宋" w:eastAsia="仿宋" w:cs="Arial"/>
          <w:color w:val="auto"/>
          <w:kern w:val="0"/>
          <w:sz w:val="24"/>
          <w:szCs w:val="24"/>
          <w:highlight w:val="none"/>
        </w:rPr>
        <w:t>须一次性向采购人支付合同总额30%的违约金。</w:t>
      </w:r>
    </w:p>
    <w:p w14:paraId="12683BF3">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10.2.3履约保证金在成交供应商按约定履约完毕后退还（具体退还方式以合同签订时约定为准）。</w:t>
      </w:r>
    </w:p>
    <w:p w14:paraId="6C84F14D">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10.3合同款支付方式等</w:t>
      </w:r>
    </w:p>
    <w:p w14:paraId="2EB33795">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10.3.1合同款支付方式：</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1526D131">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10.3.2质量保证金：</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5AB53936">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10.3.3施工用水电费：</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3A06D923">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10.4预付款担保</w:t>
      </w:r>
    </w:p>
    <w:p w14:paraId="5A936EBA">
      <w:pPr>
        <w:autoSpaceDN w:val="0"/>
        <w:spacing w:line="360" w:lineRule="auto"/>
        <w:ind w:firstLine="426" w:firstLineChars="177"/>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预付款担保：见《磋商须知前附表》。</w:t>
      </w:r>
    </w:p>
    <w:p w14:paraId="44CCC74A">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77" w:name="_Toc96947070"/>
      <w:bookmarkStart w:id="78" w:name="_Toc35391902"/>
      <w:bookmarkStart w:id="79" w:name="_Toc19649"/>
      <w:r>
        <w:rPr>
          <w:rFonts w:hint="eastAsia" w:ascii="仿宋" w:hAnsi="仿宋" w:eastAsia="仿宋" w:cs="Times New Roman"/>
          <w:b/>
          <w:bCs/>
          <w:color w:val="auto"/>
          <w:sz w:val="28"/>
          <w:szCs w:val="28"/>
          <w:highlight w:val="none"/>
        </w:rPr>
        <w:t>十一、其他事项说明</w:t>
      </w:r>
      <w:bookmarkEnd w:id="77"/>
      <w:bookmarkEnd w:id="78"/>
      <w:bookmarkEnd w:id="79"/>
    </w:p>
    <w:p w14:paraId="7DAEB3DE">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11.1 中小企业信用融资</w:t>
      </w:r>
    </w:p>
    <w:p w14:paraId="57BB4F6E">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sz w:val="24"/>
          <w:szCs w:val="20"/>
          <w:highlight w:val="none"/>
        </w:rPr>
        <w:t>11.1.1中小企业融资相关规定：</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64B3C7AD">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11.2 重要提醒</w:t>
      </w:r>
    </w:p>
    <w:p w14:paraId="5B104BD1">
      <w:pPr>
        <w:autoSpaceDN w:val="0"/>
        <w:spacing w:line="360" w:lineRule="auto"/>
        <w:ind w:firstLine="426" w:firstLineChars="177"/>
        <w:rPr>
          <w:rFonts w:ascii="仿宋" w:hAnsi="仿宋" w:eastAsia="仿宋" w:cs="Times New Roman"/>
          <w:b/>
          <w:color w:val="auto"/>
          <w:kern w:val="0"/>
          <w:sz w:val="24"/>
          <w:szCs w:val="20"/>
          <w:highlight w:val="none"/>
        </w:rPr>
      </w:pPr>
      <w:r>
        <w:rPr>
          <w:rFonts w:hint="eastAsia" w:ascii="仿宋" w:hAnsi="仿宋" w:eastAsia="仿宋" w:cs="Times New Roman"/>
          <w:b/>
          <w:color w:val="auto"/>
          <w:sz w:val="24"/>
          <w:szCs w:val="20"/>
          <w:highlight w:val="none"/>
        </w:rPr>
        <w:t>11.2.1磋商重要提醒：</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48346788">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11.3 竞争性磋商文件解释权</w:t>
      </w:r>
    </w:p>
    <w:p w14:paraId="41365B51">
      <w:pPr>
        <w:autoSpaceDN w:val="0"/>
        <w:spacing w:line="360" w:lineRule="auto"/>
        <w:ind w:firstLine="426" w:firstLineChars="177"/>
        <w:rPr>
          <w:rFonts w:ascii="仿宋" w:hAnsi="仿宋" w:eastAsia="仿宋" w:cs="Times New Roman"/>
          <w:color w:val="auto"/>
          <w:sz w:val="24"/>
          <w:szCs w:val="20"/>
          <w:highlight w:val="none"/>
        </w:rPr>
      </w:pPr>
      <w:r>
        <w:rPr>
          <w:rFonts w:hint="eastAsia" w:ascii="仿宋" w:hAnsi="仿宋" w:eastAsia="仿宋" w:cs="Times New Roman"/>
          <w:b/>
          <w:color w:val="auto"/>
          <w:kern w:val="0"/>
          <w:sz w:val="24"/>
          <w:szCs w:val="20"/>
          <w:highlight w:val="none"/>
        </w:rPr>
        <w:t>11.3.1竞争性磋商文件解释权：</w:t>
      </w:r>
      <w:r>
        <w:rPr>
          <w:rFonts w:hint="eastAsia" w:ascii="仿宋" w:hAnsi="仿宋" w:eastAsia="仿宋" w:cs="Times New Roman"/>
          <w:b/>
          <w:color w:val="auto"/>
          <w:kern w:val="0"/>
          <w:sz w:val="24"/>
          <w:szCs w:val="20"/>
          <w:highlight w:val="none"/>
          <w:u w:val="single"/>
        </w:rPr>
        <w:t>见《磋商须知前附表》</w:t>
      </w:r>
      <w:r>
        <w:rPr>
          <w:rFonts w:hint="eastAsia" w:ascii="仿宋" w:hAnsi="仿宋" w:eastAsia="仿宋" w:cs="Times New Roman"/>
          <w:b/>
          <w:color w:val="auto"/>
          <w:kern w:val="0"/>
          <w:sz w:val="24"/>
          <w:szCs w:val="20"/>
          <w:highlight w:val="none"/>
        </w:rPr>
        <w:t>。</w:t>
      </w:r>
    </w:p>
    <w:p w14:paraId="0248983B">
      <w:pPr>
        <w:autoSpaceDN w:val="0"/>
        <w:rPr>
          <w:rFonts w:ascii="仿宋" w:hAnsi="仿宋" w:eastAsia="仿宋" w:cs="Times New Roman"/>
          <w:color w:val="auto"/>
          <w:szCs w:val="24"/>
          <w:highlight w:val="none"/>
        </w:rPr>
      </w:pPr>
    </w:p>
    <w:p w14:paraId="33356E30">
      <w:pPr>
        <w:autoSpaceDN w:val="0"/>
        <w:spacing w:line="200" w:lineRule="exact"/>
        <w:ind w:firstLine="301"/>
        <w:rPr>
          <w:rFonts w:ascii="宋体" w:hAnsi="Courier New" w:eastAsia="宋体" w:cs="Times New Roman"/>
          <w:color w:val="auto"/>
          <w:spacing w:val="-4"/>
          <w:kern w:val="0"/>
          <w:sz w:val="18"/>
          <w:szCs w:val="20"/>
          <w:highlight w:val="none"/>
        </w:rPr>
      </w:pPr>
    </w:p>
    <w:p w14:paraId="22B516DE">
      <w:pPr>
        <w:autoSpaceDN w:val="0"/>
        <w:spacing w:line="200" w:lineRule="exact"/>
        <w:ind w:firstLine="301"/>
        <w:rPr>
          <w:rFonts w:ascii="宋体" w:hAnsi="Courier New" w:eastAsia="宋体" w:cs="Times New Roman"/>
          <w:color w:val="auto"/>
          <w:spacing w:val="-4"/>
          <w:kern w:val="0"/>
          <w:sz w:val="18"/>
          <w:szCs w:val="20"/>
          <w:highlight w:val="none"/>
        </w:rPr>
      </w:pPr>
    </w:p>
    <w:p w14:paraId="47BD8CF6">
      <w:pPr>
        <w:autoSpaceDN w:val="0"/>
        <w:spacing w:line="200" w:lineRule="exact"/>
        <w:ind w:firstLine="301"/>
        <w:rPr>
          <w:rFonts w:ascii="宋体" w:hAnsi="Courier New" w:eastAsia="宋体" w:cs="Times New Roman"/>
          <w:color w:val="auto"/>
          <w:spacing w:val="-4"/>
          <w:kern w:val="0"/>
          <w:sz w:val="18"/>
          <w:szCs w:val="20"/>
          <w:highlight w:val="none"/>
        </w:rPr>
      </w:pPr>
    </w:p>
    <w:p w14:paraId="5FE19CE2">
      <w:pPr>
        <w:autoSpaceDN w:val="0"/>
        <w:spacing w:line="200" w:lineRule="exact"/>
        <w:ind w:firstLine="301"/>
        <w:rPr>
          <w:rFonts w:ascii="宋体" w:hAnsi="Courier New" w:eastAsia="宋体" w:cs="Times New Roman"/>
          <w:color w:val="auto"/>
          <w:spacing w:val="-4"/>
          <w:kern w:val="0"/>
          <w:sz w:val="18"/>
          <w:szCs w:val="20"/>
          <w:highlight w:val="none"/>
        </w:rPr>
      </w:pPr>
    </w:p>
    <w:p w14:paraId="63F50D2A">
      <w:pPr>
        <w:autoSpaceDN w:val="0"/>
        <w:spacing w:line="200" w:lineRule="exact"/>
        <w:ind w:firstLine="301"/>
        <w:rPr>
          <w:rFonts w:ascii="宋体" w:hAnsi="Courier New" w:eastAsia="宋体" w:cs="Times New Roman"/>
          <w:color w:val="auto"/>
          <w:spacing w:val="-4"/>
          <w:kern w:val="0"/>
          <w:sz w:val="18"/>
          <w:szCs w:val="20"/>
          <w:highlight w:val="none"/>
        </w:rPr>
      </w:pPr>
    </w:p>
    <w:p w14:paraId="2E9DD041">
      <w:pPr>
        <w:autoSpaceDN w:val="0"/>
        <w:spacing w:line="200" w:lineRule="exact"/>
        <w:ind w:firstLine="301"/>
        <w:rPr>
          <w:rFonts w:ascii="宋体" w:hAnsi="Courier New" w:eastAsia="宋体" w:cs="Times New Roman"/>
          <w:color w:val="auto"/>
          <w:spacing w:val="-4"/>
          <w:kern w:val="0"/>
          <w:sz w:val="18"/>
          <w:szCs w:val="20"/>
          <w:highlight w:val="none"/>
        </w:rPr>
      </w:pPr>
    </w:p>
    <w:p w14:paraId="6459AB5D">
      <w:pPr>
        <w:autoSpaceDN w:val="0"/>
        <w:spacing w:line="200" w:lineRule="exact"/>
        <w:ind w:firstLine="301"/>
        <w:rPr>
          <w:rFonts w:ascii="宋体" w:hAnsi="Courier New" w:eastAsia="宋体" w:cs="Times New Roman"/>
          <w:color w:val="auto"/>
          <w:spacing w:val="-4"/>
          <w:kern w:val="0"/>
          <w:sz w:val="18"/>
          <w:szCs w:val="20"/>
          <w:highlight w:val="none"/>
        </w:rPr>
      </w:pPr>
    </w:p>
    <w:p w14:paraId="3FDBFA4B">
      <w:pPr>
        <w:autoSpaceDN w:val="0"/>
        <w:spacing w:line="200" w:lineRule="exact"/>
        <w:ind w:firstLine="301"/>
        <w:rPr>
          <w:rFonts w:ascii="宋体" w:hAnsi="Courier New" w:eastAsia="宋体" w:cs="Times New Roman"/>
          <w:color w:val="auto"/>
          <w:spacing w:val="-4"/>
          <w:kern w:val="0"/>
          <w:sz w:val="18"/>
          <w:szCs w:val="20"/>
          <w:highlight w:val="none"/>
        </w:rPr>
      </w:pPr>
    </w:p>
    <w:p w14:paraId="51AFCE90">
      <w:pPr>
        <w:autoSpaceDN w:val="0"/>
        <w:spacing w:line="200" w:lineRule="exact"/>
        <w:ind w:firstLine="301"/>
        <w:rPr>
          <w:rFonts w:ascii="宋体" w:hAnsi="Courier New" w:eastAsia="宋体" w:cs="Times New Roman"/>
          <w:color w:val="auto"/>
          <w:spacing w:val="-4"/>
          <w:kern w:val="0"/>
          <w:sz w:val="18"/>
          <w:szCs w:val="20"/>
          <w:highlight w:val="none"/>
        </w:rPr>
      </w:pPr>
    </w:p>
    <w:p w14:paraId="707C5258">
      <w:pPr>
        <w:autoSpaceDN w:val="0"/>
        <w:spacing w:line="200" w:lineRule="exact"/>
        <w:ind w:firstLine="301"/>
        <w:rPr>
          <w:rFonts w:ascii="宋体" w:hAnsi="Courier New" w:eastAsia="宋体" w:cs="Times New Roman"/>
          <w:color w:val="auto"/>
          <w:spacing w:val="-4"/>
          <w:kern w:val="0"/>
          <w:sz w:val="18"/>
          <w:szCs w:val="20"/>
          <w:highlight w:val="none"/>
        </w:rPr>
      </w:pPr>
    </w:p>
    <w:p w14:paraId="5EA74F31">
      <w:pPr>
        <w:autoSpaceDN w:val="0"/>
        <w:spacing w:line="200" w:lineRule="exact"/>
        <w:ind w:firstLine="301"/>
        <w:rPr>
          <w:rFonts w:ascii="宋体" w:hAnsi="Courier New" w:eastAsia="宋体" w:cs="Times New Roman"/>
          <w:color w:val="auto"/>
          <w:spacing w:val="-4"/>
          <w:kern w:val="0"/>
          <w:sz w:val="18"/>
          <w:szCs w:val="20"/>
          <w:highlight w:val="none"/>
        </w:rPr>
      </w:pPr>
    </w:p>
    <w:p w14:paraId="6C0AD576">
      <w:pPr>
        <w:autoSpaceDN w:val="0"/>
        <w:spacing w:line="200" w:lineRule="exact"/>
        <w:ind w:firstLine="301"/>
        <w:rPr>
          <w:rFonts w:ascii="宋体" w:hAnsi="Courier New" w:eastAsia="宋体" w:cs="Times New Roman"/>
          <w:color w:val="auto"/>
          <w:spacing w:val="-4"/>
          <w:kern w:val="0"/>
          <w:sz w:val="18"/>
          <w:szCs w:val="20"/>
          <w:highlight w:val="none"/>
        </w:rPr>
      </w:pPr>
    </w:p>
    <w:p w14:paraId="49805082">
      <w:pPr>
        <w:autoSpaceDN w:val="0"/>
        <w:spacing w:line="200" w:lineRule="exact"/>
        <w:ind w:firstLine="301"/>
        <w:rPr>
          <w:rFonts w:ascii="宋体" w:hAnsi="Courier New" w:eastAsia="宋体" w:cs="Times New Roman"/>
          <w:color w:val="auto"/>
          <w:spacing w:val="-4"/>
          <w:kern w:val="0"/>
          <w:sz w:val="18"/>
          <w:szCs w:val="20"/>
          <w:highlight w:val="none"/>
        </w:rPr>
      </w:pPr>
    </w:p>
    <w:p w14:paraId="584E01BA">
      <w:pPr>
        <w:autoSpaceDN w:val="0"/>
        <w:spacing w:line="200" w:lineRule="exact"/>
        <w:ind w:firstLine="301"/>
        <w:rPr>
          <w:rFonts w:ascii="宋体" w:hAnsi="Courier New" w:eastAsia="宋体" w:cs="Times New Roman"/>
          <w:color w:val="auto"/>
          <w:spacing w:val="-4"/>
          <w:kern w:val="0"/>
          <w:sz w:val="18"/>
          <w:szCs w:val="20"/>
          <w:highlight w:val="none"/>
        </w:rPr>
      </w:pPr>
    </w:p>
    <w:p w14:paraId="7877DEB6">
      <w:pPr>
        <w:autoSpaceDN w:val="0"/>
        <w:spacing w:line="200" w:lineRule="exact"/>
        <w:ind w:firstLine="301"/>
        <w:rPr>
          <w:rFonts w:ascii="宋体" w:hAnsi="Courier New" w:eastAsia="宋体" w:cs="Times New Roman"/>
          <w:color w:val="auto"/>
          <w:spacing w:val="-4"/>
          <w:kern w:val="0"/>
          <w:sz w:val="18"/>
          <w:szCs w:val="20"/>
          <w:highlight w:val="none"/>
        </w:rPr>
      </w:pPr>
    </w:p>
    <w:p w14:paraId="2A0F9DA1">
      <w:pPr>
        <w:autoSpaceDN w:val="0"/>
        <w:spacing w:line="200" w:lineRule="exact"/>
        <w:ind w:firstLine="301"/>
        <w:rPr>
          <w:rFonts w:ascii="宋体" w:hAnsi="Courier New" w:eastAsia="宋体" w:cs="Times New Roman"/>
          <w:color w:val="auto"/>
          <w:spacing w:val="-4"/>
          <w:kern w:val="0"/>
          <w:sz w:val="18"/>
          <w:szCs w:val="20"/>
          <w:highlight w:val="none"/>
        </w:rPr>
      </w:pPr>
    </w:p>
    <w:p w14:paraId="26323963">
      <w:pP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br w:type="page"/>
      </w:r>
    </w:p>
    <w:p w14:paraId="778D8EA6">
      <w:pPr>
        <w:autoSpaceDN w:val="0"/>
        <w:snapToGrid w:val="0"/>
        <w:spacing w:before="162" w:beforeLines="50" w:after="162" w:afterLines="50" w:line="360" w:lineRule="auto"/>
        <w:jc w:val="center"/>
        <w:outlineLvl w:val="0"/>
        <w:rPr>
          <w:rFonts w:ascii="仿宋" w:hAnsi="仿宋" w:eastAsia="仿宋" w:cs="宋体"/>
          <w:color w:val="auto"/>
          <w:kern w:val="0"/>
          <w:sz w:val="32"/>
          <w:szCs w:val="32"/>
          <w:highlight w:val="none"/>
        </w:rPr>
      </w:pPr>
      <w:bookmarkStart w:id="80" w:name="_Toc18106"/>
      <w:r>
        <w:rPr>
          <w:rFonts w:hint="eastAsia" w:ascii="仿宋" w:hAnsi="仿宋" w:eastAsia="仿宋" w:cs="宋体"/>
          <w:b/>
          <w:color w:val="auto"/>
          <w:kern w:val="0"/>
          <w:sz w:val="32"/>
          <w:szCs w:val="32"/>
          <w:highlight w:val="none"/>
        </w:rPr>
        <w:t>第三章 评审办法</w:t>
      </w:r>
      <w:bookmarkEnd w:id="80"/>
    </w:p>
    <w:p w14:paraId="4E5907D4">
      <w:pPr>
        <w:autoSpaceDN w:val="0"/>
        <w:snapToGrid w:val="0"/>
        <w:spacing w:line="360" w:lineRule="auto"/>
        <w:ind w:firstLine="42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为公正、公平、科学地选择中标（成交）供应商，根据《中华人民共和国政府采购法》、《政府采购竞争性磋商采购方式管理暂行办法》等有关法律法规的规定，并结合本项目的实际，制定本办法。</w:t>
      </w:r>
    </w:p>
    <w:p w14:paraId="0B4FE15A">
      <w:pPr>
        <w:autoSpaceDN w:val="0"/>
        <w:snapToGrid w:val="0"/>
        <w:spacing w:line="360" w:lineRule="auto"/>
        <w:ind w:firstLine="420"/>
        <w:rPr>
          <w:rFonts w:ascii="仿宋" w:hAnsi="仿宋" w:eastAsia="仿宋" w:cs="宋体"/>
          <w:bCs/>
          <w:color w:val="auto"/>
          <w:sz w:val="24"/>
          <w:szCs w:val="24"/>
          <w:highlight w:val="none"/>
        </w:rPr>
      </w:pPr>
      <w:r>
        <w:rPr>
          <w:rFonts w:hint="eastAsia" w:ascii="仿宋" w:hAnsi="仿宋" w:eastAsia="仿宋" w:cs="宋体"/>
          <w:color w:val="auto"/>
          <w:sz w:val="24"/>
          <w:szCs w:val="24"/>
          <w:highlight w:val="none"/>
        </w:rPr>
        <w:t>本办法适用于</w:t>
      </w:r>
      <w:r>
        <w:rPr>
          <w:rFonts w:hint="eastAsia" w:ascii="仿宋" w:hAnsi="仿宋" w:eastAsia="仿宋" w:cs="宋体"/>
          <w:color w:val="auto"/>
          <w:sz w:val="24"/>
          <w:szCs w:val="24"/>
          <w:highlight w:val="none"/>
          <w:lang w:eastAsia="zh-CN"/>
        </w:rPr>
        <w:t>浙江工业大学2024年学生校区布局调整相关用房装修工程</w:t>
      </w:r>
      <w:r>
        <w:rPr>
          <w:rFonts w:hint="eastAsia" w:ascii="仿宋" w:hAnsi="仿宋" w:eastAsia="仿宋" w:cs="宋体"/>
          <w:color w:val="auto"/>
          <w:sz w:val="24"/>
          <w:szCs w:val="24"/>
          <w:highlight w:val="none"/>
        </w:rPr>
        <w:t>的评审。</w:t>
      </w:r>
    </w:p>
    <w:p w14:paraId="782E4618">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81" w:name="_Toc23222"/>
      <w:r>
        <w:rPr>
          <w:rFonts w:hint="eastAsia" w:ascii="仿宋" w:hAnsi="仿宋" w:eastAsia="仿宋" w:cs="Times New Roman"/>
          <w:b/>
          <w:bCs/>
          <w:color w:val="auto"/>
          <w:sz w:val="28"/>
          <w:szCs w:val="28"/>
          <w:highlight w:val="none"/>
        </w:rPr>
        <w:t>一、总则</w:t>
      </w:r>
      <w:bookmarkEnd w:id="81"/>
    </w:p>
    <w:p w14:paraId="743417B9">
      <w:pPr>
        <w:autoSpaceDN w:val="0"/>
        <w:snapToGrid w:val="0"/>
        <w:spacing w:line="360" w:lineRule="auto"/>
        <w:ind w:firstLine="480"/>
        <w:rPr>
          <w:rFonts w:ascii="仿宋" w:hAnsi="仿宋" w:eastAsia="仿宋" w:cs="宋体"/>
          <w:b/>
          <w:color w:val="auto"/>
          <w:sz w:val="24"/>
          <w:szCs w:val="24"/>
          <w:highlight w:val="none"/>
        </w:rPr>
      </w:pPr>
      <w:r>
        <w:rPr>
          <w:rFonts w:hint="eastAsia" w:ascii="仿宋" w:hAnsi="仿宋" w:eastAsia="仿宋" w:cs="Times New Roman"/>
          <w:b/>
          <w:color w:val="auto"/>
          <w:sz w:val="24"/>
          <w:highlight w:val="none"/>
        </w:rPr>
        <w:t>本项目为工程类项目，</w:t>
      </w:r>
      <w:r>
        <w:rPr>
          <w:rFonts w:hint="eastAsia" w:ascii="仿宋" w:hAnsi="仿宋" w:eastAsia="仿宋" w:cs="宋体"/>
          <w:b/>
          <w:color w:val="auto"/>
          <w:sz w:val="24"/>
          <w:szCs w:val="24"/>
          <w:highlight w:val="none"/>
        </w:rPr>
        <w:t>采用综合评分法，总分为100分，其中“商务技术”</w:t>
      </w:r>
      <w:r>
        <w:rPr>
          <w:rFonts w:hint="eastAsia" w:ascii="仿宋" w:hAnsi="仿宋" w:eastAsia="仿宋" w:cs="宋体"/>
          <w:b/>
          <w:color w:val="auto"/>
          <w:sz w:val="24"/>
          <w:szCs w:val="24"/>
          <w:highlight w:val="none"/>
          <w:u w:val="single"/>
        </w:rPr>
        <w:t>70</w:t>
      </w:r>
      <w:r>
        <w:rPr>
          <w:rFonts w:hint="eastAsia" w:ascii="仿宋" w:hAnsi="仿宋" w:eastAsia="仿宋" w:cs="宋体"/>
          <w:b/>
          <w:color w:val="auto"/>
          <w:sz w:val="24"/>
          <w:szCs w:val="24"/>
          <w:highlight w:val="none"/>
        </w:rPr>
        <w:t>分，“最终报价”</w:t>
      </w:r>
      <w:r>
        <w:rPr>
          <w:rFonts w:hint="eastAsia" w:ascii="仿宋" w:hAnsi="仿宋" w:eastAsia="仿宋" w:cs="宋体"/>
          <w:b/>
          <w:color w:val="auto"/>
          <w:sz w:val="24"/>
          <w:szCs w:val="24"/>
          <w:highlight w:val="none"/>
          <w:u w:val="single"/>
        </w:rPr>
        <w:t>30</w:t>
      </w:r>
      <w:r>
        <w:rPr>
          <w:rFonts w:hint="eastAsia" w:ascii="仿宋" w:hAnsi="仿宋" w:eastAsia="仿宋" w:cs="宋体"/>
          <w:b/>
          <w:color w:val="auto"/>
          <w:sz w:val="24"/>
          <w:szCs w:val="24"/>
          <w:highlight w:val="none"/>
        </w:rPr>
        <w:t>分。</w:t>
      </w:r>
      <w:r>
        <w:rPr>
          <w:rFonts w:hint="eastAsia" w:ascii="仿宋" w:hAnsi="仿宋" w:eastAsia="仿宋" w:cs="Times New Roman"/>
          <w:color w:val="auto"/>
          <w:sz w:val="24"/>
          <w:szCs w:val="24"/>
          <w:highlight w:val="none"/>
        </w:rPr>
        <w:t>磋商小组将对经磋商确定最终采购需求和提交最后报价的磋商响应供应商，根据商务技术、最终报价情况由各成员独立记名打分。评分过程中采用四舍五入法，并保留小数2位。</w:t>
      </w:r>
    </w:p>
    <w:p w14:paraId="0849B4B0">
      <w:pPr>
        <w:autoSpaceDN w:val="0"/>
        <w:snapToGrid w:val="0"/>
        <w:spacing w:line="360" w:lineRule="auto"/>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递交了有效响应文件的供应商的评审得分为各项目汇总得分，成交候选资格按评审得分由高到低顺序排列，得分相同的，按最终报价由低到高顺序排列；得分且最终报价相同的，按技术得分由高到低顺序排列。评分过程中采用四舍五入法，并保留小数2位。除财政部门另有规定外，评审小组推荐得分排列前</w:t>
      </w:r>
      <w:r>
        <w:rPr>
          <w:rFonts w:hint="eastAsia" w:ascii="仿宋" w:hAnsi="仿宋" w:eastAsia="仿宋" w:cs="宋体"/>
          <w:color w:val="auto"/>
          <w:sz w:val="24"/>
          <w:szCs w:val="24"/>
          <w:highlight w:val="none"/>
          <w:u w:val="single"/>
        </w:rPr>
        <w:t xml:space="preserve"> 3 </w:t>
      </w:r>
      <w:r>
        <w:rPr>
          <w:rFonts w:hint="eastAsia" w:ascii="仿宋" w:hAnsi="仿宋" w:eastAsia="仿宋" w:cs="宋体"/>
          <w:color w:val="auto"/>
          <w:sz w:val="24"/>
          <w:szCs w:val="24"/>
          <w:highlight w:val="none"/>
        </w:rPr>
        <w:t>名的供应商为成交候选人。</w:t>
      </w:r>
    </w:p>
    <w:p w14:paraId="6C671229">
      <w:pPr>
        <w:autoSpaceDN w:val="0"/>
        <w:snapToGrid w:val="0"/>
        <w:spacing w:line="360" w:lineRule="auto"/>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资信、商务及技术分=评审小组所有成员评分的算术平均数</w:t>
      </w:r>
    </w:p>
    <w:p w14:paraId="74938D91">
      <w:pPr>
        <w:autoSpaceDN w:val="0"/>
        <w:snapToGrid w:val="0"/>
        <w:spacing w:line="360" w:lineRule="auto"/>
        <w:ind w:firstLine="480" w:firstLineChars="200"/>
        <w:rPr>
          <w:rFonts w:ascii="仿宋" w:hAnsi="仿宋" w:eastAsia="仿宋" w:cs="宋体"/>
          <w:bCs/>
          <w:color w:val="auto"/>
          <w:sz w:val="24"/>
          <w:szCs w:val="24"/>
          <w:highlight w:val="none"/>
        </w:rPr>
      </w:pPr>
      <w:r>
        <w:rPr>
          <w:rFonts w:hint="eastAsia" w:ascii="仿宋" w:hAnsi="仿宋" w:eastAsia="仿宋" w:cs="宋体"/>
          <w:color w:val="auto"/>
          <w:sz w:val="24"/>
          <w:szCs w:val="24"/>
          <w:highlight w:val="none"/>
        </w:rPr>
        <w:t>供应商评审综合得分=价格分+资信、商务及技术分</w:t>
      </w:r>
    </w:p>
    <w:p w14:paraId="55803AE7">
      <w:pPr>
        <w:keepNext/>
        <w:keepLines/>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82" w:name="_Toc520824346"/>
      <w:bookmarkStart w:id="83" w:name="_Toc482590098"/>
      <w:bookmarkStart w:id="84" w:name="_Toc96947084"/>
      <w:bookmarkStart w:id="85" w:name="_Toc26621"/>
      <w:r>
        <w:rPr>
          <w:rFonts w:hint="eastAsia" w:ascii="仿宋" w:hAnsi="仿宋" w:eastAsia="仿宋" w:cs="Times New Roman"/>
          <w:b/>
          <w:bCs/>
          <w:color w:val="auto"/>
          <w:sz w:val="28"/>
          <w:szCs w:val="28"/>
          <w:highlight w:val="none"/>
        </w:rPr>
        <w:t>二、评审程序</w:t>
      </w:r>
      <w:bookmarkEnd w:id="82"/>
      <w:bookmarkEnd w:id="83"/>
      <w:bookmarkEnd w:id="84"/>
      <w:bookmarkEnd w:id="85"/>
    </w:p>
    <w:p w14:paraId="7D541C5A">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2.1评审前</w:t>
      </w:r>
    </w:p>
    <w:p w14:paraId="519EEAC8">
      <w:pPr>
        <w:autoSpaceDN w:val="0"/>
        <w:spacing w:line="360" w:lineRule="auto"/>
        <w:ind w:firstLine="458" w:firstLineChars="191"/>
        <w:jc w:val="left"/>
        <w:rPr>
          <w:rFonts w:ascii="仿宋" w:hAnsi="仿宋" w:eastAsia="仿宋" w:cs="Times New Roman"/>
          <w:color w:val="auto"/>
          <w:kern w:val="0"/>
          <w:sz w:val="24"/>
          <w:highlight w:val="none"/>
        </w:rPr>
      </w:pPr>
      <w:r>
        <w:rPr>
          <w:rFonts w:hint="eastAsia" w:ascii="仿宋" w:hAnsi="仿宋" w:eastAsia="仿宋" w:cs="Times New Roman"/>
          <w:color w:val="auto"/>
          <w:kern w:val="0"/>
          <w:sz w:val="24"/>
          <w:szCs w:val="24"/>
          <w:highlight w:val="none"/>
        </w:rPr>
        <w:t>组织磋商小组签到、核对评委身份，</w:t>
      </w:r>
      <w:r>
        <w:rPr>
          <w:rFonts w:hint="eastAsia" w:ascii="仿宋" w:hAnsi="仿宋" w:eastAsia="仿宋" w:cs="Times New Roman"/>
          <w:color w:val="auto"/>
          <w:kern w:val="0"/>
          <w:sz w:val="24"/>
          <w:highlight w:val="none"/>
        </w:rPr>
        <w:t>推选磋商小组组长，由组长召集成员阅读磋商文件及相关补充、质疑、答复文件、项目书面说明等材料，了解采购项目基本情况、磋商有关事项等。</w:t>
      </w:r>
    </w:p>
    <w:p w14:paraId="188A8E1A">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2.2磋商响应文件的资格、符合性审查</w:t>
      </w:r>
    </w:p>
    <w:p w14:paraId="6DF0C416">
      <w:pPr>
        <w:autoSpaceDN w:val="0"/>
        <w:spacing w:line="360" w:lineRule="auto"/>
        <w:ind w:firstLine="424" w:firstLineChars="177"/>
        <w:rPr>
          <w:rFonts w:ascii="仿宋" w:hAnsi="仿宋" w:eastAsia="仿宋" w:cs="Times New Roman"/>
          <w:color w:val="auto"/>
          <w:sz w:val="24"/>
          <w:szCs w:val="24"/>
          <w:highlight w:val="none"/>
        </w:rPr>
      </w:pPr>
      <w:r>
        <w:rPr>
          <w:rFonts w:hint="eastAsia" w:ascii="仿宋" w:hAnsi="仿宋" w:eastAsia="仿宋" w:cs="Times New Roman"/>
          <w:bCs/>
          <w:color w:val="auto"/>
          <w:sz w:val="24"/>
          <w:szCs w:val="24"/>
          <w:highlight w:val="none"/>
        </w:rPr>
        <w:t>2.2.1</w:t>
      </w:r>
      <w:r>
        <w:rPr>
          <w:rFonts w:hint="eastAsia" w:ascii="仿宋" w:hAnsi="仿宋" w:eastAsia="仿宋" w:cs="Arial"/>
          <w:bCs/>
          <w:color w:val="auto"/>
          <w:kern w:val="0"/>
          <w:sz w:val="24"/>
          <w:highlight w:val="none"/>
        </w:rPr>
        <w:t>开标（标书信息开启）后，磋商小组首先依法对磋商响应供应商的资格文件进行审查，审查各磋商响应供应商的资格符合情况。</w:t>
      </w:r>
      <w:r>
        <w:rPr>
          <w:rFonts w:hint="eastAsia" w:ascii="仿宋" w:hAnsi="仿宋" w:eastAsia="仿宋" w:cs="Times New Roman"/>
          <w:color w:val="auto"/>
          <w:sz w:val="24"/>
          <w:szCs w:val="24"/>
          <w:highlight w:val="none"/>
        </w:rPr>
        <w:t>磋商小组对磋商响应供应商所递交的资格证明材料仅负审核的责任。如发现磋商响应供应商所递交的资格证明材料不合法或与事实不符，采购人可取消其成交资格并追究磋商响应供应商的法律责任。</w:t>
      </w:r>
    </w:p>
    <w:p w14:paraId="1F7FCF3D">
      <w:pPr>
        <w:autoSpaceDN w:val="0"/>
        <w:spacing w:line="360" w:lineRule="auto"/>
        <w:ind w:firstLine="426" w:firstLineChars="177"/>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w:t>
      </w:r>
      <w:r>
        <w:rPr>
          <w:rFonts w:hint="eastAsia" w:ascii="仿宋" w:hAnsi="仿宋" w:eastAsia="仿宋" w:cs="Arial"/>
          <w:b/>
          <w:color w:val="auto"/>
          <w:kern w:val="0"/>
          <w:sz w:val="24"/>
          <w:szCs w:val="24"/>
          <w:highlight w:val="none"/>
          <w:u w:val="single"/>
        </w:rPr>
        <w:t>磋商响应供应商递交的资格证明材料无法证明其符合竞争性磋商文件规定的“磋商响应供应商资格要求”的，磋商小组将对其作“资格审查不合格”处理（无效投标），并不再进行后续评审。</w:t>
      </w:r>
    </w:p>
    <w:p w14:paraId="0DACEB21">
      <w:pPr>
        <w:autoSpaceDN w:val="0"/>
        <w:spacing w:line="360" w:lineRule="auto"/>
        <w:ind w:firstLine="426" w:firstLineChars="177"/>
        <w:rPr>
          <w:rFonts w:ascii="仿宋" w:hAnsi="仿宋" w:eastAsia="仿宋" w:cs="Arial"/>
          <w:b/>
          <w:color w:val="auto"/>
          <w:kern w:val="0"/>
          <w:sz w:val="24"/>
          <w:szCs w:val="24"/>
          <w:highlight w:val="none"/>
          <w:u w:val="single"/>
        </w:rPr>
      </w:pPr>
      <w:r>
        <w:rPr>
          <w:rFonts w:hint="eastAsia" w:ascii="仿宋" w:hAnsi="仿宋" w:eastAsia="仿宋" w:cs="Arial"/>
          <w:b/>
          <w:color w:val="auto"/>
          <w:kern w:val="0"/>
          <w:sz w:val="24"/>
          <w:szCs w:val="24"/>
          <w:highlight w:val="none"/>
        </w:rPr>
        <w:t>（2）</w:t>
      </w:r>
      <w:r>
        <w:rPr>
          <w:rFonts w:hint="eastAsia" w:ascii="仿宋" w:hAnsi="仿宋" w:eastAsia="仿宋" w:cs="Arial"/>
          <w:b/>
          <w:color w:val="auto"/>
          <w:kern w:val="0"/>
          <w:sz w:val="24"/>
          <w:szCs w:val="24"/>
          <w:highlight w:val="none"/>
          <w:u w:val="single"/>
        </w:rPr>
        <w:t>单位负责人为同一人或者存在直接控股、管理关系的不同供应商参加同一合同项下的政府采购活动的，相关磋商响应供应商均作资格无效处理。</w:t>
      </w:r>
    </w:p>
    <w:p w14:paraId="646D1507">
      <w:pPr>
        <w:autoSpaceDN w:val="0"/>
        <w:spacing w:line="360" w:lineRule="auto"/>
        <w:ind w:firstLine="426" w:firstLineChars="177"/>
        <w:rPr>
          <w:rFonts w:ascii="仿宋" w:hAnsi="仿宋" w:eastAsia="仿宋" w:cs="Arial"/>
          <w:b/>
          <w:color w:val="auto"/>
          <w:sz w:val="24"/>
          <w:szCs w:val="24"/>
          <w:highlight w:val="none"/>
        </w:rPr>
      </w:pPr>
      <w:r>
        <w:rPr>
          <w:rFonts w:hint="eastAsia" w:ascii="仿宋" w:hAnsi="仿宋" w:eastAsia="仿宋" w:cs="Arial"/>
          <w:b/>
          <w:color w:val="auto"/>
          <w:kern w:val="0"/>
          <w:sz w:val="24"/>
          <w:szCs w:val="24"/>
          <w:highlight w:val="none"/>
        </w:rPr>
        <w:t>（3）供应商</w:t>
      </w:r>
      <w:r>
        <w:rPr>
          <w:rFonts w:hint="eastAsia" w:ascii="仿宋" w:hAnsi="仿宋" w:eastAsia="仿宋" w:cs="Arial"/>
          <w:b/>
          <w:color w:val="auto"/>
          <w:sz w:val="24"/>
          <w:szCs w:val="24"/>
          <w:highlight w:val="none"/>
        </w:rPr>
        <w:t>信用记录查询与使用：</w:t>
      </w:r>
      <w:r>
        <w:rPr>
          <w:rFonts w:hint="eastAsia" w:ascii="仿宋" w:hAnsi="仿宋" w:eastAsia="仿宋" w:cs="Times New Roman"/>
          <w:b/>
          <w:color w:val="auto"/>
          <w:kern w:val="0"/>
          <w:sz w:val="24"/>
          <w:szCs w:val="24"/>
          <w:highlight w:val="none"/>
          <w:u w:val="single"/>
        </w:rPr>
        <w:t>见《磋商须知前附表》</w:t>
      </w:r>
      <w:r>
        <w:rPr>
          <w:rFonts w:hint="eastAsia" w:ascii="仿宋" w:hAnsi="仿宋" w:eastAsia="仿宋" w:cs="Arial"/>
          <w:b/>
          <w:color w:val="auto"/>
          <w:sz w:val="24"/>
          <w:szCs w:val="24"/>
          <w:highlight w:val="none"/>
        </w:rPr>
        <w:t>；</w:t>
      </w:r>
    </w:p>
    <w:p w14:paraId="18083404">
      <w:pPr>
        <w:autoSpaceDN w:val="0"/>
        <w:spacing w:line="360" w:lineRule="auto"/>
        <w:ind w:firstLine="424" w:firstLineChars="176"/>
        <w:rPr>
          <w:rFonts w:ascii="仿宋" w:hAnsi="仿宋" w:eastAsia="仿宋" w:cs="Arial"/>
          <w:color w:val="auto"/>
          <w:szCs w:val="24"/>
          <w:highlight w:val="none"/>
        </w:rPr>
      </w:pPr>
      <w:r>
        <w:rPr>
          <w:rFonts w:hint="eastAsia" w:ascii="仿宋" w:hAnsi="仿宋" w:eastAsia="仿宋" w:cs="Arial"/>
          <w:b/>
          <w:color w:val="auto"/>
          <w:kern w:val="0"/>
          <w:sz w:val="24"/>
          <w:szCs w:val="24"/>
          <w:highlight w:val="none"/>
        </w:rPr>
        <w:t>（4）资格审查合格的磋商响应供应商不足三家的，项目不再进行评审。</w:t>
      </w:r>
      <w:r>
        <w:rPr>
          <w:rFonts w:hint="eastAsia" w:ascii="仿宋" w:hAnsi="仿宋" w:eastAsia="仿宋" w:cs="Arial"/>
          <w:b/>
          <w:color w:val="auto"/>
          <w:kern w:val="0"/>
          <w:sz w:val="24"/>
          <w:highlight w:val="none"/>
        </w:rPr>
        <w:t>除采购任务取消情形外，采购人可选择以下方式之一处理：</w:t>
      </w:r>
    </w:p>
    <w:p w14:paraId="71B961FA">
      <w:pPr>
        <w:autoSpaceDN w:val="0"/>
        <w:spacing w:line="360" w:lineRule="auto"/>
        <w:ind w:firstLine="422" w:firstLineChars="176"/>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1）将本标项作废标处理，重新组织采购；</w:t>
      </w:r>
    </w:p>
    <w:p w14:paraId="067FE63F">
      <w:pPr>
        <w:autoSpaceDN w:val="0"/>
        <w:spacing w:line="360" w:lineRule="auto"/>
        <w:ind w:firstLine="424" w:firstLineChars="177"/>
        <w:rPr>
          <w:rFonts w:ascii="仿宋" w:hAnsi="仿宋" w:eastAsia="仿宋" w:cs="Times New Roman"/>
          <w:color w:val="auto"/>
          <w:szCs w:val="24"/>
          <w:highlight w:val="none"/>
        </w:rPr>
      </w:pPr>
      <w:r>
        <w:rPr>
          <w:rFonts w:hint="eastAsia" w:ascii="仿宋" w:hAnsi="仿宋" w:eastAsia="仿宋" w:cs="Arial"/>
          <w:color w:val="auto"/>
          <w:kern w:val="0"/>
          <w:sz w:val="24"/>
          <w:highlight w:val="none"/>
        </w:rPr>
        <w:t>2）按同级政府采购监督管理部门的审批意见采用其他采购方式组织采购。</w:t>
      </w:r>
    </w:p>
    <w:p w14:paraId="325C6D3A">
      <w:pPr>
        <w:autoSpaceDN w:val="0"/>
        <w:spacing w:line="360" w:lineRule="auto"/>
        <w:ind w:firstLine="426" w:firstLineChars="177"/>
        <w:rPr>
          <w:rFonts w:ascii="仿宋" w:hAnsi="仿宋" w:eastAsia="仿宋" w:cs="Times New Roman"/>
          <w:color w:val="auto"/>
          <w:sz w:val="24"/>
          <w:szCs w:val="24"/>
          <w:highlight w:val="none"/>
        </w:rPr>
      </w:pPr>
      <w:r>
        <w:rPr>
          <w:rFonts w:hint="eastAsia" w:ascii="仿宋" w:hAnsi="仿宋" w:eastAsia="仿宋" w:cs="Times New Roman"/>
          <w:b/>
          <w:color w:val="auto"/>
          <w:sz w:val="24"/>
          <w:szCs w:val="24"/>
          <w:highlight w:val="none"/>
        </w:rPr>
        <w:t>2.2.2对符合资格的磋商响应供应商的磋商响应文件进行符合性审查，以确定其是否满足采购文件的实质性要求。</w:t>
      </w:r>
    </w:p>
    <w:p w14:paraId="4BB76647">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2.2.3《商务技术文件》存在下列情形之一的，经磋商小组认定后作无效标处理：</w:t>
      </w:r>
    </w:p>
    <w:p w14:paraId="2E25E7F1">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w:t>
      </w:r>
      <w:r>
        <w:rPr>
          <w:rFonts w:hint="eastAsia" w:ascii="仿宋" w:hAnsi="仿宋" w:eastAsia="仿宋" w:cs="Arial"/>
          <w:b/>
          <w:color w:val="auto"/>
          <w:kern w:val="0"/>
          <w:sz w:val="24"/>
          <w:szCs w:val="24"/>
          <w:highlight w:val="none"/>
          <w:u w:val="single"/>
        </w:rPr>
        <w:t>磋商响应文件没有对本采购文件作出实质性响应的，或不满足（不响应）本磋商文件中标注“▲”的实质性要求条款的</w:t>
      </w:r>
      <w:r>
        <w:rPr>
          <w:rFonts w:hint="eastAsia" w:ascii="仿宋" w:hAnsi="仿宋" w:eastAsia="仿宋" w:cs="Arial"/>
          <w:b/>
          <w:color w:val="auto"/>
          <w:w w:val="90"/>
          <w:kern w:val="0"/>
          <w:sz w:val="24"/>
          <w:szCs w:val="24"/>
          <w:highlight w:val="none"/>
        </w:rPr>
        <w:t>；</w:t>
      </w:r>
    </w:p>
    <w:p w14:paraId="52DE9B6A">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（2）</w:t>
      </w:r>
      <w:r>
        <w:rPr>
          <w:rFonts w:hint="eastAsia" w:ascii="仿宋" w:hAnsi="仿宋" w:eastAsia="仿宋" w:cs="Arial"/>
          <w:b/>
          <w:color w:val="auto"/>
          <w:kern w:val="0"/>
          <w:sz w:val="24"/>
          <w:szCs w:val="24"/>
          <w:highlight w:val="none"/>
          <w:u w:val="single"/>
        </w:rPr>
        <w:t>磋商响应文件存在一个或一个以上备选（替代）方案的</w:t>
      </w:r>
      <w:r>
        <w:rPr>
          <w:rFonts w:hint="eastAsia" w:ascii="仿宋" w:hAnsi="仿宋" w:eastAsia="仿宋" w:cs="Arial"/>
          <w:b/>
          <w:color w:val="auto"/>
          <w:kern w:val="0"/>
          <w:sz w:val="24"/>
          <w:szCs w:val="24"/>
          <w:highlight w:val="none"/>
        </w:rPr>
        <w:t>；</w:t>
      </w:r>
    </w:p>
    <w:p w14:paraId="287330EA">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（3）</w:t>
      </w:r>
      <w:r>
        <w:rPr>
          <w:rFonts w:hint="eastAsia" w:ascii="仿宋" w:hAnsi="仿宋" w:eastAsia="仿宋" w:cs="Times New Roman"/>
          <w:b/>
          <w:color w:val="auto"/>
          <w:sz w:val="24"/>
          <w:szCs w:val="24"/>
          <w:highlight w:val="none"/>
          <w:u w:val="single"/>
        </w:rPr>
        <w:t>仅提交“备份磋商响应文件”的</w:t>
      </w:r>
      <w:r>
        <w:rPr>
          <w:rFonts w:hint="eastAsia" w:ascii="仿宋" w:hAnsi="仿宋" w:eastAsia="仿宋" w:cs="Arial"/>
          <w:b/>
          <w:color w:val="auto"/>
          <w:kern w:val="0"/>
          <w:sz w:val="24"/>
          <w:szCs w:val="24"/>
          <w:highlight w:val="none"/>
        </w:rPr>
        <w:t>；</w:t>
      </w:r>
    </w:p>
    <w:p w14:paraId="6809BA5F">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w:t>
      </w:r>
      <w:r>
        <w:rPr>
          <w:rFonts w:hint="eastAsia" w:ascii="仿宋" w:hAnsi="仿宋" w:eastAsia="仿宋" w:cs="Arial"/>
          <w:b/>
          <w:color w:val="auto"/>
          <w:kern w:val="0"/>
          <w:sz w:val="24"/>
          <w:szCs w:val="24"/>
          <w:highlight w:val="none"/>
          <w:u w:val="single"/>
        </w:rPr>
        <w:t>磋商响应文件未按本磋商文件《第三章磋商须知》或《第六章磋商响应文件格式》标注的要求进行盖章或签署的</w:t>
      </w:r>
      <w:r>
        <w:rPr>
          <w:rFonts w:hint="eastAsia" w:ascii="仿宋" w:hAnsi="仿宋" w:eastAsia="仿宋" w:cs="Arial"/>
          <w:b/>
          <w:color w:val="auto"/>
          <w:kern w:val="0"/>
          <w:sz w:val="24"/>
          <w:szCs w:val="24"/>
          <w:highlight w:val="none"/>
        </w:rPr>
        <w:t>；</w:t>
      </w:r>
    </w:p>
    <w:p w14:paraId="5B795554">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（5）</w:t>
      </w:r>
      <w:r>
        <w:rPr>
          <w:rFonts w:hint="eastAsia" w:ascii="仿宋" w:hAnsi="仿宋" w:eastAsia="仿宋" w:cs="Arial"/>
          <w:b/>
          <w:color w:val="auto"/>
          <w:kern w:val="0"/>
          <w:sz w:val="24"/>
          <w:szCs w:val="24"/>
          <w:highlight w:val="none"/>
          <w:u w:val="single"/>
        </w:rPr>
        <w:t>磋商响应文件组成内容不齐全，本磋商文件规定必须提供而未提供的（属于资格审查范围的除外）</w:t>
      </w:r>
      <w:r>
        <w:rPr>
          <w:rFonts w:hint="eastAsia" w:ascii="仿宋" w:hAnsi="仿宋" w:eastAsia="仿宋" w:cs="Arial"/>
          <w:b/>
          <w:color w:val="auto"/>
          <w:kern w:val="0"/>
          <w:sz w:val="24"/>
          <w:szCs w:val="24"/>
          <w:highlight w:val="none"/>
        </w:rPr>
        <w:t>；</w:t>
      </w:r>
    </w:p>
    <w:p w14:paraId="7225641A">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（6）</w:t>
      </w:r>
      <w:r>
        <w:rPr>
          <w:rFonts w:hint="eastAsia" w:ascii="仿宋" w:hAnsi="仿宋" w:eastAsia="仿宋" w:cs="Arial"/>
          <w:b/>
          <w:color w:val="auto"/>
          <w:kern w:val="0"/>
          <w:sz w:val="24"/>
          <w:szCs w:val="24"/>
          <w:highlight w:val="none"/>
          <w:u w:val="single"/>
        </w:rPr>
        <w:t>磋商响应文件标注的响应或偏离情况与事实不符，或提供了虚假材料的</w:t>
      </w:r>
      <w:r>
        <w:rPr>
          <w:rFonts w:hint="eastAsia" w:ascii="仿宋" w:hAnsi="仿宋" w:eastAsia="仿宋" w:cs="Arial"/>
          <w:b/>
          <w:color w:val="auto"/>
          <w:kern w:val="0"/>
          <w:sz w:val="24"/>
          <w:szCs w:val="24"/>
          <w:highlight w:val="none"/>
        </w:rPr>
        <w:t>；</w:t>
      </w:r>
    </w:p>
    <w:p w14:paraId="77D52CCB">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（7）</w:t>
      </w:r>
      <w:r>
        <w:rPr>
          <w:rFonts w:hint="eastAsia" w:ascii="仿宋" w:hAnsi="仿宋" w:eastAsia="仿宋" w:cs="Arial"/>
          <w:b/>
          <w:color w:val="auto"/>
          <w:kern w:val="0"/>
          <w:sz w:val="24"/>
          <w:szCs w:val="24"/>
          <w:highlight w:val="none"/>
          <w:u w:val="single"/>
        </w:rPr>
        <w:t>磋商响应文件有效期不符合本磋商文件要求的</w:t>
      </w:r>
      <w:r>
        <w:rPr>
          <w:rFonts w:hint="eastAsia" w:ascii="仿宋" w:hAnsi="仿宋" w:eastAsia="仿宋" w:cs="Arial"/>
          <w:b/>
          <w:color w:val="auto"/>
          <w:kern w:val="0"/>
          <w:sz w:val="24"/>
          <w:szCs w:val="24"/>
          <w:highlight w:val="none"/>
        </w:rPr>
        <w:t>；</w:t>
      </w:r>
    </w:p>
    <w:p w14:paraId="3F86AE81">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（8）</w:t>
      </w:r>
      <w:r>
        <w:rPr>
          <w:rFonts w:hint="eastAsia" w:ascii="仿宋" w:hAnsi="仿宋" w:eastAsia="仿宋" w:cs="Arial"/>
          <w:b/>
          <w:color w:val="auto"/>
          <w:kern w:val="0"/>
          <w:sz w:val="24"/>
          <w:szCs w:val="24"/>
          <w:highlight w:val="none"/>
          <w:u w:val="single"/>
        </w:rPr>
        <w:t>磋商响应文件含有采购人不能接受的附加条件的</w:t>
      </w:r>
      <w:r>
        <w:rPr>
          <w:rFonts w:hint="eastAsia" w:ascii="仿宋" w:hAnsi="仿宋" w:eastAsia="仿宋" w:cs="Arial"/>
          <w:b/>
          <w:color w:val="auto"/>
          <w:kern w:val="0"/>
          <w:sz w:val="24"/>
          <w:szCs w:val="24"/>
          <w:highlight w:val="none"/>
        </w:rPr>
        <w:t>；</w:t>
      </w:r>
    </w:p>
    <w:p w14:paraId="720CF214">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（9）</w:t>
      </w:r>
      <w:r>
        <w:rPr>
          <w:rFonts w:hint="eastAsia" w:ascii="仿宋" w:hAnsi="仿宋" w:eastAsia="仿宋" w:cs="Arial"/>
          <w:b/>
          <w:color w:val="auto"/>
          <w:kern w:val="0"/>
          <w:sz w:val="24"/>
          <w:szCs w:val="24"/>
          <w:highlight w:val="none"/>
          <w:u w:val="single"/>
        </w:rPr>
        <w:t>参加同一合同项下政府采购活动的不同供应商之间存在利害关系并且存在影响政府采购公平竞争行为的</w:t>
      </w:r>
      <w:r>
        <w:rPr>
          <w:rFonts w:hint="eastAsia" w:ascii="仿宋" w:hAnsi="仿宋" w:eastAsia="仿宋" w:cs="Arial"/>
          <w:b/>
          <w:color w:val="auto"/>
          <w:kern w:val="0"/>
          <w:sz w:val="24"/>
          <w:szCs w:val="24"/>
          <w:highlight w:val="none"/>
        </w:rPr>
        <w:t>；</w:t>
      </w:r>
    </w:p>
    <w:p w14:paraId="7740A186">
      <w:pPr>
        <w:autoSpaceDN w:val="0"/>
        <w:spacing w:line="360" w:lineRule="auto"/>
        <w:ind w:firstLine="426" w:firstLineChars="177"/>
        <w:rPr>
          <w:rFonts w:ascii="仿宋" w:hAnsi="仿宋" w:eastAsia="仿宋" w:cs="Arial"/>
          <w:b/>
          <w:color w:val="auto"/>
          <w:kern w:val="0"/>
          <w:sz w:val="24"/>
          <w:szCs w:val="24"/>
          <w:highlight w:val="none"/>
          <w:u w:val="single"/>
        </w:rPr>
      </w:pPr>
      <w:r>
        <w:rPr>
          <w:rFonts w:hint="eastAsia" w:ascii="仿宋" w:hAnsi="仿宋" w:eastAsia="仿宋" w:cs="Arial"/>
          <w:b/>
          <w:color w:val="auto"/>
          <w:kern w:val="0"/>
          <w:sz w:val="24"/>
          <w:szCs w:val="24"/>
          <w:highlight w:val="none"/>
        </w:rPr>
        <w:t>（10）</w:t>
      </w:r>
      <w:r>
        <w:rPr>
          <w:rFonts w:hint="eastAsia" w:ascii="仿宋" w:hAnsi="仿宋" w:eastAsia="仿宋" w:cs="Arial"/>
          <w:b/>
          <w:color w:val="auto"/>
          <w:kern w:val="0"/>
          <w:sz w:val="24"/>
          <w:szCs w:val="24"/>
          <w:highlight w:val="none"/>
          <w:u w:val="single"/>
        </w:rPr>
        <w:t>存在法律、法规和采购文件规定的其他无效情形的。</w:t>
      </w:r>
    </w:p>
    <w:p w14:paraId="38C54681">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2.2.4《报价文件》存在下列情形之一的，经磋商小组认定后作无效标处理：</w:t>
      </w:r>
    </w:p>
    <w:p w14:paraId="1BCB51E6">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w:t>
      </w:r>
      <w:r>
        <w:rPr>
          <w:rFonts w:hint="eastAsia" w:ascii="仿宋" w:hAnsi="仿宋" w:eastAsia="仿宋" w:cs="Arial"/>
          <w:b/>
          <w:color w:val="auto"/>
          <w:kern w:val="0"/>
          <w:sz w:val="24"/>
          <w:szCs w:val="24"/>
          <w:highlight w:val="none"/>
          <w:u w:val="single"/>
        </w:rPr>
        <w:t>磋商响应文件没有对本采购文件作出实质性响应的，或不满足（不响应）本采购文件中标注“▲”的实质性要求条款的</w:t>
      </w:r>
      <w:r>
        <w:rPr>
          <w:rFonts w:hint="eastAsia" w:ascii="仿宋" w:hAnsi="仿宋" w:eastAsia="仿宋" w:cs="Arial"/>
          <w:b/>
          <w:color w:val="auto"/>
          <w:w w:val="90"/>
          <w:kern w:val="0"/>
          <w:sz w:val="24"/>
          <w:szCs w:val="24"/>
          <w:highlight w:val="none"/>
        </w:rPr>
        <w:t>；</w:t>
      </w:r>
    </w:p>
    <w:p w14:paraId="768A7B89">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（2）</w:t>
      </w:r>
      <w:r>
        <w:rPr>
          <w:rFonts w:hint="eastAsia" w:ascii="仿宋" w:hAnsi="仿宋" w:eastAsia="仿宋" w:cs="Arial"/>
          <w:b/>
          <w:color w:val="auto"/>
          <w:kern w:val="0"/>
          <w:sz w:val="24"/>
          <w:szCs w:val="24"/>
          <w:highlight w:val="none"/>
          <w:u w:val="single"/>
        </w:rPr>
        <w:t>未在政采云系统规定时间内提交最终报价的</w:t>
      </w:r>
      <w:r>
        <w:rPr>
          <w:rFonts w:hint="eastAsia" w:ascii="仿宋" w:hAnsi="仿宋" w:eastAsia="仿宋" w:cs="Arial"/>
          <w:b/>
          <w:color w:val="auto"/>
          <w:kern w:val="0"/>
          <w:sz w:val="24"/>
          <w:szCs w:val="24"/>
          <w:highlight w:val="none"/>
        </w:rPr>
        <w:t>；</w:t>
      </w:r>
    </w:p>
    <w:p w14:paraId="0D7D1B91">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（3）</w:t>
      </w:r>
      <w:r>
        <w:rPr>
          <w:rFonts w:hint="eastAsia" w:ascii="仿宋" w:hAnsi="仿宋" w:eastAsia="仿宋" w:cs="Arial"/>
          <w:b/>
          <w:color w:val="auto"/>
          <w:kern w:val="0"/>
          <w:sz w:val="24"/>
          <w:szCs w:val="24"/>
          <w:highlight w:val="none"/>
          <w:u w:val="single"/>
        </w:rPr>
        <w:t>磋商响应文件存在一个或一个以上备选（替代）投标方案的</w:t>
      </w:r>
      <w:r>
        <w:rPr>
          <w:rFonts w:hint="eastAsia" w:ascii="仿宋" w:hAnsi="仿宋" w:eastAsia="仿宋" w:cs="Arial"/>
          <w:b/>
          <w:color w:val="auto"/>
          <w:kern w:val="0"/>
          <w:sz w:val="24"/>
          <w:szCs w:val="24"/>
          <w:highlight w:val="none"/>
        </w:rPr>
        <w:t>；</w:t>
      </w:r>
    </w:p>
    <w:p w14:paraId="3BD93F55">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w:t>
      </w:r>
      <w:r>
        <w:rPr>
          <w:rFonts w:hint="eastAsia" w:ascii="仿宋" w:hAnsi="仿宋" w:eastAsia="仿宋" w:cs="Arial"/>
          <w:b/>
          <w:color w:val="auto"/>
          <w:kern w:val="0"/>
          <w:sz w:val="24"/>
          <w:szCs w:val="24"/>
          <w:highlight w:val="none"/>
          <w:u w:val="single"/>
        </w:rPr>
        <w:t>未按照磋商文件标明的币种报价的，或者磋商报价涵盖的内容不符合磋商文件要求的</w:t>
      </w:r>
      <w:r>
        <w:rPr>
          <w:rFonts w:hint="eastAsia" w:ascii="仿宋" w:hAnsi="仿宋" w:eastAsia="仿宋" w:cs="Arial"/>
          <w:b/>
          <w:color w:val="auto"/>
          <w:kern w:val="0"/>
          <w:sz w:val="24"/>
          <w:szCs w:val="24"/>
          <w:highlight w:val="none"/>
        </w:rPr>
        <w:t>；</w:t>
      </w:r>
    </w:p>
    <w:p w14:paraId="4DBA52A6">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（5）</w:t>
      </w:r>
      <w:r>
        <w:rPr>
          <w:rFonts w:hint="eastAsia" w:ascii="仿宋" w:hAnsi="仿宋" w:eastAsia="仿宋" w:cs="Arial"/>
          <w:b/>
          <w:color w:val="auto"/>
          <w:kern w:val="0"/>
          <w:sz w:val="24"/>
          <w:szCs w:val="24"/>
          <w:highlight w:val="none"/>
          <w:u w:val="single"/>
        </w:rPr>
        <w:t>报价出现前后不一致时拒绝按照磋商文件规定的错误修正原则进行修正的</w:t>
      </w:r>
      <w:r>
        <w:rPr>
          <w:rFonts w:hint="eastAsia" w:ascii="仿宋" w:hAnsi="仿宋" w:eastAsia="仿宋" w:cs="Arial"/>
          <w:b/>
          <w:color w:val="auto"/>
          <w:kern w:val="0"/>
          <w:sz w:val="24"/>
          <w:szCs w:val="24"/>
          <w:highlight w:val="none"/>
        </w:rPr>
        <w:t>；</w:t>
      </w:r>
    </w:p>
    <w:p w14:paraId="2713EDD6">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（6）</w:t>
      </w:r>
      <w:r>
        <w:rPr>
          <w:rFonts w:hint="eastAsia" w:ascii="仿宋" w:hAnsi="仿宋" w:eastAsia="仿宋" w:cs="Arial"/>
          <w:b/>
          <w:color w:val="auto"/>
          <w:kern w:val="0"/>
          <w:sz w:val="24"/>
          <w:szCs w:val="24"/>
          <w:highlight w:val="none"/>
          <w:u w:val="single"/>
        </w:rPr>
        <w:t>磋商报价具有选择性的</w:t>
      </w:r>
      <w:r>
        <w:rPr>
          <w:rFonts w:hint="eastAsia" w:ascii="仿宋" w:hAnsi="仿宋" w:eastAsia="仿宋" w:cs="Arial"/>
          <w:b/>
          <w:color w:val="auto"/>
          <w:kern w:val="0"/>
          <w:sz w:val="24"/>
          <w:szCs w:val="24"/>
          <w:highlight w:val="none"/>
        </w:rPr>
        <w:t>；</w:t>
      </w:r>
    </w:p>
    <w:p w14:paraId="27D784CD">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（7）</w:t>
      </w:r>
      <w:r>
        <w:rPr>
          <w:rFonts w:hint="eastAsia" w:ascii="仿宋" w:hAnsi="仿宋" w:eastAsia="仿宋" w:cs="Arial"/>
          <w:b/>
          <w:color w:val="auto"/>
          <w:kern w:val="0"/>
          <w:sz w:val="24"/>
          <w:szCs w:val="24"/>
          <w:highlight w:val="none"/>
          <w:u w:val="single"/>
        </w:rPr>
        <w:t>报价超过磋商文件中规定的预算金额或者最高限价的</w:t>
      </w:r>
      <w:r>
        <w:rPr>
          <w:rFonts w:hint="eastAsia" w:ascii="仿宋" w:hAnsi="仿宋" w:eastAsia="仿宋" w:cs="Arial"/>
          <w:b/>
          <w:color w:val="auto"/>
          <w:kern w:val="0"/>
          <w:sz w:val="24"/>
          <w:szCs w:val="24"/>
          <w:highlight w:val="none"/>
        </w:rPr>
        <w:t>；</w:t>
      </w:r>
    </w:p>
    <w:p w14:paraId="6C66B69F">
      <w:pPr>
        <w:autoSpaceDN w:val="0"/>
        <w:spacing w:line="357"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（8）</w:t>
      </w:r>
      <w:r>
        <w:rPr>
          <w:rFonts w:hint="eastAsia" w:ascii="仿宋" w:hAnsi="仿宋" w:eastAsia="仿宋" w:cs="Arial"/>
          <w:b/>
          <w:color w:val="auto"/>
          <w:kern w:val="0"/>
          <w:sz w:val="24"/>
          <w:szCs w:val="24"/>
          <w:highlight w:val="none"/>
          <w:u w:val="single"/>
        </w:rPr>
        <w:t>磋商响应文件工程量清单报价中的项目编码、项目名称、项目特征、计量单位和工程量与磋商文件提供的清单不一致的</w:t>
      </w:r>
      <w:r>
        <w:rPr>
          <w:rFonts w:hint="eastAsia" w:ascii="仿宋" w:hAnsi="仿宋" w:eastAsia="仿宋" w:cs="Arial"/>
          <w:b/>
          <w:color w:val="auto"/>
          <w:kern w:val="0"/>
          <w:sz w:val="24"/>
          <w:szCs w:val="24"/>
          <w:highlight w:val="none"/>
        </w:rPr>
        <w:t>；</w:t>
      </w:r>
    </w:p>
    <w:p w14:paraId="4545D9BD">
      <w:pPr>
        <w:autoSpaceDN w:val="0"/>
        <w:spacing w:line="357"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（9）</w:t>
      </w:r>
      <w:r>
        <w:rPr>
          <w:rFonts w:hint="eastAsia" w:ascii="仿宋" w:hAnsi="仿宋" w:eastAsia="仿宋" w:cs="Arial"/>
          <w:b/>
          <w:color w:val="auto"/>
          <w:kern w:val="0"/>
          <w:sz w:val="24"/>
          <w:szCs w:val="24"/>
          <w:highlight w:val="none"/>
          <w:u w:val="single"/>
        </w:rPr>
        <w:t>磋商响应文件未按清单要求列明暂列金额的（如有）</w:t>
      </w:r>
      <w:r>
        <w:rPr>
          <w:rFonts w:hint="eastAsia" w:ascii="仿宋" w:hAnsi="仿宋" w:eastAsia="仿宋" w:cs="Arial"/>
          <w:b/>
          <w:color w:val="auto"/>
          <w:kern w:val="0"/>
          <w:sz w:val="24"/>
          <w:szCs w:val="24"/>
          <w:highlight w:val="none"/>
        </w:rPr>
        <w:t>；</w:t>
      </w:r>
    </w:p>
    <w:p w14:paraId="3870232D">
      <w:pPr>
        <w:autoSpaceDN w:val="0"/>
        <w:spacing w:line="357"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（10）</w:t>
      </w:r>
      <w:r>
        <w:rPr>
          <w:rFonts w:hint="eastAsia" w:ascii="仿宋" w:hAnsi="仿宋" w:eastAsia="仿宋" w:cs="Arial"/>
          <w:b/>
          <w:color w:val="auto"/>
          <w:kern w:val="0"/>
          <w:sz w:val="24"/>
          <w:szCs w:val="24"/>
          <w:highlight w:val="none"/>
          <w:u w:val="single"/>
        </w:rPr>
        <w:t>磋商响应文件中的取费低于清单编制说明中的最低取费标准的</w:t>
      </w:r>
      <w:r>
        <w:rPr>
          <w:rFonts w:hint="eastAsia" w:ascii="仿宋" w:hAnsi="仿宋" w:eastAsia="仿宋" w:cs="Arial"/>
          <w:b/>
          <w:color w:val="auto"/>
          <w:kern w:val="0"/>
          <w:sz w:val="24"/>
          <w:szCs w:val="24"/>
          <w:highlight w:val="none"/>
        </w:rPr>
        <w:t>；</w:t>
      </w:r>
    </w:p>
    <w:p w14:paraId="063C4441">
      <w:pPr>
        <w:autoSpaceDN w:val="0"/>
        <w:spacing w:line="357"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sz w:val="24"/>
          <w:szCs w:val="24"/>
          <w:highlight w:val="none"/>
        </w:rPr>
        <w:t>（</w:t>
      </w:r>
      <w:r>
        <w:rPr>
          <w:rFonts w:ascii="仿宋" w:hAnsi="仿宋" w:eastAsia="仿宋" w:cs="Arial"/>
          <w:b/>
          <w:color w:val="auto"/>
          <w:sz w:val="24"/>
          <w:szCs w:val="24"/>
          <w:highlight w:val="none"/>
        </w:rPr>
        <w:t>1</w:t>
      </w:r>
      <w:r>
        <w:rPr>
          <w:rFonts w:hint="eastAsia" w:ascii="仿宋" w:hAnsi="仿宋" w:eastAsia="仿宋" w:cs="Arial"/>
          <w:b/>
          <w:color w:val="auto"/>
          <w:sz w:val="24"/>
          <w:szCs w:val="24"/>
          <w:highlight w:val="none"/>
        </w:rPr>
        <w:t>1</w:t>
      </w:r>
      <w:r>
        <w:rPr>
          <w:rFonts w:ascii="仿宋" w:hAnsi="仿宋" w:eastAsia="仿宋" w:cs="Arial"/>
          <w:b/>
          <w:color w:val="auto"/>
          <w:sz w:val="24"/>
          <w:szCs w:val="24"/>
          <w:highlight w:val="none"/>
        </w:rPr>
        <w:t>）</w:t>
      </w:r>
      <w:r>
        <w:rPr>
          <w:rFonts w:ascii="仿宋" w:hAnsi="仿宋" w:eastAsia="仿宋" w:cs="Arial"/>
          <w:b/>
          <w:color w:val="auto"/>
          <w:sz w:val="24"/>
          <w:szCs w:val="24"/>
          <w:highlight w:val="none"/>
          <w:u w:val="single"/>
        </w:rPr>
        <w:t>磋商报价中的规费、税金、措施费等国家、省、市强制性要求的费用报价不足或未报价的</w:t>
      </w:r>
      <w:r>
        <w:rPr>
          <w:rFonts w:ascii="仿宋" w:hAnsi="仿宋" w:eastAsia="仿宋" w:cs="Arial"/>
          <w:b/>
          <w:color w:val="auto"/>
          <w:sz w:val="24"/>
          <w:szCs w:val="24"/>
          <w:highlight w:val="none"/>
        </w:rPr>
        <w:t>；</w:t>
      </w:r>
    </w:p>
    <w:p w14:paraId="500956BB">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（12）</w:t>
      </w:r>
      <w:r>
        <w:rPr>
          <w:rFonts w:hint="eastAsia" w:ascii="仿宋" w:hAnsi="仿宋" w:eastAsia="仿宋" w:cs="Arial"/>
          <w:b/>
          <w:color w:val="auto"/>
          <w:kern w:val="0"/>
          <w:sz w:val="24"/>
          <w:szCs w:val="24"/>
          <w:highlight w:val="none"/>
          <w:u w:val="single"/>
        </w:rPr>
        <w:t>磋商响应文件未按本磋商文件《第三章磋商须知》或《第六章磋商响应文件格式》标注的要求进行盖章或签署的</w:t>
      </w:r>
      <w:r>
        <w:rPr>
          <w:rFonts w:hint="eastAsia" w:ascii="仿宋" w:hAnsi="仿宋" w:eastAsia="仿宋" w:cs="Arial"/>
          <w:b/>
          <w:color w:val="auto"/>
          <w:kern w:val="0"/>
          <w:sz w:val="24"/>
          <w:szCs w:val="24"/>
          <w:highlight w:val="none"/>
        </w:rPr>
        <w:t>；</w:t>
      </w:r>
    </w:p>
    <w:p w14:paraId="26B69E57">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（13）</w:t>
      </w:r>
      <w:r>
        <w:rPr>
          <w:rFonts w:hint="eastAsia" w:ascii="仿宋" w:hAnsi="仿宋" w:eastAsia="仿宋" w:cs="Arial"/>
          <w:b/>
          <w:color w:val="auto"/>
          <w:kern w:val="0"/>
          <w:sz w:val="24"/>
          <w:szCs w:val="24"/>
          <w:highlight w:val="none"/>
          <w:u w:val="single"/>
        </w:rPr>
        <w:t>磋商响应文件组成内容不齐全，本磋商文件规定必须提供而未提供的（属于资格审查范围的除外）</w:t>
      </w:r>
      <w:r>
        <w:rPr>
          <w:rFonts w:hint="eastAsia" w:ascii="仿宋" w:hAnsi="仿宋" w:eastAsia="仿宋" w:cs="Arial"/>
          <w:b/>
          <w:color w:val="auto"/>
          <w:kern w:val="0"/>
          <w:sz w:val="24"/>
          <w:szCs w:val="24"/>
          <w:highlight w:val="none"/>
        </w:rPr>
        <w:t>；</w:t>
      </w:r>
    </w:p>
    <w:p w14:paraId="36D88445">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sz w:val="24"/>
          <w:highlight w:val="none"/>
        </w:rPr>
        <w:t>（14）</w:t>
      </w:r>
      <w:r>
        <w:rPr>
          <w:rFonts w:hint="eastAsia" w:ascii="仿宋" w:hAnsi="仿宋" w:eastAsia="仿宋" w:cs="Arial"/>
          <w:b/>
          <w:color w:val="auto"/>
          <w:sz w:val="24"/>
          <w:highlight w:val="none"/>
          <w:u w:val="single"/>
        </w:rPr>
        <w:t>磋商小组认为磋商响应供应商的报价明显低于其他通过符合性审查的磋商响应供应商的报价</w:t>
      </w:r>
      <w:r>
        <w:rPr>
          <w:rFonts w:ascii="仿宋" w:hAnsi="仿宋" w:eastAsia="仿宋" w:cs="Arial"/>
          <w:b/>
          <w:color w:val="auto"/>
          <w:sz w:val="24"/>
          <w:highlight w:val="none"/>
          <w:u w:val="single"/>
        </w:rPr>
        <w:t>，</w:t>
      </w:r>
      <w:r>
        <w:rPr>
          <w:rFonts w:hint="eastAsia" w:ascii="仿宋" w:hAnsi="仿宋" w:eastAsia="仿宋" w:cs="Arial"/>
          <w:b/>
          <w:color w:val="auto"/>
          <w:sz w:val="24"/>
          <w:highlight w:val="none"/>
          <w:u w:val="single"/>
        </w:rPr>
        <w:t>有可能影响产品质量或者不能诚信履约时，磋商响应供应商不能在规定的时间证明其报价合理性的；或</w:t>
      </w:r>
      <w:r>
        <w:rPr>
          <w:rFonts w:hint="eastAsia" w:ascii="仿宋" w:hAnsi="仿宋" w:eastAsia="仿宋" w:cs="Arial"/>
          <w:b/>
          <w:color w:val="auto"/>
          <w:sz w:val="24"/>
          <w:highlight w:val="none"/>
          <w:u w:val="single"/>
          <w:lang w:val="en-US" w:eastAsia="zh-CN"/>
        </w:rPr>
        <w:t>供应商</w:t>
      </w:r>
      <w:r>
        <w:rPr>
          <w:rFonts w:hint="eastAsia" w:ascii="仿宋" w:hAnsi="仿宋" w:eastAsia="仿宋" w:cs="Arial"/>
          <w:b/>
          <w:color w:val="auto"/>
          <w:sz w:val="24"/>
          <w:highlight w:val="none"/>
          <w:u w:val="single"/>
        </w:rPr>
        <w:t>报价低于项目标项预算50%的，且未在报价文件中详细阐述不影响产品质量或者诚信履约的具体原因，供应商不能证明其报价合理性的；</w:t>
      </w:r>
    </w:p>
    <w:p w14:paraId="154DB66D">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（15）</w:t>
      </w:r>
      <w:r>
        <w:rPr>
          <w:rFonts w:hint="eastAsia" w:ascii="仿宋" w:hAnsi="仿宋" w:eastAsia="仿宋" w:cs="Arial"/>
          <w:b/>
          <w:color w:val="auto"/>
          <w:kern w:val="0"/>
          <w:sz w:val="24"/>
          <w:szCs w:val="24"/>
          <w:highlight w:val="none"/>
          <w:u w:val="single"/>
        </w:rPr>
        <w:t>磋商响应文件含有采购人不能接受的附加条件的</w:t>
      </w:r>
      <w:r>
        <w:rPr>
          <w:rFonts w:hint="eastAsia" w:ascii="仿宋" w:hAnsi="仿宋" w:eastAsia="仿宋" w:cs="Arial"/>
          <w:b/>
          <w:color w:val="auto"/>
          <w:kern w:val="0"/>
          <w:sz w:val="24"/>
          <w:szCs w:val="24"/>
          <w:highlight w:val="none"/>
        </w:rPr>
        <w:t>；</w:t>
      </w:r>
    </w:p>
    <w:p w14:paraId="44CC8D96">
      <w:pPr>
        <w:autoSpaceDN w:val="0"/>
        <w:spacing w:line="360" w:lineRule="auto"/>
        <w:ind w:firstLine="426" w:firstLineChars="177"/>
        <w:rPr>
          <w:rFonts w:ascii="仿宋" w:hAnsi="仿宋" w:eastAsia="仿宋" w:cs="Times New Roman"/>
          <w:color w:val="auto"/>
          <w:w w:val="90"/>
          <w:kern w:val="0"/>
          <w:sz w:val="22"/>
          <w:highlight w:val="none"/>
        </w:rPr>
      </w:pPr>
      <w:r>
        <w:rPr>
          <w:rFonts w:hint="eastAsia" w:ascii="仿宋" w:hAnsi="仿宋" w:eastAsia="仿宋" w:cs="Arial"/>
          <w:b/>
          <w:color w:val="auto"/>
          <w:kern w:val="0"/>
          <w:sz w:val="24"/>
          <w:szCs w:val="24"/>
          <w:highlight w:val="none"/>
        </w:rPr>
        <w:t>（16）</w:t>
      </w:r>
      <w:r>
        <w:rPr>
          <w:rFonts w:hint="eastAsia" w:ascii="仿宋" w:hAnsi="仿宋" w:eastAsia="仿宋" w:cs="Arial"/>
          <w:b/>
          <w:color w:val="auto"/>
          <w:kern w:val="0"/>
          <w:sz w:val="24"/>
          <w:szCs w:val="24"/>
          <w:highlight w:val="none"/>
          <w:u w:val="single"/>
        </w:rPr>
        <w:t>存在法律、法规和磋商文件规定的其他无效情形的</w:t>
      </w:r>
      <w:r>
        <w:rPr>
          <w:rFonts w:hint="eastAsia" w:ascii="仿宋" w:hAnsi="仿宋" w:eastAsia="仿宋" w:cs="Arial"/>
          <w:b/>
          <w:color w:val="auto"/>
          <w:kern w:val="0"/>
          <w:sz w:val="24"/>
          <w:szCs w:val="24"/>
          <w:highlight w:val="none"/>
        </w:rPr>
        <w:t>。</w:t>
      </w:r>
    </w:p>
    <w:p w14:paraId="1BF0BBA0">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2.3 磋商响应文件的磋商、澄清、说明或补正</w:t>
      </w:r>
    </w:p>
    <w:p w14:paraId="6064234A">
      <w:pPr>
        <w:autoSpaceDN w:val="0"/>
        <w:spacing w:line="360" w:lineRule="auto"/>
        <w:ind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2.3.1对于磋商响应文件中含义不明确、同类问题表述不一致或者有明显文字和计算错误的内容，</w:t>
      </w:r>
      <w:r>
        <w:rPr>
          <w:rFonts w:hint="eastAsia" w:ascii="仿宋" w:hAnsi="仿宋" w:eastAsia="仿宋" w:cs="Arial"/>
          <w:b/>
          <w:color w:val="auto"/>
          <w:kern w:val="0"/>
          <w:sz w:val="24"/>
          <w:highlight w:val="none"/>
        </w:rPr>
        <w:t>磋商小组将通过“政府采购云平台”在线询标的方式</w:t>
      </w:r>
      <w:r>
        <w:rPr>
          <w:rFonts w:hint="eastAsia" w:ascii="仿宋" w:hAnsi="仿宋" w:eastAsia="仿宋" w:cs="Arial"/>
          <w:color w:val="auto"/>
          <w:kern w:val="0"/>
          <w:sz w:val="24"/>
          <w:highlight w:val="none"/>
        </w:rPr>
        <w:t>要求磋商响应供应商在规定的时间内作出必要的澄清、说明或者补正，磋商响应供应商澄清、说明或补正时间为30分钟。</w:t>
      </w:r>
    </w:p>
    <w:p w14:paraId="4810B0BB">
      <w:pPr>
        <w:autoSpaceDN w:val="0"/>
        <w:spacing w:line="360" w:lineRule="auto"/>
        <w:ind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2.3.2磋商响应供应商的澄清、说明或者补正应当通过“政府采购云平台”在线答复的方式提交，并加盖公章，或者由法定代表人或其授权的代表签字。磋商响应供应商的澄清、说明或者补正不得超出磋商响应文件的范围或者改变磋商响应文件的实质性内容。</w:t>
      </w:r>
    </w:p>
    <w:p w14:paraId="64A209FF">
      <w:pPr>
        <w:autoSpaceDN w:val="0"/>
        <w:spacing w:line="360" w:lineRule="auto"/>
        <w:ind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2.3.3评审过程中如有商务技术、报价磋商的，磋商小组所有成员汇总所有变动情况及要求通过“政府采购云平台”在线询标的方式与每个供应商分别进行磋商（给予所有参加磋商的供应商平等的磋商机会），要求磋商响应供应商在规定的时间内重新提交响应文件（须加盖公章，或者由法定代表人或其授权的代表签字），磋商响应供应商响应回复时间为30分钟。</w:t>
      </w:r>
    </w:p>
    <w:p w14:paraId="05912BFE">
      <w:pPr>
        <w:autoSpaceDN w:val="0"/>
        <w:spacing w:line="360" w:lineRule="auto"/>
        <w:ind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2.3.4在磋商过程中，</w:t>
      </w:r>
      <w:r>
        <w:rPr>
          <w:rFonts w:hint="eastAsia" w:ascii="仿宋" w:hAnsi="仿宋" w:eastAsia="仿宋" w:cs="Arial"/>
          <w:b/>
          <w:bCs/>
          <w:color w:val="auto"/>
          <w:kern w:val="0"/>
          <w:sz w:val="24"/>
          <w:highlight w:val="none"/>
        </w:rPr>
        <w:t>磋商小组可以根据磋商文件和磋商情况实质性变动采购需求中的技术、服务要求以及合同草案条款</w:t>
      </w:r>
      <w:r>
        <w:rPr>
          <w:rFonts w:hint="eastAsia" w:ascii="仿宋" w:hAnsi="仿宋" w:eastAsia="仿宋" w:cs="Arial"/>
          <w:color w:val="auto"/>
          <w:kern w:val="0"/>
          <w:sz w:val="24"/>
          <w:highlight w:val="none"/>
        </w:rPr>
        <w:t>，但不得变动磋商文件中的其他内容。实质性变动的内容，须经采购人代表确认。</w:t>
      </w:r>
    </w:p>
    <w:p w14:paraId="510BA646">
      <w:pPr>
        <w:autoSpaceDN w:val="0"/>
        <w:spacing w:line="360" w:lineRule="auto"/>
        <w:ind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2.3.5对磋商文件作出的实质性变动是磋商文件的有效组成部分，磋商小组通过“政府采购云平台”在线询标的方式同时通知所有参加磋商的供应商。</w:t>
      </w:r>
    </w:p>
    <w:p w14:paraId="063F0408">
      <w:pPr>
        <w:autoSpaceDN w:val="0"/>
        <w:spacing w:line="360" w:lineRule="auto"/>
        <w:ind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2.3.6按磋商程序规定开始并完成磋商。</w:t>
      </w:r>
    </w:p>
    <w:p w14:paraId="5DB452BB">
      <w:pPr>
        <w:autoSpaceDN w:val="0"/>
        <w:spacing w:line="360" w:lineRule="auto"/>
        <w:ind w:firstLine="424" w:firstLineChars="177"/>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2.3.7所有磋商结束后，确定提交最后报价的供应商名单，确定提交最后报价的时间，并告知相关供应商，要求在规定时间内（30分钟内）通过“政府采购云平台”在线上传最后报价（须加盖公章，或者由法定代表人或其授权的代表签字）。</w:t>
      </w:r>
    </w:p>
    <w:p w14:paraId="4185C0ED">
      <w:pPr>
        <w:autoSpaceDN w:val="0"/>
        <w:spacing w:line="360" w:lineRule="auto"/>
        <w:ind w:firstLine="426" w:firstLineChars="177"/>
        <w:rPr>
          <w:rFonts w:ascii="仿宋" w:hAnsi="仿宋" w:eastAsia="仿宋" w:cs="Times New Roman"/>
          <w:color w:val="auto"/>
          <w:szCs w:val="24"/>
          <w:highlight w:val="none"/>
        </w:rPr>
      </w:pPr>
      <w:r>
        <w:rPr>
          <w:rFonts w:hint="eastAsia" w:ascii="仿宋" w:hAnsi="仿宋" w:eastAsia="仿宋" w:cs="Arial"/>
          <w:b/>
          <w:color w:val="auto"/>
          <w:kern w:val="0"/>
          <w:sz w:val="24"/>
          <w:highlight w:val="none"/>
        </w:rPr>
        <w:t>2.3.7上述询标、澄清、说明和补正工作如因客观原因无法通过“政府采购云平台”在线进行的，将采用书面（含邮件）形式进行。</w:t>
      </w:r>
    </w:p>
    <w:p w14:paraId="20023676">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2.4 磋商响应文件的错误修正</w:t>
      </w:r>
    </w:p>
    <w:p w14:paraId="7C28C3DE">
      <w:pPr>
        <w:autoSpaceDN w:val="0"/>
        <w:spacing w:line="360" w:lineRule="auto"/>
        <w:ind w:firstLine="422" w:firstLineChars="175"/>
        <w:rPr>
          <w:rFonts w:ascii="仿宋" w:hAnsi="仿宋" w:eastAsia="仿宋" w:cs="Arial"/>
          <w:b/>
          <w:color w:val="auto"/>
          <w:kern w:val="0"/>
          <w:sz w:val="24"/>
          <w:highlight w:val="none"/>
          <w:u w:val="single"/>
        </w:rPr>
      </w:pPr>
      <w:r>
        <w:rPr>
          <w:rFonts w:hint="eastAsia" w:ascii="仿宋" w:hAnsi="仿宋" w:eastAsia="仿宋" w:cs="Arial"/>
          <w:b/>
          <w:color w:val="auto"/>
          <w:kern w:val="0"/>
          <w:sz w:val="24"/>
          <w:szCs w:val="24"/>
          <w:highlight w:val="none"/>
        </w:rPr>
        <w:t>2.4.1</w:t>
      </w:r>
      <w:r>
        <w:rPr>
          <w:rFonts w:hint="eastAsia" w:ascii="仿宋" w:hAnsi="仿宋" w:eastAsia="仿宋" w:cs="Arial"/>
          <w:b/>
          <w:color w:val="auto"/>
          <w:kern w:val="0"/>
          <w:sz w:val="24"/>
          <w:szCs w:val="24"/>
          <w:highlight w:val="none"/>
          <w:u w:val="single"/>
        </w:rPr>
        <w:t>《磋商响应文件》报价出现前后不一致的，按照下列规定修正：</w:t>
      </w:r>
    </w:p>
    <w:p w14:paraId="63388377">
      <w:pPr>
        <w:autoSpaceDN w:val="0"/>
        <w:spacing w:line="360" w:lineRule="auto"/>
        <w:ind w:firstLine="422" w:firstLineChars="175"/>
        <w:rPr>
          <w:rFonts w:ascii="仿宋" w:hAnsi="仿宋" w:eastAsia="仿宋" w:cs="Arial"/>
          <w:color w:val="auto"/>
          <w:kern w:val="0"/>
          <w:sz w:val="24"/>
          <w:highlight w:val="none"/>
        </w:rPr>
      </w:pPr>
      <w:r>
        <w:rPr>
          <w:rFonts w:hint="eastAsia" w:ascii="仿宋" w:hAnsi="仿宋" w:eastAsia="仿宋" w:cs="Arial"/>
          <w:b/>
          <w:color w:val="auto"/>
          <w:kern w:val="0"/>
          <w:sz w:val="24"/>
          <w:highlight w:val="none"/>
        </w:rPr>
        <w:t>（1）《磋商响应文件》中投标函与磋商响应文件中相应内容不一致的，以投标函为准</w:t>
      </w:r>
      <w:r>
        <w:rPr>
          <w:rFonts w:hint="eastAsia" w:ascii="仿宋" w:hAnsi="仿宋" w:eastAsia="仿宋" w:cs="Arial"/>
          <w:color w:val="auto"/>
          <w:kern w:val="0"/>
          <w:sz w:val="24"/>
          <w:highlight w:val="none"/>
        </w:rPr>
        <w:t>。</w:t>
      </w:r>
    </w:p>
    <w:p w14:paraId="48F5921D">
      <w:pPr>
        <w:autoSpaceDN w:val="0"/>
        <w:spacing w:line="360" w:lineRule="auto"/>
        <w:ind w:firstLine="422" w:firstLineChars="175"/>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（2）大写金额和小写金额不一致的，以大写金额为准；</w:t>
      </w:r>
    </w:p>
    <w:p w14:paraId="1138D858">
      <w:pPr>
        <w:autoSpaceDN w:val="0"/>
        <w:spacing w:line="360" w:lineRule="auto"/>
        <w:ind w:firstLine="422" w:firstLineChars="175"/>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（3）单价金额小数点或者百分比有明显错位的，应以开标一览表（报价表）的总价为准，并修改单价；</w:t>
      </w:r>
    </w:p>
    <w:p w14:paraId="69487878">
      <w:pPr>
        <w:autoSpaceDN w:val="0"/>
        <w:spacing w:line="360" w:lineRule="auto"/>
        <w:ind w:firstLine="422" w:firstLineChars="175"/>
        <w:rPr>
          <w:rFonts w:ascii="仿宋" w:hAnsi="仿宋" w:eastAsia="仿宋" w:cs="Arial"/>
          <w:color w:val="auto"/>
          <w:kern w:val="0"/>
          <w:sz w:val="24"/>
          <w:highlight w:val="none"/>
        </w:rPr>
      </w:pPr>
      <w:r>
        <w:rPr>
          <w:rFonts w:hint="eastAsia" w:ascii="仿宋" w:hAnsi="仿宋" w:eastAsia="仿宋" w:cs="Arial"/>
          <w:b/>
          <w:color w:val="auto"/>
          <w:kern w:val="0"/>
          <w:sz w:val="24"/>
          <w:highlight w:val="none"/>
        </w:rPr>
        <w:t>（4）总价金额与按单价汇总金额不一致的，以单价金额计算结果为准。</w:t>
      </w:r>
    </w:p>
    <w:p w14:paraId="3488B8BE">
      <w:pPr>
        <w:autoSpaceDN w:val="0"/>
        <w:spacing w:line="360" w:lineRule="auto"/>
        <w:ind w:firstLine="422" w:firstLineChars="175"/>
        <w:rPr>
          <w:rFonts w:ascii="仿宋" w:hAnsi="仿宋" w:eastAsia="仿宋" w:cs="Arial"/>
          <w:b/>
          <w:color w:val="auto"/>
          <w:kern w:val="0"/>
          <w:sz w:val="24"/>
          <w:highlight w:val="none"/>
          <w:u w:val="single"/>
        </w:rPr>
      </w:pPr>
      <w:r>
        <w:rPr>
          <w:rFonts w:hint="eastAsia" w:ascii="仿宋" w:hAnsi="仿宋" w:eastAsia="仿宋" w:cs="Arial"/>
          <w:b/>
          <w:color w:val="auto"/>
          <w:kern w:val="0"/>
          <w:sz w:val="24"/>
          <w:szCs w:val="24"/>
          <w:highlight w:val="none"/>
          <w:u w:val="single"/>
        </w:rPr>
        <w:t>备注：同时出现两种以上不一致的，按照前款规定的顺序修正。修正后的报价按本章节第2.3.2款的规定经磋商响应供应商确认后产生约束力，磋商响应供应商不确认的，其投标无效</w:t>
      </w:r>
      <w:r>
        <w:rPr>
          <w:rFonts w:hint="eastAsia" w:ascii="仿宋" w:hAnsi="仿宋" w:eastAsia="仿宋" w:cs="Arial"/>
          <w:b/>
          <w:color w:val="auto"/>
          <w:kern w:val="0"/>
          <w:sz w:val="24"/>
          <w:szCs w:val="24"/>
          <w:highlight w:val="none"/>
        </w:rPr>
        <w:t>。</w:t>
      </w:r>
    </w:p>
    <w:p w14:paraId="4C810E4A">
      <w:pPr>
        <w:autoSpaceDN w:val="0"/>
        <w:spacing w:line="360" w:lineRule="auto"/>
        <w:ind w:firstLine="422" w:firstLineChars="175"/>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2.4.2对不同文字文本《磋商响应文件》的解释发生异议的，以中文文本为准。</w:t>
      </w:r>
    </w:p>
    <w:p w14:paraId="2ADF9D65">
      <w:pPr>
        <w:autoSpaceDN w:val="0"/>
        <w:spacing w:line="360" w:lineRule="auto"/>
        <w:ind w:firstLine="422" w:firstLineChars="175"/>
        <w:rPr>
          <w:rFonts w:ascii="仿宋" w:hAnsi="仿宋" w:eastAsia="仿宋" w:cs="Arial"/>
          <w:color w:val="auto"/>
          <w:kern w:val="0"/>
          <w:sz w:val="24"/>
          <w:highlight w:val="none"/>
        </w:rPr>
      </w:pPr>
      <w:r>
        <w:rPr>
          <w:rFonts w:hint="eastAsia" w:ascii="仿宋" w:hAnsi="仿宋" w:eastAsia="仿宋" w:cs="Arial"/>
          <w:b/>
          <w:color w:val="auto"/>
          <w:kern w:val="0"/>
          <w:sz w:val="24"/>
          <w:highlight w:val="none"/>
        </w:rPr>
        <w:t>2.4.3《磋商响应文件》要求提供正、副本时，正、副本内容不一致的，以正本为准。</w:t>
      </w:r>
    </w:p>
    <w:p w14:paraId="4271CB20">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2.5 磋商响应文件的评价、评分</w:t>
      </w:r>
    </w:p>
    <w:p w14:paraId="509F6F36">
      <w:pPr>
        <w:autoSpaceDN w:val="0"/>
        <w:spacing w:line="360" w:lineRule="auto"/>
        <w:ind w:firstLine="424" w:firstLineChars="177"/>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2.5.1磋商小组应当按照招标文件中规定的评审方法和标准，对资格、符合性审查合格的磋商响应文件进行商务和技术评价与评分。评标时，磋商小组各成员将独立对每个磋商响应供应商的磋商响应文件进行评价，并汇总每个磋商响应供应商的得分。</w:t>
      </w:r>
    </w:p>
    <w:p w14:paraId="3D4023E8">
      <w:pPr>
        <w:autoSpaceDN w:val="0"/>
        <w:spacing w:line="360" w:lineRule="auto"/>
        <w:ind w:firstLine="424" w:firstLineChars="177"/>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2.5.2对采购组织机构工作人员汇总的评审结果进行确认。如发现分值汇总计算错误、分项评分超出评分标准范围、客观评分不一致以及存在畸高、畸低（其总评分偏离平均分30%以上的）情形的，磋商小组组长应提醒相关评审人员当场改正或书面说明理由，拒不改正又不作书面说明的，由现场监督员如实记载后存入项目档案资料。</w:t>
      </w:r>
    </w:p>
    <w:p w14:paraId="131216BD">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2.6 修改评审结果</w:t>
      </w:r>
    </w:p>
    <w:p w14:paraId="7AE7F1DB">
      <w:pPr>
        <w:autoSpaceDN w:val="0"/>
        <w:spacing w:line="360" w:lineRule="auto"/>
        <w:ind w:firstLine="424" w:firstLineChars="176"/>
        <w:rPr>
          <w:rFonts w:ascii="仿宋" w:hAnsi="仿宋" w:eastAsia="仿宋" w:cs="Times New Roman"/>
          <w:b/>
          <w:color w:val="auto"/>
          <w:sz w:val="24"/>
          <w:szCs w:val="28"/>
          <w:highlight w:val="none"/>
        </w:rPr>
      </w:pPr>
      <w:r>
        <w:rPr>
          <w:rFonts w:hint="eastAsia" w:ascii="仿宋" w:hAnsi="仿宋" w:eastAsia="仿宋" w:cs="Times New Roman"/>
          <w:b/>
          <w:color w:val="auto"/>
          <w:sz w:val="24"/>
          <w:szCs w:val="28"/>
          <w:highlight w:val="none"/>
        </w:rPr>
        <w:t>2.6.1评标结果汇总完成后，除下列情形外，任何人不得修改评标结果：</w:t>
      </w:r>
    </w:p>
    <w:p w14:paraId="11F5AED5">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（1）分值汇总计算错误的；</w:t>
      </w:r>
    </w:p>
    <w:p w14:paraId="570A724C">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（2）分项评分超出评分标准范围的；</w:t>
      </w:r>
    </w:p>
    <w:p w14:paraId="6BF2AFEF">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（3）磋商小组成员对客观评审因素评分不一致的；</w:t>
      </w:r>
    </w:p>
    <w:p w14:paraId="2910443C">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（4）经磋商小组认定评分畸高、畸低的。</w:t>
      </w:r>
    </w:p>
    <w:p w14:paraId="4D14B9D0">
      <w:pPr>
        <w:autoSpaceDN w:val="0"/>
        <w:spacing w:line="360" w:lineRule="auto"/>
        <w:ind w:firstLine="424" w:firstLineChars="176"/>
        <w:rPr>
          <w:rFonts w:ascii="仿宋" w:hAnsi="仿宋" w:eastAsia="仿宋" w:cs="Times New Roman"/>
          <w:b/>
          <w:color w:val="auto"/>
          <w:sz w:val="28"/>
          <w:szCs w:val="28"/>
          <w:highlight w:val="none"/>
        </w:rPr>
      </w:pPr>
      <w:r>
        <w:rPr>
          <w:rFonts w:hint="eastAsia" w:ascii="仿宋" w:hAnsi="仿宋" w:eastAsia="仿宋" w:cs="Times New Roman"/>
          <w:b/>
          <w:color w:val="auto"/>
          <w:sz w:val="24"/>
          <w:szCs w:val="28"/>
          <w:highlight w:val="none"/>
        </w:rPr>
        <w:t>2.6.2评标报告签署前，经复核发现存在以上情形之一的，磋商小组将当场修改评标结果，并在评标报告中记载。</w:t>
      </w:r>
    </w:p>
    <w:p w14:paraId="1F81B3C8">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2.7 供应商排序及推荐中标（成交）候选供应商</w:t>
      </w:r>
    </w:p>
    <w:p w14:paraId="33BF9465">
      <w:pPr>
        <w:autoSpaceDN w:val="0"/>
        <w:spacing w:line="360" w:lineRule="auto"/>
        <w:ind w:firstLine="424" w:firstLineChars="176"/>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磋商小组根据以下规定确定供应商排名并推荐中标（成交）候选供应商。</w:t>
      </w:r>
    </w:p>
    <w:p w14:paraId="1A66ECF6">
      <w:pPr>
        <w:autoSpaceDN w:val="0"/>
        <w:spacing w:line="360" w:lineRule="auto"/>
        <w:ind w:firstLine="424" w:firstLineChars="176"/>
        <w:rPr>
          <w:rFonts w:ascii="仿宋" w:hAnsi="仿宋" w:eastAsia="仿宋" w:cs="Arial"/>
          <w:color w:val="auto"/>
          <w:kern w:val="0"/>
          <w:sz w:val="24"/>
          <w:highlight w:val="none"/>
        </w:rPr>
      </w:pPr>
      <w:r>
        <w:rPr>
          <w:rFonts w:hint="eastAsia" w:ascii="仿宋" w:hAnsi="仿宋" w:eastAsia="仿宋" w:cs="Arial"/>
          <w:b/>
          <w:color w:val="auto"/>
          <w:sz w:val="24"/>
          <w:highlight w:val="none"/>
        </w:rPr>
        <w:t>2.7.1磋商小组根据各磋商响应供应商的综合得分（商务技术分与最后报价得分之和）从高到低依次进行排名排序。特殊情形按以下原则处理：</w:t>
      </w:r>
    </w:p>
    <w:p w14:paraId="42F557F5">
      <w:pPr>
        <w:autoSpaceDN w:val="0"/>
        <w:spacing w:line="360" w:lineRule="auto"/>
        <w:ind w:firstLine="422" w:firstLineChars="176"/>
        <w:rPr>
          <w:rFonts w:ascii="仿宋" w:hAnsi="仿宋" w:eastAsia="仿宋" w:cs="Arial"/>
          <w:color w:val="auto"/>
          <w:sz w:val="24"/>
          <w:highlight w:val="none"/>
        </w:rPr>
      </w:pPr>
      <w:r>
        <w:rPr>
          <w:rFonts w:hint="eastAsia" w:ascii="仿宋" w:hAnsi="仿宋" w:eastAsia="仿宋" w:cs="Arial"/>
          <w:color w:val="auto"/>
          <w:sz w:val="24"/>
          <w:highlight w:val="none"/>
        </w:rPr>
        <w:t>（1）综合得分相同的，按最后报价低的优先原则确定排名；</w:t>
      </w:r>
    </w:p>
    <w:p w14:paraId="2415A367">
      <w:pPr>
        <w:autoSpaceDN w:val="0"/>
        <w:spacing w:line="360" w:lineRule="auto"/>
        <w:ind w:firstLine="422" w:firstLineChars="176"/>
        <w:rPr>
          <w:rFonts w:ascii="仿宋" w:hAnsi="仿宋" w:eastAsia="仿宋" w:cs="Arial"/>
          <w:color w:val="auto"/>
          <w:sz w:val="24"/>
          <w:highlight w:val="none"/>
        </w:rPr>
      </w:pPr>
      <w:r>
        <w:rPr>
          <w:rFonts w:hint="eastAsia" w:ascii="仿宋" w:hAnsi="仿宋" w:eastAsia="仿宋" w:cs="Arial"/>
          <w:color w:val="auto"/>
          <w:sz w:val="24"/>
          <w:highlight w:val="none"/>
        </w:rPr>
        <w:t>（2）综合得分和最后报价均相同的，按商务技术得分从高到低确定排名；</w:t>
      </w:r>
    </w:p>
    <w:p w14:paraId="7F8F472C">
      <w:pPr>
        <w:autoSpaceDN w:val="0"/>
        <w:spacing w:line="360" w:lineRule="auto"/>
        <w:ind w:firstLine="422" w:firstLineChars="176"/>
        <w:rPr>
          <w:rFonts w:ascii="仿宋" w:hAnsi="仿宋" w:eastAsia="仿宋" w:cs="Arial"/>
          <w:color w:val="auto"/>
          <w:sz w:val="24"/>
          <w:highlight w:val="none"/>
        </w:rPr>
      </w:pPr>
      <w:r>
        <w:rPr>
          <w:rFonts w:hint="eastAsia" w:ascii="仿宋" w:hAnsi="仿宋" w:eastAsia="仿宋" w:cs="Arial"/>
          <w:color w:val="auto"/>
          <w:sz w:val="24"/>
          <w:highlight w:val="none"/>
        </w:rPr>
        <w:t>（3）综合得分、最后报价和商务技术得分均相同的由磋商小组全体成员记名投票按少数服从多数的原则确定排名。</w:t>
      </w:r>
    </w:p>
    <w:p w14:paraId="0639A49A">
      <w:pPr>
        <w:autoSpaceDN w:val="0"/>
        <w:spacing w:line="360" w:lineRule="auto"/>
        <w:ind w:firstLine="424" w:firstLineChars="176"/>
        <w:rPr>
          <w:rFonts w:ascii="仿宋" w:hAnsi="仿宋" w:eastAsia="仿宋" w:cs="Times New Roman"/>
          <w:color w:val="auto"/>
          <w:szCs w:val="24"/>
          <w:highlight w:val="none"/>
        </w:rPr>
      </w:pPr>
      <w:r>
        <w:rPr>
          <w:rFonts w:hint="eastAsia" w:ascii="仿宋" w:hAnsi="仿宋" w:eastAsia="仿宋" w:cs="Arial"/>
          <w:b/>
          <w:color w:val="auto"/>
          <w:sz w:val="24"/>
          <w:highlight w:val="none"/>
        </w:rPr>
        <w:t>2.7.2根据最终得分排序，通过书面评审报告的形式，向采购人推荐综合得分</w:t>
      </w:r>
      <w:r>
        <w:rPr>
          <w:rFonts w:hint="eastAsia" w:ascii="仿宋" w:hAnsi="仿宋" w:eastAsia="仿宋" w:cs="Times New Roman"/>
          <w:b/>
          <w:color w:val="auto"/>
          <w:sz w:val="24"/>
          <w:highlight w:val="none"/>
        </w:rPr>
        <w:t>由高到低顺序推荐3名以上</w:t>
      </w:r>
      <w:r>
        <w:rPr>
          <w:rFonts w:hint="eastAsia" w:ascii="仿宋" w:hAnsi="仿宋" w:eastAsia="仿宋" w:cs="Arial"/>
          <w:b/>
          <w:color w:val="auto"/>
          <w:kern w:val="0"/>
          <w:sz w:val="24"/>
          <w:highlight w:val="none"/>
        </w:rPr>
        <w:t>中标（成交）候选供应商</w:t>
      </w:r>
      <w:r>
        <w:rPr>
          <w:rFonts w:hint="eastAsia" w:ascii="仿宋" w:hAnsi="仿宋" w:eastAsia="仿宋" w:cs="Arial"/>
          <w:b/>
          <w:color w:val="auto"/>
          <w:sz w:val="24"/>
          <w:highlight w:val="none"/>
        </w:rPr>
        <w:t>。</w:t>
      </w:r>
    </w:p>
    <w:p w14:paraId="2DEE8817">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2.8 起草、签署评审报告</w:t>
      </w:r>
    </w:p>
    <w:p w14:paraId="2B072150">
      <w:pPr>
        <w:autoSpaceDN w:val="0"/>
        <w:spacing w:line="360" w:lineRule="auto"/>
        <w:ind w:firstLine="424" w:firstLineChars="177"/>
        <w:rPr>
          <w:rFonts w:ascii="仿宋" w:hAnsi="仿宋" w:eastAsia="仿宋" w:cs="Times New Roman"/>
          <w:color w:val="auto"/>
          <w:sz w:val="24"/>
          <w:szCs w:val="24"/>
          <w:highlight w:val="none"/>
        </w:rPr>
      </w:pPr>
      <w:r>
        <w:rPr>
          <w:rFonts w:hint="eastAsia" w:ascii="仿宋" w:hAnsi="仿宋" w:eastAsia="仿宋" w:cs="Arial"/>
          <w:color w:val="auto"/>
          <w:sz w:val="24"/>
          <w:highlight w:val="none"/>
        </w:rPr>
        <w:t>评审结束后，磋商小组将通过“政府采购云平台”起草评审报告，</w:t>
      </w:r>
      <w:r>
        <w:rPr>
          <w:rFonts w:hint="eastAsia" w:ascii="仿宋" w:hAnsi="仿宋" w:eastAsia="仿宋" w:cs="Times New Roman"/>
          <w:color w:val="auto"/>
          <w:sz w:val="24"/>
          <w:szCs w:val="24"/>
          <w:highlight w:val="none"/>
        </w:rPr>
        <w:t>磋商小组成员应当在评审报告上签字（或加注电子签章），对自己的评审意见承担法律责任。对评审报告有异议的，应当在评审报告上签署不同意见，并说明理由，否则视为同意评审报告。</w:t>
      </w:r>
    </w:p>
    <w:p w14:paraId="58666F23">
      <w:pPr>
        <w:keepNext/>
        <w:keepLines/>
        <w:autoSpaceDN w:val="0"/>
        <w:spacing w:before="97" w:beforeLines="30" w:after="97" w:afterLines="30" w:line="360" w:lineRule="auto"/>
        <w:ind w:firstLine="284" w:firstLineChars="118"/>
        <w:outlineLvl w:val="2"/>
        <w:rPr>
          <w:rFonts w:ascii="仿宋" w:hAnsi="仿宋" w:eastAsia="仿宋" w:cs="Times New Roman"/>
          <w:b/>
          <w:bCs/>
          <w:color w:val="auto"/>
          <w:sz w:val="24"/>
          <w:szCs w:val="32"/>
          <w:highlight w:val="none"/>
        </w:rPr>
      </w:pPr>
      <w:r>
        <w:rPr>
          <w:rFonts w:hint="eastAsia" w:ascii="仿宋" w:hAnsi="仿宋" w:eastAsia="仿宋" w:cs="Times New Roman"/>
          <w:b/>
          <w:bCs/>
          <w:color w:val="auto"/>
          <w:sz w:val="24"/>
          <w:szCs w:val="32"/>
          <w:highlight w:val="none"/>
        </w:rPr>
        <w:t>2.9 重新评审</w:t>
      </w:r>
    </w:p>
    <w:p w14:paraId="6AB75B4A">
      <w:pPr>
        <w:autoSpaceDN w:val="0"/>
        <w:spacing w:line="360" w:lineRule="auto"/>
        <w:ind w:firstLine="426" w:firstLineChars="177"/>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评审报告签署后，采购人或者采购代理机构发现存在下列情形之一的，将组织原磋商小组进行重新评审，重新评审改变评标结果的，将书面报告同级财政部门：</w:t>
      </w:r>
    </w:p>
    <w:p w14:paraId="37979181">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（1）分值汇总计算错误的；</w:t>
      </w:r>
    </w:p>
    <w:p w14:paraId="5BED65AB">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（2）分项评分超出评分标准范围的；</w:t>
      </w:r>
    </w:p>
    <w:p w14:paraId="39AB2D61">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（3）磋商小组成员对客观评审因素评分不一致的；</w:t>
      </w:r>
    </w:p>
    <w:p w14:paraId="1560A4AF">
      <w:pPr>
        <w:autoSpaceDN w:val="0"/>
        <w:spacing w:line="360" w:lineRule="auto"/>
        <w:ind w:firstLine="424" w:firstLineChars="177"/>
        <w:rPr>
          <w:rFonts w:ascii="仿宋" w:hAnsi="仿宋" w:eastAsia="仿宋" w:cs="Times New Roman"/>
          <w:color w:val="auto"/>
          <w:w w:val="90"/>
          <w:sz w:val="22"/>
          <w:highlight w:val="none"/>
        </w:rPr>
      </w:pPr>
      <w:r>
        <w:rPr>
          <w:rFonts w:hint="eastAsia" w:ascii="仿宋" w:hAnsi="仿宋" w:eastAsia="仿宋" w:cs="Times New Roman"/>
          <w:color w:val="auto"/>
          <w:sz w:val="24"/>
          <w:szCs w:val="28"/>
          <w:highlight w:val="none"/>
        </w:rPr>
        <w:t>（4）经磋商小组认定评分畸高、畸低的。</w:t>
      </w:r>
    </w:p>
    <w:p w14:paraId="154C88EC">
      <w:pPr>
        <w:keepNext/>
        <w:keepLines/>
        <w:kinsoku w:val="0"/>
        <w:autoSpaceDE w:val="0"/>
        <w:autoSpaceDN w:val="0"/>
        <w:spacing w:before="260" w:after="260" w:line="415" w:lineRule="auto"/>
        <w:ind w:firstLine="281" w:firstLineChars="100"/>
        <w:outlineLvl w:val="1"/>
        <w:rPr>
          <w:rFonts w:ascii="仿宋" w:hAnsi="仿宋" w:eastAsia="仿宋" w:cs="Times New Roman"/>
          <w:b/>
          <w:bCs/>
          <w:color w:val="auto"/>
          <w:sz w:val="28"/>
          <w:szCs w:val="28"/>
          <w:highlight w:val="none"/>
        </w:rPr>
      </w:pPr>
      <w:bookmarkStart w:id="86" w:name="_Toc14247"/>
      <w:r>
        <w:rPr>
          <w:rFonts w:hint="eastAsia" w:ascii="仿宋" w:hAnsi="仿宋" w:eastAsia="仿宋" w:cs="Times New Roman"/>
          <w:b/>
          <w:bCs/>
          <w:color w:val="auto"/>
          <w:sz w:val="28"/>
          <w:szCs w:val="28"/>
          <w:highlight w:val="none"/>
        </w:rPr>
        <w:t>三、评审内容及标准</w:t>
      </w:r>
      <w:bookmarkEnd w:id="86"/>
    </w:p>
    <w:p w14:paraId="2E9F01A1">
      <w:pPr>
        <w:keepNext/>
        <w:keepLines/>
        <w:autoSpaceDN w:val="0"/>
        <w:spacing w:before="97" w:beforeLines="30" w:after="97" w:afterLines="30" w:line="360" w:lineRule="auto"/>
        <w:outlineLvl w:val="2"/>
        <w:rPr>
          <w:rFonts w:ascii="仿宋" w:hAnsi="仿宋" w:eastAsia="仿宋" w:cs="宋体"/>
          <w:b/>
          <w:bCs/>
          <w:color w:val="auto"/>
          <w:sz w:val="24"/>
          <w:szCs w:val="24"/>
          <w:highlight w:val="none"/>
        </w:rPr>
      </w:pPr>
      <w:r>
        <w:rPr>
          <w:rFonts w:hint="eastAsia" w:ascii="仿宋" w:hAnsi="仿宋" w:eastAsia="仿宋" w:cs="宋体"/>
          <w:b/>
          <w:bCs/>
          <w:color w:val="auto"/>
          <w:sz w:val="24"/>
          <w:szCs w:val="24"/>
          <w:highlight w:val="none"/>
        </w:rPr>
        <w:t>（一）商务技术部分（70分）</w:t>
      </w:r>
    </w:p>
    <w:tbl>
      <w:tblPr>
        <w:tblStyle w:val="61"/>
        <w:tblW w:w="9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9"/>
        <w:gridCol w:w="1098"/>
        <w:gridCol w:w="7327"/>
        <w:gridCol w:w="774"/>
      </w:tblGrid>
      <w:tr w14:paraId="65C30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539" w:type="dxa"/>
            <w:tcBorders>
              <w:tl2br w:val="nil"/>
              <w:tr2bl w:val="nil"/>
            </w:tcBorders>
            <w:shd w:val="clear" w:color="auto" w:fill="FFFFFF"/>
            <w:noWrap/>
            <w:vAlign w:val="center"/>
          </w:tcPr>
          <w:p w14:paraId="20FBCC2E">
            <w:pPr>
              <w:snapToGrid w:val="0"/>
              <w:jc w:val="center"/>
              <w:rPr>
                <w:rFonts w:ascii="仿宋" w:hAnsi="仿宋" w:eastAsia="仿宋" w:cs="Arial"/>
                <w:b/>
                <w:bCs/>
                <w:color w:val="auto"/>
                <w:szCs w:val="21"/>
                <w:highlight w:val="none"/>
              </w:rPr>
            </w:pPr>
            <w:r>
              <w:rPr>
                <w:rFonts w:hint="eastAsia" w:ascii="仿宋" w:hAnsi="仿宋" w:eastAsia="仿宋" w:cs="Arial"/>
                <w:b/>
                <w:bCs/>
                <w:color w:val="auto"/>
                <w:szCs w:val="21"/>
                <w:highlight w:val="none"/>
              </w:rPr>
              <w:t>序号</w:t>
            </w:r>
          </w:p>
        </w:tc>
        <w:tc>
          <w:tcPr>
            <w:tcW w:w="1098" w:type="dxa"/>
            <w:tcBorders>
              <w:tl2br w:val="nil"/>
              <w:tr2bl w:val="nil"/>
            </w:tcBorders>
            <w:shd w:val="clear" w:color="auto" w:fill="FFFFFF"/>
            <w:noWrap/>
            <w:vAlign w:val="center"/>
          </w:tcPr>
          <w:p w14:paraId="6776A8F9">
            <w:pPr>
              <w:snapToGrid w:val="0"/>
              <w:jc w:val="center"/>
              <w:rPr>
                <w:rFonts w:ascii="仿宋" w:hAnsi="仿宋" w:eastAsia="仿宋" w:cs="Arial"/>
                <w:b/>
                <w:bCs/>
                <w:color w:val="auto"/>
                <w:szCs w:val="21"/>
                <w:highlight w:val="none"/>
              </w:rPr>
            </w:pPr>
            <w:r>
              <w:rPr>
                <w:rFonts w:hint="eastAsia" w:ascii="仿宋" w:hAnsi="仿宋" w:eastAsia="仿宋" w:cs="Arial"/>
                <w:b/>
                <w:bCs/>
                <w:color w:val="auto"/>
                <w:szCs w:val="21"/>
                <w:highlight w:val="none"/>
              </w:rPr>
              <w:t>评审因素</w:t>
            </w:r>
          </w:p>
        </w:tc>
        <w:tc>
          <w:tcPr>
            <w:tcW w:w="7327" w:type="dxa"/>
            <w:tcBorders>
              <w:tl2br w:val="nil"/>
              <w:tr2bl w:val="nil"/>
            </w:tcBorders>
            <w:shd w:val="clear" w:color="auto" w:fill="FFFFFF"/>
            <w:noWrap/>
            <w:vAlign w:val="center"/>
          </w:tcPr>
          <w:p w14:paraId="0A5637D4">
            <w:pPr>
              <w:snapToGrid w:val="0"/>
              <w:jc w:val="center"/>
              <w:rPr>
                <w:rFonts w:ascii="仿宋" w:hAnsi="仿宋" w:eastAsia="仿宋" w:cs="Arial"/>
                <w:b/>
                <w:bCs/>
                <w:color w:val="auto"/>
                <w:szCs w:val="21"/>
                <w:highlight w:val="none"/>
              </w:rPr>
            </w:pPr>
            <w:r>
              <w:rPr>
                <w:rFonts w:hint="eastAsia" w:ascii="仿宋" w:hAnsi="仿宋" w:eastAsia="仿宋" w:cs="Arial"/>
                <w:b/>
                <w:bCs/>
                <w:color w:val="auto"/>
                <w:szCs w:val="21"/>
                <w:highlight w:val="none"/>
              </w:rPr>
              <w:t>评审细则</w:t>
            </w:r>
          </w:p>
        </w:tc>
        <w:tc>
          <w:tcPr>
            <w:tcW w:w="774" w:type="dxa"/>
            <w:tcBorders>
              <w:tl2br w:val="nil"/>
              <w:tr2bl w:val="nil"/>
            </w:tcBorders>
            <w:shd w:val="clear" w:color="auto" w:fill="FFFFFF"/>
            <w:vAlign w:val="center"/>
          </w:tcPr>
          <w:p w14:paraId="6F5AAABC">
            <w:pPr>
              <w:snapToGrid w:val="0"/>
              <w:spacing w:line="360" w:lineRule="auto"/>
              <w:jc w:val="center"/>
              <w:rPr>
                <w:rFonts w:ascii="仿宋" w:hAnsi="仿宋" w:eastAsia="仿宋" w:cs="Arial"/>
                <w:b/>
                <w:bCs/>
                <w:color w:val="auto"/>
                <w:szCs w:val="21"/>
                <w:highlight w:val="none"/>
              </w:rPr>
            </w:pPr>
            <w:r>
              <w:rPr>
                <w:rFonts w:hint="eastAsia" w:ascii="仿宋" w:hAnsi="仿宋" w:eastAsia="仿宋" w:cs="Arial"/>
                <w:b/>
                <w:bCs/>
                <w:color w:val="auto"/>
                <w:szCs w:val="21"/>
                <w:highlight w:val="none"/>
              </w:rPr>
              <w:t>分值</w:t>
            </w:r>
          </w:p>
        </w:tc>
      </w:tr>
      <w:tr w14:paraId="2D6E9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tblHeader/>
          <w:jc w:val="center"/>
        </w:trPr>
        <w:tc>
          <w:tcPr>
            <w:tcW w:w="539" w:type="dxa"/>
            <w:tcBorders>
              <w:tl2br w:val="nil"/>
              <w:tr2bl w:val="nil"/>
            </w:tcBorders>
            <w:noWrap/>
            <w:vAlign w:val="center"/>
          </w:tcPr>
          <w:p w14:paraId="09A57280">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w:t>
            </w:r>
          </w:p>
        </w:tc>
        <w:tc>
          <w:tcPr>
            <w:tcW w:w="1098" w:type="dxa"/>
            <w:vMerge w:val="restart"/>
            <w:tcBorders>
              <w:tl2br w:val="nil"/>
              <w:tr2bl w:val="nil"/>
            </w:tcBorders>
            <w:noWrap/>
            <w:vAlign w:val="center"/>
          </w:tcPr>
          <w:p w14:paraId="2DFD7397">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业绩</w:t>
            </w:r>
          </w:p>
        </w:tc>
        <w:tc>
          <w:tcPr>
            <w:tcW w:w="7327" w:type="dxa"/>
            <w:tcBorders>
              <w:tl2br w:val="nil"/>
              <w:tr2bl w:val="nil"/>
            </w:tcBorders>
            <w:noWrap/>
            <w:vAlign w:val="center"/>
          </w:tcPr>
          <w:p w14:paraId="07F79971">
            <w:pPr>
              <w:rPr>
                <w:rFonts w:ascii="仿宋" w:hAnsi="仿宋" w:eastAsia="仿宋" w:cs="仿宋"/>
                <w:color w:val="auto"/>
                <w:szCs w:val="21"/>
                <w:highlight w:val="none"/>
              </w:rPr>
            </w:pPr>
            <w:r>
              <w:rPr>
                <w:rFonts w:hint="eastAsia" w:ascii="仿宋" w:hAnsi="仿宋" w:eastAsia="仿宋" w:cs="仿宋"/>
                <w:color w:val="auto"/>
                <w:szCs w:val="21"/>
                <w:highlight w:val="none"/>
              </w:rPr>
              <w:t>供应商自2021年1月1日以来（以合同签订时间为准）同类项目业绩[以提供的合同及对应分部分项竣工验收报告（或竣工验收报告）扫描件为准]：每提供1份业绩证明材料得0.25分，最高得1分。</w:t>
            </w:r>
          </w:p>
        </w:tc>
        <w:tc>
          <w:tcPr>
            <w:tcW w:w="774" w:type="dxa"/>
            <w:tcBorders>
              <w:tl2br w:val="nil"/>
              <w:tr2bl w:val="nil"/>
            </w:tcBorders>
            <w:vAlign w:val="center"/>
          </w:tcPr>
          <w:p w14:paraId="25CD9BB2">
            <w:pPr>
              <w:jc w:val="center"/>
              <w:rPr>
                <w:rFonts w:ascii="仿宋" w:hAnsi="仿宋" w:eastAsia="仿宋" w:cs="Arial"/>
                <w:color w:val="auto"/>
                <w:szCs w:val="21"/>
                <w:highlight w:val="none"/>
              </w:rPr>
            </w:pPr>
            <w:r>
              <w:rPr>
                <w:rFonts w:hint="eastAsia" w:ascii="仿宋" w:hAnsi="仿宋" w:eastAsia="仿宋" w:cs="仿宋"/>
                <w:color w:val="auto"/>
                <w:szCs w:val="21"/>
                <w:highlight w:val="none"/>
              </w:rPr>
              <w:t>1</w:t>
            </w:r>
          </w:p>
        </w:tc>
      </w:tr>
      <w:tr w14:paraId="0B889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0" w:hRule="atLeast"/>
          <w:tblHeader/>
          <w:jc w:val="center"/>
        </w:trPr>
        <w:tc>
          <w:tcPr>
            <w:tcW w:w="539" w:type="dxa"/>
            <w:tcBorders>
              <w:tl2br w:val="nil"/>
              <w:tr2bl w:val="nil"/>
            </w:tcBorders>
            <w:noWrap/>
            <w:vAlign w:val="center"/>
          </w:tcPr>
          <w:p w14:paraId="0AA10665">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w:t>
            </w:r>
          </w:p>
        </w:tc>
        <w:tc>
          <w:tcPr>
            <w:tcW w:w="1098" w:type="dxa"/>
            <w:vMerge w:val="continue"/>
            <w:tcBorders>
              <w:tl2br w:val="nil"/>
              <w:tr2bl w:val="nil"/>
            </w:tcBorders>
            <w:noWrap/>
            <w:vAlign w:val="center"/>
          </w:tcPr>
          <w:p w14:paraId="01956A3B">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693AB14A">
            <w:pPr>
              <w:rPr>
                <w:rFonts w:ascii="仿宋" w:hAnsi="仿宋" w:eastAsia="仿宋" w:cs="仿宋"/>
                <w:color w:val="auto"/>
                <w:szCs w:val="21"/>
                <w:highlight w:val="none"/>
              </w:rPr>
            </w:pPr>
            <w:r>
              <w:rPr>
                <w:rFonts w:hint="eastAsia" w:ascii="仿宋" w:hAnsi="仿宋" w:eastAsia="仿宋" w:cs="仿宋"/>
                <w:color w:val="auto"/>
                <w:szCs w:val="21"/>
                <w:highlight w:val="none"/>
              </w:rPr>
              <w:t>拟派项目经理自2021年1月1日以来（以合同签订时间为准）以项目经理身份参与同类项目业绩[以提供的合同及对应分部分项竣工验收报告（或竣工验收报告）扫描件为准</w:t>
            </w:r>
            <w:r>
              <w:rPr>
                <w:rFonts w:hint="eastAsia" w:ascii="仿宋" w:hAnsi="仿宋" w:eastAsia="仿宋" w:cs="仿宋"/>
                <w:color w:val="auto"/>
                <w:szCs w:val="21"/>
                <w:highlight w:val="none"/>
                <w:lang w:eastAsia="zh-CN"/>
              </w:rPr>
              <w:t>，合同中无法体现项目经理姓名的可提供业主证明材料作为补充</w:t>
            </w:r>
            <w:r>
              <w:rPr>
                <w:rFonts w:hint="eastAsia" w:ascii="仿宋" w:hAnsi="仿宋" w:eastAsia="仿宋" w:cs="仿宋"/>
                <w:color w:val="auto"/>
                <w:szCs w:val="21"/>
                <w:highlight w:val="none"/>
              </w:rPr>
              <w:t>]：每提供1份业绩证明材料得0.25分，最高得0.5分。</w:t>
            </w:r>
          </w:p>
          <w:p w14:paraId="2333002A">
            <w:pPr>
              <w:rPr>
                <w:rFonts w:ascii="仿宋" w:hAnsi="仿宋" w:eastAsia="仿宋" w:cs="仿宋"/>
                <w:color w:val="auto"/>
                <w:szCs w:val="21"/>
                <w:highlight w:val="none"/>
              </w:rPr>
            </w:pPr>
            <w:r>
              <w:rPr>
                <w:rFonts w:hint="eastAsia" w:ascii="仿宋" w:hAnsi="仿宋" w:eastAsia="仿宋" w:cs="仿宋"/>
                <w:b/>
                <w:bCs/>
                <w:color w:val="auto"/>
                <w:szCs w:val="21"/>
                <w:highlight w:val="none"/>
              </w:rPr>
              <w:t>注：同一业绩如已在第1项评分项（供应商业绩）中计分，则不可在本项中重复计分。</w:t>
            </w:r>
          </w:p>
        </w:tc>
        <w:tc>
          <w:tcPr>
            <w:tcW w:w="774" w:type="dxa"/>
            <w:tcBorders>
              <w:tl2br w:val="nil"/>
              <w:tr2bl w:val="nil"/>
            </w:tcBorders>
            <w:vAlign w:val="center"/>
          </w:tcPr>
          <w:p w14:paraId="2B96ADD0">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0.5</w:t>
            </w:r>
          </w:p>
        </w:tc>
      </w:tr>
      <w:tr w14:paraId="3A474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atLeast"/>
          <w:tblHeader/>
          <w:jc w:val="center"/>
        </w:trPr>
        <w:tc>
          <w:tcPr>
            <w:tcW w:w="539" w:type="dxa"/>
            <w:tcBorders>
              <w:tl2br w:val="nil"/>
              <w:tr2bl w:val="nil"/>
            </w:tcBorders>
            <w:noWrap/>
            <w:vAlign w:val="center"/>
          </w:tcPr>
          <w:p w14:paraId="362A266E">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3</w:t>
            </w:r>
          </w:p>
        </w:tc>
        <w:tc>
          <w:tcPr>
            <w:tcW w:w="1098" w:type="dxa"/>
            <w:tcBorders>
              <w:tl2br w:val="nil"/>
              <w:tr2bl w:val="nil"/>
            </w:tcBorders>
            <w:noWrap/>
            <w:vAlign w:val="center"/>
          </w:tcPr>
          <w:p w14:paraId="7AFFEE67">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体系认证</w:t>
            </w:r>
          </w:p>
        </w:tc>
        <w:tc>
          <w:tcPr>
            <w:tcW w:w="7327" w:type="dxa"/>
            <w:tcBorders>
              <w:tl2br w:val="nil"/>
              <w:tr2bl w:val="nil"/>
            </w:tcBorders>
            <w:noWrap/>
            <w:vAlign w:val="center"/>
          </w:tcPr>
          <w:p w14:paraId="56ECEF97">
            <w:pPr>
              <w:rPr>
                <w:rFonts w:ascii="仿宋" w:hAnsi="仿宋" w:eastAsia="仿宋" w:cs="仿宋"/>
                <w:b/>
                <w:bCs/>
                <w:color w:val="auto"/>
                <w:szCs w:val="21"/>
                <w:highlight w:val="none"/>
              </w:rPr>
            </w:pPr>
            <w:r>
              <w:rPr>
                <w:rFonts w:hint="eastAsia" w:ascii="仿宋" w:hAnsi="仿宋" w:eastAsia="仿宋" w:cs="仿宋"/>
                <w:color w:val="auto"/>
                <w:szCs w:val="21"/>
                <w:highlight w:val="none"/>
              </w:rPr>
              <w:t>供应商具有有效的质量管理体系、环境管理体系、职业健康安全管理体系认证证书的，提供一个得1分，最高得3分（响应文件中提供证书扫描件和全国认证认可信息公共服务平台http://cx.cnca.cn/的查询网页截图，不提供不得分）。</w:t>
            </w:r>
          </w:p>
        </w:tc>
        <w:tc>
          <w:tcPr>
            <w:tcW w:w="774" w:type="dxa"/>
            <w:tcBorders>
              <w:tl2br w:val="nil"/>
              <w:tr2bl w:val="nil"/>
            </w:tcBorders>
            <w:vAlign w:val="center"/>
          </w:tcPr>
          <w:p w14:paraId="088C52C1">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7A8A3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9" w:hRule="atLeast"/>
          <w:tblHeader/>
          <w:jc w:val="center"/>
        </w:trPr>
        <w:tc>
          <w:tcPr>
            <w:tcW w:w="539" w:type="dxa"/>
            <w:tcBorders>
              <w:tl2br w:val="nil"/>
              <w:tr2bl w:val="nil"/>
            </w:tcBorders>
            <w:noWrap/>
            <w:vAlign w:val="center"/>
          </w:tcPr>
          <w:p w14:paraId="6E324662">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4</w:t>
            </w:r>
          </w:p>
        </w:tc>
        <w:tc>
          <w:tcPr>
            <w:tcW w:w="1098" w:type="dxa"/>
            <w:tcBorders>
              <w:tl2br w:val="nil"/>
              <w:tr2bl w:val="nil"/>
            </w:tcBorders>
            <w:noWrap/>
            <w:vAlign w:val="center"/>
          </w:tcPr>
          <w:p w14:paraId="11C5A001">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节能、环保</w:t>
            </w:r>
          </w:p>
        </w:tc>
        <w:tc>
          <w:tcPr>
            <w:tcW w:w="7327" w:type="dxa"/>
            <w:tcBorders>
              <w:tl2br w:val="nil"/>
              <w:tr2bl w:val="nil"/>
            </w:tcBorders>
            <w:noWrap/>
            <w:vAlign w:val="center"/>
          </w:tcPr>
          <w:p w14:paraId="528113ED">
            <w:pPr>
              <w:rPr>
                <w:rFonts w:ascii="仿宋" w:hAnsi="仿宋" w:eastAsia="仿宋" w:cs="仿宋"/>
                <w:color w:val="auto"/>
                <w:szCs w:val="21"/>
                <w:highlight w:val="none"/>
              </w:rPr>
            </w:pPr>
            <w:r>
              <w:rPr>
                <w:rFonts w:hint="eastAsia" w:ascii="仿宋" w:hAnsi="仿宋" w:eastAsia="仿宋" w:cs="仿宋"/>
                <w:color w:val="auto"/>
                <w:highlight w:val="none"/>
              </w:rPr>
              <w:t>用于本项目的材料列入政府采购节能产品（已列入强制要求的除外）、环境标志产品品目清单范围的，节能产品0.5分，环境标志产0.5分，本项累计最高得1.5分。（根据最新政府采购节能产品、环境标志产品品目清单进行评分，供应商应在投标文件中提供相关依据国家确定的认证机构出具的、处于有效期之内的节能产品、环境标志产品认证证书证明材料，否则不得分）。</w:t>
            </w:r>
          </w:p>
        </w:tc>
        <w:tc>
          <w:tcPr>
            <w:tcW w:w="774" w:type="dxa"/>
            <w:tcBorders>
              <w:tl2br w:val="nil"/>
              <w:tr2bl w:val="nil"/>
            </w:tcBorders>
            <w:vAlign w:val="center"/>
          </w:tcPr>
          <w:p w14:paraId="19E8F9A8">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r>
      <w:tr w14:paraId="2AEDC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1878AD7E">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5</w:t>
            </w:r>
          </w:p>
        </w:tc>
        <w:tc>
          <w:tcPr>
            <w:tcW w:w="1098" w:type="dxa"/>
            <w:vMerge w:val="restart"/>
            <w:tcBorders>
              <w:tl2br w:val="nil"/>
              <w:tr2bl w:val="nil"/>
            </w:tcBorders>
            <w:noWrap/>
            <w:vAlign w:val="center"/>
          </w:tcPr>
          <w:p w14:paraId="4C029934">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项目实施</w:t>
            </w:r>
          </w:p>
        </w:tc>
        <w:tc>
          <w:tcPr>
            <w:tcW w:w="7327" w:type="dxa"/>
            <w:tcBorders>
              <w:tl2br w:val="nil"/>
              <w:tr2bl w:val="nil"/>
            </w:tcBorders>
            <w:noWrap/>
            <w:vAlign w:val="center"/>
          </w:tcPr>
          <w:p w14:paraId="4343BA5E">
            <w:pPr>
              <w:rPr>
                <w:rFonts w:ascii="仿宋" w:hAnsi="仿宋" w:eastAsia="仿宋" w:cs="仿宋"/>
                <w:color w:val="auto"/>
                <w:highlight w:val="none"/>
              </w:rPr>
            </w:pPr>
            <w:r>
              <w:rPr>
                <w:rFonts w:hint="eastAsia" w:ascii="仿宋" w:hAnsi="仿宋" w:eastAsia="仿宋" w:cs="仿宋"/>
                <w:color w:val="auto"/>
                <w:highlight w:val="none"/>
              </w:rPr>
              <w:t>总体概述-工程概况、施工组织总体设想和方案</w:t>
            </w:r>
            <w:r>
              <w:rPr>
                <w:rFonts w:hint="eastAsia" w:ascii="仿宋" w:hAnsi="仿宋" w:eastAsia="仿宋" w:cs="仿宋"/>
                <w:color w:val="auto"/>
                <w:szCs w:val="21"/>
                <w:highlight w:val="none"/>
              </w:rPr>
              <w:t>：</w:t>
            </w:r>
            <w:r>
              <w:rPr>
                <w:rFonts w:hint="eastAsia" w:ascii="仿宋" w:hAnsi="仿宋" w:eastAsia="仿宋" w:cs="仿宋"/>
                <w:color w:val="auto"/>
                <w:highlight w:val="none"/>
              </w:rPr>
              <w:t>根据方案的全面性、合理性以及对本项目的针对性进行评审。（评审分值为3分或2分或1分或0分）</w:t>
            </w:r>
          </w:p>
        </w:tc>
        <w:tc>
          <w:tcPr>
            <w:tcW w:w="774" w:type="dxa"/>
            <w:tcBorders>
              <w:tl2br w:val="nil"/>
              <w:tr2bl w:val="nil"/>
            </w:tcBorders>
            <w:vAlign w:val="center"/>
          </w:tcPr>
          <w:p w14:paraId="528C751A">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6596D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406F335C">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6</w:t>
            </w:r>
          </w:p>
        </w:tc>
        <w:tc>
          <w:tcPr>
            <w:tcW w:w="1098" w:type="dxa"/>
            <w:vMerge w:val="continue"/>
            <w:tcBorders>
              <w:tl2br w:val="nil"/>
              <w:tr2bl w:val="nil"/>
            </w:tcBorders>
            <w:noWrap/>
            <w:vAlign w:val="center"/>
          </w:tcPr>
          <w:p w14:paraId="0735407B">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3FF77843">
            <w:pPr>
              <w:rPr>
                <w:rFonts w:ascii="仿宋" w:hAnsi="仿宋" w:eastAsia="仿宋" w:cs="仿宋"/>
                <w:color w:val="auto"/>
                <w:highlight w:val="none"/>
              </w:rPr>
            </w:pPr>
            <w:r>
              <w:rPr>
                <w:rFonts w:hint="eastAsia" w:ascii="仿宋" w:hAnsi="仿宋" w:eastAsia="仿宋" w:cs="仿宋"/>
                <w:color w:val="auto"/>
                <w:highlight w:val="none"/>
              </w:rPr>
              <w:t>总体概述-</w:t>
            </w:r>
            <w:r>
              <w:rPr>
                <w:rFonts w:hint="eastAsia" w:ascii="仿宋" w:hAnsi="仿宋" w:eastAsia="仿宋" w:cs="仿宋"/>
                <w:color w:val="auto"/>
                <w:szCs w:val="21"/>
                <w:highlight w:val="none"/>
              </w:rPr>
              <w:t>施工阶段划分：根据施工划分的合理性，与采购需求及实际特点的符合程度进行评审。（评审分值为2分或1.5分或1分或0.5分或0分）</w:t>
            </w:r>
          </w:p>
        </w:tc>
        <w:tc>
          <w:tcPr>
            <w:tcW w:w="774" w:type="dxa"/>
            <w:tcBorders>
              <w:tl2br w:val="nil"/>
              <w:tr2bl w:val="nil"/>
            </w:tcBorders>
            <w:vAlign w:val="center"/>
          </w:tcPr>
          <w:p w14:paraId="6DC0894C">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71A29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304CE9F6">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7</w:t>
            </w:r>
          </w:p>
        </w:tc>
        <w:tc>
          <w:tcPr>
            <w:tcW w:w="1098" w:type="dxa"/>
            <w:vMerge w:val="continue"/>
            <w:tcBorders>
              <w:tl2br w:val="nil"/>
              <w:tr2bl w:val="nil"/>
            </w:tcBorders>
            <w:noWrap/>
            <w:vAlign w:val="center"/>
          </w:tcPr>
          <w:p w14:paraId="140E6490">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51A7CDD1">
            <w:pPr>
              <w:rPr>
                <w:rFonts w:ascii="仿宋" w:hAnsi="仿宋" w:eastAsia="仿宋" w:cs="仿宋"/>
                <w:color w:val="auto"/>
                <w:highlight w:val="none"/>
              </w:rPr>
            </w:pPr>
            <w:r>
              <w:rPr>
                <w:rFonts w:hint="eastAsia" w:ascii="仿宋" w:hAnsi="仿宋" w:eastAsia="仿宋" w:cs="仿宋"/>
                <w:color w:val="auto"/>
                <w:szCs w:val="21"/>
                <w:highlight w:val="none"/>
              </w:rPr>
              <w:t>施工方案重难点分析：根据分析方案完善、合理、针对性进行评审。</w:t>
            </w:r>
            <w:r>
              <w:rPr>
                <w:rFonts w:hint="eastAsia" w:ascii="仿宋" w:hAnsi="仿宋" w:eastAsia="仿宋" w:cs="仿宋"/>
                <w:color w:val="auto"/>
                <w:highlight w:val="none"/>
              </w:rPr>
              <w:t>（评审分值为3分或2分或1分或0分）</w:t>
            </w:r>
          </w:p>
        </w:tc>
        <w:tc>
          <w:tcPr>
            <w:tcW w:w="774" w:type="dxa"/>
            <w:tcBorders>
              <w:tl2br w:val="nil"/>
              <w:tr2bl w:val="nil"/>
            </w:tcBorders>
            <w:vAlign w:val="center"/>
          </w:tcPr>
          <w:p w14:paraId="7CC3901C">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B50B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5F103845">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8</w:t>
            </w:r>
          </w:p>
        </w:tc>
        <w:tc>
          <w:tcPr>
            <w:tcW w:w="1098" w:type="dxa"/>
            <w:vMerge w:val="continue"/>
            <w:tcBorders>
              <w:tl2br w:val="nil"/>
              <w:tr2bl w:val="nil"/>
            </w:tcBorders>
            <w:noWrap/>
            <w:vAlign w:val="center"/>
          </w:tcPr>
          <w:p w14:paraId="26FAE985">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393CDA5E">
            <w:pPr>
              <w:rPr>
                <w:rFonts w:ascii="仿宋" w:hAnsi="仿宋" w:eastAsia="仿宋" w:cs="仿宋"/>
                <w:color w:val="auto"/>
                <w:szCs w:val="21"/>
                <w:highlight w:val="none"/>
              </w:rPr>
            </w:pPr>
            <w:r>
              <w:rPr>
                <w:rFonts w:hint="eastAsia" w:ascii="仿宋" w:hAnsi="仿宋" w:eastAsia="仿宋" w:cs="仿宋"/>
                <w:color w:val="auto"/>
                <w:szCs w:val="21"/>
                <w:highlight w:val="none"/>
              </w:rPr>
              <w:t>施工重难点对应控制措施：根据措施的科学性、合理性、可行性进行评审。（评审分值为2分或1.5分或1分或0.5分或0分）</w:t>
            </w:r>
          </w:p>
        </w:tc>
        <w:tc>
          <w:tcPr>
            <w:tcW w:w="774" w:type="dxa"/>
            <w:tcBorders>
              <w:tl2br w:val="nil"/>
              <w:tr2bl w:val="nil"/>
            </w:tcBorders>
            <w:vAlign w:val="center"/>
          </w:tcPr>
          <w:p w14:paraId="0D51F28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6EA8B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786BD54D">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9</w:t>
            </w:r>
          </w:p>
        </w:tc>
        <w:tc>
          <w:tcPr>
            <w:tcW w:w="1098" w:type="dxa"/>
            <w:vMerge w:val="continue"/>
            <w:tcBorders>
              <w:tl2br w:val="nil"/>
              <w:tr2bl w:val="nil"/>
            </w:tcBorders>
            <w:noWrap/>
            <w:vAlign w:val="center"/>
          </w:tcPr>
          <w:p w14:paraId="1BBE6A2B">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436926A9">
            <w:pPr>
              <w:rPr>
                <w:rFonts w:ascii="仿宋" w:hAnsi="仿宋" w:eastAsia="仿宋" w:cs="仿宋"/>
                <w:color w:val="auto"/>
                <w:szCs w:val="21"/>
                <w:highlight w:val="none"/>
              </w:rPr>
            </w:pPr>
            <w:r>
              <w:rPr>
                <w:rFonts w:hint="eastAsia" w:ascii="仿宋" w:hAnsi="仿宋" w:eastAsia="仿宋" w:cs="仿宋"/>
                <w:color w:val="auto"/>
                <w:szCs w:val="21"/>
                <w:highlight w:val="none"/>
              </w:rPr>
              <w:t>针对本项目特点需采取的专门施工技术：根据方案完善程度、合理性、针对性进行评审。（评审分值为</w:t>
            </w:r>
            <w:r>
              <w:rPr>
                <w:rFonts w:hint="eastAsia" w:ascii="仿宋" w:hAnsi="仿宋" w:eastAsia="仿宋" w:cs="仿宋"/>
                <w:color w:val="auto"/>
                <w:highlight w:val="none"/>
              </w:rPr>
              <w:t>3分或2分或1分或0分</w:t>
            </w:r>
            <w:r>
              <w:rPr>
                <w:rFonts w:hint="eastAsia" w:ascii="仿宋" w:hAnsi="仿宋" w:eastAsia="仿宋" w:cs="仿宋"/>
                <w:color w:val="auto"/>
                <w:szCs w:val="21"/>
                <w:highlight w:val="none"/>
              </w:rPr>
              <w:t>）</w:t>
            </w:r>
          </w:p>
        </w:tc>
        <w:tc>
          <w:tcPr>
            <w:tcW w:w="774" w:type="dxa"/>
            <w:tcBorders>
              <w:tl2br w:val="nil"/>
              <w:tr2bl w:val="nil"/>
            </w:tcBorders>
            <w:vAlign w:val="center"/>
          </w:tcPr>
          <w:p w14:paraId="6C41663E">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p>
        </w:tc>
      </w:tr>
      <w:tr w14:paraId="2D1B4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3D1C8535">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10</w:t>
            </w:r>
          </w:p>
        </w:tc>
        <w:tc>
          <w:tcPr>
            <w:tcW w:w="1098" w:type="dxa"/>
            <w:vMerge w:val="continue"/>
            <w:tcBorders>
              <w:tl2br w:val="nil"/>
              <w:tr2bl w:val="nil"/>
            </w:tcBorders>
            <w:noWrap/>
            <w:vAlign w:val="center"/>
          </w:tcPr>
          <w:p w14:paraId="23CE7A30">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3B5845A4">
            <w:pPr>
              <w:rPr>
                <w:rFonts w:ascii="仿宋" w:hAnsi="仿宋" w:eastAsia="仿宋" w:cs="仿宋"/>
                <w:color w:val="auto"/>
                <w:szCs w:val="21"/>
                <w:highlight w:val="none"/>
              </w:rPr>
            </w:pPr>
            <w:r>
              <w:rPr>
                <w:rFonts w:hint="eastAsia" w:ascii="仿宋" w:hAnsi="仿宋" w:eastAsia="仿宋" w:cs="仿宋"/>
                <w:color w:val="auto"/>
                <w:szCs w:val="21"/>
                <w:highlight w:val="none"/>
              </w:rPr>
              <w:t>项目需采取的专门施工组织措施：根据方案完善程度、合理性、针对性、可行性进行评审。</w:t>
            </w:r>
            <w:r>
              <w:rPr>
                <w:rFonts w:hint="eastAsia" w:ascii="仿宋" w:hAnsi="仿宋" w:eastAsia="仿宋" w:cs="仿宋"/>
                <w:color w:val="auto"/>
                <w:highlight w:val="none"/>
              </w:rPr>
              <w:t>（评审分值为</w:t>
            </w:r>
            <w:r>
              <w:rPr>
                <w:rFonts w:hint="eastAsia" w:ascii="仿宋" w:hAnsi="仿宋" w:eastAsia="仿宋" w:cs="仿宋"/>
                <w:color w:val="auto"/>
                <w:szCs w:val="21"/>
                <w:highlight w:val="none"/>
              </w:rPr>
              <w:t>2分或1.5分或1分或0.5分或0分</w:t>
            </w:r>
            <w:r>
              <w:rPr>
                <w:rFonts w:hint="eastAsia" w:ascii="仿宋" w:hAnsi="仿宋" w:eastAsia="仿宋" w:cs="仿宋"/>
                <w:color w:val="auto"/>
                <w:highlight w:val="none"/>
              </w:rPr>
              <w:t>）</w:t>
            </w:r>
          </w:p>
        </w:tc>
        <w:tc>
          <w:tcPr>
            <w:tcW w:w="774" w:type="dxa"/>
            <w:tcBorders>
              <w:tl2br w:val="nil"/>
              <w:tr2bl w:val="nil"/>
            </w:tcBorders>
            <w:vAlign w:val="center"/>
          </w:tcPr>
          <w:p w14:paraId="384C1913">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r>
      <w:tr w14:paraId="32A98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592FA90F">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11</w:t>
            </w:r>
          </w:p>
        </w:tc>
        <w:tc>
          <w:tcPr>
            <w:tcW w:w="1098" w:type="dxa"/>
            <w:vMerge w:val="continue"/>
            <w:tcBorders>
              <w:tl2br w:val="nil"/>
              <w:tr2bl w:val="nil"/>
            </w:tcBorders>
            <w:noWrap/>
            <w:vAlign w:val="center"/>
          </w:tcPr>
          <w:p w14:paraId="4F350F49">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6488FAAD">
            <w:pPr>
              <w:rPr>
                <w:rFonts w:ascii="仿宋" w:hAnsi="仿宋" w:eastAsia="仿宋" w:cs="仿宋"/>
                <w:color w:val="auto"/>
                <w:szCs w:val="21"/>
                <w:highlight w:val="none"/>
              </w:rPr>
            </w:pPr>
            <w:r>
              <w:rPr>
                <w:rFonts w:hint="eastAsia" w:ascii="仿宋" w:hAnsi="仿宋" w:eastAsia="仿宋" w:cs="仿宋"/>
                <w:color w:val="auto"/>
                <w:szCs w:val="21"/>
                <w:highlight w:val="none"/>
              </w:rPr>
              <w:t>施工各阶段进度计划：根据施工进度计划的合理性、可行性及对本项目的针对性进行评审。</w:t>
            </w:r>
            <w:r>
              <w:rPr>
                <w:rFonts w:hint="eastAsia" w:ascii="仿宋" w:hAnsi="仿宋" w:eastAsia="仿宋" w:cs="仿宋"/>
                <w:color w:val="auto"/>
                <w:highlight w:val="none"/>
              </w:rPr>
              <w:t>（评审分值为3分或2分或1分或0分）</w:t>
            </w:r>
          </w:p>
        </w:tc>
        <w:tc>
          <w:tcPr>
            <w:tcW w:w="774" w:type="dxa"/>
            <w:tcBorders>
              <w:tl2br w:val="nil"/>
              <w:tr2bl w:val="nil"/>
            </w:tcBorders>
            <w:vAlign w:val="center"/>
          </w:tcPr>
          <w:p w14:paraId="489FDCC3">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42A0D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5D3616C8">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12</w:t>
            </w:r>
          </w:p>
        </w:tc>
        <w:tc>
          <w:tcPr>
            <w:tcW w:w="1098" w:type="dxa"/>
            <w:vMerge w:val="continue"/>
            <w:tcBorders>
              <w:tl2br w:val="nil"/>
              <w:tr2bl w:val="nil"/>
            </w:tcBorders>
            <w:noWrap/>
            <w:vAlign w:val="center"/>
          </w:tcPr>
          <w:p w14:paraId="74858E40">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55F44624">
            <w:pPr>
              <w:rPr>
                <w:rFonts w:ascii="仿宋" w:hAnsi="仿宋" w:eastAsia="仿宋" w:cs="仿宋"/>
                <w:color w:val="auto"/>
                <w:szCs w:val="21"/>
                <w:highlight w:val="none"/>
              </w:rPr>
            </w:pPr>
            <w:r>
              <w:rPr>
                <w:rFonts w:hint="eastAsia" w:ascii="仿宋" w:hAnsi="仿宋" w:eastAsia="仿宋" w:cs="仿宋"/>
                <w:color w:val="auto"/>
                <w:szCs w:val="21"/>
                <w:highlight w:val="none"/>
              </w:rPr>
              <w:t>施工进度计划网络图：根据网络图表达的清晰程度、内容完善度以及内容的合理性、可行性进行评审。（评审分值为2分或1.5分或1分或0.5分或0分）</w:t>
            </w:r>
          </w:p>
        </w:tc>
        <w:tc>
          <w:tcPr>
            <w:tcW w:w="774" w:type="dxa"/>
            <w:tcBorders>
              <w:tl2br w:val="nil"/>
              <w:tr2bl w:val="nil"/>
            </w:tcBorders>
            <w:vAlign w:val="center"/>
          </w:tcPr>
          <w:p w14:paraId="495D1CB7">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02474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1" w:hRule="atLeast"/>
          <w:tblHeader/>
          <w:jc w:val="center"/>
        </w:trPr>
        <w:tc>
          <w:tcPr>
            <w:tcW w:w="539" w:type="dxa"/>
            <w:tcBorders>
              <w:tl2br w:val="nil"/>
              <w:tr2bl w:val="nil"/>
            </w:tcBorders>
            <w:noWrap/>
            <w:vAlign w:val="center"/>
          </w:tcPr>
          <w:p w14:paraId="169CE2AB">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13</w:t>
            </w:r>
          </w:p>
        </w:tc>
        <w:tc>
          <w:tcPr>
            <w:tcW w:w="1098" w:type="dxa"/>
            <w:vMerge w:val="continue"/>
            <w:tcBorders>
              <w:tl2br w:val="nil"/>
              <w:tr2bl w:val="nil"/>
            </w:tcBorders>
            <w:noWrap/>
            <w:vAlign w:val="center"/>
          </w:tcPr>
          <w:p w14:paraId="2DD8999D">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3F42BD64">
            <w:pPr>
              <w:rPr>
                <w:rFonts w:ascii="仿宋" w:hAnsi="仿宋" w:eastAsia="仿宋" w:cs="仿宋"/>
                <w:color w:val="auto"/>
                <w:szCs w:val="21"/>
                <w:highlight w:val="none"/>
              </w:rPr>
            </w:pPr>
            <w:r>
              <w:rPr>
                <w:rFonts w:hint="eastAsia" w:ascii="仿宋" w:hAnsi="仿宋" w:eastAsia="仿宋" w:cs="仿宋"/>
                <w:color w:val="auto"/>
                <w:szCs w:val="21"/>
                <w:highlight w:val="none"/>
              </w:rPr>
              <w:t>劳动力、施工机械设备及材料各阶段的投入安排：根据安排的科学性、合理性，以及整体考虑的全面性，对采购项目实施的有利程度进行评审。</w:t>
            </w:r>
            <w:r>
              <w:rPr>
                <w:rFonts w:hint="eastAsia" w:ascii="仿宋" w:hAnsi="仿宋" w:eastAsia="仿宋" w:cs="仿宋"/>
                <w:color w:val="auto"/>
                <w:highlight w:val="none"/>
              </w:rPr>
              <w:t>（评审分值为3分或2分或1分或0分）</w:t>
            </w:r>
          </w:p>
        </w:tc>
        <w:tc>
          <w:tcPr>
            <w:tcW w:w="774" w:type="dxa"/>
            <w:tcBorders>
              <w:tl2br w:val="nil"/>
              <w:tr2bl w:val="nil"/>
            </w:tcBorders>
            <w:vAlign w:val="center"/>
          </w:tcPr>
          <w:p w14:paraId="44ED101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5C60C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6CD5C485">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14</w:t>
            </w:r>
          </w:p>
        </w:tc>
        <w:tc>
          <w:tcPr>
            <w:tcW w:w="1098" w:type="dxa"/>
            <w:vMerge w:val="continue"/>
            <w:tcBorders>
              <w:tl2br w:val="nil"/>
              <w:tr2bl w:val="nil"/>
            </w:tcBorders>
            <w:noWrap/>
            <w:vAlign w:val="center"/>
          </w:tcPr>
          <w:p w14:paraId="6D17D8BF">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2C4C244B">
            <w:pPr>
              <w:rPr>
                <w:rFonts w:ascii="仿宋" w:hAnsi="仿宋" w:eastAsia="仿宋" w:cs="仿宋"/>
                <w:color w:val="auto"/>
                <w:szCs w:val="21"/>
                <w:highlight w:val="none"/>
              </w:rPr>
            </w:pPr>
            <w:r>
              <w:rPr>
                <w:rFonts w:hint="eastAsia" w:ascii="仿宋" w:hAnsi="仿宋" w:eastAsia="仿宋" w:cs="仿宋"/>
                <w:color w:val="auto"/>
                <w:szCs w:val="21"/>
                <w:highlight w:val="none"/>
              </w:rPr>
              <w:t>施工材料设备选型情况；根据选用的施工材料对项目需求的满足程度，拟投入设备配置的科学性、合理性，对项目实施的有利程度进行评审。</w:t>
            </w:r>
            <w:r>
              <w:rPr>
                <w:rFonts w:hint="eastAsia" w:ascii="仿宋" w:hAnsi="仿宋" w:eastAsia="仿宋" w:cs="仿宋"/>
                <w:color w:val="auto"/>
                <w:highlight w:val="none"/>
              </w:rPr>
              <w:t>（评审分值为4分或3分或2分或1分或0分）</w:t>
            </w:r>
          </w:p>
        </w:tc>
        <w:tc>
          <w:tcPr>
            <w:tcW w:w="774" w:type="dxa"/>
            <w:tcBorders>
              <w:tl2br w:val="nil"/>
              <w:tr2bl w:val="nil"/>
            </w:tcBorders>
            <w:vAlign w:val="center"/>
          </w:tcPr>
          <w:p w14:paraId="16F99D23">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r>
      <w:tr w14:paraId="075C6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653B3703">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15</w:t>
            </w:r>
          </w:p>
        </w:tc>
        <w:tc>
          <w:tcPr>
            <w:tcW w:w="1098" w:type="dxa"/>
            <w:vMerge w:val="continue"/>
            <w:tcBorders>
              <w:tl2br w:val="nil"/>
              <w:tr2bl w:val="nil"/>
            </w:tcBorders>
            <w:noWrap/>
            <w:vAlign w:val="center"/>
          </w:tcPr>
          <w:p w14:paraId="342F009D">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687CF7BE">
            <w:pPr>
              <w:rPr>
                <w:rFonts w:ascii="仿宋" w:hAnsi="仿宋" w:eastAsia="仿宋" w:cs="仿宋"/>
                <w:color w:val="auto"/>
                <w:szCs w:val="21"/>
                <w:highlight w:val="none"/>
              </w:rPr>
            </w:pPr>
            <w:r>
              <w:rPr>
                <w:rFonts w:hint="eastAsia" w:ascii="仿宋" w:hAnsi="仿宋" w:eastAsia="仿宋" w:cs="仿宋"/>
                <w:color w:val="auto"/>
                <w:szCs w:val="21"/>
                <w:highlight w:val="none"/>
              </w:rPr>
              <w:t>突发事件应急措施及处理方案：根据方案的全面性、科学性、可行性以及对本项目的针对性进行评审。</w:t>
            </w:r>
            <w:r>
              <w:rPr>
                <w:rFonts w:hint="eastAsia" w:ascii="仿宋" w:hAnsi="仿宋" w:eastAsia="仿宋" w:cs="仿宋"/>
                <w:color w:val="auto"/>
                <w:highlight w:val="none"/>
              </w:rPr>
              <w:t>（评审分值为3分或2分或1分或0分）</w:t>
            </w:r>
          </w:p>
        </w:tc>
        <w:tc>
          <w:tcPr>
            <w:tcW w:w="774" w:type="dxa"/>
            <w:tcBorders>
              <w:tl2br w:val="nil"/>
              <w:tr2bl w:val="nil"/>
            </w:tcBorders>
            <w:vAlign w:val="center"/>
          </w:tcPr>
          <w:p w14:paraId="20256A00">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7E0DE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11B4007C">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16</w:t>
            </w:r>
          </w:p>
        </w:tc>
        <w:tc>
          <w:tcPr>
            <w:tcW w:w="1098" w:type="dxa"/>
            <w:vMerge w:val="restart"/>
            <w:tcBorders>
              <w:tl2br w:val="nil"/>
              <w:tr2bl w:val="nil"/>
            </w:tcBorders>
            <w:noWrap/>
            <w:vAlign w:val="center"/>
          </w:tcPr>
          <w:p w14:paraId="5BD03173">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保障措施</w:t>
            </w:r>
          </w:p>
        </w:tc>
        <w:tc>
          <w:tcPr>
            <w:tcW w:w="7327" w:type="dxa"/>
            <w:tcBorders>
              <w:tl2br w:val="nil"/>
              <w:tr2bl w:val="nil"/>
            </w:tcBorders>
            <w:noWrap/>
            <w:vAlign w:val="center"/>
          </w:tcPr>
          <w:p w14:paraId="2AD5F2A9">
            <w:pPr>
              <w:rPr>
                <w:rFonts w:ascii="仿宋" w:hAnsi="仿宋" w:eastAsia="仿宋" w:cs="仿宋"/>
                <w:color w:val="auto"/>
                <w:szCs w:val="21"/>
                <w:highlight w:val="none"/>
              </w:rPr>
            </w:pPr>
            <w:r>
              <w:rPr>
                <w:rFonts w:hint="eastAsia" w:ascii="仿宋" w:hAnsi="仿宋" w:eastAsia="仿宋" w:cs="仿宋"/>
                <w:color w:val="auto"/>
                <w:szCs w:val="21"/>
                <w:highlight w:val="none"/>
              </w:rPr>
              <w:t>施工各阶段进度及质量保证措施：根据方案的全面性、科学性、合理性及</w:t>
            </w:r>
            <w:r>
              <w:rPr>
                <w:rFonts w:hint="eastAsia" w:ascii="仿宋" w:hAnsi="仿宋" w:eastAsia="仿宋" w:cs="仿宋"/>
                <w:color w:val="auto"/>
                <w:highlight w:val="none"/>
              </w:rPr>
              <w:t>针对性、可操作性进行评审。（评审分值为4分或3分或2分或1分或0分）</w:t>
            </w:r>
          </w:p>
        </w:tc>
        <w:tc>
          <w:tcPr>
            <w:tcW w:w="774" w:type="dxa"/>
            <w:tcBorders>
              <w:tl2br w:val="nil"/>
              <w:tr2bl w:val="nil"/>
            </w:tcBorders>
            <w:vAlign w:val="center"/>
          </w:tcPr>
          <w:p w14:paraId="4DA44A36">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r>
      <w:tr w14:paraId="10B01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19609254">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17</w:t>
            </w:r>
          </w:p>
        </w:tc>
        <w:tc>
          <w:tcPr>
            <w:tcW w:w="1098" w:type="dxa"/>
            <w:vMerge w:val="continue"/>
            <w:tcBorders>
              <w:tl2br w:val="nil"/>
              <w:tr2bl w:val="nil"/>
            </w:tcBorders>
            <w:noWrap/>
            <w:vAlign w:val="center"/>
          </w:tcPr>
          <w:p w14:paraId="0EEF4FD8">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72F162CE">
            <w:pPr>
              <w:rPr>
                <w:rFonts w:ascii="仿宋" w:hAnsi="仿宋" w:eastAsia="仿宋" w:cs="仿宋"/>
                <w:color w:val="auto"/>
                <w:szCs w:val="21"/>
                <w:highlight w:val="none"/>
              </w:rPr>
            </w:pPr>
            <w:r>
              <w:rPr>
                <w:rFonts w:hint="eastAsia" w:ascii="仿宋" w:hAnsi="仿宋" w:eastAsia="仿宋" w:cs="仿宋"/>
                <w:color w:val="auto"/>
                <w:szCs w:val="21"/>
                <w:highlight w:val="none"/>
              </w:rPr>
              <w:t>施工用材料、半成品、外购件等质量保证措施：根据措施的全面性、科学性、合理性及</w:t>
            </w:r>
            <w:r>
              <w:rPr>
                <w:rFonts w:hint="eastAsia" w:ascii="仿宋" w:hAnsi="仿宋" w:eastAsia="仿宋" w:cs="仿宋"/>
                <w:color w:val="auto"/>
                <w:highlight w:val="none"/>
              </w:rPr>
              <w:t>针对性、可操作性进行评审。（评审分值为3分或2分或1分或0分）</w:t>
            </w:r>
          </w:p>
        </w:tc>
        <w:tc>
          <w:tcPr>
            <w:tcW w:w="774" w:type="dxa"/>
            <w:tcBorders>
              <w:tl2br w:val="nil"/>
              <w:tr2bl w:val="nil"/>
            </w:tcBorders>
            <w:vAlign w:val="center"/>
          </w:tcPr>
          <w:p w14:paraId="1B01E051">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323F3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14024C3C">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18</w:t>
            </w:r>
          </w:p>
        </w:tc>
        <w:tc>
          <w:tcPr>
            <w:tcW w:w="1098" w:type="dxa"/>
            <w:vMerge w:val="continue"/>
            <w:tcBorders>
              <w:tl2br w:val="nil"/>
              <w:tr2bl w:val="nil"/>
            </w:tcBorders>
            <w:noWrap/>
            <w:vAlign w:val="center"/>
          </w:tcPr>
          <w:p w14:paraId="3358D8B5">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6F88A02A">
            <w:pPr>
              <w:rPr>
                <w:rFonts w:ascii="仿宋" w:hAnsi="仿宋" w:eastAsia="仿宋" w:cs="仿宋"/>
                <w:color w:val="auto"/>
                <w:szCs w:val="21"/>
                <w:highlight w:val="none"/>
              </w:rPr>
            </w:pPr>
            <w:r>
              <w:rPr>
                <w:rFonts w:hint="eastAsia" w:ascii="仿宋" w:hAnsi="仿宋" w:eastAsia="仿宋" w:cs="仿宋"/>
                <w:color w:val="auto"/>
                <w:szCs w:val="21"/>
                <w:highlight w:val="none"/>
              </w:rPr>
              <w:t>安全文明施工及市政、市容、环保、消防等措施：根据措施的全面性、科学性、合理性及</w:t>
            </w:r>
            <w:r>
              <w:rPr>
                <w:rFonts w:hint="eastAsia" w:ascii="仿宋" w:hAnsi="仿宋" w:eastAsia="仿宋" w:cs="仿宋"/>
                <w:color w:val="auto"/>
                <w:highlight w:val="none"/>
              </w:rPr>
              <w:t>针对性、可操作性进行评审。（评审分值为3分或2分或1分或0分）</w:t>
            </w:r>
          </w:p>
        </w:tc>
        <w:tc>
          <w:tcPr>
            <w:tcW w:w="774" w:type="dxa"/>
            <w:tcBorders>
              <w:tl2br w:val="nil"/>
              <w:tr2bl w:val="nil"/>
            </w:tcBorders>
            <w:vAlign w:val="center"/>
          </w:tcPr>
          <w:p w14:paraId="3201E6F7">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44D79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55C8B86C">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19</w:t>
            </w:r>
          </w:p>
        </w:tc>
        <w:tc>
          <w:tcPr>
            <w:tcW w:w="1098" w:type="dxa"/>
            <w:vMerge w:val="continue"/>
            <w:tcBorders>
              <w:tl2br w:val="nil"/>
              <w:tr2bl w:val="nil"/>
            </w:tcBorders>
            <w:noWrap/>
            <w:vAlign w:val="center"/>
          </w:tcPr>
          <w:p w14:paraId="608D3D42">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7C49C094">
            <w:pPr>
              <w:rPr>
                <w:rFonts w:ascii="仿宋" w:hAnsi="仿宋" w:eastAsia="仿宋" w:cs="仿宋"/>
                <w:color w:val="auto"/>
                <w:szCs w:val="21"/>
                <w:highlight w:val="none"/>
              </w:rPr>
            </w:pPr>
            <w:r>
              <w:rPr>
                <w:rFonts w:hint="eastAsia" w:ascii="仿宋" w:hAnsi="仿宋" w:eastAsia="仿宋" w:cs="仿宋"/>
                <w:color w:val="auto"/>
                <w:szCs w:val="21"/>
                <w:highlight w:val="none"/>
              </w:rPr>
              <w:t>实施过程中保障学校正常教学生活秩序措施：根据措施的全面性、科学性、合理性及</w:t>
            </w:r>
            <w:r>
              <w:rPr>
                <w:rFonts w:hint="eastAsia" w:ascii="仿宋" w:hAnsi="仿宋" w:eastAsia="仿宋" w:cs="仿宋"/>
                <w:color w:val="auto"/>
                <w:highlight w:val="none"/>
              </w:rPr>
              <w:t>针对性、可操作性进行评审。（评审分值为4分或3分或2分或1分或0分）</w:t>
            </w:r>
          </w:p>
        </w:tc>
        <w:tc>
          <w:tcPr>
            <w:tcW w:w="774" w:type="dxa"/>
            <w:tcBorders>
              <w:tl2br w:val="nil"/>
              <w:tr2bl w:val="nil"/>
            </w:tcBorders>
            <w:vAlign w:val="center"/>
          </w:tcPr>
          <w:p w14:paraId="5478C716">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r>
      <w:tr w14:paraId="624E8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76682A22">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20</w:t>
            </w:r>
          </w:p>
        </w:tc>
        <w:tc>
          <w:tcPr>
            <w:tcW w:w="1098" w:type="dxa"/>
            <w:vMerge w:val="continue"/>
            <w:tcBorders>
              <w:tl2br w:val="nil"/>
              <w:tr2bl w:val="nil"/>
            </w:tcBorders>
            <w:noWrap/>
            <w:vAlign w:val="center"/>
          </w:tcPr>
          <w:p w14:paraId="59E0B4C9">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5A1066C4">
            <w:pPr>
              <w:rPr>
                <w:rFonts w:ascii="仿宋" w:hAnsi="仿宋" w:eastAsia="仿宋" w:cs="仿宋"/>
                <w:color w:val="auto"/>
                <w:szCs w:val="21"/>
                <w:highlight w:val="none"/>
              </w:rPr>
            </w:pPr>
            <w:r>
              <w:rPr>
                <w:rFonts w:hint="eastAsia" w:ascii="仿宋" w:hAnsi="仿宋" w:eastAsia="仿宋" w:cs="仿宋"/>
                <w:color w:val="auto"/>
                <w:szCs w:val="21"/>
                <w:highlight w:val="none"/>
              </w:rPr>
              <w:t>服从采购人协调和统一管理及配合措施：根据措施的全面性、科学性、合理性及</w:t>
            </w:r>
            <w:r>
              <w:rPr>
                <w:rFonts w:hint="eastAsia" w:ascii="仿宋" w:hAnsi="仿宋" w:eastAsia="仿宋" w:cs="仿宋"/>
                <w:color w:val="auto"/>
                <w:highlight w:val="none"/>
              </w:rPr>
              <w:t>针对性、可操作性进行评审。（评审分值为3分或2分或1分或0分）</w:t>
            </w:r>
          </w:p>
        </w:tc>
        <w:tc>
          <w:tcPr>
            <w:tcW w:w="774" w:type="dxa"/>
            <w:tcBorders>
              <w:tl2br w:val="nil"/>
              <w:tr2bl w:val="nil"/>
            </w:tcBorders>
            <w:vAlign w:val="center"/>
          </w:tcPr>
          <w:p w14:paraId="63A73C5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3C9AC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blHeader/>
          <w:jc w:val="center"/>
        </w:trPr>
        <w:tc>
          <w:tcPr>
            <w:tcW w:w="539" w:type="dxa"/>
            <w:tcBorders>
              <w:tl2br w:val="nil"/>
              <w:tr2bl w:val="nil"/>
            </w:tcBorders>
            <w:noWrap/>
            <w:vAlign w:val="center"/>
          </w:tcPr>
          <w:p w14:paraId="0474E018">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21</w:t>
            </w:r>
          </w:p>
        </w:tc>
        <w:tc>
          <w:tcPr>
            <w:tcW w:w="1098" w:type="dxa"/>
            <w:vMerge w:val="continue"/>
            <w:tcBorders>
              <w:tl2br w:val="nil"/>
              <w:tr2bl w:val="nil"/>
            </w:tcBorders>
            <w:noWrap/>
            <w:vAlign w:val="center"/>
          </w:tcPr>
          <w:p w14:paraId="56D804F8">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3C695927">
            <w:pPr>
              <w:rPr>
                <w:rFonts w:ascii="仿宋" w:hAnsi="仿宋" w:eastAsia="仿宋" w:cs="仿宋"/>
                <w:color w:val="auto"/>
                <w:szCs w:val="21"/>
                <w:highlight w:val="none"/>
              </w:rPr>
            </w:pPr>
            <w:r>
              <w:rPr>
                <w:rFonts w:hint="eastAsia" w:ascii="仿宋" w:hAnsi="仿宋" w:eastAsia="仿宋" w:cs="仿宋"/>
                <w:color w:val="auto"/>
                <w:szCs w:val="21"/>
                <w:highlight w:val="none"/>
              </w:rPr>
              <w:t>对成品保护措施：根据措施的全面性、科学性、合理性及</w:t>
            </w:r>
            <w:r>
              <w:rPr>
                <w:rFonts w:hint="eastAsia" w:ascii="仿宋" w:hAnsi="仿宋" w:eastAsia="仿宋" w:cs="仿宋"/>
                <w:color w:val="auto"/>
                <w:highlight w:val="none"/>
              </w:rPr>
              <w:t>针对性、可操作性进行评审。（评审分值为3分或2分或1分或0分）</w:t>
            </w:r>
          </w:p>
        </w:tc>
        <w:tc>
          <w:tcPr>
            <w:tcW w:w="774" w:type="dxa"/>
            <w:tcBorders>
              <w:tl2br w:val="nil"/>
              <w:tr2bl w:val="nil"/>
            </w:tcBorders>
            <w:vAlign w:val="center"/>
          </w:tcPr>
          <w:p w14:paraId="64E77B5A">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3ED7D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tblHeader/>
          <w:jc w:val="center"/>
        </w:trPr>
        <w:tc>
          <w:tcPr>
            <w:tcW w:w="539" w:type="dxa"/>
            <w:tcBorders>
              <w:tl2br w:val="nil"/>
              <w:tr2bl w:val="nil"/>
            </w:tcBorders>
            <w:noWrap/>
            <w:vAlign w:val="center"/>
          </w:tcPr>
          <w:p w14:paraId="30F6C016">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22</w:t>
            </w:r>
          </w:p>
        </w:tc>
        <w:tc>
          <w:tcPr>
            <w:tcW w:w="1098" w:type="dxa"/>
            <w:vMerge w:val="restart"/>
            <w:tcBorders>
              <w:tl2br w:val="nil"/>
              <w:tr2bl w:val="nil"/>
            </w:tcBorders>
            <w:noWrap/>
            <w:vAlign w:val="center"/>
          </w:tcPr>
          <w:p w14:paraId="3984CE90">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项目班组</w:t>
            </w:r>
          </w:p>
        </w:tc>
        <w:tc>
          <w:tcPr>
            <w:tcW w:w="7327" w:type="dxa"/>
            <w:tcBorders>
              <w:tl2br w:val="nil"/>
              <w:tr2bl w:val="nil"/>
            </w:tcBorders>
            <w:noWrap/>
            <w:vAlign w:val="center"/>
          </w:tcPr>
          <w:p w14:paraId="5A342D03">
            <w:pPr>
              <w:rPr>
                <w:rFonts w:ascii="仿宋" w:hAnsi="仿宋" w:eastAsia="仿宋" w:cs="仿宋"/>
                <w:color w:val="auto"/>
                <w:szCs w:val="21"/>
                <w:highlight w:val="none"/>
              </w:rPr>
            </w:pPr>
            <w:r>
              <w:rPr>
                <w:rFonts w:hint="eastAsia" w:ascii="仿宋" w:hAnsi="仿宋" w:eastAsia="仿宋" w:cs="仿宋"/>
                <w:color w:val="auto"/>
                <w:szCs w:val="21"/>
                <w:highlight w:val="none"/>
              </w:rPr>
              <w:t>项目经理职称。项目经理具有建筑工程类副高级及以上职称的得2分；项目经理具有建筑工程类中级职称的得1分；提供有效的</w:t>
            </w:r>
            <w:r>
              <w:rPr>
                <w:rFonts w:hint="eastAsia" w:ascii="仿宋" w:hAnsi="仿宋" w:eastAsia="仿宋" w:cs="仿宋"/>
                <w:color w:val="auto"/>
                <w:szCs w:val="21"/>
                <w:highlight w:val="none"/>
                <w:lang w:val="en-US" w:eastAsia="zh-CN"/>
              </w:rPr>
              <w:t>职称</w:t>
            </w:r>
            <w:r>
              <w:rPr>
                <w:rFonts w:hint="eastAsia" w:ascii="仿宋" w:hAnsi="仿宋" w:eastAsia="仿宋" w:cs="仿宋"/>
                <w:color w:val="auto"/>
                <w:szCs w:val="21"/>
                <w:highlight w:val="none"/>
              </w:rPr>
              <w:t>证书及在本单位缴纳社保的证明材料（开标前三月任意一月社保缴纳证明），不提供不得分。</w:t>
            </w:r>
          </w:p>
        </w:tc>
        <w:tc>
          <w:tcPr>
            <w:tcW w:w="774" w:type="dxa"/>
            <w:tcBorders>
              <w:tl2br w:val="nil"/>
              <w:tr2bl w:val="nil"/>
            </w:tcBorders>
            <w:vAlign w:val="center"/>
          </w:tcPr>
          <w:p w14:paraId="36B7B771">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58CFF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7771BDDE">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23</w:t>
            </w:r>
          </w:p>
        </w:tc>
        <w:tc>
          <w:tcPr>
            <w:tcW w:w="1098" w:type="dxa"/>
            <w:vMerge w:val="continue"/>
            <w:tcBorders>
              <w:tl2br w:val="nil"/>
              <w:tr2bl w:val="nil"/>
            </w:tcBorders>
            <w:noWrap/>
            <w:vAlign w:val="center"/>
          </w:tcPr>
          <w:p w14:paraId="74616979">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575D812F">
            <w:pPr>
              <w:rPr>
                <w:rFonts w:ascii="仿宋" w:hAnsi="仿宋" w:eastAsia="仿宋" w:cs="仿宋"/>
                <w:color w:val="auto"/>
                <w:szCs w:val="21"/>
                <w:highlight w:val="none"/>
              </w:rPr>
            </w:pPr>
            <w:r>
              <w:rPr>
                <w:rFonts w:hint="eastAsia" w:ascii="仿宋" w:hAnsi="仿宋" w:eastAsia="仿宋" w:cs="仿宋"/>
                <w:color w:val="auto"/>
                <w:szCs w:val="21"/>
                <w:highlight w:val="none"/>
              </w:rPr>
              <w:t>项目经理承诺到位率。承诺到位率达到85%的得1分；达到90%的，得2分；达到95%及以上的，得3分。</w:t>
            </w:r>
          </w:p>
        </w:tc>
        <w:tc>
          <w:tcPr>
            <w:tcW w:w="774" w:type="dxa"/>
            <w:tcBorders>
              <w:tl2br w:val="nil"/>
              <w:tr2bl w:val="nil"/>
            </w:tcBorders>
            <w:vAlign w:val="center"/>
          </w:tcPr>
          <w:p w14:paraId="2285A01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59959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tblHeader/>
          <w:jc w:val="center"/>
        </w:trPr>
        <w:tc>
          <w:tcPr>
            <w:tcW w:w="539" w:type="dxa"/>
            <w:tcBorders>
              <w:tl2br w:val="nil"/>
              <w:tr2bl w:val="nil"/>
            </w:tcBorders>
            <w:noWrap/>
            <w:vAlign w:val="center"/>
          </w:tcPr>
          <w:p w14:paraId="682B8544">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24</w:t>
            </w:r>
          </w:p>
        </w:tc>
        <w:tc>
          <w:tcPr>
            <w:tcW w:w="1098" w:type="dxa"/>
            <w:vMerge w:val="continue"/>
            <w:tcBorders>
              <w:tl2br w:val="nil"/>
              <w:tr2bl w:val="nil"/>
            </w:tcBorders>
            <w:noWrap/>
            <w:vAlign w:val="center"/>
          </w:tcPr>
          <w:p w14:paraId="529E68E6">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2F592A28">
            <w:pPr>
              <w:rPr>
                <w:rFonts w:ascii="仿宋" w:hAnsi="仿宋" w:eastAsia="仿宋" w:cs="仿宋"/>
                <w:color w:val="auto"/>
                <w:szCs w:val="21"/>
                <w:highlight w:val="none"/>
              </w:rPr>
            </w:pPr>
            <w:r>
              <w:rPr>
                <w:rFonts w:hint="eastAsia" w:ascii="仿宋" w:hAnsi="仿宋" w:eastAsia="仿宋" w:cs="仿宋"/>
                <w:color w:val="auto"/>
                <w:szCs w:val="21"/>
                <w:highlight w:val="none"/>
              </w:rPr>
              <w:t>项目管理班子其他人员配置：技术负责人、安全员、施工员、质量员、材料员、资料员、预算员，配置齐全的，得3分，每缺一项扣1分，本项分值扣完为止。需提供上述人员在本单位缴纳社保的证明材料（开标前三月任意一月社保缴纳证明）</w:t>
            </w:r>
          </w:p>
        </w:tc>
        <w:tc>
          <w:tcPr>
            <w:tcW w:w="774" w:type="dxa"/>
            <w:tcBorders>
              <w:tl2br w:val="nil"/>
              <w:tr2bl w:val="nil"/>
            </w:tcBorders>
            <w:vAlign w:val="center"/>
          </w:tcPr>
          <w:p w14:paraId="19714BFC">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69A65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blHeader/>
          <w:jc w:val="center"/>
        </w:trPr>
        <w:tc>
          <w:tcPr>
            <w:tcW w:w="539" w:type="dxa"/>
            <w:tcBorders>
              <w:tl2br w:val="nil"/>
              <w:tr2bl w:val="nil"/>
            </w:tcBorders>
            <w:noWrap/>
            <w:vAlign w:val="center"/>
          </w:tcPr>
          <w:p w14:paraId="46DD7CC6">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25</w:t>
            </w:r>
          </w:p>
        </w:tc>
        <w:tc>
          <w:tcPr>
            <w:tcW w:w="1098" w:type="dxa"/>
            <w:vMerge w:val="restart"/>
            <w:tcBorders>
              <w:tl2br w:val="nil"/>
              <w:tr2bl w:val="nil"/>
            </w:tcBorders>
            <w:noWrap/>
            <w:vAlign w:val="center"/>
          </w:tcPr>
          <w:p w14:paraId="32BC2E74">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售后服务</w:t>
            </w:r>
          </w:p>
        </w:tc>
        <w:tc>
          <w:tcPr>
            <w:tcW w:w="7327" w:type="dxa"/>
            <w:tcBorders>
              <w:tl2br w:val="nil"/>
              <w:tr2bl w:val="nil"/>
            </w:tcBorders>
            <w:noWrap/>
            <w:vAlign w:val="center"/>
          </w:tcPr>
          <w:p w14:paraId="4F221E3D">
            <w:pPr>
              <w:rPr>
                <w:rFonts w:ascii="仿宋" w:hAnsi="仿宋" w:eastAsia="仿宋" w:cs="仿宋"/>
                <w:color w:val="auto"/>
                <w:szCs w:val="21"/>
                <w:highlight w:val="none"/>
              </w:rPr>
            </w:pPr>
            <w:r>
              <w:rPr>
                <w:rFonts w:hint="eastAsia" w:ascii="仿宋" w:hAnsi="仿宋" w:eastAsia="仿宋" w:cs="仿宋"/>
                <w:color w:val="auto"/>
                <w:szCs w:val="21"/>
                <w:highlight w:val="none"/>
              </w:rPr>
              <w:t>工程保修期、维护响应时间：根据工程保修期承诺情况以及保修期内维护响应时间的及时性、合理性进行评审。</w:t>
            </w:r>
            <w:r>
              <w:rPr>
                <w:rFonts w:hint="eastAsia" w:ascii="仿宋" w:hAnsi="仿宋" w:eastAsia="仿宋" w:cs="仿宋"/>
                <w:color w:val="auto"/>
                <w:highlight w:val="none"/>
              </w:rPr>
              <w:t>（评审分值为3分或2分或1分或0分）</w:t>
            </w:r>
          </w:p>
        </w:tc>
        <w:tc>
          <w:tcPr>
            <w:tcW w:w="774" w:type="dxa"/>
            <w:tcBorders>
              <w:tl2br w:val="nil"/>
              <w:tr2bl w:val="nil"/>
            </w:tcBorders>
            <w:vAlign w:val="center"/>
          </w:tcPr>
          <w:p w14:paraId="36A088F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49B70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539" w:type="dxa"/>
            <w:tcBorders>
              <w:tl2br w:val="nil"/>
              <w:tr2bl w:val="nil"/>
            </w:tcBorders>
            <w:noWrap/>
            <w:vAlign w:val="center"/>
          </w:tcPr>
          <w:p w14:paraId="2ADD77C8">
            <w:pPr>
              <w:snapToGrid w:val="0"/>
              <w:jc w:val="center"/>
              <w:rPr>
                <w:rFonts w:ascii="仿宋" w:hAnsi="仿宋" w:eastAsia="仿宋" w:cs="Arial"/>
                <w:color w:val="auto"/>
                <w:szCs w:val="21"/>
                <w:highlight w:val="none"/>
              </w:rPr>
            </w:pPr>
            <w:r>
              <w:rPr>
                <w:rFonts w:hint="eastAsia" w:ascii="仿宋" w:hAnsi="仿宋" w:eastAsia="仿宋" w:cs="Arial"/>
                <w:color w:val="auto"/>
                <w:szCs w:val="21"/>
                <w:highlight w:val="none"/>
              </w:rPr>
              <w:t>26</w:t>
            </w:r>
          </w:p>
        </w:tc>
        <w:tc>
          <w:tcPr>
            <w:tcW w:w="1098" w:type="dxa"/>
            <w:vMerge w:val="continue"/>
            <w:tcBorders>
              <w:tl2br w:val="nil"/>
              <w:tr2bl w:val="nil"/>
            </w:tcBorders>
            <w:noWrap/>
            <w:vAlign w:val="center"/>
          </w:tcPr>
          <w:p w14:paraId="3041D5FF">
            <w:pPr>
              <w:snapToGrid w:val="0"/>
              <w:jc w:val="center"/>
              <w:rPr>
                <w:rFonts w:ascii="仿宋" w:hAnsi="仿宋" w:eastAsia="仿宋" w:cs="Arial"/>
                <w:color w:val="auto"/>
                <w:szCs w:val="21"/>
                <w:highlight w:val="none"/>
              </w:rPr>
            </w:pPr>
          </w:p>
        </w:tc>
        <w:tc>
          <w:tcPr>
            <w:tcW w:w="7327" w:type="dxa"/>
            <w:tcBorders>
              <w:tl2br w:val="nil"/>
              <w:tr2bl w:val="nil"/>
            </w:tcBorders>
            <w:noWrap/>
            <w:vAlign w:val="center"/>
          </w:tcPr>
          <w:p w14:paraId="22B4DC52">
            <w:pPr>
              <w:rPr>
                <w:rFonts w:ascii="仿宋" w:hAnsi="仿宋" w:eastAsia="仿宋" w:cs="仿宋"/>
                <w:color w:val="auto"/>
                <w:szCs w:val="21"/>
                <w:highlight w:val="none"/>
              </w:rPr>
            </w:pPr>
            <w:r>
              <w:rPr>
                <w:rFonts w:hint="eastAsia" w:ascii="仿宋" w:hAnsi="仿宋" w:eastAsia="仿宋" w:cs="仿宋"/>
                <w:color w:val="auto"/>
                <w:szCs w:val="21"/>
                <w:highlight w:val="none"/>
              </w:rPr>
              <w:t>服务方式、特别承诺：根据供应商对本项目提出的售后服务相关承诺对项目实施的有利程度、可行度进行评审。</w:t>
            </w:r>
            <w:r>
              <w:rPr>
                <w:rFonts w:hint="eastAsia" w:ascii="仿宋" w:hAnsi="仿宋" w:eastAsia="仿宋" w:cs="仿宋"/>
                <w:color w:val="auto"/>
                <w:highlight w:val="none"/>
              </w:rPr>
              <w:t>（评审分值为3分或2分或1分或0分）</w:t>
            </w:r>
          </w:p>
        </w:tc>
        <w:tc>
          <w:tcPr>
            <w:tcW w:w="774" w:type="dxa"/>
            <w:tcBorders>
              <w:tl2br w:val="nil"/>
              <w:tr2bl w:val="nil"/>
            </w:tcBorders>
            <w:vAlign w:val="center"/>
          </w:tcPr>
          <w:p w14:paraId="70701AA7">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bl>
    <w:p w14:paraId="5F2FADED">
      <w:pPr>
        <w:autoSpaceDN w:val="0"/>
        <w:rPr>
          <w:rFonts w:ascii="Times New Roman" w:hAnsi="Times New Roman" w:eastAsia="仿宋" w:cs="Times New Roman"/>
          <w:b/>
          <w:color w:val="auto"/>
          <w:sz w:val="24"/>
          <w:szCs w:val="24"/>
          <w:highlight w:val="none"/>
        </w:rPr>
      </w:pPr>
    </w:p>
    <w:p w14:paraId="18021F61">
      <w:pPr>
        <w:autoSpaceDN w:val="0"/>
        <w:rPr>
          <w:rFonts w:ascii="Times New Roman" w:hAnsi="Times New Roman" w:eastAsia="宋体" w:cs="Times New Roman"/>
          <w:color w:val="auto"/>
          <w:szCs w:val="24"/>
          <w:highlight w:val="none"/>
        </w:rPr>
      </w:pPr>
      <w:r>
        <w:rPr>
          <w:rFonts w:hint="eastAsia" w:ascii="Times New Roman" w:hAnsi="Times New Roman" w:eastAsia="仿宋" w:cs="Times New Roman"/>
          <w:b/>
          <w:color w:val="auto"/>
          <w:sz w:val="24"/>
          <w:szCs w:val="24"/>
          <w:highlight w:val="none"/>
        </w:rPr>
        <w:t>备注：商务技术分</w:t>
      </w:r>
      <w:r>
        <w:rPr>
          <w:rFonts w:ascii="Times New Roman" w:hAnsi="Times New Roman" w:eastAsia="仿宋" w:cs="Times New Roman"/>
          <w:b/>
          <w:color w:val="auto"/>
          <w:sz w:val="24"/>
          <w:szCs w:val="24"/>
          <w:highlight w:val="none"/>
        </w:rPr>
        <w:t>=</w:t>
      </w:r>
      <w:r>
        <w:rPr>
          <w:rFonts w:hint="eastAsia" w:ascii="Times New Roman" w:hAnsi="Times New Roman" w:eastAsia="仿宋" w:cs="Times New Roman"/>
          <w:b/>
          <w:color w:val="auto"/>
          <w:sz w:val="24"/>
          <w:szCs w:val="24"/>
          <w:highlight w:val="none"/>
        </w:rPr>
        <w:t>（磋商小组所有成员评分合计数）</w:t>
      </w:r>
      <w:r>
        <w:rPr>
          <w:rFonts w:ascii="Times New Roman" w:hAnsi="Times New Roman" w:eastAsia="仿宋" w:cs="Times New Roman"/>
          <w:b/>
          <w:color w:val="auto"/>
          <w:sz w:val="24"/>
          <w:szCs w:val="24"/>
          <w:highlight w:val="none"/>
        </w:rPr>
        <w:t>/</w:t>
      </w:r>
      <w:r>
        <w:rPr>
          <w:rFonts w:hint="eastAsia" w:ascii="Times New Roman" w:hAnsi="Times New Roman" w:eastAsia="仿宋" w:cs="Times New Roman"/>
          <w:b/>
          <w:color w:val="auto"/>
          <w:sz w:val="24"/>
          <w:szCs w:val="24"/>
          <w:highlight w:val="none"/>
        </w:rPr>
        <w:t>（磋商小组人数）</w:t>
      </w:r>
    </w:p>
    <w:p w14:paraId="5643A964">
      <w:pPr>
        <w:keepNext/>
        <w:keepLines/>
        <w:autoSpaceDN w:val="0"/>
        <w:spacing w:before="97" w:beforeLines="30" w:after="97" w:afterLines="30" w:line="360" w:lineRule="auto"/>
        <w:outlineLvl w:val="2"/>
        <w:rPr>
          <w:rFonts w:ascii="宋体" w:hAnsi="宋体" w:eastAsia="宋体" w:cs="宋体"/>
          <w:b/>
          <w:bCs/>
          <w:color w:val="auto"/>
          <w:sz w:val="24"/>
          <w:szCs w:val="32"/>
          <w:highlight w:val="none"/>
        </w:rPr>
      </w:pPr>
      <w:r>
        <w:rPr>
          <w:rFonts w:hint="eastAsia" w:ascii="仿宋" w:hAnsi="仿宋" w:eastAsia="仿宋" w:cs="宋体"/>
          <w:b/>
          <w:bCs/>
          <w:color w:val="auto"/>
          <w:sz w:val="24"/>
          <w:szCs w:val="24"/>
          <w:highlight w:val="none"/>
        </w:rPr>
        <w:t>（二）</w:t>
      </w:r>
      <w:r>
        <w:rPr>
          <w:rFonts w:hint="eastAsia" w:ascii="宋体" w:hAnsi="宋体" w:eastAsia="宋体" w:cs="宋体"/>
          <w:b/>
          <w:bCs/>
          <w:color w:val="auto"/>
          <w:sz w:val="24"/>
          <w:szCs w:val="32"/>
          <w:highlight w:val="none"/>
        </w:rPr>
        <w:t>报价分（30分）</w:t>
      </w:r>
    </w:p>
    <w:p w14:paraId="6DE66352">
      <w:pPr>
        <w:autoSpaceDN w:val="0"/>
        <w:spacing w:line="360" w:lineRule="auto"/>
        <w:ind w:firstLine="460" w:firstLineChars="192"/>
        <w:rPr>
          <w:rFonts w:ascii="Times New Roman" w:hAnsi="Times New Roman" w:eastAsia="仿宋" w:cs="Times New Roman"/>
          <w:color w:val="auto"/>
          <w:sz w:val="24"/>
          <w:szCs w:val="24"/>
          <w:highlight w:val="none"/>
        </w:rPr>
      </w:pPr>
      <w:r>
        <w:rPr>
          <w:rFonts w:hint="eastAsia" w:ascii="Times New Roman" w:hAnsi="Times New Roman" w:eastAsia="仿宋" w:cs="Times New Roman"/>
          <w:color w:val="auto"/>
          <w:sz w:val="24"/>
          <w:szCs w:val="24"/>
          <w:highlight w:val="none"/>
        </w:rPr>
        <w:t>最后报价的合理性：分析最后报价是否合理，最后报价范围是否完整，有否重大错漏项。磋商报价分计算方法：</w:t>
      </w:r>
      <w:r>
        <w:rPr>
          <w:rFonts w:hint="eastAsia" w:ascii="Times New Roman" w:hAnsi="Times New Roman" w:eastAsia="仿宋" w:cs="Times New Roman"/>
          <w:b/>
          <w:color w:val="auto"/>
          <w:sz w:val="24"/>
          <w:szCs w:val="24"/>
          <w:highlight w:val="none"/>
        </w:rPr>
        <w:t>满足《磋商文件》要求且最后报价最低的有效供应商的最后报价为磋商基准价，其价格分为</w:t>
      </w:r>
      <w:r>
        <w:rPr>
          <w:rFonts w:hint="eastAsia" w:ascii="宋体" w:hAnsi="宋体" w:eastAsia="宋体" w:cs="宋体"/>
          <w:b/>
          <w:bCs/>
          <w:color w:val="auto"/>
          <w:sz w:val="24"/>
          <w:szCs w:val="32"/>
          <w:highlight w:val="none"/>
        </w:rPr>
        <w:t>30</w:t>
      </w:r>
      <w:r>
        <w:rPr>
          <w:rFonts w:hint="eastAsia" w:ascii="Times New Roman" w:hAnsi="Times New Roman" w:eastAsia="仿宋" w:cs="Times New Roman"/>
          <w:b/>
          <w:color w:val="auto"/>
          <w:sz w:val="24"/>
          <w:szCs w:val="24"/>
          <w:highlight w:val="none"/>
        </w:rPr>
        <w:t>分（即价格权值为</w:t>
      </w:r>
      <w:r>
        <w:rPr>
          <w:rFonts w:hint="eastAsia" w:ascii="宋体" w:hAnsi="宋体" w:eastAsia="宋体" w:cs="宋体"/>
          <w:b/>
          <w:bCs/>
          <w:color w:val="auto"/>
          <w:sz w:val="24"/>
          <w:szCs w:val="32"/>
          <w:highlight w:val="none"/>
        </w:rPr>
        <w:t>30</w:t>
      </w:r>
      <w:r>
        <w:rPr>
          <w:rFonts w:ascii="Times New Roman" w:hAnsi="Times New Roman" w:eastAsia="仿宋" w:cs="Times New Roman"/>
          <w:b/>
          <w:color w:val="auto"/>
          <w:sz w:val="24"/>
          <w:szCs w:val="24"/>
          <w:highlight w:val="none"/>
        </w:rPr>
        <w:t>%</w:t>
      </w:r>
      <w:r>
        <w:rPr>
          <w:rFonts w:hint="eastAsia" w:ascii="Times New Roman" w:hAnsi="Times New Roman" w:eastAsia="仿宋" w:cs="Times New Roman"/>
          <w:b/>
          <w:color w:val="auto"/>
          <w:sz w:val="24"/>
          <w:szCs w:val="24"/>
          <w:highlight w:val="none"/>
        </w:rPr>
        <w:t>）。</w:t>
      </w:r>
      <w:r>
        <w:rPr>
          <w:rFonts w:hint="eastAsia" w:ascii="Times New Roman" w:hAnsi="Times New Roman" w:eastAsia="仿宋" w:cs="Times New Roman"/>
          <w:color w:val="auto"/>
          <w:sz w:val="24"/>
          <w:szCs w:val="24"/>
          <w:highlight w:val="none"/>
        </w:rPr>
        <w:t>其他磋商响应供应商的价格分统一按照下列公式计算（精确到小数点后二位）：</w:t>
      </w:r>
    </w:p>
    <w:p w14:paraId="5CA62B5F">
      <w:pPr>
        <w:autoSpaceDN w:val="0"/>
        <w:spacing w:line="360" w:lineRule="auto"/>
        <w:ind w:firstLine="463" w:firstLineChars="192"/>
        <w:rPr>
          <w:rFonts w:ascii="Times New Roman" w:hAnsi="Times New Roman" w:eastAsia="仿宋" w:cs="Times New Roman"/>
          <w:color w:val="auto"/>
          <w:sz w:val="24"/>
          <w:szCs w:val="24"/>
          <w:highlight w:val="none"/>
        </w:rPr>
      </w:pPr>
      <w:r>
        <w:rPr>
          <w:rFonts w:hint="eastAsia" w:ascii="Times New Roman" w:hAnsi="Times New Roman" w:eastAsia="仿宋" w:cs="Times New Roman"/>
          <w:b/>
          <w:color w:val="auto"/>
          <w:kern w:val="0"/>
          <w:sz w:val="24"/>
          <w:szCs w:val="24"/>
          <w:highlight w:val="none"/>
        </w:rPr>
        <w:t>报价分</w:t>
      </w:r>
      <w:r>
        <w:rPr>
          <w:rFonts w:ascii="Times New Roman" w:hAnsi="Times New Roman" w:eastAsia="仿宋" w:cs="Times New Roman"/>
          <w:b/>
          <w:color w:val="auto"/>
          <w:kern w:val="0"/>
          <w:sz w:val="24"/>
          <w:szCs w:val="24"/>
          <w:highlight w:val="none"/>
        </w:rPr>
        <w:t>=</w:t>
      </w:r>
      <w:r>
        <w:rPr>
          <w:rFonts w:hint="eastAsia" w:ascii="Times New Roman" w:hAnsi="Times New Roman" w:eastAsia="仿宋" w:cs="Times New Roman"/>
          <w:b/>
          <w:color w:val="auto"/>
          <w:kern w:val="0"/>
          <w:sz w:val="24"/>
          <w:szCs w:val="24"/>
          <w:highlight w:val="none"/>
        </w:rPr>
        <w:t>（磋商基准价／最后报价）</w:t>
      </w:r>
      <w:r>
        <w:rPr>
          <w:rFonts w:ascii="Times New Roman" w:hAnsi="Times New Roman" w:eastAsia="仿宋" w:cs="Times New Roman"/>
          <w:b/>
          <w:color w:val="auto"/>
          <w:kern w:val="0"/>
          <w:sz w:val="24"/>
          <w:szCs w:val="24"/>
          <w:highlight w:val="none"/>
        </w:rPr>
        <w:t>×</w:t>
      </w:r>
      <w:r>
        <w:rPr>
          <w:rFonts w:hint="eastAsia" w:ascii="宋体" w:hAnsi="宋体" w:eastAsia="宋体" w:cs="宋体"/>
          <w:b/>
          <w:bCs/>
          <w:color w:val="auto"/>
          <w:sz w:val="24"/>
          <w:szCs w:val="32"/>
          <w:highlight w:val="none"/>
        </w:rPr>
        <w:t>30</w:t>
      </w:r>
      <w:r>
        <w:rPr>
          <w:rFonts w:ascii="Times New Roman" w:hAnsi="Times New Roman" w:eastAsia="仿宋" w:cs="Times New Roman"/>
          <w:b/>
          <w:color w:val="auto"/>
          <w:kern w:val="0"/>
          <w:sz w:val="24"/>
          <w:szCs w:val="24"/>
          <w:highlight w:val="none"/>
        </w:rPr>
        <w:t>%×100</w:t>
      </w:r>
    </w:p>
    <w:p w14:paraId="6C4433A2">
      <w:pPr>
        <w:autoSpaceDN w:val="0"/>
        <w:adjustRightInd w:val="0"/>
        <w:snapToGrid w:val="0"/>
        <w:spacing w:line="360" w:lineRule="auto"/>
        <w:ind w:firstLine="463" w:firstLineChars="192"/>
        <w:rPr>
          <w:rFonts w:ascii="Times New Roman" w:hAnsi="Times New Roman" w:eastAsia="仿宋" w:cs="Times New Roman"/>
          <w:b/>
          <w:color w:val="auto"/>
          <w:kern w:val="0"/>
          <w:sz w:val="24"/>
          <w:szCs w:val="24"/>
          <w:highlight w:val="none"/>
        </w:rPr>
      </w:pPr>
      <w:r>
        <w:rPr>
          <w:rFonts w:hint="eastAsia" w:ascii="Times New Roman" w:hAnsi="Times New Roman" w:eastAsia="仿宋" w:cs="Times New Roman"/>
          <w:b/>
          <w:color w:val="auto"/>
          <w:kern w:val="0"/>
          <w:sz w:val="24"/>
          <w:szCs w:val="24"/>
          <w:highlight w:val="none"/>
        </w:rPr>
        <w:t>重要提示：</w:t>
      </w:r>
    </w:p>
    <w:p w14:paraId="7DB9349B">
      <w:pPr>
        <w:autoSpaceDN w:val="0"/>
        <w:adjustRightInd w:val="0"/>
        <w:snapToGrid w:val="0"/>
        <w:spacing w:line="360" w:lineRule="auto"/>
        <w:ind w:firstLine="463" w:firstLineChars="192"/>
        <w:rPr>
          <w:rFonts w:ascii="Times New Roman" w:hAnsi="Times New Roman" w:eastAsia="仿宋" w:cs="Times New Roman"/>
          <w:b/>
          <w:color w:val="auto"/>
          <w:sz w:val="24"/>
          <w:szCs w:val="24"/>
          <w:highlight w:val="none"/>
          <w:u w:val="single"/>
        </w:rPr>
      </w:pPr>
      <w:r>
        <w:rPr>
          <w:rFonts w:hint="eastAsia" w:ascii="Times New Roman" w:hAnsi="Times New Roman" w:eastAsia="仿宋" w:cs="Times New Roman"/>
          <w:b/>
          <w:color w:val="auto"/>
          <w:kern w:val="0"/>
          <w:sz w:val="24"/>
          <w:szCs w:val="24"/>
          <w:highlight w:val="none"/>
        </w:rPr>
        <w:t>（</w:t>
      </w:r>
      <w:r>
        <w:rPr>
          <w:rFonts w:ascii="Times New Roman" w:hAnsi="Times New Roman" w:eastAsia="仿宋" w:cs="Times New Roman"/>
          <w:b/>
          <w:color w:val="auto"/>
          <w:kern w:val="0"/>
          <w:sz w:val="24"/>
          <w:szCs w:val="24"/>
          <w:highlight w:val="none"/>
        </w:rPr>
        <w:t>1</w:t>
      </w:r>
      <w:r>
        <w:rPr>
          <w:rFonts w:hint="eastAsia" w:ascii="Times New Roman" w:hAnsi="Times New Roman" w:eastAsia="仿宋" w:cs="Times New Roman"/>
          <w:b/>
          <w:color w:val="auto"/>
          <w:kern w:val="0"/>
          <w:sz w:val="24"/>
          <w:szCs w:val="24"/>
          <w:highlight w:val="none"/>
        </w:rPr>
        <w:t>）</w:t>
      </w:r>
      <w:r>
        <w:rPr>
          <w:rFonts w:hint="eastAsia" w:ascii="Times New Roman" w:hAnsi="Times New Roman" w:eastAsia="仿宋" w:cs="Times New Roman"/>
          <w:b/>
          <w:color w:val="auto"/>
          <w:sz w:val="24"/>
          <w:szCs w:val="24"/>
          <w:highlight w:val="none"/>
          <w:u w:val="single"/>
        </w:rPr>
        <w:t>本项目专门面向中小企业采购，小型、微型、监狱及残疾人福利性企业评审价格不予扣除</w:t>
      </w:r>
      <w:r>
        <w:rPr>
          <w:rFonts w:hint="eastAsia" w:ascii="Times New Roman" w:hAnsi="Times New Roman" w:eastAsia="仿宋" w:cs="Times New Roman"/>
          <w:b/>
          <w:color w:val="auto"/>
          <w:sz w:val="24"/>
          <w:szCs w:val="24"/>
          <w:highlight w:val="none"/>
        </w:rPr>
        <w:t>；</w:t>
      </w:r>
    </w:p>
    <w:p w14:paraId="2849802F">
      <w:pPr>
        <w:autoSpaceDN w:val="0"/>
        <w:adjustRightInd w:val="0"/>
        <w:snapToGrid w:val="0"/>
        <w:spacing w:line="360" w:lineRule="auto"/>
        <w:ind w:firstLine="482" w:firstLineChars="200"/>
        <w:rPr>
          <w:rFonts w:ascii="宋体" w:hAnsi="Courier New" w:eastAsia="宋体" w:cs="Times New Roman"/>
          <w:color w:val="auto"/>
          <w:spacing w:val="-4"/>
          <w:kern w:val="0"/>
          <w:sz w:val="18"/>
          <w:szCs w:val="20"/>
          <w:highlight w:val="none"/>
        </w:rPr>
      </w:pPr>
      <w:r>
        <w:rPr>
          <w:rFonts w:hint="eastAsia" w:ascii="Times New Roman" w:hAnsi="Times New Roman" w:eastAsia="仿宋" w:cs="Times New Roman"/>
          <w:b/>
          <w:color w:val="auto"/>
          <w:sz w:val="24"/>
          <w:szCs w:val="24"/>
          <w:highlight w:val="none"/>
        </w:rPr>
        <w:t>（</w:t>
      </w:r>
      <w:r>
        <w:rPr>
          <w:rFonts w:ascii="Times New Roman" w:hAnsi="Times New Roman" w:eastAsia="仿宋" w:cs="Times New Roman"/>
          <w:b/>
          <w:color w:val="auto"/>
          <w:sz w:val="24"/>
          <w:szCs w:val="24"/>
          <w:highlight w:val="none"/>
        </w:rPr>
        <w:t>2</w:t>
      </w:r>
      <w:r>
        <w:rPr>
          <w:rFonts w:hint="eastAsia" w:ascii="Times New Roman" w:hAnsi="Times New Roman" w:eastAsia="仿宋" w:cs="Times New Roman"/>
          <w:b/>
          <w:color w:val="auto"/>
          <w:sz w:val="24"/>
          <w:szCs w:val="24"/>
          <w:highlight w:val="none"/>
        </w:rPr>
        <w:t>）</w:t>
      </w:r>
      <w:r>
        <w:rPr>
          <w:rFonts w:hint="eastAsia" w:ascii="Times New Roman" w:hAnsi="Times New Roman" w:eastAsia="仿宋" w:cs="Times New Roman"/>
          <w:b/>
          <w:color w:val="auto"/>
          <w:sz w:val="24"/>
          <w:szCs w:val="24"/>
          <w:highlight w:val="none"/>
          <w:u w:val="single"/>
        </w:rPr>
        <w:t>投标人不得进行影响产品质量或者诚信履约的恶意报价。投标人在项目评审前准备好报价核算、报价明细、报价说明等材料，以备评审专家核查。投标人报价低于项目标项预算50%的，应当在报价文件中详细阐述不影响产品质量或者诚信履约的具体原因，供应商不能证明其报价合理性的，评审委员会应将该响应文件作无效处理。</w:t>
      </w:r>
    </w:p>
    <w:p w14:paraId="532E2EA9">
      <w:pPr>
        <w:keepNext/>
        <w:keepLines/>
        <w:autoSpaceDN w:val="0"/>
        <w:spacing w:before="260" w:after="260" w:line="415" w:lineRule="auto"/>
        <w:outlineLvl w:val="1"/>
        <w:rPr>
          <w:rFonts w:ascii="仿宋" w:hAnsi="仿宋" w:eastAsia="仿宋" w:cs="Times New Roman"/>
          <w:b/>
          <w:bCs/>
          <w:color w:val="auto"/>
          <w:sz w:val="28"/>
          <w:szCs w:val="28"/>
          <w:highlight w:val="none"/>
        </w:rPr>
      </w:pPr>
      <w:bookmarkStart w:id="87" w:name="_Toc474729562"/>
      <w:bookmarkStart w:id="88" w:name="_Toc440162797"/>
      <w:bookmarkStart w:id="89" w:name="_Toc520824348"/>
      <w:bookmarkStart w:id="90" w:name="_Toc96947086"/>
      <w:bookmarkStart w:id="91" w:name="_Toc10395"/>
      <w:r>
        <w:rPr>
          <w:rFonts w:hint="eastAsia" w:ascii="仿宋" w:hAnsi="仿宋" w:eastAsia="仿宋" w:cs="Times New Roman"/>
          <w:b/>
          <w:bCs/>
          <w:color w:val="auto"/>
          <w:sz w:val="28"/>
          <w:szCs w:val="28"/>
          <w:highlight w:val="none"/>
        </w:rPr>
        <w:t>四、</w:t>
      </w:r>
      <w:bookmarkEnd w:id="87"/>
      <w:bookmarkEnd w:id="88"/>
      <w:bookmarkEnd w:id="89"/>
      <w:r>
        <w:rPr>
          <w:rFonts w:hint="eastAsia" w:ascii="仿宋" w:hAnsi="仿宋" w:eastAsia="仿宋" w:cs="Times New Roman"/>
          <w:b/>
          <w:bCs/>
          <w:color w:val="auto"/>
          <w:sz w:val="28"/>
          <w:szCs w:val="28"/>
          <w:highlight w:val="none"/>
        </w:rPr>
        <w:t>其他评审事项规定</w:t>
      </w:r>
      <w:bookmarkEnd w:id="90"/>
      <w:bookmarkEnd w:id="91"/>
    </w:p>
    <w:p w14:paraId="24B87247">
      <w:pPr>
        <w:keepNext/>
        <w:keepLines/>
        <w:autoSpaceDN w:val="0"/>
        <w:spacing w:before="260" w:after="260" w:line="415" w:lineRule="auto"/>
        <w:ind w:firstLine="241"/>
        <w:jc w:val="left"/>
        <w:outlineLvl w:val="2"/>
        <w:rPr>
          <w:rFonts w:ascii="仿宋" w:hAnsi="仿宋" w:eastAsia="仿宋" w:cs="Times New Roman"/>
          <w:color w:val="auto"/>
          <w:kern w:val="0"/>
          <w:sz w:val="24"/>
          <w:szCs w:val="32"/>
          <w:highlight w:val="none"/>
        </w:rPr>
      </w:pPr>
      <w:r>
        <w:rPr>
          <w:rFonts w:hint="eastAsia" w:ascii="仿宋" w:hAnsi="仿宋" w:eastAsia="仿宋" w:cs="Times New Roman"/>
          <w:color w:val="auto"/>
          <w:kern w:val="0"/>
          <w:sz w:val="24"/>
          <w:szCs w:val="32"/>
          <w:highlight w:val="none"/>
        </w:rPr>
        <w:t>4.1 串通投标的认定</w:t>
      </w:r>
    </w:p>
    <w:p w14:paraId="7B2B58B6">
      <w:pPr>
        <w:autoSpaceDN w:val="0"/>
        <w:spacing w:line="360" w:lineRule="auto"/>
        <w:ind w:firstLine="463" w:firstLineChars="192"/>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4.1.1在评审过程中发现以下情形，被视为串通投标的：</w:t>
      </w:r>
    </w:p>
    <w:p w14:paraId="52C4287F">
      <w:pPr>
        <w:autoSpaceDN w:val="0"/>
        <w:spacing w:line="360" w:lineRule="auto"/>
        <w:ind w:firstLine="463" w:firstLineChars="192"/>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（1）</w:t>
      </w:r>
      <w:r>
        <w:rPr>
          <w:rFonts w:hint="eastAsia" w:ascii="仿宋" w:hAnsi="仿宋" w:eastAsia="仿宋" w:cs="Arial"/>
          <w:b/>
          <w:color w:val="auto"/>
          <w:kern w:val="0"/>
          <w:sz w:val="24"/>
          <w:szCs w:val="24"/>
          <w:highlight w:val="none"/>
          <w:u w:val="single"/>
        </w:rPr>
        <w:t>不同磋商响应供应商的磋商响应文件由同一单位或个人编制</w:t>
      </w:r>
      <w:r>
        <w:rPr>
          <w:rFonts w:hint="eastAsia" w:ascii="仿宋" w:hAnsi="仿宋" w:eastAsia="仿宋" w:cs="Arial"/>
          <w:b/>
          <w:color w:val="auto"/>
          <w:kern w:val="0"/>
          <w:sz w:val="24"/>
          <w:szCs w:val="24"/>
          <w:highlight w:val="none"/>
        </w:rPr>
        <w:t>；</w:t>
      </w:r>
    </w:p>
    <w:p w14:paraId="1A219514">
      <w:pPr>
        <w:autoSpaceDN w:val="0"/>
        <w:spacing w:line="360" w:lineRule="auto"/>
        <w:ind w:firstLine="463" w:firstLineChars="192"/>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（2）</w:t>
      </w:r>
      <w:r>
        <w:rPr>
          <w:rFonts w:hint="eastAsia" w:ascii="仿宋" w:hAnsi="仿宋" w:eastAsia="仿宋" w:cs="Arial"/>
          <w:b/>
          <w:color w:val="auto"/>
          <w:kern w:val="0"/>
          <w:sz w:val="24"/>
          <w:szCs w:val="24"/>
          <w:highlight w:val="none"/>
          <w:u w:val="single"/>
        </w:rPr>
        <w:t>不同磋商响应供应商委托同一单位或个人办理投标事宜</w:t>
      </w:r>
      <w:r>
        <w:rPr>
          <w:rFonts w:hint="eastAsia" w:ascii="仿宋" w:hAnsi="仿宋" w:eastAsia="仿宋" w:cs="Arial"/>
          <w:b/>
          <w:color w:val="auto"/>
          <w:kern w:val="0"/>
          <w:sz w:val="24"/>
          <w:szCs w:val="24"/>
          <w:highlight w:val="none"/>
        </w:rPr>
        <w:t>；</w:t>
      </w:r>
    </w:p>
    <w:p w14:paraId="617C67BF">
      <w:pPr>
        <w:autoSpaceDN w:val="0"/>
        <w:spacing w:line="360" w:lineRule="auto"/>
        <w:ind w:firstLine="463" w:firstLineChars="192"/>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（3）</w:t>
      </w:r>
      <w:r>
        <w:rPr>
          <w:rFonts w:hint="eastAsia" w:ascii="仿宋" w:hAnsi="仿宋" w:eastAsia="仿宋" w:cs="Arial"/>
          <w:b/>
          <w:color w:val="auto"/>
          <w:kern w:val="0"/>
          <w:sz w:val="24"/>
          <w:szCs w:val="24"/>
          <w:highlight w:val="none"/>
          <w:u w:val="single"/>
        </w:rPr>
        <w:t>不同磋商响应供应商的磋商响应文件载明的项目管理成员或联系人员为同一人</w:t>
      </w:r>
      <w:r>
        <w:rPr>
          <w:rFonts w:hint="eastAsia" w:ascii="仿宋" w:hAnsi="仿宋" w:eastAsia="仿宋" w:cs="Arial"/>
          <w:b/>
          <w:color w:val="auto"/>
          <w:kern w:val="0"/>
          <w:sz w:val="24"/>
          <w:szCs w:val="24"/>
          <w:highlight w:val="none"/>
        </w:rPr>
        <w:t>；</w:t>
      </w:r>
    </w:p>
    <w:p w14:paraId="58B414B1">
      <w:pPr>
        <w:autoSpaceDN w:val="0"/>
        <w:spacing w:line="360" w:lineRule="auto"/>
        <w:ind w:firstLine="463" w:firstLineChars="192"/>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w:t>
      </w:r>
      <w:r>
        <w:rPr>
          <w:rFonts w:hint="eastAsia" w:ascii="仿宋" w:hAnsi="仿宋" w:eastAsia="仿宋" w:cs="Arial"/>
          <w:b/>
          <w:color w:val="auto"/>
          <w:kern w:val="0"/>
          <w:sz w:val="24"/>
          <w:szCs w:val="24"/>
          <w:highlight w:val="none"/>
          <w:u w:val="single"/>
        </w:rPr>
        <w:t>不同磋商响应供应商的磋商响应文件异常一致或者投标报价呈规律性差异</w:t>
      </w:r>
      <w:r>
        <w:rPr>
          <w:rFonts w:hint="eastAsia" w:ascii="仿宋" w:hAnsi="仿宋" w:eastAsia="仿宋" w:cs="Arial"/>
          <w:b/>
          <w:color w:val="auto"/>
          <w:kern w:val="0"/>
          <w:sz w:val="24"/>
          <w:szCs w:val="24"/>
          <w:highlight w:val="none"/>
        </w:rPr>
        <w:t>；</w:t>
      </w:r>
    </w:p>
    <w:p w14:paraId="6489E5DD">
      <w:pPr>
        <w:autoSpaceDN w:val="0"/>
        <w:spacing w:line="360" w:lineRule="auto"/>
        <w:ind w:firstLine="463" w:firstLineChars="192"/>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（5）</w:t>
      </w:r>
      <w:r>
        <w:rPr>
          <w:rFonts w:hint="eastAsia" w:ascii="仿宋" w:hAnsi="仿宋" w:eastAsia="仿宋" w:cs="Arial"/>
          <w:b/>
          <w:color w:val="auto"/>
          <w:kern w:val="0"/>
          <w:sz w:val="24"/>
          <w:szCs w:val="24"/>
          <w:highlight w:val="none"/>
          <w:u w:val="single"/>
        </w:rPr>
        <w:t>不同磋商响应供应商的磋商响应文件互相混装</w:t>
      </w:r>
      <w:r>
        <w:rPr>
          <w:rFonts w:hint="eastAsia" w:ascii="仿宋" w:hAnsi="仿宋" w:eastAsia="仿宋" w:cs="Arial"/>
          <w:b/>
          <w:color w:val="auto"/>
          <w:kern w:val="0"/>
          <w:sz w:val="24"/>
          <w:szCs w:val="24"/>
          <w:highlight w:val="none"/>
        </w:rPr>
        <w:t>。</w:t>
      </w:r>
    </w:p>
    <w:p w14:paraId="3F9CA91E">
      <w:pPr>
        <w:autoSpaceDN w:val="0"/>
        <w:spacing w:line="360" w:lineRule="auto"/>
        <w:ind w:firstLine="463" w:firstLineChars="192"/>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4.1.2磋商响应供应商应当遵循公平竞争的原则，不得恶意串通，不得妨碍其他磋商响应供应商的竞争行为，不得损害采购人或者其他磋商响应供应商的合法权益。在评审过程中，发现磋商响应供应商有上述串通投标情形的，投标无效，并书面报告本级财政部门。</w:t>
      </w:r>
    </w:p>
    <w:p w14:paraId="269259E6">
      <w:pPr>
        <w:keepNext/>
        <w:keepLines/>
        <w:autoSpaceDN w:val="0"/>
        <w:spacing w:before="260" w:after="260" w:line="415" w:lineRule="auto"/>
        <w:ind w:firstLine="241"/>
        <w:jc w:val="left"/>
        <w:outlineLvl w:val="2"/>
        <w:rPr>
          <w:rFonts w:ascii="仿宋" w:hAnsi="仿宋" w:eastAsia="仿宋" w:cs="Times New Roman"/>
          <w:color w:val="auto"/>
          <w:kern w:val="0"/>
          <w:sz w:val="24"/>
          <w:szCs w:val="32"/>
          <w:highlight w:val="none"/>
        </w:rPr>
      </w:pPr>
      <w:r>
        <w:rPr>
          <w:rFonts w:hint="eastAsia" w:ascii="仿宋" w:hAnsi="仿宋" w:eastAsia="仿宋" w:cs="Times New Roman"/>
          <w:color w:val="auto"/>
          <w:kern w:val="0"/>
          <w:sz w:val="24"/>
          <w:szCs w:val="32"/>
          <w:highlight w:val="none"/>
        </w:rPr>
        <w:t>4.2 磋商响应供应商违法等重大事项的处理</w:t>
      </w:r>
    </w:p>
    <w:p w14:paraId="68F160C3">
      <w:pPr>
        <w:autoSpaceDN w:val="0"/>
        <w:spacing w:line="360" w:lineRule="auto"/>
        <w:ind w:firstLine="424" w:firstLineChars="176"/>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磋商响应供应商有下列情形之一的，投标无效且将《磋商响应文件》、《询标记录》等报同级政府采购监管部门或有关职能部门查处：</w:t>
      </w:r>
    </w:p>
    <w:p w14:paraId="6084B255">
      <w:pPr>
        <w:autoSpaceDN w:val="0"/>
        <w:spacing w:line="360" w:lineRule="auto"/>
        <w:ind w:firstLine="422" w:firstLineChars="176"/>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（1）未如实提供债权债务、重大违法记录、利害关系等信息，影响或者可能影响成交结果的；</w:t>
      </w:r>
    </w:p>
    <w:p w14:paraId="1ED65D35">
      <w:pPr>
        <w:autoSpaceDN w:val="0"/>
        <w:spacing w:line="360" w:lineRule="auto"/>
        <w:ind w:firstLine="422" w:firstLineChars="176"/>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（2）不遵循公平竞争原则、恶意串通、妨碍其他磋商响应供应商的竞争、损害采购人或其他磋商响应供应商合法权益的；</w:t>
      </w:r>
    </w:p>
    <w:p w14:paraId="6B202E28">
      <w:pPr>
        <w:autoSpaceDN w:val="0"/>
        <w:spacing w:line="360" w:lineRule="auto"/>
        <w:ind w:firstLine="422" w:firstLineChars="176"/>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（3）政府采购活动中存在违法行为的；</w:t>
      </w:r>
    </w:p>
    <w:p w14:paraId="249DF087">
      <w:pPr>
        <w:autoSpaceDN w:val="0"/>
        <w:spacing w:line="360" w:lineRule="auto"/>
        <w:ind w:firstLine="422" w:firstLineChars="176"/>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（3）其他严重干扰招投标秩序的行为的。</w:t>
      </w:r>
    </w:p>
    <w:p w14:paraId="65FB9AA8">
      <w:pPr>
        <w:keepNext/>
        <w:keepLines/>
        <w:autoSpaceDN w:val="0"/>
        <w:spacing w:before="260" w:after="260" w:line="415" w:lineRule="auto"/>
        <w:ind w:firstLine="241"/>
        <w:jc w:val="left"/>
        <w:outlineLvl w:val="2"/>
        <w:rPr>
          <w:rFonts w:ascii="仿宋" w:hAnsi="仿宋" w:eastAsia="仿宋" w:cs="Times New Roman"/>
          <w:color w:val="auto"/>
          <w:kern w:val="0"/>
          <w:sz w:val="24"/>
          <w:szCs w:val="32"/>
          <w:highlight w:val="none"/>
        </w:rPr>
      </w:pPr>
      <w:r>
        <w:rPr>
          <w:rFonts w:hint="eastAsia" w:ascii="仿宋" w:hAnsi="仿宋" w:eastAsia="仿宋" w:cs="Times New Roman"/>
          <w:color w:val="auto"/>
          <w:kern w:val="0"/>
          <w:sz w:val="24"/>
          <w:szCs w:val="32"/>
          <w:highlight w:val="none"/>
        </w:rPr>
        <w:t>4.3 评审中合格磋商响应供应商不足法定数量的处理</w:t>
      </w:r>
    </w:p>
    <w:p w14:paraId="0CCB44D8">
      <w:pPr>
        <w:autoSpaceDN w:val="0"/>
        <w:spacing w:line="360" w:lineRule="auto"/>
        <w:ind w:firstLine="422" w:firstLineChars="175"/>
        <w:rPr>
          <w:rFonts w:ascii="仿宋" w:hAnsi="仿宋" w:eastAsia="仿宋" w:cs="Arial"/>
          <w:color w:val="auto"/>
          <w:szCs w:val="24"/>
          <w:highlight w:val="none"/>
        </w:rPr>
      </w:pPr>
      <w:r>
        <w:rPr>
          <w:rFonts w:hint="eastAsia" w:ascii="仿宋" w:hAnsi="仿宋" w:eastAsia="仿宋" w:cs="Arial"/>
          <w:b/>
          <w:color w:val="auto"/>
          <w:kern w:val="0"/>
          <w:sz w:val="24"/>
          <w:highlight w:val="none"/>
        </w:rPr>
        <w:t>公开招标的采购项目，在评审过程中，若某个标项的有效磋商响应供应商不足三家的，除采购任务取消情形外，采购人可选择以下方式之一处理：</w:t>
      </w:r>
    </w:p>
    <w:p w14:paraId="494AF05C">
      <w:pPr>
        <w:autoSpaceDN w:val="0"/>
        <w:spacing w:line="360" w:lineRule="auto"/>
        <w:ind w:firstLine="420" w:firstLineChars="175"/>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（1）将本标项作废标处理，重新组织采购；</w:t>
      </w:r>
    </w:p>
    <w:p w14:paraId="0BC0B613">
      <w:pPr>
        <w:autoSpaceDN w:val="0"/>
        <w:spacing w:line="360" w:lineRule="auto"/>
        <w:ind w:firstLine="420" w:firstLineChars="175"/>
        <w:rPr>
          <w:rFonts w:ascii="仿宋" w:hAnsi="仿宋" w:eastAsia="仿宋" w:cs="Times New Roman"/>
          <w:b/>
          <w:color w:val="auto"/>
          <w:sz w:val="24"/>
          <w:szCs w:val="24"/>
          <w:highlight w:val="none"/>
        </w:rPr>
      </w:pPr>
      <w:r>
        <w:rPr>
          <w:rFonts w:hint="eastAsia" w:ascii="仿宋" w:hAnsi="仿宋" w:eastAsia="仿宋" w:cs="Arial"/>
          <w:color w:val="auto"/>
          <w:kern w:val="0"/>
          <w:sz w:val="24"/>
          <w:highlight w:val="none"/>
        </w:rPr>
        <w:t>（2）按同级政府采购监督管理部门的审批意见采用其他采购方式组织采购。</w:t>
      </w:r>
    </w:p>
    <w:p w14:paraId="15D52F3B">
      <w:pPr>
        <w:keepNext/>
        <w:keepLines/>
        <w:autoSpaceDN w:val="0"/>
        <w:spacing w:before="260" w:after="260" w:line="415" w:lineRule="auto"/>
        <w:ind w:firstLine="241"/>
        <w:jc w:val="left"/>
        <w:outlineLvl w:val="2"/>
        <w:rPr>
          <w:rFonts w:ascii="仿宋" w:hAnsi="仿宋" w:eastAsia="仿宋" w:cs="Times New Roman"/>
          <w:color w:val="auto"/>
          <w:kern w:val="0"/>
          <w:sz w:val="24"/>
          <w:szCs w:val="32"/>
          <w:highlight w:val="none"/>
        </w:rPr>
      </w:pPr>
      <w:r>
        <w:rPr>
          <w:rFonts w:hint="eastAsia" w:ascii="仿宋" w:hAnsi="仿宋" w:eastAsia="仿宋" w:cs="Times New Roman"/>
          <w:color w:val="auto"/>
          <w:kern w:val="0"/>
          <w:sz w:val="24"/>
          <w:szCs w:val="32"/>
          <w:highlight w:val="none"/>
        </w:rPr>
        <w:t>4.4 废标适用情形</w:t>
      </w:r>
    </w:p>
    <w:p w14:paraId="3615BC2C">
      <w:pPr>
        <w:autoSpaceDN w:val="0"/>
        <w:spacing w:line="360" w:lineRule="auto"/>
        <w:ind w:firstLine="424" w:firstLineChars="176"/>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在招标采购中，出现下列情形之一的，项目将予以废标：</w:t>
      </w:r>
    </w:p>
    <w:p w14:paraId="0A0489D4">
      <w:pPr>
        <w:widowControl/>
        <w:autoSpaceDN w:val="0"/>
        <w:spacing w:line="360" w:lineRule="auto"/>
        <w:ind w:firstLine="480" w:firstLineChars="20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（1）符合专业条件的供应商或者对竞争性磋商文件作实质响应的供应商不足三家的；</w:t>
      </w:r>
    </w:p>
    <w:p w14:paraId="4A9996A1">
      <w:pPr>
        <w:widowControl/>
        <w:autoSpaceDN w:val="0"/>
        <w:spacing w:line="360" w:lineRule="auto"/>
        <w:ind w:firstLine="480" w:firstLineChars="20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（2）出现影响采购公正的违法、违规行为的；</w:t>
      </w:r>
    </w:p>
    <w:p w14:paraId="73AF0FEF">
      <w:pPr>
        <w:widowControl/>
        <w:autoSpaceDN w:val="0"/>
        <w:spacing w:line="360" w:lineRule="auto"/>
        <w:ind w:firstLine="480" w:firstLineChars="20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（3）磋商响应供应商的报价均超过了采购预算，采购人不能支付的；</w:t>
      </w:r>
    </w:p>
    <w:p w14:paraId="266BBC9F">
      <w:pPr>
        <w:widowControl/>
        <w:autoSpaceDN w:val="0"/>
        <w:spacing w:line="360" w:lineRule="auto"/>
        <w:ind w:firstLine="480" w:firstLineChars="200"/>
        <w:rPr>
          <w:rFonts w:ascii="仿宋" w:hAnsi="仿宋" w:eastAsia="仿宋" w:cs="Times New Roman"/>
          <w:color w:val="auto"/>
          <w:kern w:val="0"/>
          <w:sz w:val="28"/>
          <w:szCs w:val="28"/>
          <w:highlight w:val="none"/>
        </w:rPr>
      </w:pPr>
      <w:r>
        <w:rPr>
          <w:rFonts w:hint="eastAsia" w:ascii="仿宋" w:hAnsi="仿宋" w:eastAsia="仿宋" w:cs="Times New Roman"/>
          <w:color w:val="auto"/>
          <w:kern w:val="0"/>
          <w:sz w:val="24"/>
          <w:szCs w:val="24"/>
          <w:highlight w:val="none"/>
        </w:rPr>
        <w:t>（4）因重大变故，采购任务取消的。</w:t>
      </w:r>
    </w:p>
    <w:p w14:paraId="3F34A555">
      <w:pPr>
        <w:keepNext/>
        <w:keepLines/>
        <w:autoSpaceDN w:val="0"/>
        <w:spacing w:before="260" w:after="260" w:line="415" w:lineRule="auto"/>
        <w:ind w:firstLine="241"/>
        <w:jc w:val="left"/>
        <w:outlineLvl w:val="2"/>
        <w:rPr>
          <w:rFonts w:ascii="仿宋" w:hAnsi="仿宋" w:eastAsia="仿宋" w:cs="Times New Roman"/>
          <w:color w:val="auto"/>
          <w:kern w:val="0"/>
          <w:sz w:val="24"/>
          <w:szCs w:val="32"/>
          <w:highlight w:val="none"/>
        </w:rPr>
      </w:pPr>
      <w:r>
        <w:rPr>
          <w:rFonts w:hint="eastAsia" w:ascii="仿宋" w:hAnsi="仿宋" w:eastAsia="仿宋" w:cs="Times New Roman"/>
          <w:color w:val="auto"/>
          <w:kern w:val="0"/>
          <w:sz w:val="24"/>
          <w:szCs w:val="32"/>
          <w:highlight w:val="none"/>
        </w:rPr>
        <w:t>4.5 可中止电子交易活动的情形</w:t>
      </w:r>
    </w:p>
    <w:p w14:paraId="26301D48">
      <w:pPr>
        <w:autoSpaceDN w:val="0"/>
        <w:spacing w:line="360" w:lineRule="auto"/>
        <w:ind w:firstLine="424" w:firstLineChars="176"/>
        <w:rPr>
          <w:rFonts w:ascii="仿宋" w:hAnsi="仿宋" w:eastAsia="仿宋" w:cs="Times New Roman"/>
          <w:color w:val="auto"/>
          <w:sz w:val="24"/>
          <w:szCs w:val="28"/>
          <w:highlight w:val="none"/>
        </w:rPr>
      </w:pPr>
      <w:r>
        <w:rPr>
          <w:rFonts w:hint="eastAsia" w:ascii="仿宋" w:hAnsi="仿宋" w:eastAsia="仿宋" w:cs="Times New Roman"/>
          <w:b/>
          <w:color w:val="auto"/>
          <w:sz w:val="24"/>
          <w:szCs w:val="28"/>
          <w:highlight w:val="none"/>
        </w:rPr>
        <w:t>采购过程中出现以下情形，导致电子交易平台无法正常运行，或者无法保证电子交易的公平、公正和安全时，采购组织机构可中止电子交易活动：</w:t>
      </w:r>
    </w:p>
    <w:p w14:paraId="3E4F95E4">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（一）电子交易平台发生故障而无法登录访问的；</w:t>
      </w:r>
    </w:p>
    <w:p w14:paraId="1B08A913">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（二）电子交易平台应用或数据库出现错误，不能进行正常操作的；</w:t>
      </w:r>
    </w:p>
    <w:p w14:paraId="46985751">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（三）电子交易平台发现严重安全漏洞，有潜在泄密危险的；</w:t>
      </w:r>
    </w:p>
    <w:p w14:paraId="1D6CB7F1">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（四）病毒发作导致不能进行正常操作的；</w:t>
      </w:r>
    </w:p>
    <w:p w14:paraId="3BE3083C">
      <w:pPr>
        <w:autoSpaceDN w:val="0"/>
        <w:spacing w:line="360" w:lineRule="auto"/>
        <w:ind w:firstLine="422" w:firstLineChars="176"/>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（五）其他无法保证电子交易的公平、公正和安全的情况。</w:t>
      </w:r>
    </w:p>
    <w:p w14:paraId="7C58A30C">
      <w:pPr>
        <w:autoSpaceDN w:val="0"/>
        <w:spacing w:line="360" w:lineRule="auto"/>
        <w:ind w:firstLine="465" w:firstLineChars="193"/>
        <w:rPr>
          <w:rFonts w:ascii="仿宋" w:hAnsi="仿宋" w:eastAsia="仿宋" w:cs="Arial"/>
          <w:b/>
          <w:color w:val="auto"/>
          <w:sz w:val="24"/>
          <w:highlight w:val="none"/>
        </w:rPr>
      </w:pPr>
      <w:r>
        <w:rPr>
          <w:rFonts w:hint="eastAsia" w:ascii="仿宋" w:hAnsi="仿宋" w:eastAsia="仿宋" w:cs="Times New Roman"/>
          <w:b/>
          <w:color w:val="auto"/>
          <w:sz w:val="24"/>
          <w:szCs w:val="28"/>
          <w:highlight w:val="none"/>
        </w:rPr>
        <w:t>出现前款规定情形，不影响采购公平、公正性的，采购组织机构可以待上述情形消除后继续组织电子交易活动，也可以决定某些环节以纸质形式进行；影响或可能影响采购公平、公正性的，将重新采购。</w:t>
      </w:r>
    </w:p>
    <w:p w14:paraId="0EA1FD98">
      <w:pPr>
        <w:autoSpaceDN w:val="0"/>
        <w:spacing w:line="200" w:lineRule="exact"/>
        <w:ind w:firstLine="301"/>
        <w:rPr>
          <w:rFonts w:ascii="宋体" w:hAnsi="Courier New" w:eastAsia="宋体" w:cs="Times New Roman"/>
          <w:color w:val="auto"/>
          <w:spacing w:val="-4"/>
          <w:kern w:val="0"/>
          <w:sz w:val="18"/>
          <w:szCs w:val="20"/>
          <w:highlight w:val="none"/>
        </w:rPr>
      </w:pPr>
    </w:p>
    <w:p w14:paraId="3FFAC550">
      <w:pPr>
        <w:autoSpaceDN w:val="0"/>
        <w:snapToGrid w:val="0"/>
        <w:spacing w:line="360" w:lineRule="auto"/>
        <w:ind w:left="238"/>
        <w:jc w:val="center"/>
        <w:outlineLvl w:val="0"/>
        <w:rPr>
          <w:rFonts w:ascii="仿宋" w:hAnsi="仿宋" w:eastAsia="仿宋" w:cs="宋体"/>
          <w:color w:val="auto"/>
          <w:sz w:val="32"/>
          <w:szCs w:val="32"/>
          <w:highlight w:val="none"/>
        </w:rPr>
      </w:pPr>
      <w:r>
        <w:rPr>
          <w:rFonts w:hint="eastAsia" w:ascii="仿宋" w:hAnsi="仿宋" w:eastAsia="仿宋" w:cs="宋体"/>
          <w:b/>
          <w:color w:val="auto"/>
          <w:sz w:val="24"/>
          <w:szCs w:val="24"/>
          <w:highlight w:val="none"/>
        </w:rPr>
        <w:br w:type="page"/>
      </w:r>
      <w:bookmarkStart w:id="92" w:name="_Toc8854"/>
      <w:r>
        <w:rPr>
          <w:rFonts w:hint="eastAsia" w:ascii="仿宋" w:hAnsi="仿宋" w:eastAsia="仿宋" w:cs="宋体"/>
          <w:b/>
          <w:color w:val="auto"/>
          <w:sz w:val="32"/>
          <w:szCs w:val="32"/>
          <w:highlight w:val="none"/>
        </w:rPr>
        <w:t>第四章 采购内容及需求</w:t>
      </w:r>
      <w:bookmarkEnd w:id="92"/>
    </w:p>
    <w:p w14:paraId="37F16A1C">
      <w:pPr>
        <w:spacing w:line="360" w:lineRule="auto"/>
        <w:ind w:firstLine="482" w:firstLineChars="200"/>
        <w:jc w:val="left"/>
        <w:rPr>
          <w:rFonts w:ascii="仿宋" w:hAnsi="仿宋" w:eastAsia="仿宋" w:cs="仿宋"/>
          <w:b/>
          <w:bCs/>
          <w:color w:val="auto"/>
          <w:sz w:val="24"/>
          <w:szCs w:val="24"/>
          <w:highlight w:val="none"/>
        </w:rPr>
      </w:pPr>
      <w:bookmarkStart w:id="93" w:name="page4"/>
      <w:bookmarkEnd w:id="93"/>
      <w:bookmarkStart w:id="94" w:name="_Hlk92875903"/>
      <w:r>
        <w:rPr>
          <w:rFonts w:hint="eastAsia" w:ascii="仿宋" w:hAnsi="仿宋" w:eastAsia="仿宋" w:cs="仿宋"/>
          <w:b/>
          <w:bCs/>
          <w:color w:val="auto"/>
          <w:sz w:val="24"/>
          <w:szCs w:val="24"/>
          <w:highlight w:val="none"/>
        </w:rPr>
        <w:t>一、工程概况</w:t>
      </w:r>
    </w:p>
    <w:p w14:paraId="225C8A17">
      <w:pPr>
        <w:spacing w:line="360" w:lineRule="auto"/>
        <w:ind w:firstLine="482" w:firstLineChars="200"/>
        <w:jc w:val="left"/>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1.工程名称：</w:t>
      </w:r>
      <w:r>
        <w:rPr>
          <w:rFonts w:hint="eastAsia" w:ascii="仿宋" w:hAnsi="仿宋" w:eastAsia="仿宋" w:cs="仿宋"/>
          <w:color w:val="auto"/>
          <w:sz w:val="24"/>
          <w:szCs w:val="24"/>
          <w:highlight w:val="none"/>
          <w:lang w:eastAsia="zh-CN"/>
        </w:rPr>
        <w:t>浙江工业大学2024年学生校区布局调整相关用房装修工程</w:t>
      </w:r>
      <w:r>
        <w:rPr>
          <w:rFonts w:hint="eastAsia" w:ascii="仿宋" w:hAnsi="仿宋" w:eastAsia="仿宋" w:cs="仿宋"/>
          <w:color w:val="auto"/>
          <w:sz w:val="24"/>
          <w:szCs w:val="24"/>
          <w:highlight w:val="none"/>
        </w:rPr>
        <w:t>。</w:t>
      </w:r>
    </w:p>
    <w:p w14:paraId="3C437ABD">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2.基本情况：</w:t>
      </w:r>
    </w:p>
    <w:p w14:paraId="517E2F8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浙江工业大学2024年学生校区布局调整相关用房装修工程</w:t>
      </w:r>
      <w:r>
        <w:rPr>
          <w:rFonts w:hint="eastAsia" w:ascii="仿宋" w:hAnsi="仿宋" w:eastAsia="仿宋" w:cs="仿宋"/>
          <w:color w:val="auto"/>
          <w:sz w:val="24"/>
          <w:szCs w:val="24"/>
          <w:highlight w:val="none"/>
        </w:rPr>
        <w:t>，包含朝晖校区子良楼五楼C区</w:t>
      </w:r>
      <w:r>
        <w:rPr>
          <w:rFonts w:hint="eastAsia" w:ascii="仿宋" w:hAnsi="仿宋" w:eastAsia="仿宋" w:cs="仿宋"/>
          <w:color w:val="auto"/>
          <w:sz w:val="24"/>
          <w:szCs w:val="24"/>
          <w:highlight w:val="none"/>
          <w:lang w:val="en-US" w:eastAsia="zh-CN"/>
        </w:rPr>
        <w:t>经济、管理、法学等五个学院的行政办公用房</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机械楼八楼A区</w:t>
      </w:r>
      <w:r>
        <w:rPr>
          <w:rFonts w:hint="eastAsia" w:ascii="仿宋" w:hAnsi="仿宋" w:eastAsia="仿宋" w:cs="仿宋"/>
          <w:color w:val="auto"/>
          <w:sz w:val="24"/>
          <w:szCs w:val="24"/>
          <w:highlight w:val="none"/>
          <w:lang w:val="en-US" w:eastAsia="zh-CN"/>
        </w:rPr>
        <w:t>多媒体教室改造</w:t>
      </w:r>
      <w:r>
        <w:rPr>
          <w:rFonts w:hint="eastAsia" w:ascii="仿宋" w:hAnsi="仿宋" w:eastAsia="仿宋" w:cs="仿宋"/>
          <w:color w:val="auto"/>
          <w:sz w:val="24"/>
          <w:szCs w:val="24"/>
          <w:highlight w:val="none"/>
        </w:rPr>
        <w:t>。</w:t>
      </w:r>
    </w:p>
    <w:p w14:paraId="52486633">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3.现场条件</w:t>
      </w:r>
    </w:p>
    <w:p w14:paraId="3B533DF3">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（1）已具备施工条件，但施工不能影响正常的工作。</w:t>
      </w:r>
    </w:p>
    <w:p w14:paraId="5EDF3DE7">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人不组织现场踏勘，供应商应自行对工程现场和周围环境进行踏勘和了解，以获取有关编制响应文件和签署合同所需的各种资料，并应充分考虑影响本次报价的因素、预计实施过程中各种不利因素，由此可能发生的费用均由供应商考虑并包含在磋商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14:paraId="656665CF">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4.工程承包范围</w:t>
      </w:r>
    </w:p>
    <w:p w14:paraId="5364F7A4">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（1）工程量清单等已明确的工程内容（工程量清单另附）。</w:t>
      </w:r>
    </w:p>
    <w:p w14:paraId="6D287C55">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（2）可能出现的工程量增减以及根据招标人明确指令需在招标范围外增加的工程量及招标范围内减少的工程量。</w:t>
      </w:r>
    </w:p>
    <w:p w14:paraId="061877C8">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5.工程质量标准</w:t>
      </w:r>
    </w:p>
    <w:p w14:paraId="28FE686F">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工程质量符合（工程施工质量验收规范）合格标准。</w:t>
      </w:r>
    </w:p>
    <w:p w14:paraId="23B10BEA">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6.工期要求</w:t>
      </w:r>
    </w:p>
    <w:p w14:paraId="2A453306">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40</w:t>
      </w:r>
      <w:r>
        <w:rPr>
          <w:rFonts w:hint="eastAsia" w:ascii="仿宋" w:hAnsi="仿宋" w:eastAsia="仿宋" w:cs="仿宋"/>
          <w:color w:val="auto"/>
          <w:sz w:val="24"/>
          <w:szCs w:val="24"/>
          <w:highlight w:val="none"/>
        </w:rPr>
        <w:t>日历天。</w:t>
      </w:r>
    </w:p>
    <w:p w14:paraId="19546A6B">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供应商须确保按期完工，并在磋商响应文件中列出详细的工期进度计划。供应商可在响应文件中承诺更短的工期。</w:t>
      </w:r>
    </w:p>
    <w:p w14:paraId="6BB913C3">
      <w:pPr>
        <w:pStyle w:val="2"/>
        <w:rPr>
          <w:color w:val="auto"/>
          <w:highlight w:val="none"/>
        </w:rPr>
      </w:pPr>
    </w:p>
    <w:p w14:paraId="2242BCF5">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二、工程管理原则</w:t>
      </w:r>
    </w:p>
    <w:p w14:paraId="78F3D830">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承包范围内的工程项目，成交供应商一律不得转包，成交供应商如擅自转包，一经发现立即取消成交供应商的承包资格，由此引起的一切经济责任和法律责任由成交供应商承担，除扣罚履约担保外，并应另向采购人支付该项目合同金额10%的违约金；</w:t>
      </w:r>
    </w:p>
    <w:p w14:paraId="596E8BA6">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2、严格按照已确认的设计图纸和施工技术方案组织实施，并无条件接受采购人和采购人委托的监理人员的管理；</w:t>
      </w:r>
    </w:p>
    <w:p w14:paraId="48167910">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3、在响应文件中确定的工程项目经理及项目管理班子人员，未经采购人同意，成交供应商不得调换和撤离，并按工程进度及时到位，</w:t>
      </w:r>
      <w:r>
        <w:rPr>
          <w:rFonts w:ascii="仿宋" w:hAnsi="仿宋" w:eastAsia="仿宋" w:cs="仿宋"/>
          <w:b/>
          <w:bCs/>
          <w:color w:val="auto"/>
          <w:sz w:val="24"/>
          <w:szCs w:val="24"/>
          <w:highlight w:val="none"/>
        </w:rPr>
        <w:t>拟派项目经理到位率不少于80%</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采购人有权要求成交供应商撤换工作不负责任、管理不力、贻误工期和造成严重的安全事故和工程质量事故、违法乱纪的专业技术、管理人员直至技术负责人，直至采购人满意为止。如相应资质的专业技术人员未按要求到位，视作违约，采购人有权单方面终止合同；</w:t>
      </w:r>
    </w:p>
    <w:p w14:paraId="49089B6C">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4、依据设计施工图纸和技术文件要求，项目的材料、设备、施工必须达到以下现行中华人民共和国及省、市、行业的一切有关法规、规范的要求，如标准及规范要求有出入则以较严格者为准。</w:t>
      </w:r>
    </w:p>
    <w:p w14:paraId="5B3AE171">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在合同履行期间，若上述标准或规范有修改或重新颁布，成交供应商应遵照执行。规范的获得由承包人自行解决。</w:t>
      </w:r>
    </w:p>
    <w:p w14:paraId="0309C858">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5、施工要求</w:t>
      </w:r>
    </w:p>
    <w:p w14:paraId="469FAB99">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5.1严格按照规范要求进行施工，达到各项拟定的设计指标；</w:t>
      </w:r>
    </w:p>
    <w:p w14:paraId="44E33B69">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5.2免费保修期内，成交供应商对有缺陷的部位必须无偿地给予修理与更换，并承担一切由此引起的对采购人或第三者的直接损失，除非该缺陷是由于人为破坏或合同规定的不可抗因素造成的损坏；</w:t>
      </w:r>
    </w:p>
    <w:p w14:paraId="6C7D17B9">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5.3对所承包工程的质量负全部责任，其责任不因其他材料生产商提供的保证书而减轻或更改；</w:t>
      </w:r>
    </w:p>
    <w:p w14:paraId="62084D6C">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5.4施工时注意做好必要的劳动保护工作，成交供应商必须对所承包工程承担生产安全责任，施工人员应严格按照专业操作技术规程进行安全施工，在施工中造成的一切人身安全责任事故、财产损失等均由成交供应商自负。施工前成交供应商须为所有施工人员办理医疗及工伤社会保险，并根据需要为从事高度危险工作的人员购买适当的人身意外伤害保险，在施工过程中如发生人身伤亡事故，由成交供应商承担全部责任；</w:t>
      </w:r>
    </w:p>
    <w:p w14:paraId="0F1F9734">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5.5施工过程中尽量选用低噪声设备，加强高噪声施工设备的维修管理，减少设备非正常的噪声，施工车辆的运行路线和时间尽量避开噪声敏感区和噪声敏感时段，按采购人管理要求尽量减少对学校教学、科研工作的干扰；</w:t>
      </w:r>
    </w:p>
    <w:p w14:paraId="235F3F2E">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5.6施工现场应做到“落手清”，工程施工中产生的废建筑材料、建筑施工垃圾，不能随意堆放，应及时清运、妥善处理，做到工完料尽场地清；</w:t>
      </w:r>
    </w:p>
    <w:p w14:paraId="1BBA276D">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5.7工程使用的原材料必须符合设计要求和施工规范的规定；实际施工过程中采购人将严格检查验收进场原材料的合格证及质保书，如发现实样与质保书不符，应立即取样进行复查，对不合格的材料严禁用于工程；工程涉及的主要材料及零星材料，成交供应商须根据采购人要求及规范进行选材，所有材料要求采用在行业内有一定知名度的品牌，材料生产厂家必须通过ISO质量认证并符合环保要求，严禁选择不符合设计要求的低档材料及组织施工实施；</w:t>
      </w:r>
    </w:p>
    <w:p w14:paraId="32E26F85">
      <w:pPr>
        <w:spacing w:line="360" w:lineRule="auto"/>
        <w:ind w:firstLine="480" w:firstLineChars="200"/>
        <w:jc w:val="left"/>
        <w:rPr>
          <w:rFonts w:ascii="仿宋" w:hAnsi="仿宋" w:eastAsia="仿宋" w:cs="仿宋"/>
          <w:color w:val="auto"/>
          <w:sz w:val="24"/>
          <w:szCs w:val="24"/>
          <w:highlight w:val="none"/>
        </w:rPr>
      </w:pPr>
      <w:r>
        <w:rPr>
          <w:rFonts w:ascii="仿宋" w:hAnsi="仿宋" w:eastAsia="仿宋" w:cs="仿宋"/>
          <w:color w:val="auto"/>
          <w:sz w:val="24"/>
          <w:szCs w:val="24"/>
          <w:highlight w:val="none"/>
        </w:rPr>
        <w:t>5.8工程施工全过程中要认真做好成品保护，因失窃或失火造成的损失均由成交供应商负责，凡由此而损及采购人利益时，采购人将向成交供应商索赔。</w:t>
      </w:r>
    </w:p>
    <w:p w14:paraId="1A927F79">
      <w:pPr>
        <w:spacing w:line="360" w:lineRule="auto"/>
        <w:ind w:firstLine="480" w:firstLineChars="200"/>
        <w:jc w:val="left"/>
        <w:rPr>
          <w:rFonts w:ascii="仿宋" w:hAnsi="仿宋" w:eastAsia="仿宋" w:cs="仿宋"/>
          <w:color w:val="auto"/>
          <w:sz w:val="24"/>
          <w:szCs w:val="24"/>
          <w:highlight w:val="none"/>
        </w:rPr>
      </w:pPr>
    </w:p>
    <w:p w14:paraId="24415E83">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三、安全与文明施工管理</w:t>
      </w:r>
    </w:p>
    <w:p w14:paraId="30C3C3B9">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1、成交供应商服从当地政府有关部门在社会治安、综合治理、计划生育、交通管理、环境保护等的管理规定，磋商供应商应设专职人员负责本条款的执行，发包方有权对此监督检查。</w:t>
      </w:r>
    </w:p>
    <w:p w14:paraId="78B13B5E">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2、成交供应商的响应文件中应有详细的施工安全措施和安全管理组织及配备专职负责人的说明和承诺，以确保安全生产。</w:t>
      </w:r>
    </w:p>
    <w:p w14:paraId="2FCFFED5">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3、成交供应商在工程施工期间，必须配备专职用电管理员，全面负责施工用电的管理。</w:t>
      </w:r>
    </w:p>
    <w:p w14:paraId="31C3E6FE">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4、成交供应商在施工全过程中，要认真做好材料和成品的保护，因失窃失火或其他原因而造成的损失均由磋商供应商负责。凡由此而损及发包方利益的，成交供应商应负责赔偿发包方的损失。</w:t>
      </w:r>
    </w:p>
    <w:p w14:paraId="0EB2A5EC">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5、在工程施工过程中，因成交供应商原因造成的一切安全事故，由成交供应商承担全部经济责任和法律责任。</w:t>
      </w:r>
    </w:p>
    <w:p w14:paraId="5F577BF4">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施工现场做好标准化布置，醒目位置悬挂工程告示牌；施工人员统一着装、统一编号，工作装或马甲上醒目标识单位名称、人员编号；施工现场边界设置统一样式的施工安全隔栏、安全警示牌，清洁美观、无破损、整齐划一，醒目位置悬挂工程告示牌注明工程名称、开工日期、竣工日期、建设单位名称、项目负责人联系电话。</w:t>
      </w:r>
    </w:p>
    <w:p w14:paraId="69614EBD">
      <w:pPr>
        <w:spacing w:line="360" w:lineRule="auto"/>
        <w:ind w:firstLine="480" w:firstLineChars="200"/>
        <w:jc w:val="left"/>
        <w:rPr>
          <w:rFonts w:ascii="仿宋" w:hAnsi="仿宋" w:eastAsia="仿宋" w:cs="仿宋"/>
          <w:color w:val="auto"/>
          <w:sz w:val="24"/>
          <w:szCs w:val="24"/>
          <w:highlight w:val="none"/>
        </w:rPr>
      </w:pPr>
    </w:p>
    <w:p w14:paraId="231B1937">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四、材料要求</w:t>
      </w:r>
    </w:p>
    <w:p w14:paraId="094264F3">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1、材料选择：</w:t>
      </w:r>
    </w:p>
    <w:p w14:paraId="6AD0DA8D">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涉及的设备和材料，各磋商供应商须根据设计施工图的要求按中高档的用材标准进行选材并报价，所有设备材料要求采用在行业内有一定知名度的品牌，生产厂家必须通过ISO质量认证，并符合环保要求，严禁选择不合设计要求的低档材料进行投标报价及组织施工实施，如有其它国家强制性认证要求的也必须满足。如有材料检验检测则应委托具有相应检测资质的检验检测单位，成交供应商承担相应材料检验检测费用，相关费用在响应报价中综合考虑，今后不得调整。</w:t>
      </w:r>
    </w:p>
    <w:p w14:paraId="14449693">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2、材料的质量要求：</w:t>
      </w:r>
    </w:p>
    <w:p w14:paraId="248452C5">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（1）在免费保修期内，成交供应商对有缺陷的部位必须无偿地给予修理与更换，并承担一切由此引起的对业主或第三者的直接损失，除非该缺陷是由于人为破坏或合同规定的不可抗因素造成的损坏。</w:t>
      </w:r>
    </w:p>
    <w:p w14:paraId="33972C88">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（2）成交供应商必须对所承包的工程的质量负全部责任，其责任不因其他材料生产商提供的保证书而减轻或更改。</w:t>
      </w:r>
    </w:p>
    <w:p w14:paraId="06EC9BD5">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（3）材料检验按建发〔2000〕185号文件规定的见证取样和送检规定的程序进行。凡检验结果证明其有害物质含量指标超标的产品不得在工程上使用。</w:t>
      </w:r>
    </w:p>
    <w:p w14:paraId="6358EA29">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3、材料供应要求：</w:t>
      </w:r>
    </w:p>
    <w:p w14:paraId="59051ACF">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（1）本项目涉及的主要材料设备，必须经监理单位、设计单位、业主单位确认后方能采购、进场、加工、安装。否则一律不予承认，不予支付相应款项。</w:t>
      </w:r>
    </w:p>
    <w:p w14:paraId="4829A06E">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本次招标承包范围内的建筑施工材料均由承包人根据本招标文件、设计图纸和国家有关规定的具体要求进行采购、运输、检验、保管，但发包人保留变更和指定材料的权利；所有建筑材料须有产品合格证和质量保证书，应先送样品，样品经设计人、监理人、发包人确认与招标要求、投标承诺一致后封存，批量供应时应与样品一致，并经相关部门检验合格后方可使用。</w:t>
      </w:r>
    </w:p>
    <w:p w14:paraId="376A7D64">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（3）由成交供应商采购的设备材料，当成交供应商选定的产品质量达不到设计要求和预期质量目标时，采购人保留更换的权利，高于投标价的不调整，低于投标价的按实调整。</w:t>
      </w:r>
    </w:p>
    <w:p w14:paraId="347461EB">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4、主要材料推荐品牌（或厂家）</w:t>
      </w:r>
    </w:p>
    <w:tbl>
      <w:tblPr>
        <w:tblStyle w:val="61"/>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662"/>
        <w:gridCol w:w="3090"/>
        <w:gridCol w:w="2126"/>
      </w:tblGrid>
      <w:tr w14:paraId="2C635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3E689C0F">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2662" w:type="dxa"/>
            <w:tcBorders>
              <w:top w:val="single" w:color="auto" w:sz="4" w:space="0"/>
              <w:left w:val="nil"/>
              <w:bottom w:val="single" w:color="auto" w:sz="4" w:space="0"/>
              <w:right w:val="single" w:color="auto" w:sz="4" w:space="0"/>
            </w:tcBorders>
            <w:noWrap/>
            <w:vAlign w:val="center"/>
          </w:tcPr>
          <w:p w14:paraId="4E37BD7F">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材料名称</w:t>
            </w:r>
          </w:p>
        </w:tc>
        <w:tc>
          <w:tcPr>
            <w:tcW w:w="3090" w:type="dxa"/>
            <w:tcBorders>
              <w:top w:val="single" w:color="auto" w:sz="4" w:space="0"/>
              <w:left w:val="nil"/>
              <w:bottom w:val="single" w:color="auto" w:sz="4" w:space="0"/>
              <w:right w:val="single" w:color="auto" w:sz="4" w:space="0"/>
            </w:tcBorders>
            <w:noWrap/>
            <w:vAlign w:val="center"/>
          </w:tcPr>
          <w:p w14:paraId="4B6D8701">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推荐品牌/ 厂家</w:t>
            </w:r>
          </w:p>
        </w:tc>
        <w:tc>
          <w:tcPr>
            <w:tcW w:w="2126" w:type="dxa"/>
            <w:tcBorders>
              <w:top w:val="single" w:color="auto" w:sz="4" w:space="0"/>
              <w:left w:val="nil"/>
              <w:bottom w:val="single" w:color="auto" w:sz="4" w:space="0"/>
              <w:right w:val="single" w:color="auto" w:sz="4" w:space="0"/>
            </w:tcBorders>
            <w:noWrap/>
            <w:vAlign w:val="center"/>
          </w:tcPr>
          <w:p w14:paraId="43E11159">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备注</w:t>
            </w:r>
          </w:p>
        </w:tc>
      </w:tr>
      <w:tr w14:paraId="311DC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7925A7B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662" w:type="dxa"/>
            <w:tcBorders>
              <w:top w:val="single" w:color="auto" w:sz="4" w:space="0"/>
              <w:left w:val="nil"/>
              <w:bottom w:val="single" w:color="auto" w:sz="4" w:space="0"/>
              <w:right w:val="single" w:color="auto" w:sz="4" w:space="0"/>
            </w:tcBorders>
            <w:noWrap/>
            <w:vAlign w:val="center"/>
          </w:tcPr>
          <w:p w14:paraId="34A0C43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内/外墙涂料</w:t>
            </w:r>
          </w:p>
        </w:tc>
        <w:tc>
          <w:tcPr>
            <w:tcW w:w="3090" w:type="dxa"/>
            <w:tcBorders>
              <w:top w:val="single" w:color="auto" w:sz="4" w:space="0"/>
              <w:left w:val="nil"/>
              <w:bottom w:val="single" w:color="auto" w:sz="4" w:space="0"/>
              <w:right w:val="single" w:color="auto" w:sz="4" w:space="0"/>
            </w:tcBorders>
            <w:noWrap/>
            <w:vAlign w:val="center"/>
          </w:tcPr>
          <w:p w14:paraId="16955C9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多乐士、亚士、华润</w:t>
            </w:r>
          </w:p>
        </w:tc>
        <w:tc>
          <w:tcPr>
            <w:tcW w:w="2126" w:type="dxa"/>
            <w:tcBorders>
              <w:top w:val="single" w:color="auto" w:sz="4" w:space="0"/>
              <w:left w:val="nil"/>
              <w:bottom w:val="single" w:color="auto" w:sz="4" w:space="0"/>
              <w:right w:val="single" w:color="auto" w:sz="4" w:space="0"/>
            </w:tcBorders>
            <w:noWrap/>
            <w:vAlign w:val="center"/>
          </w:tcPr>
          <w:p w14:paraId="7B0CB236">
            <w:pPr>
              <w:jc w:val="center"/>
              <w:rPr>
                <w:rFonts w:hint="eastAsia" w:ascii="仿宋" w:hAnsi="仿宋" w:eastAsia="仿宋" w:cs="仿宋"/>
                <w:color w:val="auto"/>
                <w:szCs w:val="21"/>
                <w:highlight w:val="none"/>
              </w:rPr>
            </w:pPr>
          </w:p>
        </w:tc>
      </w:tr>
      <w:tr w14:paraId="5003C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5D7928D8">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662" w:type="dxa"/>
            <w:tcBorders>
              <w:top w:val="single" w:color="auto" w:sz="4" w:space="0"/>
              <w:left w:val="nil"/>
              <w:bottom w:val="single" w:color="auto" w:sz="4" w:space="0"/>
              <w:right w:val="single" w:color="auto" w:sz="4" w:space="0"/>
            </w:tcBorders>
            <w:noWrap/>
            <w:vAlign w:val="center"/>
          </w:tcPr>
          <w:p w14:paraId="0C20DA2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防水涂料/卷材</w:t>
            </w:r>
          </w:p>
        </w:tc>
        <w:tc>
          <w:tcPr>
            <w:tcW w:w="3090" w:type="dxa"/>
            <w:tcBorders>
              <w:top w:val="single" w:color="auto" w:sz="4" w:space="0"/>
              <w:left w:val="nil"/>
              <w:bottom w:val="single" w:color="auto" w:sz="4" w:space="0"/>
              <w:right w:val="single" w:color="auto" w:sz="4" w:space="0"/>
            </w:tcBorders>
            <w:noWrap/>
            <w:vAlign w:val="center"/>
          </w:tcPr>
          <w:p w14:paraId="635E1BC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上海月皇、广东科顺、东方雨虹</w:t>
            </w:r>
          </w:p>
        </w:tc>
        <w:tc>
          <w:tcPr>
            <w:tcW w:w="2126" w:type="dxa"/>
            <w:tcBorders>
              <w:top w:val="single" w:color="auto" w:sz="4" w:space="0"/>
              <w:left w:val="nil"/>
              <w:bottom w:val="single" w:color="auto" w:sz="4" w:space="0"/>
              <w:right w:val="single" w:color="auto" w:sz="4" w:space="0"/>
            </w:tcBorders>
            <w:noWrap/>
            <w:vAlign w:val="center"/>
          </w:tcPr>
          <w:p w14:paraId="2C5B922E">
            <w:pPr>
              <w:jc w:val="center"/>
              <w:rPr>
                <w:rFonts w:hint="eastAsia" w:ascii="仿宋" w:hAnsi="仿宋" w:eastAsia="仿宋" w:cs="仿宋"/>
                <w:color w:val="auto"/>
                <w:szCs w:val="21"/>
                <w:highlight w:val="none"/>
              </w:rPr>
            </w:pPr>
          </w:p>
        </w:tc>
      </w:tr>
      <w:tr w14:paraId="7294C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3C93567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662" w:type="dxa"/>
            <w:tcBorders>
              <w:top w:val="single" w:color="auto" w:sz="4" w:space="0"/>
              <w:left w:val="nil"/>
              <w:bottom w:val="single" w:color="auto" w:sz="4" w:space="0"/>
              <w:right w:val="single" w:color="auto" w:sz="4" w:space="0"/>
            </w:tcBorders>
            <w:noWrap/>
            <w:vAlign w:val="center"/>
          </w:tcPr>
          <w:p w14:paraId="7B6A2CD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地砖、墙砖</w:t>
            </w:r>
          </w:p>
        </w:tc>
        <w:tc>
          <w:tcPr>
            <w:tcW w:w="3090" w:type="dxa"/>
            <w:tcBorders>
              <w:top w:val="single" w:color="auto" w:sz="4" w:space="0"/>
              <w:left w:val="nil"/>
              <w:bottom w:val="single" w:color="auto" w:sz="4" w:space="0"/>
              <w:right w:val="single" w:color="auto" w:sz="4" w:space="0"/>
            </w:tcBorders>
            <w:noWrap/>
            <w:vAlign w:val="center"/>
          </w:tcPr>
          <w:p w14:paraId="3347F540">
            <w:pPr>
              <w:jc w:val="center"/>
              <w:rPr>
                <w:rFonts w:hint="eastAsia" w:ascii="仿宋" w:hAnsi="仿宋" w:eastAsia="仿宋" w:cs="仿宋"/>
                <w:color w:val="auto"/>
                <w:szCs w:val="21"/>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taobao.com/search?q=%C5%D7%B9%E2%D7%A9600+600&amp;initiative_id=tbindexz_20120529&amp;commend=all&amp;source=suggest&amp;ssid=s5-e-p1&amp;suggest=0_3&amp;bcoffset=1&amp;cps=yes&amp;from=compass&amp;cat=50067438&amp;ppath=20000%3A109361&amp;navlog=compass-4-p-20000:109361" \o "冠珠"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1"/>
                <w:highlight w:val="none"/>
              </w:rPr>
              <w:t>冠珠</w:t>
            </w:r>
            <w:r>
              <w:rPr>
                <w:rFonts w:hint="eastAsia" w:ascii="仿宋" w:hAnsi="仿宋" w:eastAsia="仿宋" w:cs="仿宋"/>
                <w:color w:val="auto"/>
                <w:szCs w:val="21"/>
                <w:highlight w:val="none"/>
              </w:rPr>
              <w:fldChar w:fldCharType="end"/>
            </w:r>
            <w:r>
              <w:rPr>
                <w:rFonts w:hint="eastAsia" w:ascii="仿宋" w:hAnsi="仿宋" w:eastAsia="仿宋" w:cs="仿宋"/>
                <w:color w:val="auto"/>
                <w:szCs w:val="21"/>
                <w:highlight w:val="none"/>
              </w:rPr>
              <w:t>、东鹏、冠军</w:t>
            </w:r>
          </w:p>
        </w:tc>
        <w:tc>
          <w:tcPr>
            <w:tcW w:w="2126" w:type="dxa"/>
            <w:tcBorders>
              <w:top w:val="single" w:color="auto" w:sz="4" w:space="0"/>
              <w:left w:val="nil"/>
              <w:bottom w:val="single" w:color="auto" w:sz="4" w:space="0"/>
              <w:right w:val="single" w:color="auto" w:sz="4" w:space="0"/>
            </w:tcBorders>
            <w:noWrap/>
            <w:vAlign w:val="center"/>
          </w:tcPr>
          <w:p w14:paraId="6A985F81">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根据不同场所的使用要求，采用满足不同防滑性的地砖产品</w:t>
            </w:r>
          </w:p>
        </w:tc>
      </w:tr>
      <w:tr w14:paraId="528E0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51B3870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662" w:type="dxa"/>
            <w:tcBorders>
              <w:top w:val="single" w:color="auto" w:sz="4" w:space="0"/>
              <w:left w:val="nil"/>
              <w:bottom w:val="single" w:color="auto" w:sz="4" w:space="0"/>
              <w:right w:val="single" w:color="auto" w:sz="4" w:space="0"/>
            </w:tcBorders>
            <w:noWrap/>
            <w:vAlign w:val="center"/>
          </w:tcPr>
          <w:p w14:paraId="6F50BBD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地胶板</w:t>
            </w:r>
          </w:p>
        </w:tc>
        <w:tc>
          <w:tcPr>
            <w:tcW w:w="3090" w:type="dxa"/>
            <w:tcBorders>
              <w:top w:val="single" w:color="auto" w:sz="4" w:space="0"/>
              <w:left w:val="nil"/>
              <w:bottom w:val="single" w:color="auto" w:sz="4" w:space="0"/>
              <w:right w:val="single" w:color="auto" w:sz="4" w:space="0"/>
            </w:tcBorders>
            <w:noWrap/>
            <w:vAlign w:val="center"/>
          </w:tcPr>
          <w:p w14:paraId="0742F0D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阿姆斯壮、德嘉、洁福</w:t>
            </w:r>
          </w:p>
        </w:tc>
        <w:tc>
          <w:tcPr>
            <w:tcW w:w="2126" w:type="dxa"/>
            <w:tcBorders>
              <w:top w:val="single" w:color="auto" w:sz="4" w:space="0"/>
              <w:left w:val="nil"/>
              <w:bottom w:val="single" w:color="auto" w:sz="4" w:space="0"/>
              <w:right w:val="single" w:color="auto" w:sz="4" w:space="0"/>
            </w:tcBorders>
            <w:noWrap/>
            <w:vAlign w:val="center"/>
          </w:tcPr>
          <w:p w14:paraId="2E1E1164">
            <w:pPr>
              <w:jc w:val="left"/>
              <w:rPr>
                <w:rFonts w:hint="eastAsia" w:ascii="仿宋" w:hAnsi="仿宋" w:eastAsia="仿宋" w:cs="仿宋"/>
                <w:color w:val="auto"/>
                <w:szCs w:val="21"/>
                <w:highlight w:val="none"/>
              </w:rPr>
            </w:pPr>
          </w:p>
        </w:tc>
      </w:tr>
      <w:tr w14:paraId="508FB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2D97F4B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662" w:type="dxa"/>
            <w:tcBorders>
              <w:top w:val="single" w:color="auto" w:sz="4" w:space="0"/>
              <w:left w:val="nil"/>
              <w:bottom w:val="single" w:color="auto" w:sz="4" w:space="0"/>
              <w:right w:val="single" w:color="auto" w:sz="4" w:space="0"/>
            </w:tcBorders>
            <w:noWrap/>
            <w:vAlign w:val="center"/>
          </w:tcPr>
          <w:p w14:paraId="399491E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防盗门（含配件）</w:t>
            </w:r>
          </w:p>
        </w:tc>
        <w:tc>
          <w:tcPr>
            <w:tcW w:w="3090" w:type="dxa"/>
            <w:tcBorders>
              <w:top w:val="single" w:color="auto" w:sz="4" w:space="0"/>
              <w:left w:val="nil"/>
              <w:bottom w:val="single" w:color="auto" w:sz="4" w:space="0"/>
              <w:right w:val="single" w:color="auto" w:sz="4" w:space="0"/>
            </w:tcBorders>
            <w:noWrap/>
            <w:vAlign w:val="center"/>
          </w:tcPr>
          <w:p w14:paraId="13AF5C2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步阳、王力、星月神</w:t>
            </w:r>
          </w:p>
        </w:tc>
        <w:tc>
          <w:tcPr>
            <w:tcW w:w="2126" w:type="dxa"/>
            <w:tcBorders>
              <w:top w:val="single" w:color="auto" w:sz="4" w:space="0"/>
              <w:left w:val="nil"/>
              <w:bottom w:val="single" w:color="auto" w:sz="4" w:space="0"/>
              <w:right w:val="single" w:color="auto" w:sz="4" w:space="0"/>
            </w:tcBorders>
            <w:noWrap/>
            <w:vAlign w:val="center"/>
          </w:tcPr>
          <w:p w14:paraId="496F5EAB">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带门套，含五金、门吸等相关配件</w:t>
            </w:r>
          </w:p>
        </w:tc>
      </w:tr>
      <w:tr w14:paraId="3A0C5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34178E1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662" w:type="dxa"/>
            <w:tcBorders>
              <w:top w:val="single" w:color="auto" w:sz="4" w:space="0"/>
              <w:left w:val="nil"/>
              <w:bottom w:val="single" w:color="auto" w:sz="4" w:space="0"/>
              <w:right w:val="single" w:color="auto" w:sz="4" w:space="0"/>
            </w:tcBorders>
            <w:noWrap/>
            <w:vAlign w:val="center"/>
          </w:tcPr>
          <w:p w14:paraId="06B2C0A1">
            <w:pPr>
              <w:tabs>
                <w:tab w:val="left" w:pos="540"/>
                <w:tab w:val="left" w:pos="900"/>
                <w:tab w:val="left" w:pos="1260"/>
              </w:tabs>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灯具</w:t>
            </w:r>
          </w:p>
        </w:tc>
        <w:tc>
          <w:tcPr>
            <w:tcW w:w="3090" w:type="dxa"/>
            <w:tcBorders>
              <w:top w:val="single" w:color="auto" w:sz="4" w:space="0"/>
              <w:left w:val="nil"/>
              <w:bottom w:val="single" w:color="auto" w:sz="4" w:space="0"/>
              <w:right w:val="single" w:color="auto" w:sz="4" w:space="0"/>
            </w:tcBorders>
            <w:noWrap/>
            <w:vAlign w:val="center"/>
          </w:tcPr>
          <w:p w14:paraId="1294A3C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TCL、阳光、欧普</w:t>
            </w:r>
          </w:p>
        </w:tc>
        <w:tc>
          <w:tcPr>
            <w:tcW w:w="2126" w:type="dxa"/>
            <w:tcBorders>
              <w:top w:val="single" w:color="auto" w:sz="4" w:space="0"/>
              <w:left w:val="nil"/>
              <w:bottom w:val="single" w:color="auto" w:sz="4" w:space="0"/>
              <w:right w:val="single" w:color="auto" w:sz="4" w:space="0"/>
            </w:tcBorders>
            <w:noWrap/>
            <w:vAlign w:val="center"/>
          </w:tcPr>
          <w:p w14:paraId="6B5BC11D">
            <w:pPr>
              <w:jc w:val="left"/>
              <w:rPr>
                <w:rFonts w:hint="eastAsia" w:ascii="仿宋" w:hAnsi="仿宋" w:eastAsia="仿宋" w:cs="仿宋"/>
                <w:color w:val="auto"/>
                <w:szCs w:val="21"/>
                <w:highlight w:val="none"/>
              </w:rPr>
            </w:pPr>
          </w:p>
        </w:tc>
      </w:tr>
      <w:tr w14:paraId="22351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0728323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662" w:type="dxa"/>
            <w:tcBorders>
              <w:top w:val="single" w:color="auto" w:sz="4" w:space="0"/>
              <w:left w:val="nil"/>
              <w:bottom w:val="single" w:color="auto" w:sz="4" w:space="0"/>
              <w:right w:val="single" w:color="auto" w:sz="4" w:space="0"/>
            </w:tcBorders>
            <w:noWrap/>
            <w:vAlign w:val="center"/>
          </w:tcPr>
          <w:p w14:paraId="2C1AFF3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插座、开关</w:t>
            </w:r>
          </w:p>
        </w:tc>
        <w:tc>
          <w:tcPr>
            <w:tcW w:w="3090" w:type="dxa"/>
            <w:tcBorders>
              <w:top w:val="single" w:color="auto" w:sz="4" w:space="0"/>
              <w:left w:val="nil"/>
              <w:bottom w:val="single" w:color="auto" w:sz="4" w:space="0"/>
              <w:right w:val="single" w:color="auto" w:sz="4" w:space="0"/>
            </w:tcBorders>
            <w:noWrap/>
            <w:vAlign w:val="center"/>
          </w:tcPr>
          <w:p w14:paraId="22BD79EF">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TCL、阳光、鸿雁</w:t>
            </w:r>
          </w:p>
        </w:tc>
        <w:tc>
          <w:tcPr>
            <w:tcW w:w="2126" w:type="dxa"/>
            <w:tcBorders>
              <w:top w:val="single" w:color="auto" w:sz="4" w:space="0"/>
              <w:left w:val="nil"/>
              <w:bottom w:val="single" w:color="auto" w:sz="4" w:space="0"/>
              <w:right w:val="single" w:color="auto" w:sz="4" w:space="0"/>
            </w:tcBorders>
            <w:noWrap/>
            <w:vAlign w:val="center"/>
          </w:tcPr>
          <w:p w14:paraId="59FB8BF5">
            <w:pPr>
              <w:jc w:val="center"/>
              <w:rPr>
                <w:rFonts w:hint="eastAsia" w:ascii="仿宋" w:hAnsi="仿宋" w:eastAsia="仿宋" w:cs="仿宋"/>
                <w:color w:val="auto"/>
                <w:szCs w:val="21"/>
                <w:highlight w:val="none"/>
              </w:rPr>
            </w:pPr>
          </w:p>
        </w:tc>
      </w:tr>
      <w:tr w14:paraId="60205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tcBorders>
              <w:top w:val="single" w:color="auto" w:sz="4" w:space="0"/>
              <w:left w:val="single" w:color="auto" w:sz="4" w:space="0"/>
              <w:bottom w:val="single" w:color="auto" w:sz="4" w:space="0"/>
              <w:right w:val="single" w:color="auto" w:sz="4" w:space="0"/>
            </w:tcBorders>
            <w:noWrap/>
            <w:vAlign w:val="center"/>
          </w:tcPr>
          <w:p w14:paraId="68C4A21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662" w:type="dxa"/>
            <w:tcBorders>
              <w:top w:val="single" w:color="auto" w:sz="4" w:space="0"/>
              <w:left w:val="nil"/>
              <w:bottom w:val="single" w:color="auto" w:sz="4" w:space="0"/>
              <w:right w:val="single" w:color="auto" w:sz="4" w:space="0"/>
            </w:tcBorders>
            <w:noWrap/>
            <w:vAlign w:val="center"/>
          </w:tcPr>
          <w:p w14:paraId="5A8BC49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PP-R/PVC管</w:t>
            </w:r>
          </w:p>
        </w:tc>
        <w:tc>
          <w:tcPr>
            <w:tcW w:w="3090" w:type="dxa"/>
            <w:tcBorders>
              <w:top w:val="single" w:color="auto" w:sz="4" w:space="0"/>
              <w:left w:val="nil"/>
              <w:bottom w:val="single" w:color="auto" w:sz="4" w:space="0"/>
              <w:right w:val="single" w:color="auto" w:sz="4" w:space="0"/>
            </w:tcBorders>
            <w:noWrap/>
            <w:vAlign w:val="center"/>
          </w:tcPr>
          <w:p w14:paraId="3F01CC7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伟星、中财、公元</w:t>
            </w:r>
          </w:p>
        </w:tc>
        <w:tc>
          <w:tcPr>
            <w:tcW w:w="2126" w:type="dxa"/>
            <w:tcBorders>
              <w:top w:val="single" w:color="auto" w:sz="4" w:space="0"/>
              <w:left w:val="nil"/>
              <w:bottom w:val="single" w:color="auto" w:sz="4" w:space="0"/>
              <w:right w:val="single" w:color="auto" w:sz="4" w:space="0"/>
            </w:tcBorders>
            <w:noWrap/>
            <w:vAlign w:val="center"/>
          </w:tcPr>
          <w:p w14:paraId="430CE0FE">
            <w:pPr>
              <w:jc w:val="center"/>
              <w:rPr>
                <w:rFonts w:hint="eastAsia" w:ascii="仿宋" w:hAnsi="仿宋" w:eastAsia="仿宋" w:cs="仿宋"/>
                <w:color w:val="auto"/>
                <w:szCs w:val="21"/>
                <w:highlight w:val="none"/>
              </w:rPr>
            </w:pPr>
          </w:p>
        </w:tc>
      </w:tr>
      <w:tr w14:paraId="4C4B9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vMerge w:val="restart"/>
            <w:tcBorders>
              <w:top w:val="single" w:color="auto" w:sz="4" w:space="0"/>
              <w:left w:val="single" w:color="auto" w:sz="4" w:space="0"/>
              <w:right w:val="single" w:color="auto" w:sz="4" w:space="0"/>
            </w:tcBorders>
            <w:noWrap/>
            <w:vAlign w:val="center"/>
          </w:tcPr>
          <w:p w14:paraId="53BF159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662" w:type="dxa"/>
            <w:tcBorders>
              <w:top w:val="single" w:color="auto" w:sz="4" w:space="0"/>
              <w:left w:val="nil"/>
              <w:bottom w:val="single" w:color="auto" w:sz="4" w:space="0"/>
              <w:right w:val="single" w:color="auto" w:sz="4" w:space="0"/>
            </w:tcBorders>
            <w:noWrap/>
            <w:vAlign w:val="center"/>
          </w:tcPr>
          <w:p w14:paraId="64AB898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电缆</w:t>
            </w:r>
          </w:p>
        </w:tc>
        <w:tc>
          <w:tcPr>
            <w:tcW w:w="3090" w:type="dxa"/>
            <w:tcBorders>
              <w:top w:val="single" w:color="auto" w:sz="4" w:space="0"/>
              <w:left w:val="nil"/>
              <w:bottom w:val="single" w:color="auto" w:sz="4" w:space="0"/>
              <w:right w:val="single" w:color="auto" w:sz="4" w:space="0"/>
            </w:tcBorders>
            <w:noWrap/>
            <w:vAlign w:val="center"/>
          </w:tcPr>
          <w:p w14:paraId="23C729A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浙江元通、浙江万马、江苏上上</w:t>
            </w:r>
          </w:p>
        </w:tc>
        <w:tc>
          <w:tcPr>
            <w:tcW w:w="2126" w:type="dxa"/>
            <w:tcBorders>
              <w:top w:val="single" w:color="auto" w:sz="4" w:space="0"/>
              <w:left w:val="nil"/>
              <w:bottom w:val="single" w:color="auto" w:sz="4" w:space="0"/>
              <w:right w:val="single" w:color="auto" w:sz="4" w:space="0"/>
            </w:tcBorders>
            <w:noWrap/>
            <w:vAlign w:val="center"/>
          </w:tcPr>
          <w:p w14:paraId="2A95B4F3">
            <w:pPr>
              <w:jc w:val="center"/>
              <w:rPr>
                <w:rFonts w:hint="eastAsia" w:ascii="仿宋" w:hAnsi="仿宋" w:eastAsia="仿宋" w:cs="仿宋"/>
                <w:color w:val="auto"/>
                <w:szCs w:val="21"/>
                <w:highlight w:val="none"/>
              </w:rPr>
            </w:pPr>
          </w:p>
        </w:tc>
      </w:tr>
      <w:tr w14:paraId="788D0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vMerge w:val="continue"/>
            <w:tcBorders>
              <w:left w:val="single" w:color="auto" w:sz="4" w:space="0"/>
              <w:bottom w:val="single" w:color="auto" w:sz="4" w:space="0"/>
              <w:right w:val="single" w:color="auto" w:sz="4" w:space="0"/>
            </w:tcBorders>
            <w:noWrap/>
            <w:vAlign w:val="center"/>
          </w:tcPr>
          <w:p w14:paraId="0B72301C">
            <w:pPr>
              <w:jc w:val="center"/>
              <w:rPr>
                <w:rFonts w:hint="eastAsia" w:ascii="仿宋" w:hAnsi="仿宋" w:eastAsia="仿宋" w:cs="仿宋"/>
                <w:color w:val="auto"/>
                <w:szCs w:val="21"/>
                <w:highlight w:val="none"/>
              </w:rPr>
            </w:pPr>
          </w:p>
        </w:tc>
        <w:tc>
          <w:tcPr>
            <w:tcW w:w="2662" w:type="dxa"/>
            <w:tcBorders>
              <w:top w:val="single" w:color="auto" w:sz="4" w:space="0"/>
              <w:left w:val="nil"/>
              <w:bottom w:val="single" w:color="auto" w:sz="4" w:space="0"/>
              <w:right w:val="single" w:color="auto" w:sz="4" w:space="0"/>
            </w:tcBorders>
            <w:noWrap/>
            <w:vAlign w:val="center"/>
          </w:tcPr>
          <w:p w14:paraId="36AC6A5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电线</w:t>
            </w:r>
          </w:p>
        </w:tc>
        <w:tc>
          <w:tcPr>
            <w:tcW w:w="3090" w:type="dxa"/>
            <w:tcBorders>
              <w:top w:val="single" w:color="auto" w:sz="4" w:space="0"/>
              <w:left w:val="nil"/>
              <w:bottom w:val="single" w:color="auto" w:sz="4" w:space="0"/>
              <w:right w:val="single" w:color="auto" w:sz="4" w:space="0"/>
            </w:tcBorders>
            <w:noWrap/>
            <w:vAlign w:val="center"/>
          </w:tcPr>
          <w:p w14:paraId="0F77EF4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浙江元通、浙江万马、杭州中策</w:t>
            </w:r>
          </w:p>
        </w:tc>
        <w:tc>
          <w:tcPr>
            <w:tcW w:w="2126" w:type="dxa"/>
            <w:tcBorders>
              <w:top w:val="single" w:color="auto" w:sz="4" w:space="0"/>
              <w:left w:val="nil"/>
              <w:bottom w:val="single" w:color="auto" w:sz="4" w:space="0"/>
              <w:right w:val="single" w:color="auto" w:sz="4" w:space="0"/>
            </w:tcBorders>
            <w:noWrap/>
            <w:vAlign w:val="center"/>
          </w:tcPr>
          <w:p w14:paraId="07238409">
            <w:pPr>
              <w:jc w:val="center"/>
              <w:rPr>
                <w:rFonts w:hint="eastAsia" w:ascii="仿宋" w:hAnsi="仿宋" w:eastAsia="仿宋" w:cs="仿宋"/>
                <w:color w:val="auto"/>
                <w:szCs w:val="21"/>
                <w:highlight w:val="none"/>
              </w:rPr>
            </w:pPr>
          </w:p>
        </w:tc>
      </w:tr>
      <w:tr w14:paraId="1FE6E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vMerge w:val="restart"/>
            <w:tcBorders>
              <w:top w:val="single" w:color="auto" w:sz="4" w:space="0"/>
              <w:left w:val="single" w:color="auto" w:sz="4" w:space="0"/>
              <w:right w:val="single" w:color="auto" w:sz="4" w:space="0"/>
            </w:tcBorders>
            <w:noWrap/>
            <w:vAlign w:val="center"/>
          </w:tcPr>
          <w:p w14:paraId="56A4371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2662" w:type="dxa"/>
            <w:tcBorders>
              <w:top w:val="single" w:color="auto" w:sz="4" w:space="0"/>
              <w:left w:val="nil"/>
              <w:bottom w:val="single" w:color="auto" w:sz="4" w:space="0"/>
              <w:right w:val="single" w:color="auto" w:sz="4" w:space="0"/>
            </w:tcBorders>
            <w:noWrap/>
            <w:vAlign w:val="center"/>
          </w:tcPr>
          <w:p w14:paraId="74E149EF">
            <w:pPr>
              <w:jc w:val="center"/>
              <w:rPr>
                <w:rFonts w:hint="eastAsia" w:ascii="仿宋" w:hAnsi="仿宋" w:eastAsia="仿宋" w:cs="仿宋"/>
                <w:color w:val="auto"/>
                <w:szCs w:val="21"/>
                <w:highlight w:val="none"/>
              </w:rPr>
            </w:pPr>
            <w:r>
              <w:rPr>
                <w:rFonts w:hint="eastAsia" w:ascii="仿宋" w:hAnsi="仿宋" w:eastAsia="仿宋" w:cs="仿宋"/>
                <w:color w:val="auto"/>
                <w:highlight w:val="none"/>
              </w:rPr>
              <w:t>大便器（含配件）</w:t>
            </w:r>
          </w:p>
        </w:tc>
        <w:tc>
          <w:tcPr>
            <w:tcW w:w="3090" w:type="dxa"/>
            <w:vMerge w:val="restart"/>
            <w:tcBorders>
              <w:top w:val="single" w:color="auto" w:sz="4" w:space="0"/>
              <w:left w:val="nil"/>
              <w:right w:val="single" w:color="auto" w:sz="4" w:space="0"/>
            </w:tcBorders>
            <w:noWrap/>
            <w:vAlign w:val="center"/>
          </w:tcPr>
          <w:p w14:paraId="01DE4FF6">
            <w:pPr>
              <w:jc w:val="center"/>
              <w:rPr>
                <w:rFonts w:hint="eastAsia" w:ascii="仿宋" w:hAnsi="仿宋" w:eastAsia="仿宋" w:cs="仿宋"/>
                <w:color w:val="auto"/>
                <w:szCs w:val="21"/>
                <w:highlight w:val="none"/>
              </w:rPr>
            </w:pPr>
            <w:r>
              <w:rPr>
                <w:rFonts w:hint="eastAsia" w:ascii="仿宋" w:hAnsi="仿宋" w:eastAsia="仿宋" w:cs="仿宋"/>
                <w:color w:val="auto"/>
                <w:highlight w:val="none"/>
              </w:rPr>
              <w:t>箭牌、四维、美加华</w:t>
            </w:r>
          </w:p>
        </w:tc>
        <w:tc>
          <w:tcPr>
            <w:tcW w:w="2126" w:type="dxa"/>
            <w:vMerge w:val="restart"/>
            <w:tcBorders>
              <w:top w:val="single" w:color="auto" w:sz="4" w:space="0"/>
              <w:left w:val="nil"/>
              <w:right w:val="single" w:color="auto" w:sz="4" w:space="0"/>
            </w:tcBorders>
            <w:noWrap/>
            <w:vAlign w:val="center"/>
          </w:tcPr>
          <w:p w14:paraId="48AE46D7">
            <w:pPr>
              <w:jc w:val="left"/>
              <w:rPr>
                <w:rFonts w:hint="eastAsia" w:ascii="仿宋" w:hAnsi="仿宋" w:eastAsia="仿宋" w:cs="仿宋"/>
                <w:color w:val="auto"/>
                <w:highlight w:val="none"/>
              </w:rPr>
            </w:pPr>
            <w:r>
              <w:rPr>
                <w:rFonts w:hint="eastAsia" w:ascii="仿宋" w:hAnsi="仿宋" w:eastAsia="仿宋" w:cs="仿宋"/>
                <w:color w:val="auto"/>
                <w:highlight w:val="none"/>
              </w:rPr>
              <w:t>1.卫生洁具采用同一品牌，材料要求符合施工图要求，含各相关配件；</w:t>
            </w:r>
          </w:p>
          <w:p w14:paraId="60E081F8">
            <w:pPr>
              <w:jc w:val="left"/>
              <w:rPr>
                <w:rFonts w:hint="eastAsia" w:ascii="仿宋" w:hAnsi="仿宋" w:eastAsia="仿宋" w:cs="仿宋"/>
                <w:color w:val="auto"/>
                <w:szCs w:val="21"/>
                <w:highlight w:val="none"/>
              </w:rPr>
            </w:pPr>
            <w:r>
              <w:rPr>
                <w:rFonts w:hint="eastAsia" w:ascii="仿宋" w:hAnsi="仿宋" w:eastAsia="仿宋" w:cs="仿宋"/>
                <w:color w:val="auto"/>
                <w:highlight w:val="none"/>
              </w:rPr>
              <w:t>2.所有洁具色泽均为白色。</w:t>
            </w:r>
          </w:p>
        </w:tc>
      </w:tr>
      <w:tr w14:paraId="04CD9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vMerge w:val="continue"/>
            <w:tcBorders>
              <w:left w:val="single" w:color="auto" w:sz="4" w:space="0"/>
              <w:right w:val="single" w:color="auto" w:sz="4" w:space="0"/>
            </w:tcBorders>
            <w:noWrap/>
            <w:vAlign w:val="center"/>
          </w:tcPr>
          <w:p w14:paraId="78FC4F39">
            <w:pPr>
              <w:jc w:val="center"/>
              <w:rPr>
                <w:rFonts w:hint="eastAsia" w:ascii="仿宋" w:hAnsi="仿宋" w:eastAsia="仿宋" w:cs="仿宋"/>
                <w:color w:val="auto"/>
                <w:szCs w:val="21"/>
                <w:highlight w:val="none"/>
              </w:rPr>
            </w:pPr>
          </w:p>
        </w:tc>
        <w:tc>
          <w:tcPr>
            <w:tcW w:w="2662" w:type="dxa"/>
            <w:tcBorders>
              <w:top w:val="single" w:color="auto" w:sz="4" w:space="0"/>
              <w:left w:val="nil"/>
              <w:bottom w:val="single" w:color="auto" w:sz="4" w:space="0"/>
              <w:right w:val="single" w:color="auto" w:sz="4" w:space="0"/>
            </w:tcBorders>
            <w:noWrap/>
            <w:vAlign w:val="center"/>
          </w:tcPr>
          <w:p w14:paraId="02783D3D">
            <w:pPr>
              <w:jc w:val="center"/>
              <w:rPr>
                <w:rFonts w:hint="eastAsia" w:ascii="仿宋" w:hAnsi="仿宋" w:eastAsia="仿宋" w:cs="仿宋"/>
                <w:color w:val="auto"/>
                <w:szCs w:val="21"/>
                <w:highlight w:val="none"/>
              </w:rPr>
            </w:pPr>
            <w:r>
              <w:rPr>
                <w:rFonts w:hint="eastAsia" w:ascii="仿宋" w:hAnsi="仿宋" w:eastAsia="仿宋" w:cs="仿宋"/>
                <w:color w:val="auto"/>
                <w:highlight w:val="none"/>
              </w:rPr>
              <w:t>淋浴器（含水龙头、阀门）</w:t>
            </w:r>
          </w:p>
        </w:tc>
        <w:tc>
          <w:tcPr>
            <w:tcW w:w="3090" w:type="dxa"/>
            <w:vMerge w:val="continue"/>
            <w:tcBorders>
              <w:left w:val="nil"/>
              <w:right w:val="single" w:color="auto" w:sz="4" w:space="0"/>
            </w:tcBorders>
            <w:noWrap/>
            <w:vAlign w:val="center"/>
          </w:tcPr>
          <w:p w14:paraId="59D206A1">
            <w:pPr>
              <w:jc w:val="center"/>
              <w:rPr>
                <w:rFonts w:hint="eastAsia" w:ascii="仿宋" w:hAnsi="仿宋" w:eastAsia="仿宋" w:cs="仿宋"/>
                <w:color w:val="auto"/>
                <w:highlight w:val="none"/>
              </w:rPr>
            </w:pPr>
          </w:p>
        </w:tc>
        <w:tc>
          <w:tcPr>
            <w:tcW w:w="2126" w:type="dxa"/>
            <w:vMerge w:val="continue"/>
            <w:tcBorders>
              <w:left w:val="nil"/>
              <w:right w:val="single" w:color="auto" w:sz="4" w:space="0"/>
            </w:tcBorders>
            <w:noWrap/>
            <w:vAlign w:val="center"/>
          </w:tcPr>
          <w:p w14:paraId="6955348A">
            <w:pPr>
              <w:jc w:val="left"/>
              <w:rPr>
                <w:rFonts w:hint="eastAsia" w:ascii="仿宋" w:hAnsi="仿宋" w:eastAsia="仿宋" w:cs="仿宋"/>
                <w:color w:val="auto"/>
                <w:highlight w:val="none"/>
              </w:rPr>
            </w:pPr>
          </w:p>
        </w:tc>
      </w:tr>
      <w:tr w14:paraId="3A67A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vMerge w:val="continue"/>
            <w:tcBorders>
              <w:left w:val="single" w:color="auto" w:sz="4" w:space="0"/>
              <w:right w:val="single" w:color="auto" w:sz="4" w:space="0"/>
            </w:tcBorders>
            <w:noWrap/>
            <w:vAlign w:val="center"/>
          </w:tcPr>
          <w:p w14:paraId="5D6B1F4D">
            <w:pPr>
              <w:jc w:val="center"/>
              <w:rPr>
                <w:rFonts w:hint="eastAsia" w:ascii="仿宋" w:hAnsi="仿宋" w:eastAsia="仿宋" w:cs="仿宋"/>
                <w:color w:val="auto"/>
                <w:szCs w:val="21"/>
                <w:highlight w:val="none"/>
              </w:rPr>
            </w:pPr>
          </w:p>
        </w:tc>
        <w:tc>
          <w:tcPr>
            <w:tcW w:w="2662" w:type="dxa"/>
            <w:tcBorders>
              <w:top w:val="single" w:color="auto" w:sz="4" w:space="0"/>
              <w:left w:val="nil"/>
              <w:bottom w:val="single" w:color="auto" w:sz="4" w:space="0"/>
              <w:right w:val="single" w:color="auto" w:sz="4" w:space="0"/>
            </w:tcBorders>
            <w:noWrap/>
            <w:vAlign w:val="center"/>
          </w:tcPr>
          <w:p w14:paraId="719CB2B9">
            <w:pPr>
              <w:jc w:val="center"/>
              <w:rPr>
                <w:rFonts w:hint="eastAsia" w:ascii="仿宋" w:hAnsi="仿宋" w:eastAsia="仿宋" w:cs="仿宋"/>
                <w:color w:val="auto"/>
                <w:szCs w:val="21"/>
                <w:highlight w:val="none"/>
              </w:rPr>
            </w:pPr>
            <w:r>
              <w:rPr>
                <w:rFonts w:hint="eastAsia" w:ascii="仿宋" w:hAnsi="仿宋" w:eastAsia="仿宋" w:cs="仿宋"/>
                <w:color w:val="auto"/>
                <w:highlight w:val="none"/>
              </w:rPr>
              <w:t>洗脸盆（含水龙头）</w:t>
            </w:r>
          </w:p>
        </w:tc>
        <w:tc>
          <w:tcPr>
            <w:tcW w:w="3090" w:type="dxa"/>
            <w:vMerge w:val="continue"/>
            <w:tcBorders>
              <w:left w:val="nil"/>
              <w:right w:val="single" w:color="auto" w:sz="4" w:space="0"/>
            </w:tcBorders>
            <w:noWrap/>
            <w:vAlign w:val="center"/>
          </w:tcPr>
          <w:p w14:paraId="238156AC">
            <w:pPr>
              <w:jc w:val="center"/>
              <w:rPr>
                <w:rFonts w:hint="eastAsia" w:ascii="仿宋" w:hAnsi="仿宋" w:eastAsia="仿宋" w:cs="仿宋"/>
                <w:color w:val="auto"/>
                <w:highlight w:val="none"/>
              </w:rPr>
            </w:pPr>
          </w:p>
        </w:tc>
        <w:tc>
          <w:tcPr>
            <w:tcW w:w="2126" w:type="dxa"/>
            <w:vMerge w:val="continue"/>
            <w:tcBorders>
              <w:left w:val="nil"/>
              <w:right w:val="single" w:color="auto" w:sz="4" w:space="0"/>
            </w:tcBorders>
            <w:noWrap/>
            <w:vAlign w:val="center"/>
          </w:tcPr>
          <w:p w14:paraId="33E6DAE1">
            <w:pPr>
              <w:jc w:val="left"/>
              <w:rPr>
                <w:rFonts w:hint="eastAsia" w:ascii="仿宋" w:hAnsi="仿宋" w:eastAsia="仿宋" w:cs="仿宋"/>
                <w:color w:val="auto"/>
                <w:highlight w:val="none"/>
              </w:rPr>
            </w:pPr>
          </w:p>
        </w:tc>
      </w:tr>
      <w:tr w14:paraId="5966A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35" w:type="dxa"/>
            <w:vMerge w:val="continue"/>
            <w:tcBorders>
              <w:left w:val="single" w:color="auto" w:sz="4" w:space="0"/>
              <w:right w:val="single" w:color="auto" w:sz="4" w:space="0"/>
            </w:tcBorders>
            <w:noWrap/>
            <w:vAlign w:val="center"/>
          </w:tcPr>
          <w:p w14:paraId="36825C12">
            <w:pPr>
              <w:jc w:val="center"/>
              <w:rPr>
                <w:rFonts w:hint="eastAsia" w:ascii="仿宋" w:hAnsi="仿宋" w:eastAsia="仿宋" w:cs="仿宋"/>
                <w:color w:val="auto"/>
                <w:szCs w:val="21"/>
                <w:highlight w:val="none"/>
              </w:rPr>
            </w:pPr>
          </w:p>
        </w:tc>
        <w:tc>
          <w:tcPr>
            <w:tcW w:w="2662" w:type="dxa"/>
            <w:tcBorders>
              <w:top w:val="single" w:color="auto" w:sz="4" w:space="0"/>
              <w:left w:val="nil"/>
              <w:bottom w:val="single" w:color="auto" w:sz="4" w:space="0"/>
              <w:right w:val="single" w:color="auto" w:sz="4" w:space="0"/>
            </w:tcBorders>
            <w:noWrap/>
            <w:vAlign w:val="center"/>
          </w:tcPr>
          <w:p w14:paraId="421301E5">
            <w:pPr>
              <w:jc w:val="center"/>
              <w:rPr>
                <w:rFonts w:hint="eastAsia" w:ascii="仿宋" w:hAnsi="仿宋" w:eastAsia="仿宋" w:cs="仿宋"/>
                <w:color w:val="auto"/>
                <w:szCs w:val="21"/>
                <w:highlight w:val="none"/>
              </w:rPr>
            </w:pPr>
            <w:r>
              <w:rPr>
                <w:rFonts w:hint="eastAsia" w:ascii="仿宋" w:hAnsi="仿宋" w:eastAsia="仿宋" w:cs="仿宋"/>
                <w:color w:val="auto"/>
                <w:highlight w:val="none"/>
              </w:rPr>
              <w:t>洗涤盆（拖把池）</w:t>
            </w:r>
          </w:p>
        </w:tc>
        <w:tc>
          <w:tcPr>
            <w:tcW w:w="3090" w:type="dxa"/>
            <w:vMerge w:val="continue"/>
            <w:tcBorders>
              <w:left w:val="nil"/>
              <w:right w:val="single" w:color="auto" w:sz="4" w:space="0"/>
            </w:tcBorders>
            <w:noWrap/>
            <w:vAlign w:val="center"/>
          </w:tcPr>
          <w:p w14:paraId="6E3C827C">
            <w:pPr>
              <w:jc w:val="center"/>
              <w:rPr>
                <w:rFonts w:hint="eastAsia" w:ascii="仿宋" w:hAnsi="仿宋" w:eastAsia="仿宋" w:cs="仿宋"/>
                <w:color w:val="auto"/>
                <w:highlight w:val="none"/>
              </w:rPr>
            </w:pPr>
          </w:p>
        </w:tc>
        <w:tc>
          <w:tcPr>
            <w:tcW w:w="2126" w:type="dxa"/>
            <w:vMerge w:val="continue"/>
            <w:tcBorders>
              <w:left w:val="nil"/>
              <w:right w:val="single" w:color="auto" w:sz="4" w:space="0"/>
            </w:tcBorders>
            <w:noWrap/>
            <w:vAlign w:val="center"/>
          </w:tcPr>
          <w:p w14:paraId="2266B626">
            <w:pPr>
              <w:jc w:val="left"/>
              <w:rPr>
                <w:rFonts w:hint="eastAsia" w:ascii="仿宋" w:hAnsi="仿宋" w:eastAsia="仿宋" w:cs="仿宋"/>
                <w:color w:val="auto"/>
                <w:highlight w:val="none"/>
              </w:rPr>
            </w:pPr>
          </w:p>
        </w:tc>
      </w:tr>
    </w:tbl>
    <w:p w14:paraId="2453270A">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1、建议磋商供应商在上述推荐品牌（或厂家）中选其中一个品牌（或厂家）并报价。若在此表推荐品牌（或厂家）之外选择，应在表格中填写选用品牌（或厂家），品牌（或厂家）档次须高于或等于推荐品牌（或厂家）。</w:t>
      </w:r>
    </w:p>
    <w:p w14:paraId="1D349B57">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若磋商供应商未明确品牌（或厂家），或经参建各方认定选用品牌（或厂家）低于推荐品牌（或厂家）档次，或磋商供应商选用品牌（或厂家）在施工过程中停产的，采购人有权要求供应商在上述推荐品牌（或厂家）中选取并供货，价格不作调整。</w:t>
      </w:r>
    </w:p>
    <w:p w14:paraId="7F7251D1">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3、磋商供应商应选择该品牌（或厂家）的中档以上型号并满足招标人技术要求，并在报价中予以考虑。</w:t>
      </w:r>
    </w:p>
    <w:p w14:paraId="5907FFEC">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4、请在响应文件项目实施方案中列明主要施工材料选用的品牌。</w:t>
      </w:r>
    </w:p>
    <w:p w14:paraId="36A284A3">
      <w:pPr>
        <w:spacing w:line="360" w:lineRule="auto"/>
        <w:ind w:firstLine="482" w:firstLineChars="200"/>
        <w:jc w:val="left"/>
        <w:rPr>
          <w:rFonts w:hint="eastAsia" w:ascii="仿宋" w:hAnsi="仿宋" w:eastAsia="仿宋" w:cs="仿宋"/>
          <w:b/>
          <w:bCs/>
          <w:color w:val="auto"/>
          <w:sz w:val="24"/>
          <w:szCs w:val="24"/>
          <w:highlight w:val="none"/>
        </w:rPr>
      </w:pPr>
    </w:p>
    <w:p w14:paraId="19EB1D8F">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五、报价说明</w:t>
      </w:r>
    </w:p>
    <w:p w14:paraId="0A453676">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本工程的投标报价采用综合单价法，即工程量清单计价的方式。投标报价为磋商供应商在响应文件中提出的各项支付金额的总和。磋商供应商应根据采购人提供的施工图纸、技术资料、工程量清单，按照招标文件的有关要求，结合本工程施工现场实际情况，编制的施工方案或施工组织设计，磋商供应商自身的综合实力，依据企业定额和市场价格信息，或参照本省颁布的浙江省建设工程计价规则、计价依据和计价办法及本工程所在地地区管理部门等有关规定进行报价。</w:t>
      </w:r>
    </w:p>
    <w:p w14:paraId="69EA6318">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2、磋商供应商的投标报价，应是完成本项目工程范围的全部内容，不得以任何理由予以重复作为磋商供应商计算单价或总价的依据。</w:t>
      </w:r>
    </w:p>
    <w:p w14:paraId="7BEC5105">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3、磋商供应商应按采购人提供的工程量清单中列出的工程内容、数量，填报单价和合价。每一项目只允许有一个报价。任何有选择的报价将不予接受。</w:t>
      </w:r>
    </w:p>
    <w:p w14:paraId="38AB6DD9">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4、施工水电费按工程竣工结算审定价的</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％计算，在结算审定款中直接扣除。</w:t>
      </w:r>
    </w:p>
    <w:p w14:paraId="6CDE34D0">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5、如有材料检验检测，则检验检测单位由建设单位指定，磋商供应商承担相应材料检验检测费用，相关费用在投标报价中综合考虑，今后不得调整。</w:t>
      </w:r>
    </w:p>
    <w:p w14:paraId="3E1D1828">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6、工程施工造成的其它设施、设备等的破损须修复原状，费用自行考虑报价。</w:t>
      </w:r>
    </w:p>
    <w:p w14:paraId="65777D0D">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7、本项目周边无搭设临时设施场地，项目施工人员住宿、办公用房及材料仓库等临时设施由磋商供应商自行负责，相关费用在措施费中考虑，费用包干，不报或漏报视作优惠。</w:t>
      </w:r>
    </w:p>
    <w:p w14:paraId="429CDFEA">
      <w:pPr>
        <w:spacing w:line="360" w:lineRule="auto"/>
        <w:ind w:firstLine="480" w:firstLineChars="200"/>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不得使用</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2024年新购置的客运电梯搬运建筑垃圾、装修材料等，以免造成电梯损坏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如有涉及</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由此产生或增加的相关费用供应商在报价中综合考虑。若因违规使用产生的损失由供应商承担。</w:t>
      </w:r>
    </w:p>
    <w:p w14:paraId="10522561">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竞争性磋商包含两次报价，初始报价为磋商供应商在响应文件中的报价，磋商后，磋商供应商填写最终报价。最终报价可以与初始报价一致，也可在初始报价基础上给予优惠，如选择优惠，则项目竣工结算时，最终结算价根据承诺优惠率同比例调整，调整范围包括合同部分及新增联系单部分。</w:t>
      </w:r>
    </w:p>
    <w:p w14:paraId="2268CA76">
      <w:pPr>
        <w:spacing w:line="360" w:lineRule="auto"/>
        <w:ind w:firstLine="480" w:firstLineChars="200"/>
        <w:jc w:val="left"/>
        <w:rPr>
          <w:rFonts w:ascii="仿宋" w:hAnsi="仿宋" w:eastAsia="仿宋" w:cs="仿宋"/>
          <w:color w:val="auto"/>
          <w:sz w:val="24"/>
          <w:szCs w:val="24"/>
          <w:highlight w:val="none"/>
        </w:rPr>
      </w:pPr>
    </w:p>
    <w:p w14:paraId="74DD0A8D">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六、质保期要求</w:t>
      </w:r>
    </w:p>
    <w:p w14:paraId="0B0FBBFB">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质保期：2年（外墙防水保修期为5年）</w:t>
      </w:r>
    </w:p>
    <w:p w14:paraId="49B22369">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保金退还：工程竣工验收合格之日起满两年且回访质量符合要求后退还质量保证金的60%（无息），余款待工程竣工验收合格之日起满五年且回访质量符合要求后一次性付清（无息），如保修期间产生维修费、赔偿金等则扣除相应的维修费、赔偿金等款项后退还。</w:t>
      </w:r>
    </w:p>
    <w:p w14:paraId="79692803">
      <w:pPr>
        <w:spacing w:line="360" w:lineRule="auto"/>
        <w:ind w:firstLine="480" w:firstLineChars="200"/>
        <w:jc w:val="left"/>
        <w:rPr>
          <w:rFonts w:ascii="仿宋" w:hAnsi="仿宋" w:eastAsia="仿宋" w:cs="仿宋"/>
          <w:color w:val="auto"/>
          <w:sz w:val="24"/>
          <w:szCs w:val="24"/>
          <w:highlight w:val="none"/>
        </w:rPr>
      </w:pPr>
    </w:p>
    <w:p w14:paraId="11EF7864">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七、针对本项目的其他要求</w:t>
      </w:r>
    </w:p>
    <w:p w14:paraId="466B8BA1">
      <w:pPr>
        <w:tabs>
          <w:tab w:val="right" w:leader="middleDot" w:pos="8085"/>
        </w:tabs>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1、供应商在施工时需针对高校特点合理安排施工时间及噪音控制，保障学校正常教学生活秩序；</w:t>
      </w:r>
    </w:p>
    <w:p w14:paraId="46D852B0">
      <w:pPr>
        <w:tabs>
          <w:tab w:val="right" w:leader="middleDot" w:pos="8085"/>
        </w:tabs>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2、供应商在施工时需严格做好施工现场管理的安全管理，如防火、防盗等；</w:t>
      </w:r>
    </w:p>
    <w:p w14:paraId="1EEC711B">
      <w:pPr>
        <w:tabs>
          <w:tab w:val="right" w:leader="middleDot" w:pos="8085"/>
        </w:tabs>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3、供应商需在竣工后及时供给水、电，做好卫生保洁工作。</w:t>
      </w:r>
    </w:p>
    <w:p w14:paraId="36F671D0">
      <w:pPr>
        <w:tabs>
          <w:tab w:val="right" w:leader="middleDot" w:pos="8085"/>
        </w:tabs>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4、供应商在校内须严格遵守国家相关法律法规、严格遵守学校有关疫情防控、意识形态、宗教管理教育工作等相关规定。</w:t>
      </w:r>
    </w:p>
    <w:p w14:paraId="3E897D93">
      <w:pPr>
        <w:tabs>
          <w:tab w:val="right" w:leader="middleDot" w:pos="8085"/>
        </w:tabs>
        <w:adjustRightInd w:val="0"/>
        <w:snapToGrid w:val="0"/>
        <w:spacing w:line="360" w:lineRule="auto"/>
        <w:ind w:firstLine="482" w:firstLineChars="2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5、本项目成交后采购人根据实际情况，可能变更设计；如变更设计，则按调整后图纸施工、结算。</w:t>
      </w:r>
    </w:p>
    <w:p w14:paraId="1476B230">
      <w:pPr>
        <w:tabs>
          <w:tab w:val="right" w:leader="middleDot" w:pos="8085"/>
        </w:tabs>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供应商在响应文件中需针对本项目要求提供项目实施方案（包括施工组织总体设想和方案、施工阶段的划分、施工方案的重难点分析、对应的控制措施、对施工区域特殊环境下的施工措施、对应的组织措施方案、施工各阶段的进度计划、施工进度计划网络图、劳动力、施工机械设备及材料各阶段的投入安排、突发事件的应急措施及处理方案）、保障措施方案（包括施工各阶段进度及质量保证措施、施工用材料、半成品、外购件等质量保证措施、安全文明施工及市政、市容、环保、消防等措施、服从采购人协调和统一管理及配合措施、特殊服务承诺、对成品保护等的方案及保证措施）、项目班组情况（包括项目经理资质、经验、项目经理承诺到位率、项目管理班子其他人员配置、资质、经验等内容）、售后服务方案（包括保修期、维护响应时间、服务方式、特别承诺）等内容。</w:t>
      </w:r>
    </w:p>
    <w:p w14:paraId="02E18B48">
      <w:pPr>
        <w:spacing w:line="360" w:lineRule="auto"/>
        <w:ind w:firstLine="480" w:firstLineChars="200"/>
        <w:jc w:val="left"/>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highlight w:val="none"/>
          <w:lang w:val="en-US" w:eastAsia="zh-CN"/>
        </w:rPr>
        <w:t>8、工程完工后，供应商需精细保洁后移交给用户单位使用，保洁范围包含吊顶、墙面、地面、门窗、灯具、开关插座面板及卫生间洁具等所有施工区域，高标准交付。</w:t>
      </w:r>
    </w:p>
    <w:p w14:paraId="37C246B1">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lang w:val="en-US" w:eastAsia="zh-CN"/>
        </w:rPr>
        <w:t>7</w:t>
      </w:r>
      <w:r>
        <w:rPr>
          <w:rFonts w:hint="eastAsia" w:ascii="仿宋" w:hAnsi="仿宋" w:eastAsia="仿宋" w:cs="仿宋"/>
          <w:snapToGrid w:val="0"/>
          <w:color w:val="auto"/>
          <w:sz w:val="24"/>
          <w:szCs w:val="24"/>
          <w:highlight w:val="none"/>
        </w:rPr>
        <w:t>、工程移交前，供应商需编制修缮工程使用说明书，明确各房间装修或改造情况、使用注意事项、主要设施设备品牌、工程质量保修期限及范围等内容。</w:t>
      </w:r>
    </w:p>
    <w:p w14:paraId="3C3E0936">
      <w:pPr>
        <w:pStyle w:val="2"/>
        <w:rPr>
          <w:color w:val="auto"/>
          <w:highlight w:val="none"/>
        </w:rPr>
      </w:pPr>
    </w:p>
    <w:p w14:paraId="78F0D4D6">
      <w:pPr>
        <w:spacing w:line="360" w:lineRule="auto"/>
        <w:ind w:firstLine="482" w:firstLineChars="20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八、本章未尽内容按“第五章 合同主要条款”。</w:t>
      </w:r>
    </w:p>
    <w:p w14:paraId="1DBA2C4B">
      <w:pPr>
        <w:pStyle w:val="75"/>
        <w:ind w:firstLine="0"/>
        <w:rPr>
          <w:color w:val="auto"/>
          <w:highlight w:val="none"/>
        </w:rPr>
      </w:pPr>
    </w:p>
    <w:p w14:paraId="3166495C">
      <w:pPr>
        <w:rPr>
          <w:rFonts w:ascii="仿宋" w:hAnsi="仿宋" w:eastAsia="仿宋" w:cs="宋体"/>
          <w:b/>
          <w:color w:val="auto"/>
          <w:sz w:val="32"/>
          <w:szCs w:val="32"/>
          <w:highlight w:val="none"/>
        </w:rPr>
      </w:pPr>
      <w:bookmarkStart w:id="95" w:name="_Toc18450"/>
      <w:bookmarkStart w:id="96" w:name="_Hlk97732490"/>
      <w:r>
        <w:rPr>
          <w:rFonts w:hint="eastAsia" w:ascii="仿宋" w:hAnsi="仿宋" w:eastAsia="仿宋" w:cs="宋体"/>
          <w:b/>
          <w:color w:val="auto"/>
          <w:sz w:val="32"/>
          <w:szCs w:val="32"/>
          <w:highlight w:val="none"/>
        </w:rPr>
        <w:br w:type="page"/>
      </w:r>
    </w:p>
    <w:p w14:paraId="3447DBF2">
      <w:pPr>
        <w:autoSpaceDN w:val="0"/>
        <w:adjustRightInd w:val="0"/>
        <w:snapToGrid w:val="0"/>
        <w:spacing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第五章 合同</w:t>
      </w:r>
      <w:bookmarkEnd w:id="95"/>
    </w:p>
    <w:bookmarkEnd w:id="94"/>
    <w:bookmarkEnd w:id="96"/>
    <w:p w14:paraId="56C00E6A">
      <w:pPr>
        <w:spacing w:line="288" w:lineRule="auto"/>
        <w:ind w:firstLine="458" w:firstLineChars="200"/>
        <w:jc w:val="center"/>
        <w:rPr>
          <w:rFonts w:ascii="仿宋" w:hAnsi="仿宋" w:eastAsia="仿宋" w:cs="仿宋"/>
          <w:color w:val="auto"/>
          <w:spacing w:val="-6"/>
          <w:sz w:val="24"/>
          <w:szCs w:val="24"/>
          <w:highlight w:val="none"/>
        </w:rPr>
      </w:pPr>
      <w:bookmarkStart w:id="97" w:name="_Toc15050"/>
      <w:r>
        <w:rPr>
          <w:rFonts w:hint="eastAsia" w:ascii="仿宋" w:hAnsi="仿宋" w:eastAsia="仿宋" w:cs="仿宋"/>
          <w:b/>
          <w:color w:val="auto"/>
          <w:spacing w:val="-6"/>
          <w:sz w:val="24"/>
          <w:szCs w:val="24"/>
          <w:highlight w:val="none"/>
        </w:rPr>
        <w:t>浙江工业大学采购合同</w:t>
      </w:r>
    </w:p>
    <w:p w14:paraId="03BF0D9B">
      <w:pPr>
        <w:spacing w:line="288" w:lineRule="auto"/>
        <w:ind w:firstLine="396" w:firstLineChars="200"/>
        <w:jc w:val="center"/>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（本合同为合同样稿，最终稿由双方协商后确定，合同实质性内容不得更改；签订合同时删除此行）</w:t>
      </w:r>
    </w:p>
    <w:p w14:paraId="2BB31066">
      <w:pPr>
        <w:spacing w:line="288" w:lineRule="auto"/>
        <w:ind w:firstLine="422" w:firstLineChars="200"/>
        <w:jc w:val="center"/>
        <w:outlineLvl w:val="1"/>
        <w:rPr>
          <w:rFonts w:ascii="仿宋" w:hAnsi="仿宋" w:eastAsia="仿宋" w:cs="仿宋"/>
          <w:b/>
          <w:bCs/>
          <w:color w:val="auto"/>
          <w:szCs w:val="21"/>
          <w:highlight w:val="none"/>
        </w:rPr>
      </w:pPr>
    </w:p>
    <w:p w14:paraId="2564A33E">
      <w:pPr>
        <w:spacing w:line="288" w:lineRule="auto"/>
        <w:ind w:firstLine="5880" w:firstLineChars="28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HSZB-2024-598</w:t>
      </w:r>
    </w:p>
    <w:p w14:paraId="191DE454">
      <w:pPr>
        <w:spacing w:line="288" w:lineRule="auto"/>
        <w:ind w:firstLine="5880" w:firstLineChars="2800"/>
        <w:jc w:val="both"/>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确认书号：[2024]36368</w:t>
      </w:r>
      <w:r>
        <w:rPr>
          <w:rFonts w:hint="eastAsia" w:ascii="仿宋" w:hAnsi="仿宋" w:eastAsia="仿宋" w:cs="仿宋"/>
          <w:color w:val="auto"/>
          <w:szCs w:val="21"/>
          <w:highlight w:val="none"/>
          <w:lang w:val="en-US" w:eastAsia="zh-CN"/>
        </w:rPr>
        <w:t>号</w:t>
      </w:r>
    </w:p>
    <w:p w14:paraId="668647D6">
      <w:pPr>
        <w:spacing w:line="288" w:lineRule="auto"/>
        <w:ind w:firstLine="5880" w:firstLineChars="28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委托编号：ZJGDZC（W)-2024-HS030</w:t>
      </w:r>
    </w:p>
    <w:p w14:paraId="042CEE58">
      <w:pPr>
        <w:spacing w:line="288" w:lineRule="auto"/>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第一部分  合同协议书</w:t>
      </w:r>
    </w:p>
    <w:p w14:paraId="41B206A0">
      <w:pPr>
        <w:spacing w:line="288" w:lineRule="auto"/>
        <w:rPr>
          <w:rFonts w:ascii="仿宋" w:hAnsi="仿宋" w:eastAsia="仿宋" w:cs="仿宋"/>
          <w:color w:val="auto"/>
          <w:szCs w:val="21"/>
          <w:highlight w:val="none"/>
        </w:rPr>
      </w:pPr>
      <w:r>
        <w:rPr>
          <w:rFonts w:hint="eastAsia" w:ascii="仿宋" w:hAnsi="仿宋" w:eastAsia="仿宋" w:cs="仿宋"/>
          <w:color w:val="auto"/>
          <w:szCs w:val="21"/>
          <w:highlight w:val="none"/>
        </w:rPr>
        <w:t>发包人（全称）：浙江工业大学</w:t>
      </w:r>
    </w:p>
    <w:p w14:paraId="30C01B4A">
      <w:pPr>
        <w:spacing w:line="288" w:lineRule="auto"/>
        <w:rPr>
          <w:rFonts w:ascii="仿宋" w:hAnsi="仿宋" w:eastAsia="仿宋" w:cs="仿宋"/>
          <w:color w:val="auto"/>
          <w:szCs w:val="21"/>
          <w:highlight w:val="none"/>
        </w:rPr>
      </w:pPr>
      <w:r>
        <w:rPr>
          <w:rFonts w:hint="eastAsia" w:ascii="仿宋" w:hAnsi="仿宋" w:eastAsia="仿宋" w:cs="仿宋"/>
          <w:color w:val="auto"/>
          <w:szCs w:val="21"/>
          <w:highlight w:val="none"/>
        </w:rPr>
        <w:t>承包人（全称）：</w:t>
      </w:r>
      <w:r>
        <w:rPr>
          <w:rFonts w:hint="eastAsia" w:ascii="仿宋" w:hAnsi="仿宋" w:eastAsia="仿宋" w:cs="仿宋"/>
          <w:bCs/>
          <w:color w:val="auto"/>
          <w:szCs w:val="21"/>
          <w:highlight w:val="none"/>
          <w:u w:val="single"/>
        </w:rPr>
        <w:t xml:space="preserve">            </w:t>
      </w:r>
    </w:p>
    <w:p w14:paraId="517E1C48">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根据《中华人民共和国民法典》《中华人民共和国建筑法》及有关法律规定，遵循平等、自愿、公平和诚实信用的原则，双方就</w:t>
      </w:r>
      <w:r>
        <w:rPr>
          <w:rFonts w:hint="eastAsia" w:ascii="仿宋" w:hAnsi="仿宋" w:eastAsia="仿宋" w:cs="仿宋"/>
          <w:color w:val="auto"/>
          <w:szCs w:val="21"/>
          <w:highlight w:val="none"/>
          <w:lang w:eastAsia="zh-CN"/>
        </w:rPr>
        <w:t>浙江工业大学2024年学生校区布局调整相关用房装修工程</w:t>
      </w:r>
      <w:r>
        <w:rPr>
          <w:rFonts w:hint="eastAsia" w:ascii="仿宋" w:hAnsi="仿宋" w:eastAsia="仿宋" w:cs="仿宋"/>
          <w:color w:val="auto"/>
          <w:szCs w:val="21"/>
          <w:highlight w:val="none"/>
        </w:rPr>
        <w:t>施工及有关事项协商一致，共同达成如下协议：</w:t>
      </w:r>
    </w:p>
    <w:p w14:paraId="5C8F03A8">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一、工程概况</w:t>
      </w:r>
    </w:p>
    <w:p w14:paraId="3E427CB6">
      <w:pPr>
        <w:spacing w:line="288" w:lineRule="auto"/>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1.工程名称：</w:t>
      </w:r>
      <w:r>
        <w:rPr>
          <w:rFonts w:hint="eastAsia" w:ascii="仿宋" w:hAnsi="仿宋" w:eastAsia="仿宋" w:cs="仿宋"/>
          <w:color w:val="auto"/>
          <w:szCs w:val="21"/>
          <w:highlight w:val="none"/>
          <w:lang w:eastAsia="zh-CN"/>
        </w:rPr>
        <w:t>浙江工业大学2024年学生校区布局调整相关用房装修工程</w:t>
      </w:r>
    </w:p>
    <w:p w14:paraId="520C423B">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2.工程地点：浙江工业大学朝晖校区</w:t>
      </w:r>
    </w:p>
    <w:p w14:paraId="471D3261">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3.工程立项批准文号：/</w:t>
      </w:r>
    </w:p>
    <w:p w14:paraId="282B4A02">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4.资金来源：财政性资金</w:t>
      </w:r>
    </w:p>
    <w:p w14:paraId="257E25CB">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5.工程内容：</w:t>
      </w:r>
      <w:r>
        <w:rPr>
          <w:rFonts w:hint="eastAsia" w:ascii="仿宋" w:hAnsi="仿宋" w:eastAsia="仿宋" w:cs="仿宋"/>
          <w:color w:val="auto"/>
          <w:szCs w:val="21"/>
          <w:highlight w:val="none"/>
          <w:u w:val="single"/>
        </w:rPr>
        <w:t xml:space="preserve">                      </w:t>
      </w:r>
    </w:p>
    <w:p w14:paraId="55509841">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6.工程承包范围：工程量清单、图纸范围内的全部工程内容</w:t>
      </w:r>
    </w:p>
    <w:p w14:paraId="0387C092">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二、合同工期</w:t>
      </w:r>
    </w:p>
    <w:p w14:paraId="200F8566">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计划开工日期：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0D4BB9A5">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计划竣工日期：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77FB0F5A">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工期总日历天数：</w:t>
      </w:r>
      <w:r>
        <w:rPr>
          <w:rFonts w:hint="eastAsia" w:ascii="仿宋" w:hAnsi="仿宋" w:eastAsia="仿宋" w:cs="仿宋"/>
          <w:color w:val="auto"/>
          <w:szCs w:val="21"/>
          <w:highlight w:val="none"/>
          <w:lang w:eastAsia="zh-CN"/>
        </w:rPr>
        <w:t>40</w:t>
      </w:r>
      <w:r>
        <w:rPr>
          <w:rFonts w:hint="eastAsia" w:ascii="仿宋" w:hAnsi="仿宋" w:eastAsia="仿宋" w:cs="仿宋"/>
          <w:color w:val="auto"/>
          <w:szCs w:val="21"/>
          <w:highlight w:val="none"/>
        </w:rPr>
        <w:t>日历天，工期总日历天数与根据前述计划开竣工日期计算的工期天数不一致的，以工期总日历天数为准。</w:t>
      </w:r>
    </w:p>
    <w:p w14:paraId="5E047F93">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上述计划开工和竣工日期为暂定日期，具体开工日期以总监理工程师发出的开工令为准。</w:t>
      </w:r>
    </w:p>
    <w:p w14:paraId="55FA2EAC">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三、质量标准</w:t>
      </w:r>
    </w:p>
    <w:p w14:paraId="1BFB871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工程质量符合国家施工验收规范合格标准。</w:t>
      </w:r>
    </w:p>
    <w:p w14:paraId="7C32CCF6">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四、签约合同价与合同价格形式</w:t>
      </w:r>
    </w:p>
    <w:p w14:paraId="4E1A83F1">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1.签约合同价为：</w:t>
      </w:r>
    </w:p>
    <w:p w14:paraId="7D954AA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元)；</w:t>
      </w:r>
    </w:p>
    <w:p w14:paraId="76BA5799">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其中：</w:t>
      </w:r>
    </w:p>
    <w:p w14:paraId="67B92005">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（1）安全文明施工费：</w:t>
      </w:r>
    </w:p>
    <w:p w14:paraId="4BE53765">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      (¥      /     元)</w:t>
      </w:r>
    </w:p>
    <w:p w14:paraId="787E074F">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（2）材料和工程设备暂估价金额：</w:t>
      </w:r>
    </w:p>
    <w:p w14:paraId="39B3513C">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      (¥      /     元)</w:t>
      </w:r>
    </w:p>
    <w:p w14:paraId="146762CF">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（3）专业工程暂估价金额：</w:t>
      </w:r>
    </w:p>
    <w:p w14:paraId="35466FFC">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      (¥      /     元)</w:t>
      </w:r>
    </w:p>
    <w:p w14:paraId="3A834399">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（4）暂列金额：</w:t>
      </w:r>
    </w:p>
    <w:p w14:paraId="23A182E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      (¥      /     元)</w:t>
      </w:r>
    </w:p>
    <w:p w14:paraId="7C0A9EFF">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2.合同价格形式：</w:t>
      </w:r>
      <w:r>
        <w:rPr>
          <w:rFonts w:hint="eastAsia" w:ascii="仿宋" w:hAnsi="仿宋" w:eastAsia="仿宋" w:cs="仿宋"/>
          <w:color w:val="auto"/>
          <w:szCs w:val="21"/>
          <w:highlight w:val="none"/>
          <w:u w:val="single"/>
        </w:rPr>
        <w:t>固定单价合同</w:t>
      </w:r>
    </w:p>
    <w:p w14:paraId="618B2124">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3.本次竞争性磋商包含两次报价，承包人在仔细研究了本项目施工磋商文件的全部内容，最后报价愿意在初始报价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万元基础上优惠至</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万元，并完全响应磋商文件内容。</w:t>
      </w:r>
    </w:p>
    <w:p w14:paraId="2DBC150D">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项目竣工结算时，最终结算价根据承诺优惠率同比例调整，调整范围包括合同部分及新增联系单部分。</w:t>
      </w:r>
    </w:p>
    <w:p w14:paraId="63DD951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五、项目经理</w:t>
      </w:r>
    </w:p>
    <w:p w14:paraId="1A22388A">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承包人项目经理：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（身份证号码：</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596BAA8">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六、合同文件构成</w:t>
      </w:r>
    </w:p>
    <w:p w14:paraId="7E8DBE9D">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本协议书与下列文件一起构成合同文件：</w:t>
      </w:r>
    </w:p>
    <w:p w14:paraId="01F6965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（1）成交通知书</w:t>
      </w:r>
    </w:p>
    <w:p w14:paraId="3C73C6F9">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（2）磋商文件、答疑、磋商记录及补充文件</w:t>
      </w:r>
    </w:p>
    <w:p w14:paraId="1F5C85C9">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（3）响应文件及其附件</w:t>
      </w:r>
    </w:p>
    <w:p w14:paraId="4334C135">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（4）专用合同条款及其附件</w:t>
      </w:r>
    </w:p>
    <w:p w14:paraId="640ADA6B">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（5）通用合同条款</w:t>
      </w:r>
    </w:p>
    <w:p w14:paraId="266203D9">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（6）技术标准和要求</w:t>
      </w:r>
    </w:p>
    <w:p w14:paraId="14C404AD">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（7）图纸</w:t>
      </w:r>
    </w:p>
    <w:p w14:paraId="42B6B1AF">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（8）已标价工程量清单或预算书</w:t>
      </w:r>
    </w:p>
    <w:p w14:paraId="72B43F8A">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（9）其他合同文件</w:t>
      </w:r>
    </w:p>
    <w:p w14:paraId="4CEDF3E6">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在合同订立及履行过程中形成的与合同有关的文件均构成合同文件组成部分。</w:t>
      </w:r>
    </w:p>
    <w:p w14:paraId="6610EC9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上述各项合同文件包括合同当事人就该项合同文件所作出的补充和修改，属于同一类内容的文件，应以最新签署的为准。专用合同条款及其附件须经合同当事人签字或盖章。</w:t>
      </w:r>
    </w:p>
    <w:p w14:paraId="4189A9BC">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七、承诺</w:t>
      </w:r>
    </w:p>
    <w:p w14:paraId="18574088">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1.发包人承诺按照法律规定履行项目审批手续、筹集工程建设资金并按照合同约定的期限和方式支付合同价款。</w:t>
      </w:r>
    </w:p>
    <w:p w14:paraId="2DA29AAE">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2.承包人承诺按照法律规定及合同约定组织完成工程施工，确保工程质量和安全，不进行转包及违法分包，并在缺陷责任期及保修期内承担相应的工程维修责任。</w:t>
      </w:r>
    </w:p>
    <w:p w14:paraId="7D619F4B">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3.发包人和承包人通过招投标形式签订合同的，双方理解并承诺不再就同一工程另行签订与合同实质性内容相背离的协议。</w:t>
      </w:r>
    </w:p>
    <w:p w14:paraId="5DD69AA9">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八、词语含义</w:t>
      </w:r>
    </w:p>
    <w:p w14:paraId="4930C407">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本协议书中词语含义与第二部分通用合同条款中赋予的含义相同。</w:t>
      </w:r>
    </w:p>
    <w:p w14:paraId="64F7B215">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九、签订时间</w:t>
      </w:r>
    </w:p>
    <w:p w14:paraId="57137364">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本合同于</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日签订。</w:t>
      </w:r>
    </w:p>
    <w:p w14:paraId="1E7BFEC7">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十、签订地点</w:t>
      </w:r>
    </w:p>
    <w:p w14:paraId="1B6F3168">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本合同在浙江杭州签订。</w:t>
      </w:r>
    </w:p>
    <w:p w14:paraId="5744F834">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十一、补充协议</w:t>
      </w:r>
    </w:p>
    <w:p w14:paraId="18AC0273">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合同未尽事宜，合同当事人另行签订补充协议，补充协议是合同的组成部分。</w:t>
      </w:r>
    </w:p>
    <w:p w14:paraId="07F01DD3">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十二、合同生效</w:t>
      </w:r>
    </w:p>
    <w:p w14:paraId="7078825F">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本合同自双方签字盖章后生效。</w:t>
      </w:r>
    </w:p>
    <w:p w14:paraId="544E366B">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十三、合同份数</w:t>
      </w:r>
    </w:p>
    <w:p w14:paraId="30DB4C9C">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本合同一式</w:t>
      </w:r>
      <w:r>
        <w:rPr>
          <w:rFonts w:hint="eastAsia" w:ascii="仿宋" w:hAnsi="仿宋" w:eastAsia="仿宋" w:cs="仿宋"/>
          <w:color w:val="auto"/>
          <w:szCs w:val="21"/>
          <w:highlight w:val="none"/>
          <w:u w:val="single"/>
        </w:rPr>
        <w:t>捌</w:t>
      </w:r>
      <w:r>
        <w:rPr>
          <w:rFonts w:hint="eastAsia" w:ascii="仿宋" w:hAnsi="仿宋" w:eastAsia="仿宋" w:cs="仿宋"/>
          <w:color w:val="auto"/>
          <w:szCs w:val="21"/>
          <w:highlight w:val="none"/>
        </w:rPr>
        <w:t>份，均具有同等法律效力，发包人执</w:t>
      </w:r>
      <w:r>
        <w:rPr>
          <w:rFonts w:hint="eastAsia" w:ascii="仿宋" w:hAnsi="仿宋" w:eastAsia="仿宋" w:cs="仿宋"/>
          <w:color w:val="auto"/>
          <w:szCs w:val="21"/>
          <w:highlight w:val="none"/>
          <w:u w:val="single"/>
        </w:rPr>
        <w:t>壹正叁副</w:t>
      </w:r>
      <w:r>
        <w:rPr>
          <w:rFonts w:hint="eastAsia" w:ascii="仿宋" w:hAnsi="仿宋" w:eastAsia="仿宋" w:cs="仿宋"/>
          <w:color w:val="auto"/>
          <w:szCs w:val="21"/>
          <w:highlight w:val="none"/>
        </w:rPr>
        <w:t>，承包人执</w:t>
      </w:r>
      <w:r>
        <w:rPr>
          <w:rFonts w:hint="eastAsia" w:ascii="仿宋" w:hAnsi="仿宋" w:eastAsia="仿宋" w:cs="仿宋"/>
          <w:color w:val="auto"/>
          <w:szCs w:val="21"/>
          <w:highlight w:val="none"/>
          <w:u w:val="single"/>
        </w:rPr>
        <w:t>壹正叁副</w:t>
      </w:r>
      <w:r>
        <w:rPr>
          <w:rFonts w:hint="eastAsia" w:ascii="仿宋" w:hAnsi="仿宋" w:eastAsia="仿宋" w:cs="仿宋"/>
          <w:color w:val="auto"/>
          <w:szCs w:val="21"/>
          <w:highlight w:val="none"/>
        </w:rPr>
        <w:t>。</w:t>
      </w:r>
    </w:p>
    <w:p w14:paraId="4B6BF474">
      <w:pPr>
        <w:spacing w:line="288" w:lineRule="auto"/>
        <w:rPr>
          <w:rFonts w:ascii="仿宋" w:hAnsi="仿宋" w:eastAsia="仿宋" w:cs="仿宋"/>
          <w:color w:val="auto"/>
          <w:szCs w:val="21"/>
          <w:highlight w:val="none"/>
        </w:rPr>
      </w:pPr>
    </w:p>
    <w:p w14:paraId="4A9DC72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发包人：(公章)                       承包人：(公章)</w:t>
      </w:r>
    </w:p>
    <w:p w14:paraId="2750D823">
      <w:pPr>
        <w:spacing w:line="288" w:lineRule="auto"/>
        <w:ind w:firstLine="420" w:firstLineChars="200"/>
        <w:rPr>
          <w:rFonts w:ascii="仿宋" w:hAnsi="仿宋" w:eastAsia="仿宋" w:cs="仿宋"/>
          <w:color w:val="auto"/>
          <w:szCs w:val="21"/>
          <w:highlight w:val="none"/>
        </w:rPr>
      </w:pPr>
    </w:p>
    <w:p w14:paraId="038AA326">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法定代表人或其委托代理人：           法定代表人或其委托代理人：</w:t>
      </w:r>
    </w:p>
    <w:p w14:paraId="4807123E">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（签字）                             （签字）</w:t>
      </w:r>
    </w:p>
    <w:p w14:paraId="5321D967">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组织机构代码：                        组织机构代码：</w:t>
      </w:r>
    </w:p>
    <w:p w14:paraId="0171B15A">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地址：                                地址：</w:t>
      </w:r>
    </w:p>
    <w:p w14:paraId="3D10D95A">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邮政编码：                            邮政编码：</w:t>
      </w:r>
    </w:p>
    <w:p w14:paraId="3A23BC8E">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法定代表人：                          法定代表人：</w:t>
      </w:r>
    </w:p>
    <w:p w14:paraId="6BCF6E15">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委托代理人：                          委托代理人：</w:t>
      </w:r>
    </w:p>
    <w:p w14:paraId="48961E41">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电话：                                电话：</w:t>
      </w:r>
    </w:p>
    <w:p w14:paraId="515A860D">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传真：                                传真：</w:t>
      </w:r>
    </w:p>
    <w:p w14:paraId="20DBA6F0">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电子信箱：                            电子信箱：</w:t>
      </w:r>
    </w:p>
    <w:p w14:paraId="2D3639B4">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开户银行：                            开户银行：</w:t>
      </w:r>
    </w:p>
    <w:p w14:paraId="284339EC">
      <w:pPr>
        <w:spacing w:line="288"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账号：                                账号：</w:t>
      </w:r>
    </w:p>
    <w:p w14:paraId="1D50D419">
      <w:pPr>
        <w:pStyle w:val="131"/>
        <w:spacing w:line="360" w:lineRule="auto"/>
        <w:ind w:firstLine="480"/>
        <w:rPr>
          <w:rFonts w:ascii="仿宋" w:hAnsi="仿宋" w:eastAsia="仿宋" w:cs="仿宋"/>
          <w:color w:val="auto"/>
          <w:szCs w:val="21"/>
          <w:highlight w:val="none"/>
          <w:u w:val="single"/>
        </w:rPr>
      </w:pPr>
    </w:p>
    <w:p w14:paraId="22D6DCFB">
      <w:pPr>
        <w:spacing w:line="400" w:lineRule="atLeast"/>
        <w:ind w:firstLine="570"/>
        <w:rPr>
          <w:rFonts w:ascii="仿宋" w:hAnsi="仿宋" w:eastAsia="仿宋" w:cs="仿宋"/>
          <w:color w:val="auto"/>
          <w:szCs w:val="21"/>
          <w:highlight w:val="none"/>
        </w:rPr>
      </w:pPr>
    </w:p>
    <w:p w14:paraId="3DFC6D33">
      <w:pPr>
        <w:spacing w:line="400" w:lineRule="atLeast"/>
        <w:rPr>
          <w:rFonts w:ascii="仿宋" w:hAnsi="仿宋" w:eastAsia="仿宋" w:cs="仿宋"/>
          <w:color w:val="auto"/>
          <w:szCs w:val="21"/>
          <w:highlight w:val="none"/>
        </w:rPr>
      </w:pPr>
    </w:p>
    <w:p w14:paraId="28EDA053">
      <w:pPr>
        <w:snapToGrid w:val="0"/>
        <w:spacing w:line="360" w:lineRule="auto"/>
        <w:jc w:val="center"/>
        <w:rPr>
          <w:rFonts w:ascii="仿宋" w:hAnsi="仿宋" w:eastAsia="仿宋" w:cs="仿宋"/>
          <w:b/>
          <w:bCs/>
          <w:color w:val="auto"/>
          <w:szCs w:val="21"/>
          <w:highlight w:val="none"/>
        </w:rPr>
      </w:pPr>
    </w:p>
    <w:p w14:paraId="4265CB65">
      <w:pPr>
        <w:snapToGrid w:val="0"/>
        <w:spacing w:line="360" w:lineRule="auto"/>
        <w:jc w:val="center"/>
        <w:rPr>
          <w:rFonts w:ascii="仿宋" w:hAnsi="仿宋" w:eastAsia="仿宋" w:cs="仿宋"/>
          <w:b/>
          <w:bCs/>
          <w:color w:val="auto"/>
          <w:szCs w:val="21"/>
          <w:highlight w:val="none"/>
        </w:rPr>
      </w:pPr>
    </w:p>
    <w:p w14:paraId="06A01983">
      <w:pPr>
        <w:pStyle w:val="30"/>
        <w:snapToGrid w:val="0"/>
        <w:spacing w:before="162" w:after="162" w:line="360" w:lineRule="auto"/>
        <w:rPr>
          <w:rFonts w:ascii="仿宋" w:hAnsi="仿宋" w:eastAsia="仿宋" w:cs="仿宋"/>
          <w:b/>
          <w:bCs/>
          <w:color w:val="auto"/>
          <w:sz w:val="21"/>
          <w:szCs w:val="21"/>
          <w:highlight w:val="none"/>
        </w:rPr>
      </w:pPr>
    </w:p>
    <w:p w14:paraId="4B1D0596">
      <w:pPr>
        <w:pStyle w:val="30"/>
        <w:snapToGrid w:val="0"/>
        <w:spacing w:before="162" w:after="162" w:line="360" w:lineRule="auto"/>
        <w:rPr>
          <w:rFonts w:ascii="仿宋" w:hAnsi="仿宋" w:eastAsia="仿宋" w:cs="仿宋"/>
          <w:b/>
          <w:bCs/>
          <w:color w:val="auto"/>
          <w:sz w:val="21"/>
          <w:szCs w:val="21"/>
          <w:highlight w:val="none"/>
        </w:rPr>
      </w:pPr>
    </w:p>
    <w:p w14:paraId="73C5742B">
      <w:pPr>
        <w:pStyle w:val="30"/>
        <w:snapToGrid w:val="0"/>
        <w:spacing w:before="162" w:after="162" w:line="360" w:lineRule="auto"/>
        <w:rPr>
          <w:rFonts w:ascii="仿宋" w:hAnsi="仿宋" w:eastAsia="仿宋" w:cs="仿宋"/>
          <w:b/>
          <w:bCs/>
          <w:color w:val="auto"/>
          <w:sz w:val="21"/>
          <w:szCs w:val="21"/>
          <w:highlight w:val="none"/>
        </w:rPr>
      </w:pPr>
    </w:p>
    <w:p w14:paraId="0CD834ED">
      <w:pPr>
        <w:pStyle w:val="30"/>
        <w:snapToGrid w:val="0"/>
        <w:spacing w:before="162" w:after="162" w:line="360" w:lineRule="auto"/>
        <w:rPr>
          <w:rFonts w:ascii="仿宋" w:hAnsi="仿宋" w:eastAsia="仿宋" w:cs="仿宋"/>
          <w:b/>
          <w:bCs/>
          <w:color w:val="auto"/>
          <w:sz w:val="21"/>
          <w:szCs w:val="21"/>
          <w:highlight w:val="none"/>
        </w:rPr>
      </w:pPr>
    </w:p>
    <w:p w14:paraId="5AB595ED">
      <w:pPr>
        <w:pStyle w:val="30"/>
        <w:snapToGrid w:val="0"/>
        <w:spacing w:before="162" w:after="162" w:line="360" w:lineRule="auto"/>
        <w:rPr>
          <w:rFonts w:ascii="仿宋" w:hAnsi="仿宋" w:eastAsia="仿宋" w:cs="仿宋"/>
          <w:b/>
          <w:bCs/>
          <w:color w:val="auto"/>
          <w:sz w:val="21"/>
          <w:szCs w:val="21"/>
          <w:highlight w:val="none"/>
        </w:rPr>
      </w:pPr>
    </w:p>
    <w:p w14:paraId="0617C5A6">
      <w:pPr>
        <w:pStyle w:val="55"/>
        <w:spacing w:line="440" w:lineRule="exact"/>
        <w:jc w:val="center"/>
        <w:rPr>
          <w:rFonts w:ascii="仿宋" w:hAnsi="仿宋" w:eastAsia="仿宋" w:cs="仿宋"/>
          <w:b/>
          <w:bCs/>
          <w:color w:val="auto"/>
          <w:sz w:val="32"/>
          <w:szCs w:val="32"/>
          <w:highlight w:val="none"/>
        </w:rPr>
      </w:pPr>
      <w:r>
        <w:rPr>
          <w:rFonts w:hint="eastAsia" w:ascii="仿宋" w:hAnsi="仿宋" w:eastAsia="仿宋" w:cs="仿宋"/>
          <w:b/>
          <w:snapToGrid w:val="0"/>
          <w:color w:val="auto"/>
          <w:sz w:val="28"/>
          <w:szCs w:val="28"/>
          <w:highlight w:val="none"/>
        </w:rPr>
        <w:t>第二部分  通用条款</w:t>
      </w:r>
    </w:p>
    <w:p w14:paraId="5ED1278D">
      <w:pPr>
        <w:pStyle w:val="55"/>
        <w:spacing w:line="440" w:lineRule="exact"/>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详见《建设工程施工合同（示范文本）》（GF-2017-0201）第二部分 通用合同条款。</w:t>
      </w:r>
    </w:p>
    <w:p w14:paraId="7E0A1B1F">
      <w:pPr>
        <w:pStyle w:val="55"/>
        <w:spacing w:line="440" w:lineRule="exact"/>
        <w:jc w:val="center"/>
        <w:rPr>
          <w:rFonts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第三部分  专用条款</w:t>
      </w:r>
    </w:p>
    <w:p w14:paraId="79D0B3E4">
      <w:pPr>
        <w:pStyle w:val="552"/>
        <w:adjustRightInd w:val="0"/>
        <w:snapToGrid w:val="0"/>
        <w:spacing w:before="0" w:after="0" w:line="360" w:lineRule="exact"/>
        <w:ind w:firstLine="42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 一般约定</w:t>
      </w:r>
    </w:p>
    <w:p w14:paraId="3ADB180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 词语定义</w:t>
      </w:r>
    </w:p>
    <w:p w14:paraId="7227C9E4">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1.1.1合同</w:t>
      </w:r>
    </w:p>
    <w:p w14:paraId="588A4861">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1.1.1.10其他合同文件包括：</w:t>
      </w:r>
      <w:r>
        <w:rPr>
          <w:rFonts w:hint="eastAsia" w:ascii="仿宋" w:hAnsi="仿宋" w:eastAsia="仿宋" w:cs="仿宋"/>
          <w:color w:val="auto"/>
          <w:highlight w:val="none"/>
          <w:u w:val="single"/>
        </w:rPr>
        <w:t xml:space="preserve">           /      </w:t>
      </w:r>
    </w:p>
    <w:p w14:paraId="18119016">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1.1.2 合同当事人及其他相关方</w:t>
      </w:r>
    </w:p>
    <w:p w14:paraId="36BFA14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1.1.2.4监理人：</w:t>
      </w:r>
    </w:p>
    <w:p w14:paraId="1811DEB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名    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4C6689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资质类别和等级：</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773B1E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5F5E5E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电子信箱：</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88ACDC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通信地址：</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071E4F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1.1.2.5 设计人：</w:t>
      </w:r>
    </w:p>
    <w:p w14:paraId="5D33812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名    称：</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97C550B">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资质类别和等级：</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8C9B40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6E33811">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电子信箱：</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294B6E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通信地址：</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DD0756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1.1.3 工程和设备</w:t>
      </w:r>
    </w:p>
    <w:p w14:paraId="2286B6AB">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1.1.3.7 作为施工现场组成部分的其他场所包括：</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732A1AAD">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1.1.3.9 永久占地包括：</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0AEDAD91">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kern w:val="0"/>
          <w:highlight w:val="none"/>
        </w:rPr>
        <w:t>1.1.3.10 临时占地包括：</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6D0D914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1.3法律 </w:t>
      </w:r>
    </w:p>
    <w:p w14:paraId="5469385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适用于合同的其他规范性文件：</w:t>
      </w:r>
    </w:p>
    <w:p w14:paraId="7FAD429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1.3.1《关于贯彻《省厅调整安全文明施工费的通知》的通知》(杭建市发〔2022)54号〕；</w:t>
      </w:r>
    </w:p>
    <w:p w14:paraId="279A2C9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1.3.2省市建设行政部门颁发的其他现行有效文件(包括但不仅限于以下文件)；</w:t>
      </w:r>
    </w:p>
    <w:p w14:paraId="07FCC6A7">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highlight w:val="none"/>
        </w:rPr>
        <w:t>(1)其他：</w:t>
      </w:r>
      <w:r>
        <w:rPr>
          <w:rFonts w:hint="eastAsia" w:ascii="仿宋" w:hAnsi="仿宋" w:eastAsia="仿宋" w:cs="仿宋"/>
          <w:b/>
          <w:bCs/>
          <w:color w:val="auto"/>
          <w:highlight w:val="none"/>
          <w:u w:val="single"/>
        </w:rPr>
        <w:t>《中华人民共和国建筑法》、《中华人民共和国民法典》及国家、浙江省、项目所在地市现行的其它法律、行政法规、地方性法规</w:t>
      </w:r>
      <w:r>
        <w:rPr>
          <w:rFonts w:hint="eastAsia" w:ascii="仿宋" w:hAnsi="仿宋" w:eastAsia="仿宋" w:cs="仿宋"/>
          <w:color w:val="auto"/>
          <w:highlight w:val="none"/>
          <w:u w:val="single"/>
        </w:rPr>
        <w:t>。</w:t>
      </w:r>
    </w:p>
    <w:p w14:paraId="2F13337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1.3.6 新工艺、新技术的约定：：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1E2F65F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1.3.7 其他</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2247900">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1.4 标准和规范</w:t>
      </w:r>
    </w:p>
    <w:p w14:paraId="18A0CEB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1.4.1适用于工程的标准规范包括：</w:t>
      </w:r>
      <w:r>
        <w:rPr>
          <w:rFonts w:hint="eastAsia" w:ascii="仿宋" w:hAnsi="仿宋" w:eastAsia="仿宋" w:cs="仿宋"/>
          <w:b/>
          <w:bCs/>
          <w:color w:val="auto"/>
          <w:highlight w:val="none"/>
          <w:u w:val="single"/>
        </w:rPr>
        <w:t>按通用条款约定</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w:t>
      </w:r>
    </w:p>
    <w:p w14:paraId="421C294A">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1.4.2 发包人提供国外标准、规范的名称：</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1C10BD93">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发包人提供国外标准、规范的份数：</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1CBACBDB">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kern w:val="0"/>
          <w:highlight w:val="none"/>
        </w:rPr>
        <w:t>发包人提供国外标准、规范的名称：</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5D975ED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1.4.3发包人对工程的技术标准和功能要求的特殊要求：</w:t>
      </w:r>
      <w:r>
        <w:rPr>
          <w:rFonts w:hint="eastAsia" w:ascii="仿宋" w:hAnsi="仿宋" w:eastAsia="仿宋" w:cs="仿宋"/>
          <w:b/>
          <w:bCs/>
          <w:color w:val="auto"/>
          <w:highlight w:val="none"/>
          <w:u w:val="single"/>
        </w:rPr>
        <w:t>按磋商文件第三章采购需求书中的技术标准约定</w:t>
      </w:r>
      <w:r>
        <w:rPr>
          <w:rFonts w:hint="eastAsia" w:ascii="仿宋" w:hAnsi="仿宋" w:eastAsia="仿宋" w:cs="仿宋"/>
          <w:color w:val="auto"/>
          <w:highlight w:val="none"/>
        </w:rPr>
        <w:t>。</w:t>
      </w:r>
    </w:p>
    <w:p w14:paraId="62A1FE8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1.5 合同文件的优先顺序</w:t>
      </w:r>
    </w:p>
    <w:p w14:paraId="17712EB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合同文件组成及优先顺序为：</w:t>
      </w:r>
      <w:r>
        <w:rPr>
          <w:rFonts w:hint="eastAsia" w:ascii="仿宋" w:hAnsi="仿宋" w:eastAsia="仿宋" w:cs="仿宋"/>
          <w:b/>
          <w:bCs/>
          <w:color w:val="auto"/>
          <w:highlight w:val="none"/>
          <w:u w:val="single"/>
        </w:rPr>
        <w:t>（1）合同协议书；（2）成交通知书；（3）询标纪要及承诺书；（4）专用合同条款及其附件；（5）采购文件、答疑及补充文件；（6）投标函及其附录（如果有）；（7）通用合同条款；（8）技术标准和要求；（9）图纸（如果有）；（10）已标价工程量清单或预算书；（11）其他合同文件：①施工组织设计；②其他：图纸会审纪要及联系单（如果有）</w:t>
      </w:r>
      <w:r>
        <w:rPr>
          <w:rFonts w:hint="eastAsia" w:ascii="仿宋" w:hAnsi="仿宋" w:eastAsia="仿宋" w:cs="仿宋"/>
          <w:color w:val="auto"/>
          <w:highlight w:val="none"/>
        </w:rPr>
        <w:t>。</w:t>
      </w:r>
    </w:p>
    <w:p w14:paraId="53839111">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1.6 图纸和承包人文件</w:t>
      </w:r>
      <w:r>
        <w:rPr>
          <w:rFonts w:hint="eastAsia" w:ascii="仿宋" w:hAnsi="仿宋" w:eastAsia="仿宋" w:cs="仿宋"/>
          <w:color w:val="auto"/>
          <w:highlight w:val="none"/>
        </w:rPr>
        <w:tab/>
      </w:r>
    </w:p>
    <w:p w14:paraId="789DD8F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1.6.1 图纸的提供</w:t>
      </w:r>
    </w:p>
    <w:p w14:paraId="416DD1A0">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发包人向承包人提供图纸的期限：</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BE579F7">
      <w:pPr>
        <w:pStyle w:val="125"/>
        <w:adjustRightInd w:val="0"/>
        <w:snapToGrid w:val="0"/>
        <w:spacing w:line="360" w:lineRule="exact"/>
        <w:ind w:firstLine="420" w:firstLineChars="200"/>
        <w:rPr>
          <w:rFonts w:ascii="仿宋" w:hAnsi="仿宋" w:eastAsia="仿宋" w:cs="仿宋"/>
          <w:b/>
          <w:bCs/>
          <w:color w:val="auto"/>
          <w:highlight w:val="none"/>
          <w:u w:val="single"/>
        </w:rPr>
      </w:pPr>
      <w:r>
        <w:rPr>
          <w:rFonts w:hint="eastAsia" w:ascii="仿宋" w:hAnsi="仿宋" w:eastAsia="仿宋" w:cs="仿宋"/>
          <w:color w:val="auto"/>
          <w:highlight w:val="none"/>
        </w:rPr>
        <w:t>发包人向承包人提供图纸的数量：</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6CDD4BD">
      <w:pPr>
        <w:pStyle w:val="131"/>
        <w:adjustRightInd w:val="0"/>
        <w:snapToGrid w:val="0"/>
        <w:spacing w:line="360" w:lineRule="exact"/>
        <w:ind w:firstLine="420" w:firstLineChars="200"/>
        <w:rPr>
          <w:rFonts w:ascii="仿宋" w:hAnsi="仿宋" w:eastAsia="仿宋" w:cs="仿宋"/>
          <w:color w:val="auto"/>
          <w:kern w:val="0"/>
          <w:highlight w:val="none"/>
          <w:u w:val="single"/>
        </w:rPr>
      </w:pPr>
      <w:r>
        <w:rPr>
          <w:rFonts w:hint="eastAsia" w:ascii="仿宋" w:hAnsi="仿宋" w:eastAsia="仿宋" w:cs="仿宋"/>
          <w:color w:val="auto"/>
          <w:highlight w:val="none"/>
        </w:rPr>
        <w:t>发包人向承包人提供图纸的内容：</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07A26920">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1.6.4 承包人文件</w:t>
      </w:r>
    </w:p>
    <w:p w14:paraId="25C83AB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需要由承包人提供的文件，包括：</w:t>
      </w:r>
      <w:r>
        <w:rPr>
          <w:rFonts w:hint="eastAsia" w:ascii="仿宋" w:hAnsi="仿宋" w:eastAsia="仿宋" w:cs="仿宋"/>
          <w:b/>
          <w:bCs/>
          <w:color w:val="auto"/>
          <w:highlight w:val="none"/>
          <w:u w:val="single"/>
        </w:rPr>
        <w:t>施工组织设计（施工方案）和进度计划</w:t>
      </w:r>
      <w:r>
        <w:rPr>
          <w:rFonts w:hint="eastAsia" w:ascii="仿宋" w:hAnsi="仿宋" w:eastAsia="仿宋" w:cs="仿宋"/>
          <w:color w:val="auto"/>
          <w:highlight w:val="none"/>
        </w:rPr>
        <w:t>；</w:t>
      </w:r>
    </w:p>
    <w:p w14:paraId="3A4202B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承包人提供的文件的期限为：</w:t>
      </w:r>
      <w:r>
        <w:rPr>
          <w:rFonts w:hint="eastAsia" w:ascii="仿宋" w:hAnsi="仿宋" w:eastAsia="仿宋" w:cs="仿宋"/>
          <w:b/>
          <w:bCs/>
          <w:color w:val="auto"/>
          <w:highlight w:val="none"/>
          <w:u w:val="single"/>
        </w:rPr>
        <w:t>开工前7天提供</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66A005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承包人提供的文件的数量为：</w:t>
      </w:r>
      <w:r>
        <w:rPr>
          <w:rFonts w:hint="eastAsia" w:ascii="仿宋" w:hAnsi="仿宋" w:eastAsia="仿宋" w:cs="仿宋"/>
          <w:b/>
          <w:bCs/>
          <w:color w:val="auto"/>
          <w:highlight w:val="none"/>
          <w:u w:val="single"/>
        </w:rPr>
        <w:t xml:space="preserve">三套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478D16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承包人提供的文件的形式为：</w:t>
      </w:r>
      <w:r>
        <w:rPr>
          <w:rFonts w:hint="eastAsia" w:ascii="仿宋" w:hAnsi="仿宋" w:eastAsia="仿宋" w:cs="仿宋"/>
          <w:b/>
          <w:bCs/>
          <w:color w:val="auto"/>
          <w:highlight w:val="none"/>
          <w:u w:val="single"/>
        </w:rPr>
        <w:t>书面文件</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F11161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发包人审批承包人文件的期限：</w:t>
      </w:r>
      <w:r>
        <w:rPr>
          <w:rFonts w:hint="eastAsia" w:ascii="仿宋" w:hAnsi="仿宋" w:eastAsia="仿宋" w:cs="仿宋"/>
          <w:b/>
          <w:bCs/>
          <w:color w:val="auto"/>
          <w:highlight w:val="none"/>
          <w:u w:val="single"/>
        </w:rPr>
        <w:t>收到报告后7天内</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64ADA1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1.6.5 现场图纸准备</w:t>
      </w:r>
    </w:p>
    <w:p w14:paraId="0EA73FB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关于现场图纸准备的约定：</w:t>
      </w:r>
      <w:r>
        <w:rPr>
          <w:rFonts w:hint="eastAsia" w:ascii="仿宋" w:hAnsi="仿宋" w:eastAsia="仿宋" w:cs="仿宋"/>
          <w:b/>
          <w:bCs/>
          <w:color w:val="auto"/>
          <w:highlight w:val="none"/>
          <w:u w:val="single"/>
        </w:rPr>
        <w:t>按通用合同条款第1.6.5条规定执行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6B700FD">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1.7 联络</w:t>
      </w:r>
    </w:p>
    <w:p w14:paraId="0E73C52A">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1.7.1发包人和承包人应当在</w:t>
      </w:r>
      <w:r>
        <w:rPr>
          <w:rFonts w:hint="eastAsia" w:ascii="仿宋" w:hAnsi="仿宋" w:eastAsia="仿宋" w:cs="仿宋"/>
          <w:b/>
          <w:bCs/>
          <w:color w:val="auto"/>
          <w:highlight w:val="none"/>
          <w:u w:val="single"/>
        </w:rPr>
        <w:t>7</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天内将与合同有关的通知、批准、证明、证书、指示、指令、要求、请求、同意、意见、确定和决定等书面函件送达对方当事人。</w:t>
      </w:r>
    </w:p>
    <w:p w14:paraId="59B73118">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1.7.2 发包人接收文件的地点：</w:t>
      </w:r>
      <w:r>
        <w:rPr>
          <w:rFonts w:hint="eastAsia" w:ascii="仿宋" w:hAnsi="仿宋" w:eastAsia="仿宋" w:cs="仿宋"/>
          <w:b/>
          <w:bCs/>
          <w:color w:val="auto"/>
          <w:highlight w:val="none"/>
          <w:u w:val="single"/>
        </w:rPr>
        <w:t>施工现场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w:t>
      </w:r>
    </w:p>
    <w:p w14:paraId="2CEC385F">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发包人指定的接收人为：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w:t>
      </w:r>
    </w:p>
    <w:p w14:paraId="14AB31EB">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承包人接收文件的地点：</w:t>
      </w:r>
      <w:r>
        <w:rPr>
          <w:rFonts w:hint="eastAsia" w:ascii="仿宋" w:hAnsi="仿宋" w:eastAsia="仿宋" w:cs="仿宋"/>
          <w:b/>
          <w:bCs/>
          <w:color w:val="auto"/>
          <w:highlight w:val="none"/>
          <w:u w:val="single"/>
        </w:rPr>
        <w:t>施工现场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w:t>
      </w:r>
    </w:p>
    <w:p w14:paraId="5F86F45A">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承包人指定的接收人为：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w:t>
      </w:r>
    </w:p>
    <w:p w14:paraId="09D252D9">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监理人接收文件的地点：</w:t>
      </w:r>
      <w:r>
        <w:rPr>
          <w:rFonts w:hint="eastAsia" w:ascii="仿宋" w:hAnsi="仿宋" w:eastAsia="仿宋" w:cs="仿宋"/>
          <w:b/>
          <w:bCs/>
          <w:color w:val="auto"/>
          <w:highlight w:val="none"/>
          <w:u w:val="single"/>
        </w:rPr>
        <w:t>施工现场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w:t>
      </w:r>
    </w:p>
    <w:p w14:paraId="153C8F82">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监理人指定的接收人为：</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w:t>
      </w:r>
    </w:p>
    <w:p w14:paraId="2E6D902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1.10 交通运输</w:t>
      </w:r>
    </w:p>
    <w:p w14:paraId="4DF5B96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1.10.1 出入现场的权利</w:t>
      </w:r>
    </w:p>
    <w:p w14:paraId="60B4EAC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关于出入现场的权利的约定：</w:t>
      </w:r>
      <w:r>
        <w:rPr>
          <w:rFonts w:hint="eastAsia" w:ascii="仿宋" w:hAnsi="仿宋" w:eastAsia="仿宋" w:cs="仿宋"/>
          <w:b/>
          <w:bCs/>
          <w:color w:val="auto"/>
          <w:highlight w:val="none"/>
          <w:u w:val="single"/>
        </w:rPr>
        <w:t>按通用合同条款第1.10.1条规定执行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FBA9C3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1.10.3 场内交通</w:t>
      </w:r>
    </w:p>
    <w:p w14:paraId="275DF88B">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关于场外交通和场内交通的边界的约定：</w:t>
      </w:r>
      <w:r>
        <w:rPr>
          <w:rFonts w:hint="eastAsia" w:ascii="仿宋" w:hAnsi="仿宋" w:eastAsia="仿宋" w:cs="仿宋"/>
          <w:b/>
          <w:bCs/>
          <w:color w:val="auto"/>
          <w:highlight w:val="none"/>
          <w:u w:val="single"/>
        </w:rPr>
        <w:t>施工范围内的场地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FF6B4F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关于发包人向承包人免费提供满足工程施工需要的场内道路和交通设施的约定：</w:t>
      </w:r>
      <w:r>
        <w:rPr>
          <w:rFonts w:hint="eastAsia" w:ascii="仿宋" w:hAnsi="仿宋" w:eastAsia="仿宋" w:cs="仿宋"/>
          <w:b/>
          <w:bCs/>
          <w:color w:val="auto"/>
          <w:highlight w:val="none"/>
          <w:u w:val="single"/>
        </w:rPr>
        <w:t>开工前7天，发包人负责施工场地道路畅通，确保承包人施工车辆进出工地畅通；承包人须办理校内施工相关手续并承担相应费用</w:t>
      </w:r>
      <w:r>
        <w:rPr>
          <w:rFonts w:hint="eastAsia" w:ascii="仿宋" w:hAnsi="仿宋" w:eastAsia="仿宋" w:cs="仿宋"/>
          <w:color w:val="auto"/>
          <w:highlight w:val="none"/>
        </w:rPr>
        <w:t xml:space="preserve">。  </w:t>
      </w:r>
    </w:p>
    <w:p w14:paraId="26BCF295">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1.10.4超大件和超重件的运输</w:t>
      </w:r>
    </w:p>
    <w:p w14:paraId="7185F9D8">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运输超大件或超重件所需的道路和桥梁临时加固改造费用和其他有关费用由</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承包人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承担。</w:t>
      </w:r>
    </w:p>
    <w:p w14:paraId="4A8E2DC0">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本工程的超大件：</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4C456524">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本工程的超重件：</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1C7DD92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1.11 知识产权</w:t>
      </w:r>
    </w:p>
    <w:p w14:paraId="470C912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b/>
          <w:bCs/>
          <w:color w:val="auto"/>
          <w:highlight w:val="none"/>
          <w:u w:val="single"/>
        </w:rPr>
        <w:t>按通用合同条款第1.11.1条规定执行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D50C9A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关于发包人提供的上述文件的使用限制的要求：</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BF9FE36">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1.11.2 关于承包人为实施工程所编制文件的著作权的归属：</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按通用合同条款第1.11.2条规定执行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E90EBEB">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关于承包人提供的上述文件的使用限制的要求：</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609568E">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highlight w:val="none"/>
        </w:rPr>
        <w:t>1.11.4 承包人在施工过程中所采用的专利、专有技术、技术秘密的使用费的承担方式：</w:t>
      </w:r>
      <w:r>
        <w:rPr>
          <w:rFonts w:hint="eastAsia" w:ascii="仿宋" w:hAnsi="仿宋" w:eastAsia="仿宋" w:cs="仿宋"/>
          <w:b/>
          <w:bCs/>
          <w:color w:val="auto"/>
          <w:highlight w:val="none"/>
          <w:u w:val="single"/>
        </w:rPr>
        <w:t xml:space="preserve"> (除发包人指明外)承包人在施工过 程中所采用的专利、专有技术、技术秘密的使用费包含在合同价款内。</w:t>
      </w:r>
      <w:r>
        <w:rPr>
          <w:rFonts w:hint="eastAsia" w:ascii="仿宋" w:hAnsi="仿宋" w:eastAsia="仿宋" w:cs="仿宋"/>
          <w:color w:val="auto"/>
          <w:kern w:val="0"/>
          <w:highlight w:val="none"/>
        </w:rPr>
        <w:t>。</w:t>
      </w:r>
    </w:p>
    <w:p w14:paraId="1ED4A46D">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1.13工程量清单错误的修正</w:t>
      </w:r>
    </w:p>
    <w:p w14:paraId="4757034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出现工程量清单错误时，是否调整合同价格：</w:t>
      </w:r>
      <w:r>
        <w:rPr>
          <w:rFonts w:hint="eastAsia" w:ascii="仿宋" w:hAnsi="仿宋" w:eastAsia="仿宋" w:cs="仿宋"/>
          <w:b/>
          <w:bCs/>
          <w:color w:val="auto"/>
          <w:highlight w:val="none"/>
          <w:u w:val="single"/>
        </w:rPr>
        <w:t xml:space="preserve">但单价不作调整 </w:t>
      </w:r>
      <w:r>
        <w:rPr>
          <w:rFonts w:hint="eastAsia" w:ascii="仿宋" w:hAnsi="仿宋" w:eastAsia="仿宋" w:cs="仿宋"/>
          <w:color w:val="auto"/>
          <w:kern w:val="0"/>
          <w:highlight w:val="none"/>
        </w:rPr>
        <w:t>。</w:t>
      </w:r>
    </w:p>
    <w:p w14:paraId="36B7744D">
      <w:pPr>
        <w:pStyle w:val="131"/>
        <w:adjustRightInd w:val="0"/>
        <w:snapToGrid w:val="0"/>
        <w:spacing w:line="360" w:lineRule="exact"/>
        <w:ind w:firstLine="420"/>
        <w:rPr>
          <w:rFonts w:ascii="仿宋" w:hAnsi="仿宋" w:eastAsia="仿宋" w:cs="仿宋"/>
          <w:color w:val="auto"/>
          <w:kern w:val="0"/>
          <w:highlight w:val="none"/>
        </w:rPr>
      </w:pPr>
      <w:r>
        <w:rPr>
          <w:rFonts w:hint="eastAsia" w:ascii="仿宋" w:hAnsi="仿宋" w:eastAsia="仿宋" w:cs="仿宋"/>
          <w:color w:val="auto"/>
          <w:highlight w:val="none"/>
        </w:rPr>
        <w:t>允许调整合同价格的工程量偏差范围：</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63A4EF48">
      <w:pPr>
        <w:pStyle w:val="131"/>
        <w:adjustRightInd w:val="0"/>
        <w:snapToGrid w:val="0"/>
        <w:spacing w:line="360" w:lineRule="exact"/>
        <w:ind w:firstLine="420"/>
        <w:rPr>
          <w:rFonts w:ascii="仿宋" w:hAnsi="仿宋" w:eastAsia="仿宋" w:cs="仿宋"/>
          <w:color w:val="auto"/>
          <w:kern w:val="0"/>
          <w:highlight w:val="none"/>
        </w:rPr>
      </w:pPr>
      <w:r>
        <w:rPr>
          <w:rFonts w:hint="eastAsia" w:ascii="仿宋" w:hAnsi="仿宋" w:eastAsia="仿宋" w:cs="仿宋"/>
          <w:color w:val="auto"/>
          <w:highlight w:val="none"/>
        </w:rPr>
        <w:t>调整合同价格的修正时间：</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1BFB8B1E">
      <w:pPr>
        <w:pStyle w:val="552"/>
        <w:adjustRightInd w:val="0"/>
        <w:snapToGrid w:val="0"/>
        <w:spacing w:before="0" w:after="0" w:line="360" w:lineRule="exact"/>
        <w:ind w:firstLine="42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 发包人</w:t>
      </w:r>
    </w:p>
    <w:p w14:paraId="0493C0E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2.2 发包人代表</w:t>
      </w:r>
    </w:p>
    <w:p w14:paraId="3A1D90E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发包人代表：</w:t>
      </w:r>
    </w:p>
    <w:p w14:paraId="5398E4C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姓    名：</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0A76C36">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身份证号：</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9C55FA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职    务：</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EF397E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1B127870">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电子信箱：</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3CD992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通信地址：</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51B45F0">
      <w:pPr>
        <w:pStyle w:val="131"/>
        <w:adjustRightInd w:val="0"/>
        <w:snapToGrid w:val="0"/>
        <w:spacing w:line="360" w:lineRule="exact"/>
        <w:ind w:firstLine="525" w:firstLineChars="250"/>
        <w:rPr>
          <w:rFonts w:ascii="仿宋" w:hAnsi="仿宋" w:eastAsia="仿宋" w:cs="仿宋"/>
          <w:b/>
          <w:bCs/>
          <w:color w:val="auto"/>
          <w:highlight w:val="none"/>
          <w:u w:val="single"/>
        </w:rPr>
      </w:pPr>
      <w:r>
        <w:rPr>
          <w:rFonts w:hint="eastAsia" w:ascii="仿宋" w:hAnsi="仿宋" w:eastAsia="仿宋" w:cs="仿宋"/>
          <w:color w:val="auto"/>
          <w:highlight w:val="none"/>
        </w:rPr>
        <w:t>发包人对发包人代表的授权范围如下：</w:t>
      </w:r>
      <w:r>
        <w:rPr>
          <w:rFonts w:hint="eastAsia" w:ascii="仿宋" w:hAnsi="仿宋" w:eastAsia="仿宋" w:cs="仿宋"/>
          <w:b/>
          <w:bCs/>
          <w:color w:val="auto"/>
          <w:highlight w:val="none"/>
          <w:u w:val="single"/>
        </w:rPr>
        <w:t>（1）代表发包人对工程质量、进度、造价、安全及文明施工进行监督，工程存在质量问题或安全问题或施工进度不符合要求的，现场代表有权要求施工单位采取整改措施；</w:t>
      </w:r>
    </w:p>
    <w:p w14:paraId="0C87FD6E">
      <w:pPr>
        <w:pStyle w:val="131"/>
        <w:adjustRightInd w:val="0"/>
        <w:snapToGrid w:val="0"/>
        <w:spacing w:line="360" w:lineRule="exact"/>
        <w:ind w:firstLine="527" w:firstLineChars="250"/>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（2）发包人代表可委派有关具体管理人员，承担自己部分权力和职责，并可在任何时候撤回并重新委派，委派和撤回均应提前3个工作日通知承包方；</w:t>
      </w:r>
    </w:p>
    <w:p w14:paraId="6E3A3883">
      <w:pPr>
        <w:pStyle w:val="125"/>
        <w:adjustRightInd w:val="0"/>
        <w:snapToGrid w:val="0"/>
        <w:spacing w:line="360" w:lineRule="exact"/>
        <w:ind w:firstLine="474" w:firstLineChars="225"/>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3）发包人代表的指令、通知及签证须由其本人签字并加盖印章（仅有本人签字未有印章的，发包人追认，则对发包人有效，发包人不予追认的，对发包人不具有效力），以书面形式交给承包人现场代表（或合同约定签收人），承包人代表在回执上签署姓名和收到时间。当承包人代表不在施工现场时，发包人可要求属于承包人其它管理人员代签，签字后即可视为承包人代表已签收。</w:t>
      </w:r>
    </w:p>
    <w:p w14:paraId="0DE6914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2.4 施工现场、施工条件和基础资料的提供</w:t>
      </w:r>
    </w:p>
    <w:p w14:paraId="4DA90DE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2.4.1 提供施工现场</w:t>
      </w:r>
    </w:p>
    <w:p w14:paraId="1302E070">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关于发包人移交施工现场的期限要求：</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开工前7天提供符合施工条件的施工场地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74451AD">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2.4.2 提供施工条件</w:t>
      </w:r>
    </w:p>
    <w:p w14:paraId="08D58EB0">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highlight w:val="none"/>
        </w:rPr>
        <w:t>关于发包人应负责提供施工所需要的条件，包括：</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除通用合同条款第2.4.2条规定外，开工前7天，完成水准点与坐标点，并进行现场校验</w:t>
      </w:r>
      <w:r>
        <w:rPr>
          <w:rFonts w:hint="eastAsia" w:ascii="仿宋" w:hAnsi="仿宋" w:eastAsia="仿宋" w:cs="仿宋"/>
          <w:color w:val="auto"/>
          <w:highlight w:val="none"/>
        </w:rPr>
        <w:t>。</w:t>
      </w:r>
    </w:p>
    <w:p w14:paraId="5D28284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2.5 资金来源证明及支付担保</w:t>
      </w:r>
    </w:p>
    <w:p w14:paraId="412D5EB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发包人提供资金来源证明的期限要求：</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62F7DAF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发包人是否提供支付担保：</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D0C5C44">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highlight w:val="none"/>
        </w:rPr>
        <w:t>发包人提供支付担保的形式：</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9F0CBDB">
      <w:pPr>
        <w:pStyle w:val="552"/>
        <w:adjustRightInd w:val="0"/>
        <w:snapToGrid w:val="0"/>
        <w:spacing w:before="0" w:after="0" w:line="360" w:lineRule="exact"/>
        <w:ind w:firstLine="42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 承包人</w:t>
      </w:r>
    </w:p>
    <w:p w14:paraId="40FBA2A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3.1 承包人的一般义务</w:t>
      </w:r>
    </w:p>
    <w:p w14:paraId="0868A3F2">
      <w:pPr>
        <w:pStyle w:val="131"/>
        <w:adjustRightInd w:val="0"/>
        <w:snapToGrid w:val="0"/>
        <w:spacing w:line="360" w:lineRule="exact"/>
        <w:ind w:firstLine="315" w:firstLineChars="150"/>
        <w:jc w:val="left"/>
        <w:rPr>
          <w:rFonts w:ascii="仿宋" w:hAnsi="仿宋" w:eastAsia="仿宋" w:cs="仿宋"/>
          <w:color w:val="auto"/>
          <w:highlight w:val="none"/>
        </w:rPr>
      </w:pPr>
      <w:r>
        <w:rPr>
          <w:rFonts w:hint="eastAsia" w:ascii="仿宋" w:hAnsi="仿宋" w:eastAsia="仿宋" w:cs="仿宋"/>
          <w:color w:val="auto"/>
          <w:kern w:val="0"/>
          <w:highlight w:val="none"/>
        </w:rPr>
        <w:t>（5）</w:t>
      </w:r>
      <w:r>
        <w:rPr>
          <w:rFonts w:hint="eastAsia" w:ascii="仿宋" w:hAnsi="仿宋" w:eastAsia="仿宋" w:cs="仿宋"/>
          <w:color w:val="auto"/>
          <w:highlight w:val="none"/>
        </w:rPr>
        <w:t>承包人提交的竣工资料的内容：</w:t>
      </w:r>
      <w:r>
        <w:rPr>
          <w:rFonts w:hint="eastAsia" w:ascii="仿宋" w:hAnsi="仿宋" w:eastAsia="仿宋" w:cs="仿宋"/>
          <w:b/>
          <w:bCs/>
          <w:color w:val="auto"/>
          <w:highlight w:val="none"/>
          <w:u w:val="single"/>
        </w:rPr>
        <w:t xml:space="preserve">  承包人按档案管理的要求，向发包人提交完整的纸质竣工图纸、技术资料各3套及电子版(光盘)竣工图两套以及相关资料。上述文件的原始资料必须齐全（资料包括工程的全过程原始记录及验收资料、材料质保书、检验签证单、材质验收报告、有关设计变更的技术资料、工程的检测数据、质量评定报告、工程竣工决算的全部资料、其他按规定应提交的资料），且必须符合工程技术档案要求。若承包人未按时向发包人提交以上资料及未经发包人确认，发包人不予支付工程款 </w:t>
      </w:r>
      <w:r>
        <w:rPr>
          <w:rFonts w:hint="eastAsia" w:ascii="仿宋" w:hAnsi="仿宋" w:eastAsia="仿宋" w:cs="仿宋"/>
          <w:color w:val="auto"/>
          <w:highlight w:val="none"/>
        </w:rPr>
        <w:t>。</w:t>
      </w:r>
    </w:p>
    <w:p w14:paraId="3EF26FEC">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承包人需要提交的竣工资料套数：</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F6A229A">
      <w:pPr>
        <w:pStyle w:val="131"/>
        <w:adjustRightInd w:val="0"/>
        <w:snapToGrid w:val="0"/>
        <w:spacing w:line="360" w:lineRule="exact"/>
        <w:ind w:firstLine="525" w:firstLineChars="250"/>
        <w:jc w:val="left"/>
        <w:rPr>
          <w:rFonts w:ascii="仿宋" w:hAnsi="仿宋" w:eastAsia="仿宋" w:cs="仿宋"/>
          <w:color w:val="auto"/>
          <w:highlight w:val="none"/>
        </w:rPr>
      </w:pPr>
      <w:r>
        <w:rPr>
          <w:rFonts w:hint="eastAsia" w:ascii="仿宋" w:hAnsi="仿宋" w:eastAsia="仿宋" w:cs="仿宋"/>
          <w:color w:val="auto"/>
          <w:highlight w:val="none"/>
        </w:rPr>
        <w:t>承包人提交的竣工资料的费用承担：</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承包人承担</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C0E86F7">
      <w:pPr>
        <w:pStyle w:val="131"/>
        <w:adjustRightInd w:val="0"/>
        <w:snapToGrid w:val="0"/>
        <w:spacing w:line="360" w:lineRule="exact"/>
        <w:ind w:firstLine="525" w:firstLineChars="250"/>
        <w:jc w:val="left"/>
        <w:rPr>
          <w:rFonts w:ascii="仿宋" w:hAnsi="仿宋" w:eastAsia="仿宋" w:cs="仿宋"/>
          <w:color w:val="auto"/>
          <w:highlight w:val="none"/>
        </w:rPr>
      </w:pPr>
      <w:r>
        <w:rPr>
          <w:rFonts w:hint="eastAsia" w:ascii="仿宋" w:hAnsi="仿宋" w:eastAsia="仿宋" w:cs="仿宋"/>
          <w:color w:val="auto"/>
          <w:highlight w:val="none"/>
        </w:rPr>
        <w:t>承包人提交的竣工资料移交时间：</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工程竣工验收合格后15天内</w:t>
      </w:r>
      <w:r>
        <w:rPr>
          <w:rFonts w:hint="eastAsia" w:ascii="仿宋" w:hAnsi="仿宋" w:eastAsia="仿宋" w:cs="仿宋"/>
          <w:color w:val="auto"/>
          <w:highlight w:val="none"/>
          <w:u w:val="single"/>
        </w:rPr>
        <w:t>。</w:t>
      </w:r>
    </w:p>
    <w:p w14:paraId="231E7AF4">
      <w:pPr>
        <w:pStyle w:val="131"/>
        <w:adjustRightInd w:val="0"/>
        <w:snapToGrid w:val="0"/>
        <w:spacing w:line="360" w:lineRule="exact"/>
        <w:ind w:firstLine="525" w:firstLineChars="250"/>
        <w:jc w:val="left"/>
        <w:rPr>
          <w:rFonts w:ascii="仿宋" w:hAnsi="仿宋" w:eastAsia="仿宋" w:cs="仿宋"/>
          <w:color w:val="auto"/>
          <w:highlight w:val="none"/>
        </w:rPr>
      </w:pPr>
      <w:r>
        <w:rPr>
          <w:rFonts w:hint="eastAsia" w:ascii="仿宋" w:hAnsi="仿宋" w:eastAsia="仿宋" w:cs="仿宋"/>
          <w:color w:val="auto"/>
          <w:highlight w:val="none"/>
        </w:rPr>
        <w:t>承包人提交的竣工资料形式要求:</w:t>
      </w:r>
      <w:r>
        <w:rPr>
          <w:rFonts w:hint="eastAsia" w:ascii="仿宋" w:hAnsi="仿宋" w:eastAsia="仿宋" w:cs="仿宋"/>
          <w:b/>
          <w:bCs/>
          <w:color w:val="auto"/>
          <w:highlight w:val="none"/>
          <w:u w:val="single"/>
        </w:rPr>
        <w:t>竣工资料按规范装订成册。</w:t>
      </w:r>
    </w:p>
    <w:p w14:paraId="4B99D7D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kern w:val="0"/>
          <w:highlight w:val="none"/>
        </w:rPr>
        <w:t>（6）承包人应履行的其他义务：</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76E3731">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3.2 项目经理</w:t>
      </w:r>
    </w:p>
    <w:p w14:paraId="53ABEE8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kern w:val="0"/>
          <w:highlight w:val="none"/>
        </w:rPr>
        <w:t xml:space="preserve">3.2.1 </w:t>
      </w:r>
      <w:r>
        <w:rPr>
          <w:rFonts w:hint="eastAsia" w:ascii="仿宋" w:hAnsi="仿宋" w:eastAsia="仿宋" w:cs="仿宋"/>
          <w:color w:val="auto"/>
          <w:highlight w:val="none"/>
        </w:rPr>
        <w:t>项目经理：</w:t>
      </w:r>
    </w:p>
    <w:p w14:paraId="0DDA42A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姓    名：</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EA1EE9D">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身份证号：</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rPr>
        <w:t>；</w:t>
      </w:r>
    </w:p>
    <w:p w14:paraId="581AC41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建造师执业资格等级：</w:t>
      </w:r>
      <w:r>
        <w:rPr>
          <w:rFonts w:hint="eastAsia" w:ascii="仿宋" w:hAnsi="仿宋" w:eastAsia="仿宋" w:cs="仿宋"/>
          <w:b/>
          <w:bCs/>
          <w:color w:val="auto"/>
          <w:highlight w:val="none"/>
          <w:u w:val="single"/>
        </w:rPr>
        <w:t xml:space="preserve">   </w:t>
      </w:r>
      <w:r>
        <w:rPr>
          <w:rFonts w:hint="eastAsia" w:ascii="仿宋" w:hAnsi="仿宋" w:eastAsia="仿宋" w:cs="仿宋"/>
          <w:b/>
          <w:bCs/>
          <w:color w:val="auto"/>
          <w:highlight w:val="none"/>
          <w:u w:val="single"/>
          <w:lang w:val="en-US" w:eastAsia="zh-CN"/>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1D873D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建造师注册证书号：</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ED044E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建造师执业印章号：</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AD01C7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安全生产考核合格证书号：</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A4869A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ECD943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电子信箱：</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E712B5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通信地址：</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A3B0B1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承包人对项目经理的授权范围如下：</w:t>
      </w:r>
      <w:r>
        <w:rPr>
          <w:rFonts w:hint="eastAsia" w:ascii="仿宋" w:hAnsi="仿宋" w:eastAsia="仿宋" w:cs="仿宋"/>
          <w:b/>
          <w:bCs/>
          <w:color w:val="auto"/>
          <w:highlight w:val="none"/>
          <w:u w:val="single"/>
        </w:rPr>
        <w:t>项目经理按合同约定组织工程实施</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9A89C0C">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关于项目经理每月在施工现场的时间要求：</w:t>
      </w:r>
      <w:r>
        <w:rPr>
          <w:rFonts w:hint="eastAsia" w:ascii="仿宋" w:hAnsi="仿宋" w:eastAsia="仿宋" w:cs="仿宋"/>
          <w:b/>
          <w:bCs/>
          <w:color w:val="auto"/>
          <w:highlight w:val="none"/>
          <w:u w:val="single"/>
        </w:rPr>
        <w:t>到位率不低于80%（以供应商承诺到位率为准）。</w:t>
      </w:r>
    </w:p>
    <w:p w14:paraId="27BB8D54">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承包人未提交劳动合同，以及没有为项目经理缴纳社会保险证明的违约责任：</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由承包人承担违约责任 </w:t>
      </w:r>
      <w:r>
        <w:rPr>
          <w:rFonts w:hint="eastAsia" w:ascii="仿宋" w:hAnsi="仿宋" w:eastAsia="仿宋" w:cs="仿宋"/>
          <w:color w:val="auto"/>
          <w:highlight w:val="none"/>
        </w:rPr>
        <w:t>。</w:t>
      </w:r>
    </w:p>
    <w:p w14:paraId="7EDAF0E8">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kern w:val="0"/>
          <w:highlight w:val="none"/>
        </w:rPr>
        <w:t>项目经理未经批准，擅自离开施工现场的违约责任：</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按500元/次予以处罚</w:t>
      </w:r>
      <w:r>
        <w:rPr>
          <w:rFonts w:hint="eastAsia" w:ascii="仿宋" w:hAnsi="仿宋" w:eastAsia="仿宋" w:cs="仿宋"/>
          <w:color w:val="auto"/>
          <w:highlight w:val="none"/>
        </w:rPr>
        <w:t>。</w:t>
      </w:r>
    </w:p>
    <w:p w14:paraId="2B8A6009">
      <w:pPr>
        <w:pStyle w:val="125"/>
        <w:adjustRightInd w:val="0"/>
        <w:snapToGrid w:val="0"/>
        <w:spacing w:line="360" w:lineRule="exact"/>
        <w:ind w:firstLine="359" w:firstLineChars="171"/>
        <w:rPr>
          <w:rFonts w:ascii="仿宋" w:hAnsi="仿宋" w:eastAsia="仿宋" w:cs="仿宋"/>
          <w:color w:val="auto"/>
          <w:highlight w:val="none"/>
        </w:rPr>
      </w:pPr>
      <w:r>
        <w:rPr>
          <w:rFonts w:hint="eastAsia" w:ascii="仿宋" w:hAnsi="仿宋" w:eastAsia="仿宋" w:cs="仿宋"/>
          <w:color w:val="auto"/>
          <w:highlight w:val="none"/>
        </w:rPr>
        <w:t>3.2.3承包人擅自更换项目经理的违约责任：</w:t>
      </w:r>
    </w:p>
    <w:p w14:paraId="0BB7C240">
      <w:pPr>
        <w:pStyle w:val="125"/>
        <w:numPr>
          <w:ilvl w:val="0"/>
          <w:numId w:val="8"/>
        </w:numPr>
        <w:adjustRightInd w:val="0"/>
        <w:snapToGrid w:val="0"/>
        <w:spacing w:line="360" w:lineRule="exact"/>
        <w:ind w:firstLine="420" w:firstLineChars="200"/>
        <w:rPr>
          <w:rFonts w:ascii="仿宋" w:hAnsi="仿宋" w:eastAsia="仿宋" w:cs="仿宋"/>
          <w:color w:val="auto"/>
          <w:kern w:val="0"/>
          <w:szCs w:val="24"/>
          <w:highlight w:val="none"/>
          <w:u w:val="single"/>
        </w:rPr>
      </w:pPr>
      <w:r>
        <w:rPr>
          <w:rFonts w:hint="eastAsia" w:ascii="仿宋" w:hAnsi="仿宋" w:eastAsia="仿宋" w:cs="仿宋"/>
          <w:color w:val="auto"/>
          <w:kern w:val="0"/>
          <w:szCs w:val="24"/>
          <w:highlight w:val="none"/>
        </w:rPr>
        <w:t>承包人确需更换项目经理的，继任项目经理注册执业 资格、管理经验的约定：</w:t>
      </w:r>
      <w:r>
        <w:rPr>
          <w:rFonts w:hint="eastAsia" w:ascii="仿宋" w:hAnsi="仿宋" w:eastAsia="仿宋" w:cs="仿宋"/>
          <w:color w:val="auto"/>
          <w:kern w:val="0"/>
          <w:szCs w:val="24"/>
          <w:highlight w:val="none"/>
          <w:u w:val="single"/>
        </w:rPr>
        <w:t>/ 。</w:t>
      </w:r>
    </w:p>
    <w:p w14:paraId="1EDD8783">
      <w:pPr>
        <w:pStyle w:val="125"/>
        <w:numPr>
          <w:ilvl w:val="0"/>
          <w:numId w:val="8"/>
        </w:numPr>
        <w:adjustRightInd w:val="0"/>
        <w:snapToGrid w:val="0"/>
        <w:spacing w:line="360" w:lineRule="exact"/>
        <w:ind w:firstLine="420" w:firstLineChars="200"/>
        <w:rPr>
          <w:rFonts w:ascii="仿宋" w:hAnsi="仿宋" w:eastAsia="仿宋" w:cs="仿宋"/>
          <w:b/>
          <w:bCs/>
          <w:color w:val="auto"/>
          <w:kern w:val="0"/>
          <w:highlight w:val="none"/>
          <w:u w:val="single"/>
        </w:rPr>
      </w:pPr>
      <w:r>
        <w:rPr>
          <w:rFonts w:hint="eastAsia" w:ascii="仿宋" w:hAnsi="仿宋" w:eastAsia="仿宋" w:cs="仿宋"/>
          <w:color w:val="auto"/>
          <w:kern w:val="0"/>
          <w:szCs w:val="24"/>
          <w:highlight w:val="none"/>
        </w:rPr>
        <w:t>承包人擅自更换项目经理的违约责任：</w:t>
      </w:r>
      <w:r>
        <w:rPr>
          <w:rFonts w:hint="eastAsia" w:ascii="仿宋" w:hAnsi="仿宋" w:eastAsia="仿宋" w:cs="仿宋"/>
          <w:b/>
          <w:bCs/>
          <w:color w:val="auto"/>
          <w:kern w:val="0"/>
          <w:highlight w:val="none"/>
          <w:u w:val="single"/>
        </w:rPr>
        <w:t>未经发包人同意，承包人不得擅自更换上述人员，承包人擅自更换的，除按合同要求派驻人员外，每次还需按合同总价的3%向发包人支付违约金，且发包人有权视情况解除本合同。如确需变更人员的，承包人需提出书面申请，经发包人同意后变更。</w:t>
      </w:r>
    </w:p>
    <w:p w14:paraId="1EAACC8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szCs w:val="21"/>
          <w:highlight w:val="none"/>
        </w:rPr>
        <w:t>3.2.4 承包人无正当理由拒绝更换项目经理的违约责任</w:t>
      </w:r>
      <w:r>
        <w:rPr>
          <w:rFonts w:hint="eastAsia" w:ascii="仿宋" w:hAnsi="仿宋" w:eastAsia="仿宋" w:cs="仿宋"/>
          <w:color w:val="auto"/>
          <w:highlight w:val="none"/>
        </w:rPr>
        <w:t>：</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按通用合同条款第3.2.4条规定执行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06ECBA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3.3 承包人人员</w:t>
      </w:r>
    </w:p>
    <w:p w14:paraId="60357E6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3.3.1 承包人提交项目管理机构及施工现场管理人员安排报告的期限：</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B672F0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3.3.2 承包人需更换主要施工管理人员的，继任人员的数量、注册执业资格、管理经验的约定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6F2335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3.3.3 承包人无正当理由拒绝撤换主要施工管理人员的违约责任：</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1EF63E21">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highlight w:val="none"/>
        </w:rPr>
        <w:t>3.3.4 承包人主要施工管理人员离开施工现场的批准要求：</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按通用合同条款第3.3.4条规定执行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99FE7B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3.3.5承包人擅自更换主要施工管理人员的违约责任：</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w:t>
      </w:r>
    </w:p>
    <w:p w14:paraId="5772BEF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承包人主要施工管理人员擅自离开施工现场的违约责任：</w:t>
      </w:r>
      <w:r>
        <w:rPr>
          <w:rFonts w:hint="eastAsia" w:ascii="仿宋" w:hAnsi="仿宋" w:eastAsia="仿宋" w:cs="仿宋"/>
          <w:b/>
          <w:bCs/>
          <w:color w:val="auto"/>
          <w:highlight w:val="none"/>
          <w:u w:val="single"/>
        </w:rPr>
        <w:t>发包人有权要求更换管理人员</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1B7FAF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3.5 分包</w:t>
      </w:r>
    </w:p>
    <w:p w14:paraId="4F3E794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3.5.1 分包的一般约定</w:t>
      </w:r>
    </w:p>
    <w:p w14:paraId="5CCC2ED1">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禁止分包的工程包括：</w:t>
      </w:r>
      <w:r>
        <w:rPr>
          <w:rFonts w:hint="eastAsia" w:ascii="仿宋" w:hAnsi="仿宋" w:eastAsia="仿宋" w:cs="仿宋"/>
          <w:b/>
          <w:bCs/>
          <w:color w:val="auto"/>
          <w:highlight w:val="none"/>
          <w:u w:val="single"/>
        </w:rPr>
        <w:t xml:space="preserve"> 未经发包人同意一律不得分包。  </w:t>
      </w:r>
    </w:p>
    <w:p w14:paraId="6C25771C">
      <w:pPr>
        <w:pStyle w:val="131"/>
        <w:adjustRightInd w:val="0"/>
        <w:snapToGrid w:val="0"/>
        <w:spacing w:line="360" w:lineRule="exact"/>
        <w:jc w:val="left"/>
        <w:rPr>
          <w:rFonts w:ascii="仿宋" w:hAnsi="仿宋" w:eastAsia="仿宋" w:cs="仿宋"/>
          <w:color w:val="auto"/>
          <w:highlight w:val="none"/>
          <w:u w:val="single"/>
        </w:rPr>
      </w:pPr>
      <w:r>
        <w:rPr>
          <w:rFonts w:hint="eastAsia" w:ascii="仿宋" w:hAnsi="仿宋" w:eastAsia="仿宋" w:cs="仿宋"/>
          <w:color w:val="auto"/>
          <w:highlight w:val="none"/>
        </w:rPr>
        <w:t xml:space="preserve">    主体结构、关键性工作的范围：</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838D355">
      <w:pPr>
        <w:pStyle w:val="131"/>
        <w:adjustRightInd w:val="0"/>
        <w:snapToGrid w:val="0"/>
        <w:spacing w:line="360" w:lineRule="exact"/>
        <w:rPr>
          <w:rFonts w:ascii="仿宋" w:hAnsi="仿宋" w:eastAsia="仿宋" w:cs="仿宋"/>
          <w:color w:val="auto"/>
          <w:highlight w:val="none"/>
        </w:rPr>
      </w:pPr>
      <w:r>
        <w:rPr>
          <w:rFonts w:hint="eastAsia" w:ascii="仿宋" w:hAnsi="仿宋" w:eastAsia="仿宋" w:cs="仿宋"/>
          <w:color w:val="auto"/>
          <w:highlight w:val="none"/>
        </w:rPr>
        <w:t xml:space="preserve">    3.5.2分包的确定</w:t>
      </w:r>
    </w:p>
    <w:p w14:paraId="49A2404D">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highlight w:val="none"/>
        </w:rPr>
        <w:t>允许分包的专业工程包括：</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C032177">
      <w:pPr>
        <w:pStyle w:val="131"/>
        <w:adjustRightInd w:val="0"/>
        <w:snapToGrid w:val="0"/>
        <w:spacing w:line="360" w:lineRule="exact"/>
        <w:rPr>
          <w:rFonts w:ascii="仿宋" w:hAnsi="仿宋" w:eastAsia="仿宋" w:cs="仿宋"/>
          <w:color w:val="auto"/>
          <w:highlight w:val="none"/>
        </w:rPr>
      </w:pPr>
      <w:r>
        <w:rPr>
          <w:rFonts w:hint="eastAsia" w:ascii="仿宋" w:hAnsi="仿宋" w:eastAsia="仿宋" w:cs="仿宋"/>
          <w:color w:val="auto"/>
          <w:highlight w:val="none"/>
        </w:rPr>
        <w:t xml:space="preserve">    其他关于分包的约定：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A08CE2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3.5.4 分包合同价款</w:t>
      </w:r>
    </w:p>
    <w:p w14:paraId="081B4930">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关于分包合同价款支付的约定：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F836CD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3.6 工程照管与成品、半成品保护</w:t>
      </w:r>
    </w:p>
    <w:p w14:paraId="6FDDDCC6">
      <w:pPr>
        <w:pStyle w:val="131"/>
        <w:adjustRightInd w:val="0"/>
        <w:snapToGrid w:val="0"/>
        <w:spacing w:line="360" w:lineRule="exact"/>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承包人负责照管工程及工程相关的材料、工程设备的起始时间：</w:t>
      </w:r>
      <w:r>
        <w:rPr>
          <w:rFonts w:hint="eastAsia" w:ascii="仿宋" w:hAnsi="仿宋" w:eastAsia="仿宋" w:cs="仿宋"/>
          <w:b/>
          <w:bCs/>
          <w:color w:val="auto"/>
          <w:kern w:val="0"/>
          <w:highlight w:val="none"/>
          <w:u w:val="single"/>
        </w:rPr>
        <w:t>按通用合同条款第3.6条规定执行</w:t>
      </w:r>
      <w:r>
        <w:rPr>
          <w:rFonts w:hint="eastAsia" w:ascii="仿宋" w:hAnsi="仿宋" w:eastAsia="仿宋" w:cs="仿宋"/>
          <w:color w:val="auto"/>
          <w:kern w:val="0"/>
          <w:highlight w:val="none"/>
        </w:rPr>
        <w:t>。</w:t>
      </w:r>
    </w:p>
    <w:p w14:paraId="22C4E3C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3.7 履约担保</w:t>
      </w:r>
    </w:p>
    <w:p w14:paraId="03AA7D4D">
      <w:pPr>
        <w:pStyle w:val="131"/>
        <w:adjustRightInd w:val="0"/>
        <w:snapToGrid w:val="0"/>
        <w:spacing w:line="360" w:lineRule="auto"/>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承包人是否提供履约担保：</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是</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F62437B">
      <w:pPr>
        <w:pStyle w:val="131"/>
        <w:adjustRightInd w:val="0"/>
        <w:snapToGrid w:val="0"/>
        <w:spacing w:line="360" w:lineRule="auto"/>
        <w:ind w:firstLine="420" w:firstLineChars="200"/>
        <w:rPr>
          <w:rFonts w:ascii="仿宋" w:hAnsi="仿宋" w:eastAsia="仿宋" w:cs="仿宋"/>
          <w:color w:val="auto"/>
          <w:highlight w:val="none"/>
        </w:rPr>
      </w:pPr>
      <w:r>
        <w:rPr>
          <w:rFonts w:hint="eastAsia" w:ascii="仿宋" w:hAnsi="仿宋" w:eastAsia="仿宋" w:cs="仿宋"/>
          <w:color w:val="auto"/>
          <w:highlight w:val="none"/>
        </w:rPr>
        <w:t>承包人提供履约担保的形式、金额及期限的，采用以下第</w:t>
      </w:r>
      <w:r>
        <w:rPr>
          <w:rFonts w:hint="eastAsia" w:ascii="仿宋" w:hAnsi="仿宋" w:eastAsia="仿宋" w:cs="仿宋"/>
          <w:color w:val="auto"/>
          <w:highlight w:val="none"/>
          <w:u w:val="single"/>
        </w:rPr>
        <w:t>3</w:t>
      </w:r>
      <w:r>
        <w:rPr>
          <w:rFonts w:hint="eastAsia" w:ascii="仿宋" w:hAnsi="仿宋" w:eastAsia="仿宋" w:cs="仿宋"/>
          <w:color w:val="auto"/>
          <w:highlight w:val="none"/>
        </w:rPr>
        <w:t>种方式：</w:t>
      </w:r>
    </w:p>
    <w:p w14:paraId="0DCDE279">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highlight w:val="none"/>
        </w:rPr>
        <w:t>(1)保证保险，金额及期限为：</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6C4CB019">
      <w:pPr>
        <w:pStyle w:val="131"/>
        <w:adjustRightInd w:val="0"/>
        <w:snapToGrid w:val="0"/>
        <w:spacing w:line="360" w:lineRule="exact"/>
        <w:ind w:firstLine="420" w:firstLineChars="200"/>
        <w:rPr>
          <w:rFonts w:ascii="仿宋" w:hAnsi="仿宋" w:eastAsia="仿宋" w:cs="仿宋"/>
          <w:color w:val="auto"/>
          <w:highlight w:val="none"/>
          <w:u w:val="single"/>
        </w:rPr>
      </w:pPr>
      <w:r>
        <w:rPr>
          <w:rFonts w:hint="eastAsia" w:ascii="仿宋" w:hAnsi="仿宋" w:eastAsia="仿宋" w:cs="仿宋"/>
          <w:color w:val="auto"/>
          <w:highlight w:val="none"/>
        </w:rPr>
        <w:t>(2)银行保函，金额及期限为：</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 xml:space="preserve"> ；</w:t>
      </w:r>
    </w:p>
    <w:p w14:paraId="37224F2A">
      <w:pPr>
        <w:pStyle w:val="131"/>
        <w:adjustRightInd w:val="0"/>
        <w:snapToGrid w:val="0"/>
        <w:spacing w:line="360" w:lineRule="exact"/>
        <w:ind w:firstLine="420" w:firstLineChars="200"/>
        <w:rPr>
          <w:rFonts w:ascii="仿宋" w:hAnsi="仿宋" w:eastAsia="仿宋" w:cs="仿宋"/>
          <w:b/>
          <w:bCs/>
          <w:color w:val="auto"/>
          <w:highlight w:val="none"/>
          <w:u w:val="single"/>
        </w:rPr>
      </w:pPr>
      <w:r>
        <w:rPr>
          <w:rFonts w:hint="eastAsia" w:ascii="仿宋" w:hAnsi="仿宋" w:eastAsia="仿宋" w:cs="仿宋"/>
          <w:color w:val="auto"/>
          <w:kern w:val="0"/>
          <w:szCs w:val="24"/>
          <w:highlight w:val="none"/>
        </w:rPr>
        <w:t>(3)其他方式，</w:t>
      </w:r>
      <w:r>
        <w:rPr>
          <w:rFonts w:hint="eastAsia" w:ascii="仿宋" w:hAnsi="仿宋" w:eastAsia="仿宋" w:cs="仿宋"/>
          <w:b/>
          <w:bCs/>
          <w:color w:val="auto"/>
          <w:highlight w:val="none"/>
          <w:u w:val="single"/>
        </w:rPr>
        <w:t>合同签订后7天内，承包人向发包人递交合同价2%的履约保证金（履约担保的形式：电汇、汇票、支票形式或银行、保险公司出具的保函）</w:t>
      </w:r>
      <w:r>
        <w:rPr>
          <w:rFonts w:hint="eastAsia" w:ascii="仿宋" w:hAnsi="仿宋" w:eastAsia="仿宋" w:cs="仿宋"/>
          <w:color w:val="auto"/>
          <w:highlight w:val="none"/>
          <w:u w:val="single"/>
        </w:rPr>
        <w:t>。</w:t>
      </w:r>
    </w:p>
    <w:p w14:paraId="59D8D3FD">
      <w:pPr>
        <w:pStyle w:val="131"/>
        <w:adjustRightInd w:val="0"/>
        <w:snapToGrid w:val="0"/>
        <w:spacing w:line="360" w:lineRule="auto"/>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履约保证金分五部分，其中：</w:t>
      </w:r>
    </w:p>
    <w:p w14:paraId="2BD27512">
      <w:pPr>
        <w:pStyle w:val="131"/>
        <w:adjustRightInd w:val="0"/>
        <w:snapToGrid w:val="0"/>
        <w:spacing w:line="360" w:lineRule="auto"/>
        <w:ind w:firstLine="210" w:firstLineChars="100"/>
        <w:rPr>
          <w:rFonts w:ascii="仿宋" w:hAnsi="仿宋" w:eastAsia="仿宋" w:cs="仿宋"/>
          <w:color w:val="auto"/>
          <w:kern w:val="0"/>
          <w:highlight w:val="none"/>
        </w:rPr>
      </w:pPr>
      <w:r>
        <w:rPr>
          <w:rFonts w:hint="eastAsia" w:ascii="仿宋" w:hAnsi="仿宋" w:eastAsia="仿宋" w:cs="仿宋"/>
          <w:color w:val="auto"/>
          <w:kern w:val="0"/>
          <w:highlight w:val="none"/>
        </w:rPr>
        <w:t>（a）质量履约保证金占30%，发生质量事故的，则按磋商文件和合同中相关条款处罚。</w:t>
      </w:r>
    </w:p>
    <w:p w14:paraId="7009DEB0">
      <w:pPr>
        <w:pStyle w:val="131"/>
        <w:adjustRightInd w:val="0"/>
        <w:snapToGrid w:val="0"/>
        <w:spacing w:line="360" w:lineRule="auto"/>
        <w:ind w:firstLine="210" w:firstLineChars="100"/>
        <w:rPr>
          <w:rFonts w:ascii="仿宋" w:hAnsi="仿宋" w:eastAsia="仿宋" w:cs="仿宋"/>
          <w:color w:val="auto"/>
          <w:kern w:val="0"/>
          <w:highlight w:val="none"/>
        </w:rPr>
      </w:pPr>
      <w:r>
        <w:rPr>
          <w:rFonts w:hint="eastAsia" w:ascii="仿宋" w:hAnsi="仿宋" w:eastAsia="仿宋" w:cs="仿宋"/>
          <w:color w:val="auto"/>
          <w:kern w:val="0"/>
          <w:highlight w:val="none"/>
        </w:rPr>
        <w:t>（b）工期履约保证金占40%，工期以合同为准，若不能按期竣工，则按磋商文件和合同中相关条款处罚。</w:t>
      </w:r>
    </w:p>
    <w:p w14:paraId="348870BE">
      <w:pPr>
        <w:pStyle w:val="131"/>
        <w:adjustRightInd w:val="0"/>
        <w:snapToGrid w:val="0"/>
        <w:spacing w:line="360" w:lineRule="auto"/>
        <w:ind w:firstLine="210" w:firstLineChars="100"/>
        <w:rPr>
          <w:rFonts w:ascii="仿宋" w:hAnsi="仿宋" w:eastAsia="仿宋" w:cs="仿宋"/>
          <w:color w:val="auto"/>
          <w:kern w:val="0"/>
          <w:highlight w:val="none"/>
        </w:rPr>
      </w:pPr>
      <w:r>
        <w:rPr>
          <w:rFonts w:hint="eastAsia" w:ascii="仿宋" w:hAnsi="仿宋" w:eastAsia="仿宋" w:cs="仿宋"/>
          <w:color w:val="auto"/>
          <w:kern w:val="0"/>
          <w:highlight w:val="none"/>
        </w:rPr>
        <w:t>（c）项目经理及项目班子到位履约保证金占20%。项目经理不能到位，则按磋商文件和合同中相关条款处罚。</w:t>
      </w:r>
    </w:p>
    <w:p w14:paraId="2F76D581">
      <w:pPr>
        <w:pStyle w:val="131"/>
        <w:adjustRightInd w:val="0"/>
        <w:snapToGrid w:val="0"/>
        <w:spacing w:line="360" w:lineRule="auto"/>
        <w:ind w:firstLine="210" w:firstLineChars="100"/>
        <w:rPr>
          <w:rFonts w:ascii="仿宋" w:hAnsi="仿宋" w:eastAsia="仿宋" w:cs="仿宋"/>
          <w:color w:val="auto"/>
          <w:kern w:val="0"/>
          <w:highlight w:val="none"/>
        </w:rPr>
      </w:pPr>
      <w:r>
        <w:rPr>
          <w:rFonts w:hint="eastAsia" w:ascii="仿宋" w:hAnsi="仿宋" w:eastAsia="仿宋" w:cs="仿宋"/>
          <w:color w:val="auto"/>
          <w:kern w:val="0"/>
          <w:highlight w:val="none"/>
        </w:rPr>
        <w:t>（d）安全生产、文明施工履约保证金占5%。发生重大人身安全事故的，罚没该部分保证金。</w:t>
      </w:r>
    </w:p>
    <w:p w14:paraId="742D1223">
      <w:pPr>
        <w:pStyle w:val="131"/>
        <w:adjustRightInd w:val="0"/>
        <w:snapToGrid w:val="0"/>
        <w:spacing w:line="360" w:lineRule="auto"/>
        <w:ind w:firstLine="210" w:firstLineChars="100"/>
        <w:rPr>
          <w:rFonts w:ascii="仿宋" w:hAnsi="仿宋" w:eastAsia="仿宋" w:cs="仿宋"/>
          <w:color w:val="auto"/>
          <w:kern w:val="0"/>
          <w:highlight w:val="none"/>
        </w:rPr>
      </w:pPr>
      <w:r>
        <w:rPr>
          <w:rFonts w:hint="eastAsia" w:ascii="仿宋" w:hAnsi="仿宋" w:eastAsia="仿宋" w:cs="仿宋"/>
          <w:color w:val="auto"/>
          <w:kern w:val="0"/>
          <w:highlight w:val="none"/>
        </w:rPr>
        <w:t>（e）廉洁自律、计划生育履约保证金占5%。发生违反廉政合同或计划生育行为的，罚没该部分保证金。</w:t>
      </w:r>
    </w:p>
    <w:p w14:paraId="526C1A57">
      <w:pPr>
        <w:pStyle w:val="131"/>
        <w:adjustRightInd w:val="0"/>
        <w:snapToGrid w:val="0"/>
        <w:spacing w:line="360" w:lineRule="auto"/>
        <w:ind w:firstLine="420" w:firstLineChars="200"/>
        <w:rPr>
          <w:rFonts w:ascii="仿宋" w:hAnsi="仿宋" w:eastAsia="仿宋" w:cs="仿宋"/>
          <w:color w:val="auto"/>
          <w:kern w:val="0"/>
          <w:highlight w:val="none"/>
        </w:rPr>
      </w:pPr>
      <w:r>
        <w:rPr>
          <w:rFonts w:hint="eastAsia" w:ascii="仿宋" w:hAnsi="仿宋" w:eastAsia="仿宋" w:cs="仿宋"/>
          <w:color w:val="auto"/>
          <w:kern w:val="0"/>
          <w:highlight w:val="none"/>
        </w:rPr>
        <w:t>履约担保有效期自履约保证金交纳之日起至上述五项指标考核合格后28天内有效。履约保证金在工程竣工验收合格、承包人履行了合同约定的责任和义务（如有违约，扣除违约金）后无息退还。</w:t>
      </w:r>
    </w:p>
    <w:p w14:paraId="6ED1E3FF">
      <w:pPr>
        <w:pStyle w:val="131"/>
        <w:adjustRightInd w:val="0"/>
        <w:snapToGrid w:val="0"/>
        <w:spacing w:line="360" w:lineRule="auto"/>
        <w:ind w:firstLine="422" w:firstLineChars="200"/>
        <w:rPr>
          <w:rFonts w:ascii="仿宋" w:hAnsi="仿宋" w:eastAsia="仿宋" w:cs="仿宋"/>
          <w:b/>
          <w:bCs/>
          <w:color w:val="auto"/>
          <w:highlight w:val="none"/>
        </w:rPr>
      </w:pPr>
      <w:r>
        <w:rPr>
          <w:rFonts w:hint="eastAsia" w:ascii="仿宋" w:hAnsi="仿宋" w:eastAsia="仿宋" w:cs="仿宋"/>
          <w:b/>
          <w:bCs/>
          <w:color w:val="auto"/>
          <w:highlight w:val="none"/>
        </w:rPr>
        <w:t>4. 监理人</w:t>
      </w:r>
    </w:p>
    <w:p w14:paraId="0182049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4.1监理人的一般规定</w:t>
      </w:r>
    </w:p>
    <w:p w14:paraId="412D3200">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关于监理人的监理内容：</w:t>
      </w:r>
      <w:r>
        <w:rPr>
          <w:rFonts w:hint="eastAsia" w:ascii="仿宋" w:hAnsi="仿宋" w:eastAsia="仿宋" w:cs="仿宋"/>
          <w:b/>
          <w:bCs/>
          <w:color w:val="auto"/>
          <w:highlight w:val="none"/>
          <w:u w:val="single"/>
        </w:rPr>
        <w:t>现场全过程协调，负责质量、安全、投资、进度管理</w:t>
      </w:r>
      <w:r>
        <w:rPr>
          <w:rFonts w:hint="eastAsia" w:ascii="仿宋" w:hAnsi="仿宋" w:eastAsia="仿宋" w:cs="仿宋"/>
          <w:color w:val="auto"/>
          <w:highlight w:val="none"/>
        </w:rPr>
        <w:t>。</w:t>
      </w:r>
    </w:p>
    <w:p w14:paraId="01D1371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关于监理人的监理权限：</w:t>
      </w:r>
      <w:r>
        <w:rPr>
          <w:rFonts w:hint="eastAsia" w:ascii="仿宋" w:hAnsi="仿宋" w:eastAsia="仿宋" w:cs="仿宋"/>
          <w:b/>
          <w:bCs/>
          <w:color w:val="auto"/>
          <w:highlight w:val="none"/>
          <w:u w:val="single"/>
        </w:rPr>
        <w:t>按监理合同约定实行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p>
    <w:p w14:paraId="394C9BFD">
      <w:pPr>
        <w:pStyle w:val="125"/>
        <w:adjustRightInd w:val="0"/>
        <w:snapToGrid w:val="0"/>
        <w:spacing w:line="360" w:lineRule="exact"/>
        <w:ind w:firstLine="420" w:firstLineChars="200"/>
        <w:rPr>
          <w:rFonts w:ascii="仿宋" w:hAnsi="仿宋" w:eastAsia="仿宋" w:cs="仿宋"/>
          <w:b/>
          <w:bCs/>
          <w:color w:val="auto"/>
          <w:highlight w:val="none"/>
          <w:u w:val="single"/>
        </w:rPr>
      </w:pPr>
      <w:r>
        <w:rPr>
          <w:rFonts w:hint="eastAsia" w:ascii="仿宋" w:hAnsi="仿宋" w:eastAsia="仿宋" w:cs="仿宋"/>
          <w:color w:val="auto"/>
          <w:highlight w:val="none"/>
        </w:rPr>
        <w:t>需要取得发包人批准才能行使的职权：</w:t>
      </w:r>
      <w:r>
        <w:rPr>
          <w:rFonts w:hint="eastAsia" w:ascii="仿宋" w:hAnsi="仿宋" w:eastAsia="仿宋" w:cs="仿宋"/>
          <w:b/>
          <w:bCs/>
          <w:color w:val="auto"/>
          <w:kern w:val="0"/>
          <w:highlight w:val="none"/>
          <w:u w:val="single"/>
        </w:rPr>
        <w:t>总监理工程师签署的任何付款凭证需经发包人代表签署确认意见后有效。涉及设计变更、工期顺延、材料价格、停/复工令、工程索赔等可能影响工程价款或工期的签证需经发包人书面同意，签证才有效。</w:t>
      </w:r>
      <w:r>
        <w:rPr>
          <w:rFonts w:hint="eastAsia" w:ascii="仿宋" w:hAnsi="仿宋" w:eastAsia="仿宋" w:cs="仿宋"/>
          <w:b/>
          <w:bCs/>
          <w:color w:val="auto"/>
          <w:highlight w:val="none"/>
          <w:u w:val="single"/>
        </w:rPr>
        <w:t xml:space="preserve"> </w:t>
      </w:r>
    </w:p>
    <w:p w14:paraId="7A5727B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关于监理人在施工现场的办公场所、生活场所的提供和费用承担的约定：</w:t>
      </w:r>
      <w:r>
        <w:rPr>
          <w:rFonts w:hint="eastAsia" w:ascii="仿宋" w:hAnsi="仿宋" w:eastAsia="仿宋" w:cs="仿宋"/>
          <w:b/>
          <w:bCs/>
          <w:color w:val="auto"/>
          <w:highlight w:val="none"/>
          <w:u w:val="single"/>
        </w:rPr>
        <w:t>监理人在施工现场的办公场所、生活场所及发生的水电费由承包人提供和承担</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6F75D9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4.2 监理人员</w:t>
      </w:r>
    </w:p>
    <w:p w14:paraId="3F9B364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总监理工程师：</w:t>
      </w:r>
    </w:p>
    <w:p w14:paraId="3CAC94C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姓    名：</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46E33E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职    务：</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3462FD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监理工程师执业资格证书号：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853E0F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55DA51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电子信箱：</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454A4B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通信地址：</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8B0238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关于监理人的其他约定：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604EF93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4.4 商定或确定</w:t>
      </w:r>
    </w:p>
    <w:p w14:paraId="034E7DE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在发包人和承包人不能通过协商达成一致意见时，发包人授权监理人对以下事项进行确定：</w:t>
      </w:r>
    </w:p>
    <w:p w14:paraId="05547C29">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16A301D">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（2）</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62457E5F">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（3）</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94A2529">
      <w:pPr>
        <w:pStyle w:val="552"/>
        <w:adjustRightInd w:val="0"/>
        <w:snapToGrid w:val="0"/>
        <w:spacing w:before="0" w:after="0" w:line="360" w:lineRule="exact"/>
        <w:ind w:firstLine="42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 工程质量</w:t>
      </w:r>
    </w:p>
    <w:p w14:paraId="3EE8E0D0">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5.1 质量要求</w:t>
      </w:r>
    </w:p>
    <w:p w14:paraId="498BE148">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5.1.1 特殊质量标准和要求：</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69AC6D23">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关于工程奖项的约定：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AE8BDB6">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5.3 隐蔽工程检查</w:t>
      </w:r>
    </w:p>
    <w:p w14:paraId="2C39A67A">
      <w:pPr>
        <w:pStyle w:val="131"/>
        <w:adjustRightInd w:val="0"/>
        <w:snapToGrid w:val="0"/>
        <w:spacing w:line="360" w:lineRule="exact"/>
        <w:ind w:firstLine="420" w:firstLineChars="200"/>
        <w:jc w:val="left"/>
        <w:rPr>
          <w:rFonts w:ascii="仿宋" w:hAnsi="仿宋" w:eastAsia="仿宋" w:cs="仿宋"/>
          <w:b/>
          <w:bCs/>
          <w:i/>
          <w:iCs/>
          <w:color w:val="auto"/>
          <w:highlight w:val="none"/>
          <w:u w:val="single"/>
        </w:rPr>
      </w:pPr>
      <w:r>
        <w:rPr>
          <w:rFonts w:hint="eastAsia" w:ascii="仿宋" w:hAnsi="仿宋" w:eastAsia="仿宋" w:cs="仿宋"/>
          <w:color w:val="auto"/>
          <w:highlight w:val="none"/>
        </w:rPr>
        <w:t>5.3.2承包人提前通知监理人隐蔽工程检查的期限的约定：</w:t>
      </w:r>
      <w:r>
        <w:rPr>
          <w:rFonts w:hint="eastAsia" w:ascii="仿宋" w:hAnsi="仿宋" w:eastAsia="仿宋" w:cs="仿宋"/>
          <w:b/>
          <w:bCs/>
          <w:color w:val="auto"/>
          <w:highlight w:val="none"/>
          <w:u w:val="single"/>
        </w:rPr>
        <w:t>承包人自检合格后，在隐蔽工程验收48小时前通知监理工程师和发包人代表参加。通知包括承包人自检记录、隐蔽验收时间和地点。验收合格，监理工程师和发包人代表在记录上签字后方可进行隐蔽和继续施工。不合格的，承包人在限定期限内整改后重新组织验收。</w:t>
      </w:r>
    </w:p>
    <w:p w14:paraId="669D569A">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监理人不能按时进行检查时，应提前</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24</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小时提交书面延期要求。</w:t>
      </w:r>
    </w:p>
    <w:p w14:paraId="2CE7E43E">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关于延期最长不得超过：</w:t>
      </w:r>
      <w:r>
        <w:rPr>
          <w:rFonts w:hint="eastAsia" w:ascii="仿宋" w:hAnsi="仿宋" w:eastAsia="仿宋" w:cs="仿宋"/>
          <w:b/>
          <w:bCs/>
          <w:color w:val="auto"/>
          <w:highlight w:val="none"/>
          <w:u w:val="single"/>
        </w:rPr>
        <w:t xml:space="preserve"> 48</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小时。</w:t>
      </w:r>
    </w:p>
    <w:p w14:paraId="67005ED1">
      <w:pPr>
        <w:pStyle w:val="552"/>
        <w:adjustRightInd w:val="0"/>
        <w:snapToGrid w:val="0"/>
        <w:spacing w:before="0" w:after="0" w:line="360" w:lineRule="exact"/>
        <w:ind w:firstLine="42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 安全文明施工与环境保护</w:t>
      </w:r>
    </w:p>
    <w:p w14:paraId="18EF9A6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6.1安全文明施工</w:t>
      </w:r>
    </w:p>
    <w:p w14:paraId="5D672F8C">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6.1.1 项目安全生产的达标目标及相应事项的约定：</w:t>
      </w:r>
      <w:r>
        <w:rPr>
          <w:rFonts w:hint="eastAsia" w:ascii="仿宋" w:hAnsi="仿宋" w:eastAsia="仿宋" w:cs="仿宋"/>
          <w:color w:val="auto"/>
          <w:highlight w:val="none"/>
          <w:u w:val="single"/>
        </w:rPr>
        <w:t xml:space="preserve"> 施工现场按照《建筑施工安全检查标准》(JGJ59-2011)评定达到“合格”标准 </w:t>
      </w:r>
      <w:r>
        <w:rPr>
          <w:rFonts w:hint="eastAsia" w:ascii="仿宋" w:hAnsi="仿宋" w:eastAsia="仿宋" w:cs="仿宋"/>
          <w:color w:val="auto"/>
          <w:highlight w:val="none"/>
        </w:rPr>
        <w:t>。</w:t>
      </w:r>
    </w:p>
    <w:p w14:paraId="5BF2A9BD">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6.1.4 关于治安保卫的特别约定：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按通用合同条款第6.1.4条规定执行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305A103">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关于编制施工场地治安管理计划的约定：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按通用合同条款第6.1.4条规定执行</w:t>
      </w:r>
      <w:r>
        <w:rPr>
          <w:rFonts w:hint="eastAsia" w:ascii="仿宋" w:hAnsi="仿宋" w:eastAsia="仿宋" w:cs="仿宋"/>
          <w:color w:val="auto"/>
          <w:highlight w:val="none"/>
        </w:rPr>
        <w:t>。</w:t>
      </w:r>
    </w:p>
    <w:p w14:paraId="31AAEEB5">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6.1.5 文明施工</w:t>
      </w:r>
    </w:p>
    <w:p w14:paraId="470BABC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合同当事人对文明施工的要求：</w:t>
      </w:r>
    </w:p>
    <w:p w14:paraId="7A26914A">
      <w:pPr>
        <w:pStyle w:val="131"/>
        <w:autoSpaceDE w:val="0"/>
        <w:autoSpaceDN w:val="0"/>
        <w:adjustRightInd w:val="0"/>
        <w:snapToGrid w:val="0"/>
        <w:spacing w:line="360" w:lineRule="exact"/>
        <w:ind w:firstLine="422" w:firstLineChars="200"/>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（1）承包人应严格按安全文明施工的要求组织施工，遵守工程建设安全文明的有关规定，认真落实各项安全保护措施，并随时接受甲方、监理工程师及有关部门的监督检查；</w:t>
      </w:r>
    </w:p>
    <w:p w14:paraId="0E518096">
      <w:pPr>
        <w:pStyle w:val="131"/>
        <w:autoSpaceDE w:val="0"/>
        <w:autoSpaceDN w:val="0"/>
        <w:adjustRightInd w:val="0"/>
        <w:snapToGrid w:val="0"/>
        <w:spacing w:line="360" w:lineRule="exact"/>
        <w:ind w:firstLine="422" w:firstLineChars="200"/>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（2）承包人应对进入施工现场的施工人员进行安全文明教育，配备必要的劳动保护用具，保证工程的施工安全和人身安全；</w:t>
      </w:r>
    </w:p>
    <w:p w14:paraId="2366F96F">
      <w:pPr>
        <w:pStyle w:val="131"/>
        <w:autoSpaceDE w:val="0"/>
        <w:autoSpaceDN w:val="0"/>
        <w:adjustRightInd w:val="0"/>
        <w:snapToGrid w:val="0"/>
        <w:spacing w:line="360" w:lineRule="exact"/>
        <w:ind w:firstLine="422" w:firstLineChars="200"/>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（3）承包人应注意保护施工现场已完建筑物的安全；</w:t>
      </w:r>
    </w:p>
    <w:p w14:paraId="7348FB09">
      <w:pPr>
        <w:pStyle w:val="131"/>
        <w:autoSpaceDE w:val="0"/>
        <w:autoSpaceDN w:val="0"/>
        <w:adjustRightInd w:val="0"/>
        <w:snapToGrid w:val="0"/>
        <w:spacing w:line="360" w:lineRule="exact"/>
        <w:ind w:firstLine="422" w:firstLineChars="200"/>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（4）如由于承包人安全措施不力造成事故的责任和由此发生的全部费用，包括但不限于给发包人或其他单位造成的直接和间接损失均由承包人承担；</w:t>
      </w:r>
    </w:p>
    <w:p w14:paraId="12B05811">
      <w:pPr>
        <w:pStyle w:val="131"/>
        <w:autoSpaceDE w:val="0"/>
        <w:autoSpaceDN w:val="0"/>
        <w:adjustRightInd w:val="0"/>
        <w:snapToGrid w:val="0"/>
        <w:spacing w:line="360" w:lineRule="exact"/>
        <w:ind w:firstLine="422" w:firstLineChars="200"/>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（5）安全文明施工措施费的使用由监理单位按工程进度现场实际落实情况审核，发包人检查签证确认，但费用总额不得超过投标报价数。</w:t>
      </w:r>
    </w:p>
    <w:p w14:paraId="534FC36D">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（8）上述手续办理费用约定如下：</w:t>
      </w:r>
      <w:r>
        <w:rPr>
          <w:rFonts w:hint="eastAsia" w:ascii="仿宋" w:hAnsi="仿宋" w:eastAsia="仿宋" w:cs="仿宋"/>
          <w:color w:val="auto"/>
          <w:highlight w:val="none"/>
          <w:u w:val="single"/>
        </w:rPr>
        <w:t xml:space="preserve"> 由承包人承担 </w:t>
      </w:r>
      <w:r>
        <w:rPr>
          <w:rFonts w:hint="eastAsia" w:ascii="仿宋" w:hAnsi="仿宋" w:eastAsia="仿宋" w:cs="仿宋"/>
          <w:color w:val="auto"/>
          <w:highlight w:val="none"/>
        </w:rPr>
        <w:t>。</w:t>
      </w:r>
    </w:p>
    <w:p w14:paraId="204A71B4">
      <w:pPr>
        <w:pStyle w:val="131"/>
        <w:adjustRightInd w:val="0"/>
        <w:snapToGrid w:val="0"/>
        <w:spacing w:line="360" w:lineRule="exact"/>
        <w:ind w:firstLine="420" w:firstLineChars="20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6.1.6 关于安全文明施工费支付比例和支付期限的约定：</w:t>
      </w:r>
      <w:r>
        <w:rPr>
          <w:rFonts w:hint="eastAsia" w:ascii="仿宋" w:hAnsi="仿宋" w:eastAsia="仿宋" w:cs="仿宋"/>
          <w:color w:val="auto"/>
          <w:highlight w:val="none"/>
          <w:u w:val="single"/>
          <w:lang w:val="en-US" w:eastAsia="zh-CN"/>
        </w:rPr>
        <w:t>按通用合同条款第6.1.6条规定执行</w:t>
      </w:r>
      <w:r>
        <w:rPr>
          <w:rFonts w:hint="eastAsia" w:ascii="仿宋" w:hAnsi="仿宋" w:eastAsia="仿宋" w:cs="仿宋"/>
          <w:color w:val="auto"/>
          <w:highlight w:val="none"/>
          <w:lang w:val="en-US" w:eastAsia="zh-CN"/>
        </w:rPr>
        <w:t>。</w:t>
      </w:r>
    </w:p>
    <w:p w14:paraId="46F508B0">
      <w:pPr>
        <w:pStyle w:val="552"/>
        <w:adjustRightInd w:val="0"/>
        <w:snapToGrid w:val="0"/>
        <w:spacing w:before="0" w:after="0" w:line="360" w:lineRule="exact"/>
        <w:ind w:firstLine="42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 工期和进度</w:t>
      </w:r>
    </w:p>
    <w:p w14:paraId="33E467D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7.1 施工组织设计</w:t>
      </w:r>
    </w:p>
    <w:p w14:paraId="067694C2">
      <w:pPr>
        <w:pStyle w:val="131"/>
        <w:autoSpaceDE w:val="0"/>
        <w:autoSpaceDN w:val="0"/>
        <w:adjustRightInd w:val="0"/>
        <w:snapToGrid w:val="0"/>
        <w:spacing w:line="360" w:lineRule="exact"/>
        <w:jc w:val="left"/>
        <w:rPr>
          <w:rFonts w:ascii="仿宋" w:hAnsi="仿宋" w:eastAsia="仿宋" w:cs="仿宋"/>
          <w:color w:val="auto"/>
          <w:kern w:val="0"/>
          <w:highlight w:val="none"/>
        </w:rPr>
      </w:pPr>
      <w:r>
        <w:rPr>
          <w:rFonts w:hint="eastAsia" w:ascii="仿宋" w:hAnsi="仿宋" w:eastAsia="仿宋" w:cs="仿宋"/>
          <w:color w:val="auto"/>
          <w:highlight w:val="none"/>
        </w:rPr>
        <w:t xml:space="preserve">    7.1.1 合</w:t>
      </w:r>
      <w:r>
        <w:rPr>
          <w:rFonts w:hint="eastAsia" w:ascii="仿宋" w:hAnsi="仿宋" w:eastAsia="仿宋" w:cs="仿宋"/>
          <w:color w:val="auto"/>
          <w:kern w:val="0"/>
          <w:highlight w:val="none"/>
        </w:rPr>
        <w:t>同当事人约定的施工组织设计应包括的其他内容：</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53FAC06">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highlight w:val="none"/>
        </w:rPr>
        <w:t xml:space="preserve">7.1.2 </w:t>
      </w:r>
      <w:r>
        <w:rPr>
          <w:rFonts w:hint="eastAsia" w:ascii="仿宋" w:hAnsi="仿宋" w:eastAsia="仿宋" w:cs="仿宋"/>
          <w:color w:val="auto"/>
          <w:kern w:val="0"/>
          <w:highlight w:val="none"/>
        </w:rPr>
        <w:t>施工组织设计的提交和修改</w:t>
      </w:r>
    </w:p>
    <w:p w14:paraId="637B01C5">
      <w:pPr>
        <w:pStyle w:val="131"/>
        <w:autoSpaceDE w:val="0"/>
        <w:autoSpaceDN w:val="0"/>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kern w:val="0"/>
          <w:highlight w:val="none"/>
        </w:rPr>
        <w:t xml:space="preserve">    承包人提交详细施工组织设计的期限的约定：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开工前7天内提供</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A39C6E4">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发包人和监理人在收到详细的施工组织设计后确认或提出修改意见的期限：</w:t>
      </w:r>
      <w:r>
        <w:rPr>
          <w:rFonts w:hint="eastAsia" w:ascii="仿宋" w:hAnsi="仿宋" w:eastAsia="仿宋" w:cs="仿宋"/>
          <w:b/>
          <w:bCs/>
          <w:color w:val="auto"/>
          <w:highlight w:val="none"/>
          <w:u w:val="single"/>
        </w:rPr>
        <w:t xml:space="preserve"> 接到报告后7天内予以批复。（发包人、监理单位对施工组织设计方案的确认只是对施工组织设计方案可行性的确认，并不是对所涉费用的确认，也不免除承包人对施工组织设计方案应承担的全部责任）</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D05081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7.2 施工进度计划</w:t>
      </w:r>
    </w:p>
    <w:p w14:paraId="3F72991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7.2.2 施工进度计划的修订</w:t>
      </w:r>
    </w:p>
    <w:p w14:paraId="6C89090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发包人和监理人在收到修订的施工进度计划后确认或提出修改意见的期限：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接到报告后7天内予以批复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0AFDA4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7.3 开工</w:t>
      </w:r>
    </w:p>
    <w:p w14:paraId="0C86FCA3">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7.3.1 开工准备</w:t>
      </w:r>
    </w:p>
    <w:p w14:paraId="3E39014C">
      <w:pPr>
        <w:pStyle w:val="131"/>
        <w:adjustRightInd w:val="0"/>
        <w:snapToGrid w:val="0"/>
        <w:spacing w:line="360" w:lineRule="exact"/>
        <w:jc w:val="left"/>
        <w:rPr>
          <w:rFonts w:ascii="仿宋" w:hAnsi="仿宋" w:eastAsia="仿宋" w:cs="仿宋"/>
          <w:color w:val="auto"/>
          <w:highlight w:val="none"/>
          <w:u w:val="single"/>
        </w:rPr>
      </w:pPr>
      <w:r>
        <w:rPr>
          <w:rFonts w:hint="eastAsia" w:ascii="仿宋" w:hAnsi="仿宋" w:eastAsia="仿宋" w:cs="仿宋"/>
          <w:color w:val="auto"/>
          <w:highlight w:val="none"/>
        </w:rPr>
        <w:t xml:space="preserve">    关于承包人提交</w:t>
      </w:r>
      <w:r>
        <w:rPr>
          <w:rFonts w:hint="eastAsia" w:ascii="仿宋" w:hAnsi="仿宋" w:eastAsia="仿宋" w:cs="仿宋"/>
          <w:color w:val="auto"/>
          <w:kern w:val="0"/>
          <w:highlight w:val="none"/>
        </w:rPr>
        <w:t>工程开工报审表的期限：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开工前7天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A3C71DA">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关于发包人应完成的其他开工准备工作及期限：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开工前7天</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F2F2CBE">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关于承包人应完成的其他开工准备工作及期限：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开工前7天</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AE2182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7.3.2开工通知</w:t>
      </w:r>
    </w:p>
    <w:p w14:paraId="75B8718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因发包人原因造成监理人未能在计划开工日期之日起</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120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天内发出开工通知的，承包人有权提出价格调整要求，或者解除合同。</w:t>
      </w:r>
    </w:p>
    <w:p w14:paraId="556471AD">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7.4 测量放线</w:t>
      </w:r>
    </w:p>
    <w:p w14:paraId="1A95C8F4">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highlight w:val="none"/>
        </w:rPr>
        <w:t>7.4.1发包人通过监理人向承包人提供测量基准点、基准线和水准点及其书面资料的期限：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开工前7天</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AC05F4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7.5 工期延误</w:t>
      </w:r>
    </w:p>
    <w:p w14:paraId="0C9C05DE">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7.5.1 因发包人原因导致工期延误</w:t>
      </w:r>
    </w:p>
    <w:p w14:paraId="746FBCE2">
      <w:pPr>
        <w:pStyle w:val="131"/>
        <w:adjustRightInd w:val="0"/>
        <w:snapToGrid w:val="0"/>
        <w:spacing w:line="360" w:lineRule="exact"/>
        <w:rPr>
          <w:rFonts w:ascii="仿宋" w:hAnsi="仿宋" w:eastAsia="仿宋" w:cs="仿宋"/>
          <w:color w:val="auto"/>
          <w:highlight w:val="none"/>
        </w:rPr>
      </w:pPr>
      <w:r>
        <w:rPr>
          <w:rFonts w:hint="eastAsia" w:ascii="仿宋" w:hAnsi="仿宋" w:eastAsia="仿宋" w:cs="仿宋"/>
          <w:color w:val="auto"/>
          <w:highlight w:val="none"/>
        </w:rPr>
        <w:t xml:space="preserve">   （7）因发包人原因导致工期延误的其他情形：</w:t>
      </w:r>
    </w:p>
    <w:p w14:paraId="51F4DDB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①重大设计变更引起的工期延误；</w:t>
      </w:r>
    </w:p>
    <w:p w14:paraId="6AD10BD6">
      <w:pPr>
        <w:pStyle w:val="131"/>
        <w:adjustRightInd w:val="0"/>
        <w:snapToGrid w:val="0"/>
        <w:spacing w:line="360" w:lineRule="exact"/>
        <w:ind w:firstLine="420" w:firstLineChars="200"/>
        <w:rPr>
          <w:rFonts w:ascii="仿宋" w:hAnsi="仿宋" w:eastAsia="仿宋" w:cs="仿宋"/>
          <w:b/>
          <w:bCs/>
          <w:color w:val="auto"/>
          <w:highlight w:val="none"/>
          <w:u w:val="single"/>
        </w:rPr>
      </w:pPr>
      <w:r>
        <w:rPr>
          <w:rFonts w:hint="eastAsia" w:ascii="仿宋" w:hAnsi="仿宋" w:eastAsia="仿宋" w:cs="仿宋"/>
          <w:color w:val="auto"/>
          <w:highlight w:val="none"/>
        </w:rPr>
        <w:t>②其他：</w:t>
      </w:r>
      <w:r>
        <w:rPr>
          <w:rFonts w:hint="eastAsia" w:ascii="仿宋" w:hAnsi="仿宋" w:eastAsia="仿宋" w:cs="仿宋"/>
          <w:b/>
          <w:bCs/>
          <w:color w:val="auto"/>
          <w:highlight w:val="none"/>
          <w:u w:val="single"/>
        </w:rPr>
        <w:t>由发包人原因造成的工期延误，并经发包人和监理签证确认；</w:t>
      </w:r>
    </w:p>
    <w:p w14:paraId="6C5463AA">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对于因发包人原因造成的工期延误，承包人要求顺延工期的，应在延误发生后14日内提出；逾期提出的，发包人有权不予认可；未提出顺延签证的，视为工期不需顺延。</w:t>
      </w:r>
    </w:p>
    <w:p w14:paraId="1F74C72A">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7.5.2 因承包人原因导致工期延误</w:t>
      </w:r>
    </w:p>
    <w:p w14:paraId="77AC1E8F">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highlight w:val="none"/>
        </w:rPr>
        <w:t>因承包人原因造成工期延误，逾期竣工违约金的计算方法为：</w:t>
      </w:r>
    </w:p>
    <w:p w14:paraId="5082EE7F">
      <w:pPr>
        <w:pStyle w:val="131"/>
        <w:adjustRightInd w:val="0"/>
        <w:snapToGrid w:val="0"/>
        <w:spacing w:line="360" w:lineRule="exact"/>
        <w:ind w:firstLine="422" w:firstLineChars="200"/>
        <w:jc w:val="left"/>
        <w:rPr>
          <w:rFonts w:ascii="仿宋" w:hAnsi="仿宋" w:eastAsia="仿宋" w:cs="仿宋"/>
          <w:b/>
          <w:bCs/>
          <w:color w:val="auto"/>
          <w:highlight w:val="none"/>
        </w:rPr>
      </w:pPr>
      <w:r>
        <w:rPr>
          <w:rFonts w:hint="eastAsia" w:ascii="仿宋" w:hAnsi="仿宋" w:eastAsia="仿宋" w:cs="仿宋"/>
          <w:b/>
          <w:bCs/>
          <w:color w:val="auto"/>
          <w:highlight w:val="none"/>
          <w:u w:val="single"/>
        </w:rPr>
        <w:t>因承包人原因工程不能按合同约定工期竣工，每延误一天，承包人应按每天人民币3000元向发包人支付违约金。</w:t>
      </w:r>
    </w:p>
    <w:p w14:paraId="224C80B1">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因承包人原因造成工期延误，逾期竣工违约金的上限：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扣除全部工期履约保证金</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4CBDA6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7.5.3因其他原因导致工期延误</w:t>
      </w:r>
    </w:p>
    <w:p w14:paraId="175CCE52">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（1）非承包人原因停水当天累计8小时以上计算工期延误；（2）不可抗力因素；（3）非承包人的过失造成工期延误，并经发包人和监理签证确认。</w:t>
      </w:r>
    </w:p>
    <w:p w14:paraId="363D135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 xml:space="preserve"> 对于前述三种情形造成的工期延误，承包人要求顺延工期的，应在延误发生后14日内提出；逾期提出的，发包人有权不予认可；未提出顺延签证的，视为工期不需顺延。</w:t>
      </w:r>
    </w:p>
    <w:p w14:paraId="0054AF2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7.6 不利物质条件</w:t>
      </w:r>
    </w:p>
    <w:p w14:paraId="1D9A4858">
      <w:pPr>
        <w:pStyle w:val="131"/>
        <w:adjustRightInd w:val="0"/>
        <w:snapToGrid w:val="0"/>
        <w:spacing w:line="360" w:lineRule="exact"/>
        <w:ind w:firstLine="420"/>
        <w:jc w:val="left"/>
        <w:rPr>
          <w:rFonts w:ascii="仿宋" w:hAnsi="仿宋" w:eastAsia="仿宋" w:cs="仿宋"/>
          <w:color w:val="auto"/>
          <w:highlight w:val="none"/>
        </w:rPr>
      </w:pPr>
      <w:r>
        <w:rPr>
          <w:rFonts w:hint="eastAsia" w:ascii="仿宋" w:hAnsi="仿宋" w:eastAsia="仿宋" w:cs="仿宋"/>
          <w:color w:val="auto"/>
          <w:highlight w:val="none"/>
        </w:rPr>
        <w:t>不利物质条件的其他情形和有关约定：</w:t>
      </w:r>
      <w:r>
        <w:rPr>
          <w:rFonts w:hint="eastAsia" w:ascii="仿宋" w:hAnsi="仿宋" w:eastAsia="仿宋" w:cs="仿宋"/>
          <w:color w:val="auto"/>
          <w:highlight w:val="none"/>
          <w:u w:val="single"/>
        </w:rPr>
        <w:t>按通用合同条款第7.6条规定执行</w:t>
      </w:r>
      <w:r>
        <w:rPr>
          <w:rFonts w:hint="eastAsia" w:ascii="仿宋" w:hAnsi="仿宋" w:eastAsia="仿宋" w:cs="仿宋"/>
          <w:color w:val="auto"/>
          <w:highlight w:val="none"/>
        </w:rPr>
        <w:t>。</w:t>
      </w:r>
    </w:p>
    <w:p w14:paraId="1710FA51">
      <w:pPr>
        <w:pStyle w:val="131"/>
        <w:adjustRightInd w:val="0"/>
        <w:snapToGrid w:val="0"/>
        <w:spacing w:line="360" w:lineRule="exact"/>
        <w:ind w:firstLine="420"/>
        <w:jc w:val="left"/>
        <w:rPr>
          <w:rFonts w:ascii="仿宋" w:hAnsi="仿宋" w:eastAsia="仿宋" w:cs="仿宋"/>
          <w:color w:val="auto"/>
          <w:highlight w:val="none"/>
        </w:rPr>
      </w:pPr>
      <w:r>
        <w:rPr>
          <w:rFonts w:hint="eastAsia" w:ascii="仿宋" w:hAnsi="仿宋" w:eastAsia="仿宋" w:cs="仿宋"/>
          <w:color w:val="auto"/>
          <w:szCs w:val="24"/>
          <w:highlight w:val="none"/>
        </w:rPr>
        <w:t>(4)其他：</w:t>
      </w:r>
      <w:r>
        <w:rPr>
          <w:rFonts w:hint="eastAsia" w:ascii="仿宋" w:hAnsi="仿宋" w:eastAsia="仿宋" w:cs="仿宋"/>
          <w:b/>
          <w:bCs/>
          <w:color w:val="auto"/>
          <w:highlight w:val="none"/>
          <w:u w:val="single"/>
        </w:rPr>
        <w:t>按通用合同条款第7.6条规定执行</w:t>
      </w:r>
      <w:r>
        <w:rPr>
          <w:rFonts w:hint="eastAsia" w:ascii="仿宋" w:hAnsi="仿宋" w:eastAsia="仿宋" w:cs="仿宋"/>
          <w:color w:val="auto"/>
          <w:highlight w:val="none"/>
        </w:rPr>
        <w:t>。</w:t>
      </w:r>
    </w:p>
    <w:p w14:paraId="3C5E883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7.7异常恶劣的气候条件</w:t>
      </w:r>
    </w:p>
    <w:p w14:paraId="57A821AC">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发包人和承包人同意以下情形视为异常恶劣的气候条件：</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  。</w:t>
      </w:r>
    </w:p>
    <w:p w14:paraId="2410625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7.9 提前竣工的奖励</w:t>
      </w:r>
    </w:p>
    <w:p w14:paraId="476B9F7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7.9.2提前竣工的奖励：</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  </w:t>
      </w:r>
      <w:r>
        <w:rPr>
          <w:rFonts w:hint="eastAsia" w:ascii="仿宋" w:hAnsi="仿宋" w:eastAsia="仿宋" w:cs="仿宋"/>
          <w:color w:val="auto"/>
          <w:highlight w:val="none"/>
        </w:rPr>
        <w:t>。</w:t>
      </w:r>
    </w:p>
    <w:p w14:paraId="08060B06">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8. 材料与设备</w:t>
      </w:r>
    </w:p>
    <w:p w14:paraId="6F0AE83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8.4材料与工程设备的保管与使用</w:t>
      </w:r>
    </w:p>
    <w:p w14:paraId="1CD5C91A">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8.4.1发包人供应的材料设备的保管费用的承担：</w:t>
      </w:r>
    </w:p>
    <w:p w14:paraId="49FA1A9C">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1、发包人供应的材料设备保管费用、安装过程中的二次搬运和设备就位费、检验试验费由承包人投标时报价包干；</w:t>
      </w:r>
    </w:p>
    <w:p w14:paraId="4488F90E">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2、因承包人原因发生材料丢失损坏，由承包人负责赔偿。</w:t>
      </w:r>
    </w:p>
    <w:p w14:paraId="7117C991">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8.6 样品</w:t>
      </w:r>
    </w:p>
    <w:p w14:paraId="77E181DE">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8.6.1样品的报送与封存</w:t>
      </w:r>
    </w:p>
    <w:p w14:paraId="55504146">
      <w:pPr>
        <w:pStyle w:val="131"/>
        <w:autoSpaceDE w:val="0"/>
        <w:autoSpaceDN w:val="0"/>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kern w:val="0"/>
          <w:highlight w:val="none"/>
        </w:rPr>
        <w:t>需要承包人报送样品的材料或工程设备，样品的种类、名称、规格、数量要求：</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按通用合同条款8.6.1条规定执行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4A0BB3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8.8 施工设备和临时设施</w:t>
      </w:r>
    </w:p>
    <w:p w14:paraId="6DEA3577">
      <w:pPr>
        <w:pStyle w:val="131"/>
        <w:autoSpaceDE w:val="0"/>
        <w:autoSpaceDN w:val="0"/>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8.8.1 承包人提供的施工设备和临时设施</w:t>
      </w:r>
    </w:p>
    <w:p w14:paraId="266FE9E7">
      <w:pPr>
        <w:pStyle w:val="131"/>
        <w:autoSpaceDE w:val="0"/>
        <w:autoSpaceDN w:val="0"/>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关于修建临时设施费用承担的约定：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按通用合同条款第8.8.1条规定执行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E769389">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 试验与检验</w:t>
      </w:r>
    </w:p>
    <w:p w14:paraId="627953A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9.1试验设备与试验人员</w:t>
      </w:r>
    </w:p>
    <w:p w14:paraId="30030EB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9.1.2 试验设备</w:t>
      </w:r>
    </w:p>
    <w:p w14:paraId="0E9216C4">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施工现场需要配置的试验场所：</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 xml:space="preserve">。 </w:t>
      </w:r>
    </w:p>
    <w:p w14:paraId="3BFAAEF2">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施工现场需要配备的试验设备：</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112F699E">
      <w:pPr>
        <w:pStyle w:val="131"/>
        <w:adjustRightInd w:val="0"/>
        <w:snapToGrid w:val="0"/>
        <w:spacing w:line="360" w:lineRule="exact"/>
        <w:ind w:firstLine="420"/>
        <w:jc w:val="left"/>
        <w:rPr>
          <w:rFonts w:ascii="仿宋" w:hAnsi="仿宋" w:eastAsia="仿宋" w:cs="仿宋"/>
          <w:color w:val="auto"/>
          <w:highlight w:val="none"/>
        </w:rPr>
      </w:pPr>
      <w:r>
        <w:rPr>
          <w:rFonts w:hint="eastAsia" w:ascii="仿宋" w:hAnsi="仿宋" w:eastAsia="仿宋" w:cs="仿宋"/>
          <w:color w:val="auto"/>
          <w:highlight w:val="none"/>
        </w:rPr>
        <w:t>施工现场需要具备的其他试验条件：</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1DE8537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9.3材料、工程设备和工程的试验和检验</w:t>
      </w:r>
    </w:p>
    <w:p w14:paraId="28825F5B">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试验、检测单位资质条件约定；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1A80D3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试验、检测单位选择约定：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3034A97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试验、检测费用约定：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3C24D67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9.4 现场工艺试验 </w:t>
      </w:r>
    </w:p>
    <w:p w14:paraId="164FB11A">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现场工艺试验的有关约定：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按通用合同条款第9.4条规定执行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6D256AD">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 变更</w:t>
      </w:r>
    </w:p>
    <w:p w14:paraId="5E5D2AB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10.1变更的范围</w:t>
      </w:r>
    </w:p>
    <w:p w14:paraId="1B03CDCD">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关于变更的范围的约定：</w:t>
      </w:r>
      <w:r>
        <w:rPr>
          <w:rFonts w:hint="eastAsia" w:ascii="仿宋" w:hAnsi="仿宋" w:eastAsia="仿宋" w:cs="仿宋"/>
          <w:color w:val="auto"/>
          <w:highlight w:val="none"/>
          <w:u w:val="single"/>
        </w:rPr>
        <w:t>按通用合同条款约定</w:t>
      </w:r>
      <w:r>
        <w:rPr>
          <w:rFonts w:hint="eastAsia" w:ascii="仿宋" w:hAnsi="仿宋" w:eastAsia="仿宋" w:cs="仿宋"/>
          <w:color w:val="auto"/>
          <w:highlight w:val="none"/>
        </w:rPr>
        <w:t>。</w:t>
      </w:r>
    </w:p>
    <w:p w14:paraId="210F4B7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10.4 变更估价</w:t>
      </w:r>
    </w:p>
    <w:p w14:paraId="0BE21777">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10.4.1 变更估价原则</w:t>
      </w:r>
    </w:p>
    <w:p w14:paraId="777A7D30">
      <w:pPr>
        <w:pStyle w:val="131"/>
        <w:adjustRightInd w:val="0"/>
        <w:snapToGrid w:val="0"/>
        <w:spacing w:line="360" w:lineRule="exact"/>
        <w:ind w:firstLine="420"/>
        <w:jc w:val="left"/>
        <w:rPr>
          <w:rFonts w:ascii="仿宋" w:hAnsi="仿宋" w:eastAsia="仿宋" w:cs="仿宋"/>
          <w:color w:val="auto"/>
          <w:highlight w:val="none"/>
        </w:rPr>
      </w:pPr>
      <w:r>
        <w:rPr>
          <w:rFonts w:hint="eastAsia" w:ascii="仿宋" w:hAnsi="仿宋" w:eastAsia="仿宋" w:cs="仿宋"/>
          <w:color w:val="auto"/>
          <w:highlight w:val="none"/>
        </w:rPr>
        <w:t>关于变更估价的约定:</w:t>
      </w:r>
      <w:r>
        <w:rPr>
          <w:rFonts w:hint="eastAsia" w:ascii="仿宋" w:hAnsi="仿宋" w:eastAsia="仿宋" w:cs="仿宋"/>
          <w:color w:val="auto"/>
          <w:highlight w:val="none"/>
          <w:u w:val="single"/>
        </w:rPr>
        <w:t>设计变更、施工联系单签证等发生的费用，结算综合单价直接套用相应或相似的响应单价。如无法套用时，无响应价的材料单价按同期信息价，无信息价按市场价计取，各项取费与响应同口径。</w:t>
      </w:r>
    </w:p>
    <w:p w14:paraId="6539BB8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10.5承包人的合理化建议</w:t>
      </w:r>
    </w:p>
    <w:p w14:paraId="767E5AAD">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监理人审查承包人合理化建议的期限：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按通用合同条款第10.5条规定执行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9654F17">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发包人审批承包人合理化建议的期限：</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按通用合同条款第10.5条规定执行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1A27669">
      <w:pPr>
        <w:pStyle w:val="131"/>
        <w:adjustRightInd w:val="0"/>
        <w:snapToGrid w:val="0"/>
        <w:spacing w:line="360" w:lineRule="exact"/>
        <w:jc w:val="left"/>
        <w:rPr>
          <w:rFonts w:ascii="仿宋" w:hAnsi="仿宋" w:eastAsia="仿宋" w:cs="仿宋"/>
          <w:color w:val="auto"/>
          <w:highlight w:val="none"/>
          <w:u w:val="single"/>
        </w:rPr>
      </w:pPr>
      <w:r>
        <w:rPr>
          <w:rFonts w:hint="eastAsia" w:ascii="仿宋" w:hAnsi="仿宋" w:eastAsia="仿宋" w:cs="仿宋"/>
          <w:color w:val="auto"/>
          <w:highlight w:val="none"/>
        </w:rPr>
        <w:t xml:space="preserve">    承包人提出的合理化建议降低了合同价格或者提高了工程经济效益的奖励的方法和金额为：</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另行协商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C7E980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10.7 暂估价</w:t>
      </w:r>
    </w:p>
    <w:p w14:paraId="5052609E">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kern w:val="0"/>
          <w:highlight w:val="none"/>
        </w:rPr>
        <w:t>暂估价材料和工程设备的明细：</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 xml:space="preserve"> 。</w:t>
      </w:r>
    </w:p>
    <w:p w14:paraId="166287C3">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10.7.1 依法必须招标的暂估价项目</w:t>
      </w:r>
    </w:p>
    <w:p w14:paraId="5503CF60">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对于依法必须招标的暂估价项目的确认和批准采取第</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种方式确定。</w:t>
      </w:r>
    </w:p>
    <w:p w14:paraId="72CCAB64">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10.7.2 不属于依法必须招标的暂估价项目</w:t>
      </w:r>
    </w:p>
    <w:p w14:paraId="71F56FF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对于不属于依法必须招标的暂估价项目的确认和批准采取第</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种方式确定。</w:t>
      </w:r>
    </w:p>
    <w:p w14:paraId="426E96A6">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highlight w:val="none"/>
        </w:rPr>
        <w:t>第3种方式：</w:t>
      </w:r>
      <w:r>
        <w:rPr>
          <w:rFonts w:hint="eastAsia" w:ascii="仿宋" w:hAnsi="仿宋" w:eastAsia="仿宋" w:cs="仿宋"/>
          <w:color w:val="auto"/>
          <w:kern w:val="0"/>
          <w:highlight w:val="none"/>
        </w:rPr>
        <w:t>承包人直接实施的暂估价项目</w:t>
      </w:r>
    </w:p>
    <w:p w14:paraId="690ADF21">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承包人直接实施的暂估价项目的约定：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AF0A20D">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10.8 暂列金额</w:t>
      </w:r>
    </w:p>
    <w:p w14:paraId="56268DFE">
      <w:pPr>
        <w:pStyle w:val="131"/>
        <w:autoSpaceDE w:val="0"/>
        <w:autoSpaceDN w:val="0"/>
        <w:adjustRightInd w:val="0"/>
        <w:snapToGrid w:val="0"/>
        <w:spacing w:line="360" w:lineRule="exact"/>
        <w:jc w:val="left"/>
        <w:rPr>
          <w:rFonts w:ascii="仿宋" w:hAnsi="仿宋" w:eastAsia="仿宋" w:cs="仿宋"/>
          <w:color w:val="auto"/>
          <w:kern w:val="0"/>
          <w:highlight w:val="none"/>
        </w:rPr>
      </w:pPr>
      <w:r>
        <w:rPr>
          <w:rFonts w:hint="eastAsia" w:ascii="仿宋" w:hAnsi="仿宋" w:eastAsia="仿宋" w:cs="仿宋"/>
          <w:color w:val="auto"/>
          <w:kern w:val="0"/>
          <w:highlight w:val="none"/>
        </w:rPr>
        <w:t xml:space="preserve">    合同当事人关于暂列金额使用的约定：</w:t>
      </w:r>
      <w:r>
        <w:rPr>
          <w:rFonts w:hint="eastAsia" w:ascii="仿宋" w:hAnsi="仿宋" w:eastAsia="仿宋" w:cs="仿宋"/>
          <w:color w:val="auto"/>
          <w:highlight w:val="none"/>
          <w:u w:val="single"/>
        </w:rPr>
        <w:t xml:space="preserve">      /        </w:t>
      </w:r>
      <w:r>
        <w:rPr>
          <w:rFonts w:hint="eastAsia" w:ascii="仿宋" w:hAnsi="仿宋" w:eastAsia="仿宋" w:cs="仿宋"/>
          <w:color w:val="auto"/>
          <w:kern w:val="0"/>
          <w:highlight w:val="none"/>
        </w:rPr>
        <w:t>。</w:t>
      </w:r>
    </w:p>
    <w:p w14:paraId="200DBDC6">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 价格调整</w:t>
      </w:r>
    </w:p>
    <w:p w14:paraId="42184E5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11.1 市场价格波动引起的调整</w:t>
      </w:r>
    </w:p>
    <w:p w14:paraId="76F2B61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kern w:val="0"/>
          <w:highlight w:val="none"/>
        </w:rPr>
        <w:t>市场价格波动是否调整合同价格的约定：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否</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79F78EA">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因市场价格波动调整合同价格，采用以下第</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种方式对合同价格进行调整：</w:t>
      </w:r>
    </w:p>
    <w:p w14:paraId="20F8273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第1种方式：采用价格指数进行价格调整。</w:t>
      </w:r>
    </w:p>
    <w:p w14:paraId="3B699AEF">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highlight w:val="none"/>
        </w:rPr>
        <w:t>关于各可调因子、定值和变值权重，以及基本价格指数及其来源的约定：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 xml:space="preserve">；  </w:t>
      </w:r>
    </w:p>
    <w:p w14:paraId="17860E27">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第2种方式：采用造价信息进行价格调整。</w:t>
      </w:r>
    </w:p>
    <w:p w14:paraId="62015F50">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（2）关于基准价格的约定：</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F34AB8D">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%时，或材料单价跌幅以已标价工程量清单或预算书中载明材料单价为基础超过</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%时，其超过部分据实调整。</w:t>
      </w:r>
    </w:p>
    <w:p w14:paraId="26954F69">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②承包人在已标价工程量清单或预算书中载明的材料单价高于基准价格的：专用合同条款合同履行期间材料单价跌幅以基准价格为基础超过</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%时，材料单价涨幅以已标价工程量清单或预算书中载明材料单价为基础超过</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%时，其超过部分据实调整。</w:t>
      </w:r>
    </w:p>
    <w:p w14:paraId="58C3465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③承包人在已标价工程量清单或预算书中载明的材料单价等于基准单价的：专用合同条款合同履行期间材料单价涨跌幅以基准单价为基础超过±</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%时，其超过部分据实调整。</w:t>
      </w:r>
    </w:p>
    <w:p w14:paraId="462782D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第3种方式：其他价格调整方式：</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3DCD1E18">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 合同价格、计量与支付</w:t>
      </w:r>
    </w:p>
    <w:p w14:paraId="22D48ED1">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12.1 合同价格形式</w:t>
      </w:r>
    </w:p>
    <w:p w14:paraId="463AC71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1、单价合同。</w:t>
      </w:r>
    </w:p>
    <w:p w14:paraId="116A8B91">
      <w:pPr>
        <w:pStyle w:val="131"/>
        <w:adjustRightInd w:val="0"/>
        <w:snapToGrid w:val="0"/>
        <w:spacing w:line="360" w:lineRule="exact"/>
        <w:ind w:firstLine="420"/>
        <w:jc w:val="left"/>
        <w:rPr>
          <w:rFonts w:ascii="仿宋" w:hAnsi="仿宋" w:eastAsia="仿宋" w:cs="仿宋"/>
          <w:color w:val="auto"/>
          <w:highlight w:val="none"/>
        </w:rPr>
      </w:pPr>
      <w:r>
        <w:rPr>
          <w:rFonts w:hint="eastAsia" w:ascii="仿宋" w:hAnsi="仿宋" w:eastAsia="仿宋" w:cs="仿宋"/>
          <w:color w:val="auto"/>
          <w:highlight w:val="none"/>
        </w:rPr>
        <w:t>综合单价包含的风险范围：</w:t>
      </w:r>
    </w:p>
    <w:p w14:paraId="2D51FF3D">
      <w:pPr>
        <w:spacing w:line="360" w:lineRule="exact"/>
        <w:ind w:firstLine="420" w:firstLineChars="200"/>
        <w:rPr>
          <w:rFonts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u w:val="single"/>
        </w:rPr>
        <w:t>应由承包人承担的工、料、机在投标编制期或预算书编制期与合同实施期间所发生的市场价格波动</w:t>
      </w:r>
      <w:r>
        <w:rPr>
          <w:rFonts w:hint="eastAsia" w:ascii="仿宋" w:hAnsi="仿宋" w:eastAsia="仿宋" w:cs="仿宋"/>
          <w:bCs/>
          <w:color w:val="auto"/>
          <w:szCs w:val="21"/>
          <w:highlight w:val="none"/>
        </w:rPr>
        <w:t>。</w:t>
      </w:r>
    </w:p>
    <w:p w14:paraId="324FAD0C">
      <w:pPr>
        <w:pStyle w:val="131"/>
        <w:adjustRightInd w:val="0"/>
        <w:snapToGrid w:val="0"/>
        <w:spacing w:line="360" w:lineRule="exact"/>
        <w:ind w:firstLine="420"/>
        <w:jc w:val="left"/>
        <w:rPr>
          <w:rFonts w:ascii="仿宋" w:hAnsi="仿宋" w:eastAsia="仿宋" w:cs="仿宋"/>
          <w:b/>
          <w:bCs/>
          <w:i/>
          <w:iCs/>
          <w:color w:val="auto"/>
          <w:highlight w:val="none"/>
        </w:rPr>
      </w:pPr>
      <w:r>
        <w:rPr>
          <w:rFonts w:hint="eastAsia" w:ascii="仿宋" w:hAnsi="仿宋" w:eastAsia="仿宋" w:cs="仿宋"/>
          <w:bCs/>
          <w:color w:val="auto"/>
          <w:szCs w:val="21"/>
          <w:highlight w:val="none"/>
        </w:rPr>
        <w:t>（2）其他：</w:t>
      </w:r>
      <w:r>
        <w:rPr>
          <w:rFonts w:hint="eastAsia" w:ascii="仿宋" w:hAnsi="仿宋" w:eastAsia="仿宋" w:cs="仿宋"/>
          <w:b/>
          <w:bCs/>
          <w:color w:val="auto"/>
          <w:highlight w:val="none"/>
          <w:u w:val="single"/>
        </w:rPr>
        <w:t>a、分部分项工程量清单和施工技术措施项目清单与计价表中已列项目的综合单价；b、所有磋商文件或工程量清单明示要求报价的内容而承包人未予报价的；c、承包人对工程现场环境以及发包人提供的磋商文件、图纸等资料做出错误的推论、理解而导致的报价失误；d、磋商文件约定的工程量清单数量误差引起的综合单价成本差异；e、施工组织措施项目清单与计价表实行固定总价包干，不得因设计图纸变化、工程量增减、施工方案变更等任何因素而调整费用；f、规费、税金、农民工工伤保险费、总承包服务费为费率包干；g、清单描述中有按图集或规范施工的，综合单价必须满足规费和图集要求，综合单价不作调整；h、所有磋商文件或工程量清单明示要求报价包干或费率包干的内容</w:t>
      </w:r>
      <w:r>
        <w:rPr>
          <w:rFonts w:hint="eastAsia" w:ascii="仿宋" w:hAnsi="仿宋" w:eastAsia="仿宋" w:cs="仿宋"/>
          <w:b/>
          <w:bCs/>
          <w:color w:val="auto"/>
          <w:kern w:val="0"/>
          <w:highlight w:val="none"/>
          <w:u w:val="single"/>
          <w:shd w:val="clear" w:color="auto" w:fill="FFFFFF"/>
        </w:rPr>
        <w:t>。除政府出台价格调整政策且审计单位认为适用情况外，价格不作调整。</w:t>
      </w:r>
    </w:p>
    <w:p w14:paraId="41F2180F">
      <w:pPr>
        <w:pStyle w:val="131"/>
        <w:adjustRightInd w:val="0"/>
        <w:snapToGrid w:val="0"/>
        <w:spacing w:line="360" w:lineRule="exact"/>
        <w:ind w:firstLine="420"/>
        <w:jc w:val="left"/>
        <w:rPr>
          <w:rFonts w:ascii="仿宋" w:hAnsi="仿宋" w:eastAsia="仿宋" w:cs="仿宋"/>
          <w:b/>
          <w:bCs/>
          <w:color w:val="auto"/>
          <w:highlight w:val="none"/>
          <w:u w:val="single"/>
        </w:rPr>
      </w:pPr>
      <w:r>
        <w:rPr>
          <w:rFonts w:hint="eastAsia" w:ascii="仿宋" w:hAnsi="仿宋" w:eastAsia="仿宋" w:cs="仿宋"/>
          <w:color w:val="auto"/>
          <w:highlight w:val="none"/>
        </w:rPr>
        <w:t>风险费用计算方法：</w:t>
      </w:r>
      <w:r>
        <w:rPr>
          <w:rFonts w:hint="eastAsia" w:ascii="仿宋" w:hAnsi="仿宋" w:eastAsia="仿宋" w:cs="仿宋"/>
          <w:b/>
          <w:bCs/>
          <w:color w:val="auto"/>
          <w:highlight w:val="none"/>
          <w:u w:val="single"/>
        </w:rPr>
        <w:t>以上风险费用在投标报价时考虑，不再另行计取。</w:t>
      </w:r>
    </w:p>
    <w:p w14:paraId="389DAC1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风险范围以外合同价格的调整方法：</w:t>
      </w:r>
    </w:p>
    <w:p w14:paraId="7C184A35">
      <w:pPr>
        <w:pStyle w:val="131"/>
        <w:adjustRightInd w:val="0"/>
        <w:snapToGrid w:val="0"/>
        <w:spacing w:line="360" w:lineRule="exact"/>
        <w:ind w:firstLine="420" w:firstLineChars="200"/>
        <w:rPr>
          <w:rFonts w:ascii="仿宋" w:hAnsi="仿宋" w:eastAsia="仿宋" w:cs="仿宋"/>
          <w:bCs/>
          <w:snapToGrid w:val="0"/>
          <w:color w:val="auto"/>
          <w:kern w:val="0"/>
          <w:szCs w:val="21"/>
          <w:highlight w:val="none"/>
          <w:u w:val="single"/>
        </w:rPr>
      </w:pPr>
      <w:r>
        <w:rPr>
          <w:rFonts w:hint="eastAsia" w:ascii="仿宋" w:hAnsi="仿宋" w:eastAsia="仿宋" w:cs="仿宋"/>
          <w:bCs/>
          <w:snapToGrid w:val="0"/>
          <w:color w:val="auto"/>
          <w:kern w:val="0"/>
          <w:szCs w:val="21"/>
          <w:highlight w:val="none"/>
          <w:u w:val="single"/>
        </w:rPr>
        <w:t>（1）市场价格波动引起的调整按本合同11.1第3种方式的约定计算。</w:t>
      </w:r>
    </w:p>
    <w:p w14:paraId="11FE8656">
      <w:pPr>
        <w:pStyle w:val="131"/>
        <w:autoSpaceDE w:val="0"/>
        <w:autoSpaceDN w:val="0"/>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bCs/>
          <w:color w:val="auto"/>
          <w:szCs w:val="21"/>
          <w:highlight w:val="none"/>
        </w:rPr>
        <w:t>（2）其他：</w:t>
      </w:r>
      <w:r>
        <w:rPr>
          <w:rFonts w:hint="eastAsia" w:ascii="仿宋" w:hAnsi="仿宋" w:eastAsia="仿宋" w:cs="仿宋"/>
          <w:b/>
          <w:bCs/>
          <w:color w:val="auto"/>
          <w:highlight w:val="none"/>
          <w:u w:val="single"/>
        </w:rPr>
        <w:t>a、在竣工结算时工程量按实计算；设计变更、施工联系单签证等发生的费用，结算综合单价直接套用相应或相似的投标单价。如无法套用时，无投标价的材料单价按同期信息价，无信息价按市场价计取，各项取费与投标同口径。b、不可抗力因素造成的损失由双方各自行承担。但属于应该预见、预防、承包方没有及时预防或预防不力造成的损失，由承包方承担。</w:t>
      </w:r>
    </w:p>
    <w:p w14:paraId="560F4224">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2、总价合同。</w:t>
      </w:r>
    </w:p>
    <w:p w14:paraId="2EB4B461">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总价包含的风险范围：</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E2D19A7">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风险费用的计算方法：</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5E94C056">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风险范围以外合同价格的调整方法：</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33726255">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3、其他价格方式：</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71E89282">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12.2 预付款</w:t>
      </w:r>
    </w:p>
    <w:p w14:paraId="49A5B509">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12.2.1 预付款的支付</w:t>
      </w:r>
    </w:p>
    <w:p w14:paraId="74B2669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预付款支付比例或金额：</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合同总价的40%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451B46D0">
      <w:pPr>
        <w:spacing w:line="360" w:lineRule="exact"/>
        <w:ind w:firstLine="42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工资预付款支付比例或金额：</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326439DC">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预付款支付期限：</w:t>
      </w:r>
      <w:r>
        <w:rPr>
          <w:rFonts w:hint="eastAsia" w:ascii="仿宋" w:hAnsi="仿宋" w:eastAsia="仿宋" w:cs="仿宋"/>
          <w:b/>
          <w:bCs/>
          <w:color w:val="auto"/>
          <w:highlight w:val="none"/>
          <w:u w:val="single"/>
        </w:rPr>
        <w:t xml:space="preserve"> 合同签订，承包人递交履约保证金及对等金额的预付款担保后</w:t>
      </w:r>
      <w:r>
        <w:rPr>
          <w:rFonts w:hint="eastAsia" w:ascii="仿宋" w:hAnsi="仿宋" w:eastAsia="仿宋" w:cs="仿宋"/>
          <w:color w:val="auto"/>
          <w:highlight w:val="none"/>
        </w:rPr>
        <w:t>。</w:t>
      </w:r>
    </w:p>
    <w:p w14:paraId="509E0E6C">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预付款扣回的方式：</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E365E6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12.2.2 预付款担保</w:t>
      </w:r>
    </w:p>
    <w:p w14:paraId="68FCBCE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承包人提交预付款担保的期限：</w:t>
      </w:r>
      <w:r>
        <w:rPr>
          <w:rFonts w:hint="eastAsia" w:ascii="仿宋" w:hAnsi="仿宋" w:eastAsia="仿宋" w:cs="仿宋"/>
          <w:color w:val="auto"/>
          <w:highlight w:val="none"/>
          <w:u w:val="single"/>
        </w:rPr>
        <w:t xml:space="preserve"> 本合同签订之日起7日内承包人向发包人提交担保额度为合同价的40%的无条件的不可撤销的保函 </w:t>
      </w:r>
      <w:r>
        <w:rPr>
          <w:rFonts w:hint="eastAsia" w:ascii="仿宋" w:hAnsi="仿宋" w:eastAsia="仿宋" w:cs="仿宋"/>
          <w:color w:val="auto"/>
          <w:highlight w:val="none"/>
        </w:rPr>
        <w:t>。</w:t>
      </w:r>
    </w:p>
    <w:p w14:paraId="0FCEEF44">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预付款担保的形式为：</w:t>
      </w:r>
      <w:r>
        <w:rPr>
          <w:rFonts w:hint="eastAsia" w:ascii="仿宋" w:hAnsi="仿宋" w:eastAsia="仿宋" w:cs="仿宋"/>
          <w:color w:val="auto"/>
          <w:highlight w:val="none"/>
          <w:u w:val="single"/>
        </w:rPr>
        <w:t>银行、保险公司出具的保函</w:t>
      </w:r>
      <w:r>
        <w:rPr>
          <w:rFonts w:hint="eastAsia" w:ascii="仿宋" w:hAnsi="仿宋" w:eastAsia="仿宋" w:cs="仿宋"/>
          <w:color w:val="auto"/>
          <w:highlight w:val="none"/>
        </w:rPr>
        <w:t>。</w:t>
      </w:r>
    </w:p>
    <w:p w14:paraId="58B2750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12.3 计量</w:t>
      </w:r>
    </w:p>
    <w:p w14:paraId="7DF11D8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12.3.1 计量原则</w:t>
      </w:r>
    </w:p>
    <w:p w14:paraId="2376F75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工程量计算规则：</w:t>
      </w:r>
    </w:p>
    <w:p w14:paraId="0E501E1A">
      <w:pPr>
        <w:spacing w:line="360" w:lineRule="exact"/>
        <w:ind w:firstLine="420" w:firstLineChars="200"/>
        <w:rPr>
          <w:rFonts w:ascii="仿宋" w:hAnsi="仿宋" w:eastAsia="仿宋" w:cs="仿宋"/>
          <w:bCs/>
          <w:color w:val="auto"/>
          <w:szCs w:val="32"/>
          <w:highlight w:val="none"/>
          <w:u w:val="single"/>
        </w:rPr>
      </w:pPr>
      <w:r>
        <w:rPr>
          <w:rFonts w:hint="eastAsia" w:ascii="仿宋" w:hAnsi="仿宋" w:eastAsia="仿宋" w:cs="仿宋"/>
          <w:bCs/>
          <w:color w:val="auto"/>
          <w:szCs w:val="32"/>
          <w:highlight w:val="none"/>
        </w:rPr>
        <w:t>（1）</w:t>
      </w:r>
      <w:r>
        <w:rPr>
          <w:rFonts w:hint="eastAsia" w:ascii="仿宋" w:hAnsi="仿宋" w:eastAsia="仿宋" w:cs="仿宋"/>
          <w:bCs/>
          <w:color w:val="auto"/>
          <w:szCs w:val="32"/>
          <w:highlight w:val="none"/>
          <w:u w:val="single"/>
        </w:rPr>
        <w:t>实行工程量清单计价的工程项目，其工程量的计算规则应按国家标准工程量计算规范及省级行业主管部门颁布的补充规定执行。</w:t>
      </w:r>
    </w:p>
    <w:p w14:paraId="660C9990">
      <w:pPr>
        <w:spacing w:line="360" w:lineRule="exact"/>
        <w:ind w:firstLine="420" w:firstLineChars="200"/>
        <w:rPr>
          <w:rFonts w:ascii="仿宋" w:hAnsi="仿宋" w:eastAsia="仿宋" w:cs="仿宋"/>
          <w:bCs/>
          <w:color w:val="auto"/>
          <w:szCs w:val="32"/>
          <w:highlight w:val="none"/>
          <w:u w:val="single"/>
        </w:rPr>
      </w:pPr>
      <w:r>
        <w:rPr>
          <w:rFonts w:hint="eastAsia" w:ascii="仿宋" w:hAnsi="仿宋" w:eastAsia="仿宋" w:cs="仿宋"/>
          <w:bCs/>
          <w:color w:val="auto"/>
          <w:szCs w:val="32"/>
          <w:highlight w:val="none"/>
        </w:rPr>
        <w:t>（2）</w:t>
      </w:r>
      <w:r>
        <w:rPr>
          <w:rFonts w:hint="eastAsia" w:ascii="仿宋" w:hAnsi="仿宋" w:eastAsia="仿宋" w:cs="仿宋"/>
          <w:bCs/>
          <w:color w:val="auto"/>
          <w:szCs w:val="32"/>
          <w:highlight w:val="none"/>
          <w:u w:val="single"/>
        </w:rPr>
        <w:t>不实行工程量清单计价的工程项目，工程量的计算规则应按省、市行业主管部门颁布的各专业工程定额的工程量计算规则执行。</w:t>
      </w:r>
    </w:p>
    <w:p w14:paraId="44AA5F75">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12.3.2 计量周期</w:t>
      </w:r>
    </w:p>
    <w:p w14:paraId="1DF6968D">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关于计量周期的约定：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工程量的计量按月进行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5968C05">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12.3.3 单价合同的计量</w:t>
      </w:r>
    </w:p>
    <w:p w14:paraId="2AB22E4D">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highlight w:val="none"/>
        </w:rPr>
        <w:t>关于单价合同计量的约定：</w:t>
      </w:r>
      <w:r>
        <w:rPr>
          <w:rFonts w:hint="eastAsia" w:ascii="仿宋" w:hAnsi="仿宋" w:eastAsia="仿宋" w:cs="仿宋"/>
          <w:b/>
          <w:bCs/>
          <w:color w:val="auto"/>
          <w:highlight w:val="none"/>
          <w:u w:val="single"/>
        </w:rPr>
        <w:t xml:space="preserve">  按通用合同条款第12.3.3条规定执行。</w:t>
      </w:r>
    </w:p>
    <w:p w14:paraId="54D59683">
      <w:pPr>
        <w:spacing w:line="360" w:lineRule="exact"/>
        <w:ind w:firstLine="42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工资性工程款比例约定：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1808034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12.3.4 总价合同的计量</w:t>
      </w:r>
    </w:p>
    <w:p w14:paraId="69979F15">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关于总价合同计量的约定：</w:t>
      </w:r>
      <w:r>
        <w:rPr>
          <w:rFonts w:hint="eastAsia" w:ascii="仿宋" w:hAnsi="仿宋" w:eastAsia="仿宋" w:cs="仿宋"/>
          <w:color w:val="auto"/>
          <w:highlight w:val="none"/>
          <w:u w:val="single"/>
        </w:rPr>
        <w:t>/</w:t>
      </w:r>
      <w:r>
        <w:rPr>
          <w:rFonts w:hint="eastAsia" w:ascii="仿宋" w:hAnsi="仿宋" w:eastAsia="仿宋" w:cs="仿宋"/>
          <w:color w:val="auto"/>
          <w:highlight w:val="none"/>
        </w:rPr>
        <w:t>。</w:t>
      </w:r>
    </w:p>
    <w:p w14:paraId="4518926D">
      <w:pPr>
        <w:spacing w:line="360" w:lineRule="exact"/>
        <w:ind w:firstLine="42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工资性工程款比例约定：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78A3531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12.3.5总价合同采用支付分解表计量支付的，是否适用第</w:t>
      </w:r>
      <w:r>
        <w:rPr>
          <w:rFonts w:hint="eastAsia" w:ascii="仿宋" w:hAnsi="仿宋" w:eastAsia="仿宋" w:cs="仿宋"/>
          <w:color w:val="auto"/>
          <w:kern w:val="0"/>
          <w:highlight w:val="none"/>
        </w:rPr>
        <w:t xml:space="preserve">12.3.4 </w:t>
      </w:r>
      <w:r>
        <w:rPr>
          <w:rFonts w:hint="eastAsia" w:ascii="仿宋" w:hAnsi="仿宋" w:eastAsia="仿宋" w:cs="仿宋"/>
          <w:color w:val="auto"/>
          <w:highlight w:val="none"/>
        </w:rPr>
        <w:t>项</w:t>
      </w:r>
      <w:r>
        <w:rPr>
          <w:rFonts w:hint="eastAsia" w:ascii="仿宋" w:hAnsi="仿宋" w:eastAsia="仿宋" w:cs="仿宋"/>
          <w:color w:val="auto"/>
          <w:kern w:val="0"/>
          <w:highlight w:val="none"/>
        </w:rPr>
        <w:t>〔总价合同的计量〕</w:t>
      </w:r>
      <w:r>
        <w:rPr>
          <w:rFonts w:hint="eastAsia" w:ascii="仿宋" w:hAnsi="仿宋" w:eastAsia="仿宋" w:cs="仿宋"/>
          <w:color w:val="auto"/>
          <w:highlight w:val="none"/>
        </w:rPr>
        <w:t>约定进行计量：</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627581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12.3.6 其他价格形式合同的计量</w:t>
      </w:r>
    </w:p>
    <w:p w14:paraId="058E1793">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其他价格形式的计量方式和程序：</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7505CDB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12.4 工程进度款支付</w:t>
      </w:r>
    </w:p>
    <w:p w14:paraId="2EC5C877">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12.4.1 付款周期</w:t>
      </w:r>
    </w:p>
    <w:p w14:paraId="4464FB8C">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关于付款周期的约定：</w:t>
      </w:r>
    </w:p>
    <w:p w14:paraId="688883F8">
      <w:pPr>
        <w:pStyle w:val="131"/>
        <w:adjustRightInd w:val="0"/>
        <w:snapToGrid w:val="0"/>
        <w:spacing w:line="360" w:lineRule="exact"/>
        <w:ind w:firstLine="422" w:firstLineChars="200"/>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1、合同价款内的工程款支付：</w:t>
      </w:r>
    </w:p>
    <w:p w14:paraId="4B6669EC">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（1）开工后至竣工结算支付前，每月15日以前按监理和发包人确认的上月已完工程量支付进度款，支付额为完成工程应付金额的30％；进度款支付至合同总价的70％（含预付款）时停止。</w:t>
      </w:r>
    </w:p>
    <w:p w14:paraId="6F313E00">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2）工程竣工后，由发包人组织有关部门验收。验收合格后，工程移交发包人管理。工程竣工后15天内，承包人清退全部临时设施、建筑材料、机械设备（含设备基础），并按合同约定提供规定数目的竣工图、归档及验收的相关资料，经发包人确认同意后，支付至合同总价的80％（含预付款）。</w:t>
      </w:r>
    </w:p>
    <w:p w14:paraId="36256902">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3）工程竣工结算经审计，发包人和承包人双方签字确认，且承包人缴纳质量保证金（结算审定价的1.5%）后，发包人支付至结算审定价的100%（如结算审定价超过合同金额，发包人支付至合同金额的100%，超出部分按照《浙江省政府采购合同暂行办法》相关规定执行）；质量保证金按《工程质量保修书》的有关规定退还。</w:t>
      </w:r>
    </w:p>
    <w:p w14:paraId="4D310C93">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（4）施工水电费按工程竣工结算审定价的</w:t>
      </w:r>
      <w:r>
        <w:rPr>
          <w:rFonts w:hint="eastAsia" w:ascii="仿宋" w:hAnsi="仿宋" w:eastAsia="仿宋" w:cs="仿宋"/>
          <w:b/>
          <w:bCs/>
          <w:color w:val="auto"/>
          <w:highlight w:val="none"/>
          <w:u w:val="single"/>
          <w:lang w:val="en-US" w:eastAsia="zh-CN"/>
        </w:rPr>
        <w:t>1</w:t>
      </w:r>
      <w:r>
        <w:rPr>
          <w:rFonts w:hint="eastAsia" w:ascii="仿宋" w:hAnsi="仿宋" w:eastAsia="仿宋" w:cs="仿宋"/>
          <w:b/>
          <w:bCs/>
          <w:color w:val="auto"/>
          <w:highlight w:val="none"/>
          <w:u w:val="single"/>
        </w:rPr>
        <w:t>％计算，在结算审定款中直接扣除。</w:t>
      </w:r>
    </w:p>
    <w:p w14:paraId="27D0E1C4">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（5）以上款项均不计息。在发包人支付上述款项前，承包人必须开具同等数额的正规税务发票，否则发包人有权拒绝支付。</w:t>
      </w:r>
    </w:p>
    <w:p w14:paraId="6C6D5758">
      <w:pPr>
        <w:pStyle w:val="131"/>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2、合同价款外的工程款支付：因工程变更、工程量清单等引起的工程价款在工程审计审定后支付。</w:t>
      </w:r>
    </w:p>
    <w:p w14:paraId="03A1B118">
      <w:pPr>
        <w:pStyle w:val="131"/>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3、发包人审核的进度款工程量仅作为进度款支付依据，不作为结算依据。</w:t>
      </w:r>
    </w:p>
    <w:p w14:paraId="7B144ED3">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12.4.2 进度付款申请单的编制</w:t>
      </w:r>
    </w:p>
    <w:p w14:paraId="20EB559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关于进度付款申请单编制的约定：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按通用合同条款第12.4.2条规定执行。</w:t>
      </w:r>
      <w:r>
        <w:rPr>
          <w:rFonts w:hint="eastAsia" w:ascii="仿宋" w:hAnsi="仿宋" w:eastAsia="仿宋" w:cs="仿宋"/>
          <w:color w:val="auto"/>
          <w:highlight w:val="none"/>
          <w:u w:val="single"/>
        </w:rPr>
        <w:t xml:space="preserve"> </w:t>
      </w:r>
    </w:p>
    <w:p w14:paraId="0D09BCBE">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12.4.3 进度付款申请单的提交</w:t>
      </w:r>
    </w:p>
    <w:p w14:paraId="44718EF7">
      <w:pPr>
        <w:pStyle w:val="131"/>
        <w:adjustRightInd w:val="0"/>
        <w:snapToGrid w:val="0"/>
        <w:spacing w:line="360" w:lineRule="exact"/>
        <w:ind w:firstLine="420" w:firstLineChars="200"/>
        <w:jc w:val="left"/>
        <w:rPr>
          <w:rFonts w:ascii="仿宋" w:hAnsi="仿宋" w:eastAsia="仿宋" w:cs="仿宋"/>
          <w:b/>
          <w:bCs/>
          <w:i/>
          <w:iCs/>
          <w:color w:val="auto"/>
          <w:highlight w:val="none"/>
          <w:u w:val="single"/>
        </w:rPr>
      </w:pPr>
      <w:r>
        <w:rPr>
          <w:rFonts w:hint="eastAsia" w:ascii="仿宋" w:hAnsi="仿宋" w:eastAsia="仿宋" w:cs="仿宋"/>
          <w:color w:val="auto"/>
          <w:highlight w:val="none"/>
        </w:rPr>
        <w:t>（1）单价合同进度付款申请单提交的约定：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64DC158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（2）总价合同进度付款申请单提交的约定：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6DC2E899">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（3）其他价格形式合同进度付款申请单提交的约定：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438E819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12.4.4 进度款审核和支付</w:t>
      </w:r>
    </w:p>
    <w:p w14:paraId="793005F2">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highlight w:val="none"/>
        </w:rPr>
        <w:t>（1）监理人审查并报送发包人的期限：</w:t>
      </w:r>
      <w:r>
        <w:rPr>
          <w:rFonts w:hint="eastAsia" w:ascii="仿宋" w:hAnsi="仿宋" w:eastAsia="仿宋" w:cs="仿宋"/>
          <w:b/>
          <w:bCs/>
          <w:color w:val="auto"/>
          <w:highlight w:val="none"/>
          <w:u w:val="single"/>
        </w:rPr>
        <w:t>7天内完成审查。</w:t>
      </w:r>
    </w:p>
    <w:p w14:paraId="6ACCEDAD">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highlight w:val="none"/>
        </w:rPr>
        <w:t>发包人完成审批并签发进度款支付证书的期限：</w:t>
      </w:r>
      <w:r>
        <w:rPr>
          <w:rFonts w:hint="eastAsia" w:ascii="仿宋" w:hAnsi="仿宋" w:eastAsia="仿宋" w:cs="仿宋"/>
          <w:b/>
          <w:bCs/>
          <w:color w:val="auto"/>
          <w:highlight w:val="none"/>
          <w:u w:val="single"/>
        </w:rPr>
        <w:t>收到监理人报送的进度付款申请单及相关资料后7天内。</w:t>
      </w:r>
    </w:p>
    <w:p w14:paraId="1C732B29">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highlight w:val="none"/>
        </w:rPr>
        <w:t>（2）发包人支付进度款的期限：</w:t>
      </w:r>
      <w:r>
        <w:rPr>
          <w:rFonts w:hint="eastAsia" w:ascii="仿宋" w:hAnsi="仿宋" w:eastAsia="仿宋" w:cs="仿宋"/>
          <w:b/>
          <w:bCs/>
          <w:color w:val="auto"/>
          <w:highlight w:val="none"/>
          <w:u w:val="single"/>
        </w:rPr>
        <w:t>/。</w:t>
      </w:r>
    </w:p>
    <w:p w14:paraId="66B61F7F">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发包人逾期支付进度款的违约金的计算方式：</w:t>
      </w:r>
      <w:r>
        <w:rPr>
          <w:rFonts w:hint="eastAsia" w:ascii="仿宋" w:hAnsi="仿宋" w:eastAsia="仿宋" w:cs="仿宋"/>
          <w:b/>
          <w:bCs/>
          <w:color w:val="auto"/>
          <w:highlight w:val="none"/>
          <w:u w:val="single"/>
        </w:rPr>
        <w:t>/。</w:t>
      </w:r>
    </w:p>
    <w:p w14:paraId="43DD62B4">
      <w:pPr>
        <w:pStyle w:val="131"/>
        <w:adjustRightInd w:val="0"/>
        <w:snapToGrid w:val="0"/>
        <w:spacing w:line="360" w:lineRule="exact"/>
        <w:ind w:firstLine="525" w:firstLineChars="250"/>
        <w:jc w:val="left"/>
        <w:rPr>
          <w:rFonts w:ascii="仿宋" w:hAnsi="仿宋" w:eastAsia="仿宋" w:cs="仿宋"/>
          <w:color w:val="auto"/>
          <w:highlight w:val="none"/>
        </w:rPr>
      </w:pPr>
      <w:r>
        <w:rPr>
          <w:rFonts w:hint="eastAsia" w:ascii="仿宋" w:hAnsi="仿宋" w:eastAsia="仿宋" w:cs="仿宋"/>
          <w:color w:val="auto"/>
          <w:highlight w:val="none"/>
        </w:rPr>
        <w:t>12.4.6 支付分解表的编制</w:t>
      </w:r>
    </w:p>
    <w:p w14:paraId="7F5DCB1B">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highlight w:val="none"/>
        </w:rPr>
        <w:t>2、总价合同支付分解表的编制与审批：</w:t>
      </w:r>
      <w:r>
        <w:rPr>
          <w:rFonts w:hint="eastAsia" w:ascii="仿宋" w:hAnsi="仿宋" w:eastAsia="仿宋" w:cs="仿宋"/>
          <w:b/>
          <w:bCs/>
          <w:color w:val="auto"/>
          <w:highlight w:val="none"/>
          <w:u w:val="single"/>
        </w:rPr>
        <w:t>/。</w:t>
      </w:r>
    </w:p>
    <w:p w14:paraId="52A3FC11">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highlight w:val="none"/>
        </w:rPr>
        <w:t>3、单价合同的总价项目支付分解表的编制与审批：</w:t>
      </w:r>
      <w:r>
        <w:rPr>
          <w:rFonts w:hint="eastAsia" w:ascii="仿宋" w:hAnsi="仿宋" w:eastAsia="仿宋" w:cs="仿宋"/>
          <w:b/>
          <w:bCs/>
          <w:color w:val="auto"/>
          <w:highlight w:val="none"/>
          <w:u w:val="single"/>
        </w:rPr>
        <w:t>按通用合同条款第12.4.6条第3项规定执行。</w:t>
      </w:r>
    </w:p>
    <w:p w14:paraId="31B479AD">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 验收和工程试车</w:t>
      </w:r>
    </w:p>
    <w:p w14:paraId="2829908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13.1 分部分项工程验收</w:t>
      </w:r>
    </w:p>
    <w:p w14:paraId="30FB995A">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13.1.2监理人不能按时进行验收时，应提前</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24</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小时提交书面延期要求。</w:t>
      </w:r>
    </w:p>
    <w:p w14:paraId="2A99C64A">
      <w:pPr>
        <w:pStyle w:val="131"/>
        <w:adjustRightInd w:val="0"/>
        <w:snapToGrid w:val="0"/>
        <w:spacing w:line="360" w:lineRule="exact"/>
        <w:ind w:firstLine="420" w:firstLineChars="200"/>
        <w:jc w:val="left"/>
        <w:rPr>
          <w:rFonts w:ascii="仿宋" w:hAnsi="仿宋" w:eastAsia="仿宋" w:cs="仿宋"/>
          <w:b/>
          <w:bCs/>
          <w:color w:val="auto"/>
          <w:highlight w:val="none"/>
        </w:rPr>
      </w:pPr>
      <w:r>
        <w:rPr>
          <w:rFonts w:hint="eastAsia" w:ascii="仿宋" w:hAnsi="仿宋" w:eastAsia="仿宋" w:cs="仿宋"/>
          <w:color w:val="auto"/>
          <w:highlight w:val="none"/>
        </w:rPr>
        <w:t>关于延期最长不得超过：</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48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小时。</w:t>
      </w:r>
    </w:p>
    <w:p w14:paraId="5262FCE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13.2 竣工验收</w:t>
      </w:r>
    </w:p>
    <w:p w14:paraId="06D31E05">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13.2.2竣工验收程序</w:t>
      </w:r>
    </w:p>
    <w:p w14:paraId="0AF67DC7">
      <w:pPr>
        <w:pStyle w:val="131"/>
        <w:adjustRightInd w:val="0"/>
        <w:snapToGrid w:val="0"/>
        <w:spacing w:line="360" w:lineRule="exact"/>
        <w:ind w:left="4200" w:hanging="4200" w:hangingChars="2000"/>
        <w:jc w:val="left"/>
        <w:rPr>
          <w:rFonts w:ascii="仿宋" w:hAnsi="仿宋" w:eastAsia="仿宋" w:cs="仿宋"/>
          <w:color w:val="auto"/>
          <w:highlight w:val="none"/>
        </w:rPr>
      </w:pPr>
      <w:r>
        <w:rPr>
          <w:rFonts w:hint="eastAsia" w:ascii="仿宋" w:hAnsi="仿宋" w:eastAsia="仿宋" w:cs="仿宋"/>
          <w:color w:val="auto"/>
          <w:kern w:val="0"/>
          <w:highlight w:val="none"/>
        </w:rPr>
        <w:t xml:space="preserve">    关于竣工验收程序的约定：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按通用合同条款第13.2.2条规定执行。</w:t>
      </w:r>
    </w:p>
    <w:p w14:paraId="5FC710B9">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kern w:val="0"/>
          <w:highlight w:val="none"/>
        </w:rPr>
        <w:t>发包人不按照本项约定组织竣工验收、颁发工程接收证书的违约金的计算方法：</w:t>
      </w:r>
      <w:r>
        <w:rPr>
          <w:rFonts w:hint="eastAsia" w:ascii="仿宋" w:hAnsi="仿宋" w:eastAsia="仿宋" w:cs="仿宋"/>
          <w:b/>
          <w:bCs/>
          <w:color w:val="auto"/>
          <w:highlight w:val="none"/>
          <w:u w:val="single"/>
        </w:rPr>
        <w:t>/</w:t>
      </w:r>
      <w:r>
        <w:rPr>
          <w:rFonts w:hint="eastAsia" w:ascii="仿宋" w:hAnsi="仿宋" w:eastAsia="仿宋" w:cs="仿宋"/>
          <w:b/>
          <w:bCs/>
          <w:color w:val="auto"/>
          <w:highlight w:val="none"/>
        </w:rPr>
        <w:t>。</w:t>
      </w:r>
    </w:p>
    <w:p w14:paraId="73733E6A">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13.2.5移交、接收全部与部分工程</w:t>
      </w:r>
    </w:p>
    <w:p w14:paraId="7612D66E">
      <w:pPr>
        <w:pStyle w:val="131"/>
        <w:autoSpaceDE w:val="0"/>
        <w:autoSpaceDN w:val="0"/>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kern w:val="0"/>
          <w:highlight w:val="none"/>
        </w:rPr>
        <w:t>承包人向发包人移交工程的期限：</w:t>
      </w:r>
      <w:r>
        <w:rPr>
          <w:rFonts w:hint="eastAsia" w:ascii="仿宋" w:hAnsi="仿宋" w:eastAsia="仿宋" w:cs="仿宋"/>
          <w:b/>
          <w:bCs/>
          <w:color w:val="auto"/>
          <w:highlight w:val="none"/>
          <w:u w:val="single"/>
        </w:rPr>
        <w:t>竣工验收合格后7天内完成工程的移交。</w:t>
      </w:r>
    </w:p>
    <w:p w14:paraId="1ED03F09">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u w:val="single"/>
        </w:rPr>
      </w:pPr>
      <w:r>
        <w:rPr>
          <w:rFonts w:hint="eastAsia" w:ascii="仿宋" w:hAnsi="仿宋" w:eastAsia="仿宋" w:cs="仿宋"/>
          <w:color w:val="auto"/>
          <w:kern w:val="0"/>
          <w:highlight w:val="none"/>
        </w:rPr>
        <w:t>发包人未按本合同约定接收全部或部分工程的，违约金的计算方法为：</w:t>
      </w:r>
      <w:r>
        <w:rPr>
          <w:rFonts w:hint="eastAsia" w:ascii="仿宋" w:hAnsi="仿宋" w:eastAsia="仿宋" w:cs="仿宋"/>
          <w:b/>
          <w:bCs/>
          <w:color w:val="auto"/>
          <w:highlight w:val="none"/>
          <w:u w:val="single"/>
        </w:rPr>
        <w:t>/</w:t>
      </w:r>
      <w:r>
        <w:rPr>
          <w:rFonts w:hint="eastAsia" w:ascii="仿宋" w:hAnsi="仿宋" w:eastAsia="仿宋" w:cs="仿宋"/>
          <w:b/>
          <w:bCs/>
          <w:color w:val="auto"/>
          <w:highlight w:val="none"/>
        </w:rPr>
        <w:t>。</w:t>
      </w:r>
    </w:p>
    <w:p w14:paraId="4F55B90E">
      <w:pPr>
        <w:pStyle w:val="131"/>
        <w:adjustRightInd w:val="0"/>
        <w:snapToGrid w:val="0"/>
        <w:spacing w:line="360" w:lineRule="exact"/>
        <w:jc w:val="left"/>
        <w:rPr>
          <w:rFonts w:ascii="仿宋" w:hAnsi="仿宋" w:eastAsia="仿宋" w:cs="仿宋"/>
          <w:b/>
          <w:bCs/>
          <w:color w:val="auto"/>
          <w:highlight w:val="none"/>
          <w:u w:val="single"/>
        </w:rPr>
      </w:pPr>
      <w:r>
        <w:rPr>
          <w:rFonts w:hint="eastAsia" w:ascii="仿宋" w:hAnsi="仿宋" w:eastAsia="仿宋" w:cs="仿宋"/>
          <w:color w:val="auto"/>
          <w:highlight w:val="none"/>
        </w:rPr>
        <w:t xml:space="preserve">    承包人未按时移交工程的，违约金的计算方法为：</w:t>
      </w:r>
      <w:r>
        <w:rPr>
          <w:rFonts w:hint="eastAsia" w:ascii="仿宋" w:hAnsi="仿宋" w:eastAsia="仿宋" w:cs="仿宋"/>
          <w:b/>
          <w:bCs/>
          <w:color w:val="auto"/>
          <w:highlight w:val="none"/>
          <w:u w:val="single"/>
        </w:rPr>
        <w:t xml:space="preserve">承担违约责任，每延期一天按每天3000元向发包人支付违约金，在工程结算审定款中扣除。  </w:t>
      </w:r>
    </w:p>
    <w:p w14:paraId="6A92EE5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13.3 工程试车</w:t>
      </w:r>
    </w:p>
    <w:p w14:paraId="27D39B36">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13.3.1 试车程序</w:t>
      </w:r>
    </w:p>
    <w:p w14:paraId="1D79EEF5">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工程试车内容：</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试车内容应与承包人承包范围相一致，试车费用由承包人承担。  </w:t>
      </w:r>
    </w:p>
    <w:p w14:paraId="76D82B18">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（1）单机无负荷试车费用由</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承包人 </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承担；</w:t>
      </w:r>
    </w:p>
    <w:p w14:paraId="44E45B24">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（2）无负荷联动试车费用由</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承包人 </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highlight w:val="none"/>
        </w:rPr>
        <w:t>承担。</w:t>
      </w:r>
    </w:p>
    <w:p w14:paraId="29B54349">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13.3.3 投料试车</w:t>
      </w:r>
    </w:p>
    <w:p w14:paraId="196B7843">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kern w:val="0"/>
          <w:highlight w:val="none"/>
        </w:rPr>
        <w:t>关于投料试车相关事项的约定：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按通用合同条款第13.3.3条规定执行。</w:t>
      </w:r>
    </w:p>
    <w:p w14:paraId="3F43C9B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13.6 竣工退场</w:t>
      </w:r>
    </w:p>
    <w:p w14:paraId="6956C100">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13.6.1 竣工退场</w:t>
      </w:r>
    </w:p>
    <w:p w14:paraId="389D0C7A">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承包人完成竣工退场的期限：</w:t>
      </w:r>
      <w:r>
        <w:rPr>
          <w:rFonts w:hint="eastAsia" w:ascii="仿宋" w:hAnsi="仿宋" w:eastAsia="仿宋" w:cs="仿宋"/>
          <w:b/>
          <w:bCs/>
          <w:color w:val="auto"/>
          <w:highlight w:val="none"/>
          <w:u w:val="single"/>
        </w:rPr>
        <w:t xml:space="preserve"> 竣工验收合格后15天内清退全部临时设施、建筑材料、机械设备及建筑垃圾等</w:t>
      </w:r>
      <w:r>
        <w:rPr>
          <w:rFonts w:hint="eastAsia" w:ascii="仿宋" w:hAnsi="仿宋" w:eastAsia="仿宋" w:cs="仿宋"/>
          <w:b/>
          <w:bCs/>
          <w:color w:val="auto"/>
          <w:kern w:val="0"/>
          <w:highlight w:val="none"/>
        </w:rPr>
        <w:t>。</w:t>
      </w:r>
    </w:p>
    <w:p w14:paraId="2467ADA6">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 竣工结算</w:t>
      </w:r>
    </w:p>
    <w:p w14:paraId="460579B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14.1 竣工付款申请</w:t>
      </w:r>
    </w:p>
    <w:p w14:paraId="2FE1C05D">
      <w:pPr>
        <w:pStyle w:val="131"/>
        <w:autoSpaceDE w:val="0"/>
        <w:autoSpaceDN w:val="0"/>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承包人提交竣工付款申请单的期限：</w:t>
      </w:r>
      <w:r>
        <w:rPr>
          <w:rFonts w:hint="eastAsia" w:ascii="仿宋" w:hAnsi="仿宋" w:eastAsia="仿宋" w:cs="仿宋"/>
          <w:b/>
          <w:bCs/>
          <w:color w:val="auto"/>
          <w:highlight w:val="none"/>
          <w:u w:val="single"/>
        </w:rPr>
        <w:t>在工程竣工验收合格并提交以下资料后30天内。</w:t>
      </w:r>
    </w:p>
    <w:p w14:paraId="156AA015">
      <w:pPr>
        <w:pStyle w:val="131"/>
        <w:autoSpaceDE w:val="0"/>
        <w:autoSpaceDN w:val="0"/>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竣工付款申请单应包括的内容：</w:t>
      </w:r>
    </w:p>
    <w:p w14:paraId="0B7E8875">
      <w:pPr>
        <w:pStyle w:val="131"/>
        <w:autoSpaceDE w:val="0"/>
        <w:autoSpaceDN w:val="0"/>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（1）工程结算审核报告；</w:t>
      </w:r>
    </w:p>
    <w:p w14:paraId="718646F9">
      <w:pPr>
        <w:pStyle w:val="131"/>
        <w:autoSpaceDE w:val="0"/>
        <w:autoSpaceDN w:val="0"/>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（2）纸质竣工图纸、技术资料各3套及电子版(光盘)竣工图2套等相关资料</w:t>
      </w:r>
    </w:p>
    <w:p w14:paraId="20572C1B">
      <w:pPr>
        <w:pStyle w:val="131"/>
        <w:autoSpaceDE w:val="0"/>
        <w:autoSpaceDN w:val="0"/>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（3）发包人已支付承包人的款项；</w:t>
      </w:r>
    </w:p>
    <w:p w14:paraId="539A905B">
      <w:pPr>
        <w:pStyle w:val="131"/>
        <w:autoSpaceDE w:val="0"/>
        <w:autoSpaceDN w:val="0"/>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 xml:space="preserve">（4）应扣留的质量保证金等； </w:t>
      </w:r>
    </w:p>
    <w:p w14:paraId="19103B32">
      <w:pPr>
        <w:pStyle w:val="131"/>
        <w:autoSpaceDE w:val="0"/>
        <w:autoSpaceDN w:val="0"/>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（5）发包人应支付承包人的价款。</w:t>
      </w:r>
    </w:p>
    <w:p w14:paraId="39989E0B">
      <w:pPr>
        <w:pStyle w:val="131"/>
        <w:autoSpaceDE w:val="0"/>
        <w:autoSpaceDN w:val="0"/>
        <w:adjustRightInd w:val="0"/>
        <w:snapToGrid w:val="0"/>
        <w:spacing w:line="360" w:lineRule="exact"/>
        <w:ind w:firstLine="422" w:firstLineChars="200"/>
        <w:jc w:val="left"/>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工程最终结算价款以政府审计部门确定的为准。政府审计部门审计的期限不受通用条款约定的结算审核期限的限制。</w:t>
      </w:r>
    </w:p>
    <w:p w14:paraId="0FD2C3F2">
      <w:pPr>
        <w:pStyle w:val="131"/>
        <w:adjustRightInd w:val="0"/>
        <w:snapToGrid w:val="0"/>
        <w:spacing w:line="360" w:lineRule="exact"/>
        <w:ind w:firstLine="420" w:firstLineChars="199"/>
        <w:rPr>
          <w:rFonts w:ascii="仿宋" w:hAnsi="仿宋" w:eastAsia="仿宋" w:cs="仿宋"/>
          <w:b/>
          <w:bCs/>
          <w:color w:val="auto"/>
          <w:highlight w:val="none"/>
          <w:u w:val="single"/>
        </w:rPr>
      </w:pPr>
      <w:r>
        <w:rPr>
          <w:rFonts w:hint="eastAsia" w:ascii="仿宋" w:hAnsi="仿宋" w:eastAsia="仿宋" w:cs="仿宋"/>
          <w:b/>
          <w:bCs/>
          <w:color w:val="auto"/>
          <w:highlight w:val="none"/>
          <w:u w:val="single"/>
        </w:rPr>
        <w:t>若政府审计过程中产生审计服务费，则审计服务收费中审核追加费按相关文件收取，由承包人承担，发包人有权从任何应付工程价款中扣除。</w:t>
      </w:r>
    </w:p>
    <w:p w14:paraId="3007DCF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14.2 竣工结算审核</w:t>
      </w:r>
    </w:p>
    <w:p w14:paraId="01A45C7C">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szCs w:val="24"/>
          <w:highlight w:val="none"/>
        </w:rPr>
        <w:t>发包人审批竣工付款申请单的期限：</w:t>
      </w:r>
      <w:r>
        <w:rPr>
          <w:rFonts w:hint="eastAsia" w:ascii="仿宋" w:hAnsi="仿宋" w:eastAsia="仿宋" w:cs="仿宋"/>
          <w:b/>
          <w:bCs/>
          <w:color w:val="auto"/>
          <w:highlight w:val="none"/>
          <w:u w:val="single"/>
        </w:rPr>
        <w:t>在收到承包人提交的全部资料后14天内。</w:t>
      </w:r>
    </w:p>
    <w:p w14:paraId="74791ABF">
      <w:pPr>
        <w:spacing w:line="360" w:lineRule="exact"/>
        <w:ind w:firstLine="42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发包人完成竣工付款的期限：</w:t>
      </w:r>
      <w:r>
        <w:rPr>
          <w:rFonts w:hint="eastAsia" w:ascii="仿宋" w:hAnsi="仿宋" w:eastAsia="仿宋" w:cs="仿宋"/>
          <w:b/>
          <w:bCs/>
          <w:color w:val="auto"/>
          <w:highlight w:val="none"/>
          <w:u w:val="single"/>
        </w:rPr>
        <w:t>在签发竣工付款证书后的14天内。</w:t>
      </w:r>
    </w:p>
    <w:p w14:paraId="13214846">
      <w:pPr>
        <w:spacing w:line="360" w:lineRule="exact"/>
        <w:ind w:firstLine="42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关于竣工付款证书异议部分复核的方式和程序：</w:t>
      </w:r>
      <w:r>
        <w:rPr>
          <w:rFonts w:hint="eastAsia" w:ascii="仿宋" w:hAnsi="仿宋" w:eastAsia="仿宋" w:cs="仿宋"/>
          <w:color w:val="auto"/>
          <w:highlight w:val="none"/>
          <w:u w:val="single"/>
        </w:rPr>
        <w:t>/。</w:t>
      </w:r>
    </w:p>
    <w:p w14:paraId="5B7B341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14.4 最终结清</w:t>
      </w:r>
    </w:p>
    <w:p w14:paraId="3BD69B9A">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14.4.1 最终结清申请单</w:t>
      </w:r>
    </w:p>
    <w:p w14:paraId="046E676C">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承包人提交最终结清申请单的份数：</w:t>
      </w:r>
      <w:r>
        <w:rPr>
          <w:rFonts w:hint="eastAsia" w:ascii="仿宋" w:hAnsi="仿宋" w:eastAsia="仿宋" w:cs="仿宋"/>
          <w:b/>
          <w:bCs/>
          <w:color w:val="auto"/>
          <w:highlight w:val="none"/>
          <w:u w:val="single"/>
        </w:rPr>
        <w:t>叁份。</w:t>
      </w:r>
    </w:p>
    <w:p w14:paraId="4C060A32">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kern w:val="0"/>
          <w:highlight w:val="none"/>
        </w:rPr>
        <w:t>承包人提交最终结算申请单的期限：</w:t>
      </w:r>
      <w:r>
        <w:rPr>
          <w:rFonts w:hint="eastAsia" w:ascii="仿宋" w:hAnsi="仿宋" w:eastAsia="仿宋" w:cs="仿宋"/>
          <w:b/>
          <w:bCs/>
          <w:color w:val="auto"/>
          <w:highlight w:val="none"/>
          <w:u w:val="single"/>
        </w:rPr>
        <w:t xml:space="preserve">在质保期满后7天内。 </w:t>
      </w:r>
    </w:p>
    <w:p w14:paraId="2061351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14.4.2 最终结清证书和支付</w:t>
      </w:r>
    </w:p>
    <w:p w14:paraId="41F1029C">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highlight w:val="none"/>
        </w:rPr>
        <w:t>（1）发包人完成最终结清申请单的审批并颁发最终结清证书的期限：</w:t>
      </w:r>
      <w:r>
        <w:rPr>
          <w:rFonts w:hint="eastAsia" w:ascii="仿宋" w:hAnsi="仿宋" w:eastAsia="仿宋" w:cs="仿宋"/>
          <w:b/>
          <w:bCs/>
          <w:color w:val="auto"/>
          <w:highlight w:val="none"/>
          <w:u w:val="single"/>
        </w:rPr>
        <w:t>在收到承包人提交的最终结算申请单后14天内。</w:t>
      </w:r>
    </w:p>
    <w:p w14:paraId="38457D4B">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highlight w:val="none"/>
        </w:rPr>
        <w:t>（2）发包人完成支付的期限：</w:t>
      </w:r>
      <w:r>
        <w:rPr>
          <w:rFonts w:hint="eastAsia" w:ascii="仿宋" w:hAnsi="仿宋" w:eastAsia="仿宋" w:cs="仿宋"/>
          <w:b/>
          <w:bCs/>
          <w:color w:val="auto"/>
          <w:highlight w:val="none"/>
          <w:u w:val="single"/>
        </w:rPr>
        <w:t>在颁发最终结清证书后7天内完成支付。</w:t>
      </w:r>
    </w:p>
    <w:p w14:paraId="7AC9DF5D">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15. 缺陷责任期与保修</w:t>
      </w:r>
    </w:p>
    <w:p w14:paraId="22A001BF">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15.2缺陷责任期</w:t>
      </w:r>
    </w:p>
    <w:p w14:paraId="1D6558EA">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缺陷责任期的具体期限：</w:t>
      </w:r>
      <w:r>
        <w:rPr>
          <w:rFonts w:hint="eastAsia" w:ascii="仿宋" w:hAnsi="仿宋" w:eastAsia="仿宋" w:cs="仿宋"/>
          <w:b/>
          <w:bCs/>
          <w:color w:val="auto"/>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F94701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15.3 质量保证金</w:t>
      </w:r>
    </w:p>
    <w:p w14:paraId="4EC0DF5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关于是否扣留质量保证金的约定：</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是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2FD30B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在工程项目竣工前，承包人按专用合同条款第3.7条提供履约担保的，发包人不得同时预留工程质量保证金</w:t>
      </w:r>
    </w:p>
    <w:p w14:paraId="4FBC6DF8">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15.3.1 承包人提供质量保证金的方式</w:t>
      </w:r>
    </w:p>
    <w:p w14:paraId="2564CC60">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质量保证金采用以下第</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（3）</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种方式：</w:t>
      </w:r>
    </w:p>
    <w:p w14:paraId="5279728C">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（1）质量保证金保函，保证金额为：</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 xml:space="preserve">； </w:t>
      </w:r>
    </w:p>
    <w:p w14:paraId="5D37C90F">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（2）</w:t>
      </w:r>
      <w:r>
        <w:rPr>
          <w:rFonts w:hint="eastAsia" w:ascii="仿宋" w:hAnsi="仿宋" w:eastAsia="仿宋" w:cs="仿宋"/>
          <w:color w:val="auto"/>
          <w:kern w:val="0"/>
          <w:highlight w:val="none"/>
          <w:u w:val="single"/>
        </w:rPr>
        <w:t xml:space="preserve">  </w:t>
      </w:r>
      <w:r>
        <w:rPr>
          <w:rFonts w:hint="eastAsia" w:ascii="仿宋" w:hAnsi="仿宋" w:eastAsia="仿宋" w:cs="仿宋"/>
          <w:b/>
          <w:bCs/>
          <w:color w:val="auto"/>
          <w:kern w:val="0"/>
          <w:highlight w:val="none"/>
          <w:u w:val="single"/>
        </w:rPr>
        <w:t xml:space="preserve"> </w:t>
      </w:r>
      <w:r>
        <w:rPr>
          <w:rFonts w:hint="eastAsia" w:ascii="仿宋" w:hAnsi="仿宋" w:eastAsia="仿宋" w:cs="仿宋"/>
          <w:color w:val="auto"/>
          <w:kern w:val="0"/>
          <w:highlight w:val="none"/>
          <w:u w:val="single"/>
        </w:rPr>
        <w:t>/</w:t>
      </w:r>
      <w:r>
        <w:rPr>
          <w:rFonts w:hint="eastAsia" w:ascii="仿宋" w:hAnsi="仿宋" w:eastAsia="仿宋" w:cs="仿宋"/>
          <w:b/>
          <w:bCs/>
          <w:color w:val="auto"/>
          <w:kern w:val="0"/>
          <w:highlight w:val="none"/>
          <w:u w:val="single"/>
        </w:rPr>
        <w:t xml:space="preserve"> </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%的工程款；</w:t>
      </w:r>
    </w:p>
    <w:p w14:paraId="661C39BD">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（3）其他方式:</w:t>
      </w:r>
      <w:r>
        <w:rPr>
          <w:rFonts w:hint="eastAsia" w:ascii="仿宋" w:hAnsi="仿宋" w:eastAsia="仿宋" w:cs="仿宋"/>
          <w:color w:val="auto"/>
          <w:kern w:val="0"/>
          <w:highlight w:val="none"/>
          <w:u w:val="single"/>
        </w:rPr>
        <w:t xml:space="preserve"> </w:t>
      </w:r>
      <w:r>
        <w:rPr>
          <w:rFonts w:hint="eastAsia" w:ascii="仿宋" w:hAnsi="仿宋" w:eastAsia="仿宋" w:cs="仿宋"/>
          <w:b/>
          <w:bCs/>
          <w:color w:val="auto"/>
          <w:kern w:val="0"/>
          <w:highlight w:val="none"/>
          <w:u w:val="single"/>
        </w:rPr>
        <w:t>按结算审定价的1.5%缴纳</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w:t>
      </w:r>
    </w:p>
    <w:p w14:paraId="4DA7C107">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 xml:space="preserve">15.3.2 质量保证金的扣留 </w:t>
      </w:r>
    </w:p>
    <w:p w14:paraId="02D76E7D">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质量保证金的扣留采取以下第</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 (3)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种方式：</w:t>
      </w:r>
    </w:p>
    <w:p w14:paraId="12AD9374">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（1）在支付工程进度款时逐次扣留，在此情形下，质量保证金的计算基数不包括预付款的支付、扣回以及价格调整的金额；</w:t>
      </w:r>
    </w:p>
    <w:p w14:paraId="729CA0F9">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（2）工程竣工结算时一次性扣留质量保证金；</w:t>
      </w:r>
    </w:p>
    <w:p w14:paraId="78393ACD">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（3）其他扣留方式:</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73F99959">
      <w:pPr>
        <w:pStyle w:val="131"/>
        <w:adjustRightInd w:val="0"/>
        <w:snapToGrid w:val="0"/>
        <w:spacing w:line="360" w:lineRule="exact"/>
        <w:ind w:firstLine="630" w:firstLineChars="300"/>
        <w:jc w:val="left"/>
        <w:rPr>
          <w:rFonts w:ascii="仿宋" w:hAnsi="仿宋" w:eastAsia="仿宋" w:cs="仿宋"/>
          <w:color w:val="auto"/>
          <w:highlight w:val="none"/>
        </w:rPr>
      </w:pPr>
      <w:r>
        <w:rPr>
          <w:rFonts w:hint="eastAsia" w:ascii="仿宋" w:hAnsi="仿宋" w:eastAsia="仿宋" w:cs="仿宋"/>
          <w:color w:val="auto"/>
          <w:highlight w:val="none"/>
        </w:rPr>
        <w:t>关于质量保证金的补充约定：</w:t>
      </w:r>
      <w:r>
        <w:rPr>
          <w:rFonts w:hint="eastAsia" w:ascii="仿宋" w:hAnsi="仿宋" w:eastAsia="仿宋" w:cs="仿宋"/>
          <w:color w:val="auto"/>
          <w:kern w:val="0"/>
          <w:highlight w:val="none"/>
          <w:u w:val="single"/>
        </w:rPr>
        <w:t xml:space="preserve"> </w:t>
      </w:r>
      <w:r>
        <w:rPr>
          <w:rFonts w:hint="eastAsia" w:ascii="仿宋" w:hAnsi="仿宋" w:eastAsia="仿宋" w:cs="仿宋"/>
          <w:b/>
          <w:bCs/>
          <w:color w:val="auto"/>
          <w:kern w:val="0"/>
          <w:highlight w:val="none"/>
          <w:u w:val="single"/>
        </w:rPr>
        <w:t xml:space="preserve">按结算审定价的1.5%缴纳 </w:t>
      </w:r>
      <w:r>
        <w:rPr>
          <w:rFonts w:hint="eastAsia" w:ascii="仿宋" w:hAnsi="仿宋" w:eastAsia="仿宋" w:cs="仿宋"/>
          <w:color w:val="auto"/>
          <w:kern w:val="0"/>
          <w:highlight w:val="none"/>
        </w:rPr>
        <w:t>。</w:t>
      </w:r>
    </w:p>
    <w:p w14:paraId="1ED1ADC7">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15.4保修</w:t>
      </w:r>
    </w:p>
    <w:p w14:paraId="075F9064">
      <w:pPr>
        <w:pStyle w:val="131"/>
        <w:adjustRightInd w:val="0"/>
        <w:snapToGrid w:val="0"/>
        <w:spacing w:line="360" w:lineRule="exact"/>
        <w:ind w:firstLine="409" w:firstLineChars="195"/>
        <w:jc w:val="left"/>
        <w:rPr>
          <w:rFonts w:ascii="仿宋" w:hAnsi="仿宋" w:eastAsia="仿宋" w:cs="仿宋"/>
          <w:color w:val="auto"/>
          <w:highlight w:val="none"/>
        </w:rPr>
      </w:pPr>
      <w:r>
        <w:rPr>
          <w:rFonts w:hint="eastAsia" w:ascii="仿宋" w:hAnsi="仿宋" w:eastAsia="仿宋" w:cs="仿宋"/>
          <w:color w:val="auto"/>
          <w:highlight w:val="none"/>
        </w:rPr>
        <w:t>15.4.1 保修责任</w:t>
      </w:r>
    </w:p>
    <w:p w14:paraId="3F6DDCBD">
      <w:pPr>
        <w:pStyle w:val="131"/>
        <w:adjustRightInd w:val="0"/>
        <w:snapToGrid w:val="0"/>
        <w:spacing w:line="360" w:lineRule="exact"/>
        <w:jc w:val="left"/>
        <w:rPr>
          <w:rFonts w:ascii="仿宋" w:hAnsi="仿宋" w:eastAsia="仿宋" w:cs="仿宋"/>
          <w:color w:val="auto"/>
          <w:kern w:val="0"/>
          <w:highlight w:val="none"/>
        </w:rPr>
      </w:pPr>
      <w:r>
        <w:rPr>
          <w:rFonts w:hint="eastAsia" w:ascii="仿宋" w:hAnsi="仿宋" w:eastAsia="仿宋" w:cs="仿宋"/>
          <w:color w:val="auto"/>
          <w:highlight w:val="none"/>
        </w:rPr>
        <w:t xml:space="preserve">    工程保修期为：</w:t>
      </w:r>
      <w:r>
        <w:rPr>
          <w:rFonts w:hint="eastAsia" w:ascii="仿宋" w:hAnsi="仿宋" w:eastAsia="仿宋" w:cs="仿宋"/>
          <w:b/>
          <w:bCs/>
          <w:color w:val="auto"/>
          <w:highlight w:val="none"/>
          <w:u w:val="single"/>
        </w:rPr>
        <w:t>按工程质量保修书规定执行。</w:t>
      </w:r>
    </w:p>
    <w:p w14:paraId="35AA71BA">
      <w:pPr>
        <w:pStyle w:val="131"/>
        <w:adjustRightInd w:val="0"/>
        <w:snapToGrid w:val="0"/>
        <w:spacing w:line="360" w:lineRule="exact"/>
        <w:ind w:firstLine="409" w:firstLineChars="195"/>
        <w:jc w:val="left"/>
        <w:rPr>
          <w:rFonts w:ascii="仿宋" w:hAnsi="仿宋" w:eastAsia="仿宋" w:cs="仿宋"/>
          <w:color w:val="auto"/>
          <w:highlight w:val="none"/>
        </w:rPr>
      </w:pPr>
      <w:r>
        <w:rPr>
          <w:rFonts w:hint="eastAsia" w:ascii="仿宋" w:hAnsi="仿宋" w:eastAsia="仿宋" w:cs="仿宋"/>
          <w:color w:val="auto"/>
          <w:highlight w:val="none"/>
        </w:rPr>
        <w:t>15.4.3 修复通知</w:t>
      </w:r>
    </w:p>
    <w:p w14:paraId="490CBDAC">
      <w:pPr>
        <w:pStyle w:val="131"/>
        <w:adjustRightInd w:val="0"/>
        <w:snapToGrid w:val="0"/>
        <w:spacing w:line="360" w:lineRule="exact"/>
        <w:jc w:val="left"/>
        <w:rPr>
          <w:rFonts w:ascii="仿宋" w:hAnsi="仿宋" w:eastAsia="仿宋" w:cs="仿宋"/>
          <w:color w:val="auto"/>
          <w:kern w:val="0"/>
          <w:highlight w:val="none"/>
        </w:rPr>
      </w:pPr>
      <w:r>
        <w:rPr>
          <w:rFonts w:hint="eastAsia" w:ascii="仿宋" w:hAnsi="仿宋" w:eastAsia="仿宋" w:cs="仿宋"/>
          <w:color w:val="auto"/>
          <w:kern w:val="0"/>
          <w:highlight w:val="none"/>
        </w:rPr>
        <w:t xml:space="preserve">    承包人收到保修通知并到达工程现场的合理时间：</w:t>
      </w:r>
      <w:r>
        <w:rPr>
          <w:rFonts w:hint="eastAsia" w:ascii="仿宋" w:hAnsi="仿宋" w:eastAsia="仿宋" w:cs="仿宋"/>
          <w:color w:val="auto"/>
          <w:kern w:val="0"/>
          <w:highlight w:val="none"/>
          <w:u w:val="single"/>
        </w:rPr>
        <w:t xml:space="preserve"> </w:t>
      </w:r>
      <w:r>
        <w:rPr>
          <w:rFonts w:hint="eastAsia" w:ascii="仿宋" w:hAnsi="仿宋" w:eastAsia="仿宋" w:cs="仿宋"/>
          <w:b/>
          <w:bCs/>
          <w:color w:val="auto"/>
          <w:highlight w:val="none"/>
          <w:u w:val="single"/>
        </w:rPr>
        <w:t xml:space="preserve"> 2日内。</w:t>
      </w:r>
    </w:p>
    <w:p w14:paraId="2EB80C34">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16. 违约</w:t>
      </w:r>
    </w:p>
    <w:p w14:paraId="5EFC4DFB">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16.1 发包人违约</w:t>
      </w:r>
    </w:p>
    <w:p w14:paraId="21C691A4">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16.1.1发包人违约的情形</w:t>
      </w:r>
    </w:p>
    <w:p w14:paraId="1CD6B7D7">
      <w:pPr>
        <w:pStyle w:val="131"/>
        <w:autoSpaceDE w:val="0"/>
        <w:autoSpaceDN w:val="0"/>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kern w:val="0"/>
          <w:highlight w:val="none"/>
        </w:rPr>
        <w:t>发包人违约的其他情形：</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3AEEEBA3">
      <w:pPr>
        <w:pStyle w:val="131"/>
        <w:adjustRightInd w:val="0"/>
        <w:snapToGrid w:val="0"/>
        <w:spacing w:line="360" w:lineRule="exact"/>
        <w:ind w:left="1050" w:hanging="1050" w:hangingChars="500"/>
        <w:jc w:val="left"/>
        <w:rPr>
          <w:rFonts w:ascii="仿宋" w:hAnsi="仿宋" w:eastAsia="仿宋" w:cs="仿宋"/>
          <w:color w:val="auto"/>
          <w:kern w:val="0"/>
          <w:highlight w:val="none"/>
        </w:rPr>
      </w:pPr>
      <w:r>
        <w:rPr>
          <w:rFonts w:hint="eastAsia" w:ascii="仿宋" w:hAnsi="仿宋" w:eastAsia="仿宋" w:cs="仿宋"/>
          <w:color w:val="auto"/>
          <w:kern w:val="0"/>
          <w:highlight w:val="none"/>
        </w:rPr>
        <w:t xml:space="preserve">    16.1.2 发包人违约的责任</w:t>
      </w:r>
    </w:p>
    <w:p w14:paraId="6612BE2A">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发包人违约责任的承担方式和计算方法：</w:t>
      </w:r>
    </w:p>
    <w:p w14:paraId="608472CD">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kern w:val="0"/>
          <w:highlight w:val="none"/>
        </w:rPr>
        <w:t>（1）因发包人原因未能在计划开工日期前7天内下达开工通知的违约责任：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color w:val="auto"/>
          <w:highlight w:val="none"/>
        </w:rPr>
        <w:t xml:space="preserve"> </w:t>
      </w:r>
      <w:r>
        <w:rPr>
          <w:rFonts w:hint="eastAsia" w:ascii="仿宋" w:hAnsi="仿宋" w:eastAsia="仿宋" w:cs="仿宋"/>
          <w:color w:val="auto"/>
          <w:highlight w:val="none"/>
          <w:u w:val="single"/>
        </w:rPr>
        <w:t xml:space="preserve"> </w:t>
      </w:r>
    </w:p>
    <w:p w14:paraId="7FDB648F">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kern w:val="0"/>
          <w:highlight w:val="none"/>
        </w:rPr>
        <w:t>（2）因发包人原因未能按合同约定支付合同价款的违约责任：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highlight w:val="none"/>
          <w:u w:val="single"/>
        </w:rPr>
        <w:t xml:space="preserve">/ </w:t>
      </w:r>
    </w:p>
    <w:p w14:paraId="6BC3057F">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u w:val="single"/>
        </w:rPr>
      </w:pPr>
      <w:r>
        <w:rPr>
          <w:rFonts w:hint="eastAsia" w:ascii="仿宋" w:hAnsi="仿宋" w:eastAsia="仿宋" w:cs="仿宋"/>
          <w:color w:val="auto"/>
          <w:kern w:val="0"/>
          <w:highlight w:val="none"/>
        </w:rPr>
        <w:t>（3）发包人违反第10.1款〔变更的范围〕第（2）项约定，自行实施被取消的工作或转由他人实施的违约责任：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highlight w:val="none"/>
          <w:u w:val="single"/>
        </w:rPr>
        <w:t xml:space="preserve">/  </w:t>
      </w:r>
    </w:p>
    <w:p w14:paraId="39E23BDC">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kern w:val="0"/>
          <w:highlight w:val="none"/>
        </w:rPr>
        <w:t>（4）发包人提供的材料、工程设备的规格、数量或质量不符合合同约定，或因发包人原因导致交货日期延误或交货地点变更等情况的违约责任：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highlight w:val="none"/>
          <w:u w:val="single"/>
        </w:rPr>
        <w:t xml:space="preserve">/ </w:t>
      </w:r>
    </w:p>
    <w:p w14:paraId="65C627FE">
      <w:pPr>
        <w:pStyle w:val="131"/>
        <w:autoSpaceDE w:val="0"/>
        <w:autoSpaceDN w:val="0"/>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kern w:val="0"/>
          <w:highlight w:val="none"/>
        </w:rPr>
        <w:t>（5）因发包人违反合同约定造成暂停施工的违约责任：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highlight w:val="none"/>
          <w:u w:val="single"/>
        </w:rPr>
        <w:t xml:space="preserve">/ </w:t>
      </w:r>
    </w:p>
    <w:p w14:paraId="7888D4F2">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u w:val="single"/>
        </w:rPr>
      </w:pPr>
      <w:r>
        <w:rPr>
          <w:rFonts w:hint="eastAsia" w:ascii="仿宋" w:hAnsi="仿宋" w:eastAsia="仿宋" w:cs="仿宋"/>
          <w:color w:val="auto"/>
          <w:kern w:val="0"/>
          <w:highlight w:val="none"/>
        </w:rPr>
        <w:t>（6）发包人无正当理由没有在约定期限内发出复工指示，导致承包人无法复工的违约责任：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highlight w:val="none"/>
          <w:u w:val="single"/>
        </w:rPr>
        <w:t xml:space="preserve">/ </w:t>
      </w:r>
    </w:p>
    <w:p w14:paraId="02545D26">
      <w:pPr>
        <w:pStyle w:val="131"/>
        <w:autoSpaceDE w:val="0"/>
        <w:autoSpaceDN w:val="0"/>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kern w:val="0"/>
          <w:highlight w:val="none"/>
        </w:rPr>
        <w:t>（7）其他：</w:t>
      </w:r>
      <w:r>
        <w:rPr>
          <w:rFonts w:hint="eastAsia" w:ascii="仿宋" w:hAnsi="仿宋" w:eastAsia="仿宋" w:cs="仿宋"/>
          <w:color w:val="auto"/>
          <w:highlight w:val="none"/>
          <w:u w:val="single"/>
        </w:rPr>
        <w:t xml:space="preserve"> / </w:t>
      </w:r>
    </w:p>
    <w:p w14:paraId="77D0443E">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16.1.3 因发包人违约解除合同</w:t>
      </w:r>
    </w:p>
    <w:p w14:paraId="49AC3329">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承包人按16.1.1项〔发包人违约的情形〕约定暂停施工满</w:t>
      </w:r>
      <w:r>
        <w:rPr>
          <w:rFonts w:hint="eastAsia" w:ascii="仿宋" w:hAnsi="仿宋" w:eastAsia="仿宋" w:cs="仿宋"/>
          <w:color w:val="auto"/>
          <w:kern w:val="0"/>
          <w:highlight w:val="none"/>
          <w:u w:val="single"/>
        </w:rPr>
        <w:t xml:space="preserve"> </w:t>
      </w:r>
      <w:r>
        <w:rPr>
          <w:rFonts w:hint="eastAsia" w:ascii="仿宋" w:hAnsi="仿宋" w:eastAsia="仿宋" w:cs="仿宋"/>
          <w:b/>
          <w:bCs/>
          <w:color w:val="auto"/>
          <w:kern w:val="0"/>
          <w:highlight w:val="none"/>
          <w:u w:val="single"/>
        </w:rPr>
        <w:t>60</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天后发包人仍不纠正其违约行为并致使合同目的不能实现的，承包人有权解除合同。</w:t>
      </w:r>
    </w:p>
    <w:p w14:paraId="0F0E126E">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16.2 承包人违约</w:t>
      </w:r>
    </w:p>
    <w:p w14:paraId="73127BB8">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16.2.1 承包人违约的情形</w:t>
      </w:r>
    </w:p>
    <w:p w14:paraId="25F059E6">
      <w:pPr>
        <w:pStyle w:val="131"/>
        <w:adjustRightInd w:val="0"/>
        <w:snapToGrid w:val="0"/>
        <w:spacing w:line="360" w:lineRule="exact"/>
        <w:ind w:left="1050" w:leftChars="200" w:hanging="630" w:hangingChars="300"/>
        <w:jc w:val="left"/>
        <w:rPr>
          <w:rFonts w:ascii="仿宋" w:hAnsi="仿宋" w:eastAsia="仿宋" w:cs="仿宋"/>
          <w:color w:val="auto"/>
          <w:kern w:val="0"/>
          <w:highlight w:val="none"/>
        </w:rPr>
      </w:pPr>
      <w:r>
        <w:rPr>
          <w:rFonts w:hint="eastAsia" w:ascii="仿宋" w:hAnsi="仿宋" w:eastAsia="仿宋" w:cs="仿宋"/>
          <w:color w:val="auto"/>
          <w:kern w:val="0"/>
          <w:highlight w:val="none"/>
        </w:rPr>
        <w:t>承包人违约的其他情形：</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 xml:space="preserve">。   </w:t>
      </w:r>
    </w:p>
    <w:p w14:paraId="1103714E">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16.2.2承包人违约的责任</w:t>
      </w:r>
    </w:p>
    <w:p w14:paraId="119F04CE">
      <w:pPr>
        <w:pStyle w:val="131"/>
        <w:adjustRightInd w:val="0"/>
        <w:snapToGrid w:val="0"/>
        <w:spacing w:line="360" w:lineRule="exact"/>
        <w:ind w:left="1050" w:leftChars="200" w:hanging="630" w:hangingChars="300"/>
        <w:jc w:val="left"/>
        <w:rPr>
          <w:rFonts w:ascii="仿宋" w:hAnsi="仿宋" w:eastAsia="仿宋" w:cs="仿宋"/>
          <w:color w:val="auto"/>
          <w:kern w:val="0"/>
          <w:highlight w:val="none"/>
          <w:u w:val="single"/>
        </w:rPr>
      </w:pPr>
      <w:r>
        <w:rPr>
          <w:rFonts w:hint="eastAsia" w:ascii="仿宋" w:hAnsi="仿宋" w:eastAsia="仿宋" w:cs="仿宋"/>
          <w:color w:val="auto"/>
          <w:kern w:val="0"/>
          <w:highlight w:val="none"/>
        </w:rPr>
        <w:t>承包人违约责任的承担方式和计算方法：</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r>
        <w:rPr>
          <w:rFonts w:hint="eastAsia" w:ascii="仿宋" w:hAnsi="仿宋" w:eastAsia="仿宋" w:cs="仿宋"/>
          <w:color w:val="auto"/>
          <w:highlight w:val="none"/>
        </w:rPr>
        <w:t xml:space="preserve">    </w:t>
      </w:r>
    </w:p>
    <w:p w14:paraId="39275410">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16.2.3 因承包人违约解除合同</w:t>
      </w:r>
    </w:p>
    <w:p w14:paraId="4532246B">
      <w:pPr>
        <w:pStyle w:val="131"/>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关于承包人违约解除合同的特别约定：</w:t>
      </w:r>
      <w:r>
        <w:rPr>
          <w:rFonts w:hint="eastAsia" w:ascii="仿宋" w:hAnsi="仿宋" w:eastAsia="仿宋" w:cs="仿宋"/>
          <w:b/>
          <w:bCs/>
          <w:color w:val="auto"/>
          <w:highlight w:val="none"/>
          <w:u w:val="single"/>
        </w:rPr>
        <w:t>承包人无故中止施工超过30天而导致工程无法完工的，发包人有权解除合同，并要求承包人按合同金额的10%支付违约金，因承包人违约造成甲方损失超过上述违约金数额的，还需要承担相应赔偿责任，包括直接损失和间接损失。</w:t>
      </w:r>
    </w:p>
    <w:p w14:paraId="2E4B809B">
      <w:pPr>
        <w:pStyle w:val="131"/>
        <w:adjustRightInd w:val="0"/>
        <w:snapToGrid w:val="0"/>
        <w:spacing w:line="360" w:lineRule="exact"/>
        <w:ind w:firstLine="420" w:firstLineChars="200"/>
        <w:rPr>
          <w:rFonts w:ascii="仿宋" w:hAnsi="仿宋" w:eastAsia="仿宋" w:cs="仿宋"/>
          <w:b/>
          <w:bCs/>
          <w:color w:val="auto"/>
          <w:highlight w:val="none"/>
          <w:u w:val="single"/>
        </w:rPr>
      </w:pPr>
      <w:r>
        <w:rPr>
          <w:rFonts w:hint="eastAsia" w:ascii="仿宋" w:hAnsi="仿宋" w:eastAsia="仿宋" w:cs="仿宋"/>
          <w:color w:val="auto"/>
          <w:kern w:val="0"/>
          <w:highlight w:val="none"/>
        </w:rPr>
        <w:t>发包人继续使用承包人在施工现场的材料、设备、临时工程、承包人文件和由承包人或以其名义编制的其他文件的费用承担方式：</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5BBD4354">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17. 不可抗力 </w:t>
      </w:r>
    </w:p>
    <w:p w14:paraId="484A7779">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17.1 不可抗力的确认</w:t>
      </w:r>
    </w:p>
    <w:p w14:paraId="092611CF">
      <w:pPr>
        <w:pStyle w:val="131"/>
        <w:adjustRightInd w:val="0"/>
        <w:snapToGrid w:val="0"/>
        <w:spacing w:line="360" w:lineRule="exact"/>
        <w:ind w:firstLine="420" w:firstLineChars="200"/>
        <w:jc w:val="left"/>
        <w:rPr>
          <w:rFonts w:ascii="仿宋" w:hAnsi="仿宋" w:eastAsia="仿宋" w:cs="仿宋"/>
          <w:color w:val="auto"/>
          <w:kern w:val="0"/>
          <w:highlight w:val="none"/>
          <w:u w:val="single"/>
        </w:rPr>
      </w:pPr>
      <w:r>
        <w:rPr>
          <w:rFonts w:hint="eastAsia" w:ascii="仿宋" w:hAnsi="仿宋" w:eastAsia="仿宋" w:cs="仿宋"/>
          <w:color w:val="auto"/>
          <w:highlight w:val="none"/>
        </w:rPr>
        <w:t>除通用合同条款约定的不可抗力事件之外，视为不可抗力的其他情形：</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357F016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17.4 因不可抗力解除合同</w:t>
      </w:r>
    </w:p>
    <w:p w14:paraId="087C83F3">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合同解除后，发包人应在商定或确定发包人应支付款项后</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天内完成款项的支付。</w:t>
      </w:r>
    </w:p>
    <w:p w14:paraId="38D65E8F">
      <w:pPr>
        <w:pStyle w:val="552"/>
        <w:adjustRightInd w:val="0"/>
        <w:snapToGrid w:val="0"/>
        <w:spacing w:before="0" w:after="0" w:line="360" w:lineRule="exac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18. 保险</w:t>
      </w:r>
    </w:p>
    <w:p w14:paraId="51792AA5">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18.1 工程保险</w:t>
      </w:r>
    </w:p>
    <w:p w14:paraId="4BCABD21">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关于工程保险的特别约定：</w:t>
      </w:r>
      <w:r>
        <w:rPr>
          <w:rFonts w:hint="eastAsia" w:ascii="仿宋" w:hAnsi="仿宋" w:eastAsia="仿宋" w:cs="仿宋"/>
          <w:color w:val="auto"/>
          <w:kern w:val="0"/>
          <w:highlight w:val="none"/>
          <w:u w:val="single"/>
        </w:rPr>
        <w:t xml:space="preserve">  /   </w:t>
      </w:r>
      <w:r>
        <w:rPr>
          <w:rFonts w:hint="eastAsia" w:ascii="仿宋" w:hAnsi="仿宋" w:eastAsia="仿宋" w:cs="仿宋"/>
          <w:color w:val="auto"/>
          <w:kern w:val="0"/>
          <w:highlight w:val="none"/>
        </w:rPr>
        <w:t>。</w:t>
      </w:r>
    </w:p>
    <w:p w14:paraId="43B15C3A">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18.3 其他保险</w:t>
      </w:r>
    </w:p>
    <w:p w14:paraId="2448E809">
      <w:pPr>
        <w:pStyle w:val="131"/>
        <w:adjustRightInd w:val="0"/>
        <w:snapToGrid w:val="0"/>
        <w:spacing w:line="360" w:lineRule="exact"/>
        <w:ind w:firstLine="420" w:firstLineChars="200"/>
        <w:jc w:val="left"/>
        <w:rPr>
          <w:rFonts w:ascii="仿宋" w:hAnsi="仿宋" w:eastAsia="仿宋" w:cs="仿宋"/>
          <w:b/>
          <w:bCs/>
          <w:color w:val="auto"/>
          <w:highlight w:val="none"/>
          <w:u w:val="single"/>
        </w:rPr>
      </w:pPr>
      <w:r>
        <w:rPr>
          <w:rFonts w:hint="eastAsia" w:ascii="仿宋" w:hAnsi="仿宋" w:eastAsia="仿宋" w:cs="仿宋"/>
          <w:color w:val="auto"/>
          <w:highlight w:val="none"/>
        </w:rPr>
        <w:t>关于其他保险的约定：</w:t>
      </w:r>
      <w:r>
        <w:rPr>
          <w:rFonts w:hint="eastAsia" w:ascii="仿宋" w:hAnsi="仿宋" w:eastAsia="仿宋" w:cs="仿宋"/>
          <w:b/>
          <w:bCs/>
          <w:color w:val="auto"/>
          <w:highlight w:val="none"/>
          <w:u w:val="single"/>
        </w:rPr>
        <w:t>承包人投保建筑工人及管理人员意外伤害保险。</w:t>
      </w:r>
    </w:p>
    <w:p w14:paraId="37CB2B2B">
      <w:pPr>
        <w:pStyle w:val="131"/>
        <w:adjustRightInd w:val="0"/>
        <w:snapToGrid w:val="0"/>
        <w:spacing w:line="360" w:lineRule="exact"/>
        <w:jc w:val="left"/>
        <w:rPr>
          <w:rFonts w:ascii="仿宋" w:hAnsi="仿宋" w:eastAsia="仿宋" w:cs="仿宋"/>
          <w:color w:val="auto"/>
          <w:kern w:val="0"/>
          <w:highlight w:val="none"/>
        </w:rPr>
      </w:pPr>
      <w:r>
        <w:rPr>
          <w:rFonts w:hint="eastAsia" w:ascii="仿宋" w:hAnsi="仿宋" w:eastAsia="仿宋" w:cs="仿宋"/>
          <w:color w:val="auto"/>
          <w:highlight w:val="none"/>
        </w:rPr>
        <w:t xml:space="preserve">    承包人是否应为其施工设备等办理财产保险：</w:t>
      </w:r>
      <w:r>
        <w:rPr>
          <w:rFonts w:hint="eastAsia" w:ascii="仿宋" w:hAnsi="仿宋" w:eastAsia="仿宋" w:cs="仿宋"/>
          <w:color w:val="auto"/>
          <w:highlight w:val="none"/>
          <w:u w:val="single"/>
        </w:rPr>
        <w:t xml:space="preserve">    </w:t>
      </w:r>
      <w:r>
        <w:rPr>
          <w:rFonts w:hint="eastAsia" w:ascii="仿宋" w:hAnsi="仿宋" w:eastAsia="仿宋" w:cs="仿宋"/>
          <w:b/>
          <w:bCs/>
          <w:color w:val="auto"/>
          <w:highlight w:val="none"/>
          <w:u w:val="single"/>
        </w:rPr>
        <w:t xml:space="preserve">是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C5EEF0C">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18.7 通知义务</w:t>
      </w:r>
    </w:p>
    <w:p w14:paraId="45BBA334">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kern w:val="0"/>
          <w:highlight w:val="none"/>
        </w:rPr>
        <w:t>关于变更保险合同时的通知义务的约定：</w:t>
      </w:r>
      <w:r>
        <w:rPr>
          <w:rFonts w:hint="eastAsia" w:ascii="仿宋" w:hAnsi="仿宋" w:eastAsia="仿宋" w:cs="仿宋"/>
          <w:b/>
          <w:bCs/>
          <w:color w:val="auto"/>
          <w:highlight w:val="none"/>
          <w:u w:val="single"/>
        </w:rPr>
        <w:t>按通用合同条款第18.7条项规定执行。</w:t>
      </w:r>
    </w:p>
    <w:p w14:paraId="63C3136F">
      <w:pPr>
        <w:pStyle w:val="552"/>
        <w:adjustRightInd w:val="0"/>
        <w:snapToGrid w:val="0"/>
        <w:spacing w:before="0" w:after="0" w:line="360" w:lineRule="exact"/>
        <w:ind w:firstLine="42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20. 争议解决</w:t>
      </w:r>
    </w:p>
    <w:p w14:paraId="037B8FC8">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20.3 争议评审</w:t>
      </w:r>
    </w:p>
    <w:p w14:paraId="172AF041">
      <w:pPr>
        <w:pStyle w:val="131"/>
        <w:adjustRightInd w:val="0"/>
        <w:snapToGrid w:val="0"/>
        <w:spacing w:line="360" w:lineRule="exact"/>
        <w:jc w:val="left"/>
        <w:rPr>
          <w:rFonts w:ascii="仿宋" w:hAnsi="仿宋" w:eastAsia="仿宋" w:cs="仿宋"/>
          <w:color w:val="auto"/>
          <w:highlight w:val="none"/>
        </w:rPr>
      </w:pPr>
      <w:r>
        <w:rPr>
          <w:rFonts w:hint="eastAsia" w:ascii="仿宋" w:hAnsi="仿宋" w:eastAsia="仿宋" w:cs="仿宋"/>
          <w:color w:val="auto"/>
          <w:highlight w:val="none"/>
        </w:rPr>
        <w:t xml:space="preserve">    合同当事人是否同意将工程争议提交争议评审小组决定：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 xml:space="preserve">。  </w:t>
      </w:r>
    </w:p>
    <w:p w14:paraId="7024229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20.3.1 争议评审小组的确定</w:t>
      </w:r>
    </w:p>
    <w:p w14:paraId="22A08F20">
      <w:pPr>
        <w:pStyle w:val="131"/>
        <w:adjustRightInd w:val="0"/>
        <w:snapToGrid w:val="0"/>
        <w:spacing w:line="360" w:lineRule="exact"/>
        <w:ind w:firstLine="420" w:firstLineChars="200"/>
        <w:jc w:val="left"/>
        <w:rPr>
          <w:rFonts w:ascii="仿宋" w:hAnsi="仿宋" w:eastAsia="仿宋" w:cs="仿宋"/>
          <w:color w:val="auto"/>
          <w:highlight w:val="none"/>
          <w:u w:val="single"/>
        </w:rPr>
      </w:pPr>
      <w:r>
        <w:rPr>
          <w:rFonts w:hint="eastAsia" w:ascii="仿宋" w:hAnsi="仿宋" w:eastAsia="仿宋" w:cs="仿宋"/>
          <w:color w:val="auto"/>
          <w:highlight w:val="none"/>
        </w:rPr>
        <w:t>争议评审小组成员的确定：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04C3585">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选定争议评审员的期限：</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27B8D003">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争议评审小组成员的报酬承担方式：</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AE566DB">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其他事项的约定：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02C41E4">
      <w:pPr>
        <w:pStyle w:val="131"/>
        <w:autoSpaceDE w:val="0"/>
        <w:autoSpaceDN w:val="0"/>
        <w:adjustRightInd w:val="0"/>
        <w:snapToGrid w:val="0"/>
        <w:spacing w:line="360" w:lineRule="exact"/>
        <w:ind w:firstLine="420" w:firstLineChars="200"/>
        <w:jc w:val="left"/>
        <w:rPr>
          <w:rFonts w:ascii="仿宋" w:hAnsi="仿宋" w:eastAsia="仿宋" w:cs="仿宋"/>
          <w:color w:val="auto"/>
          <w:kern w:val="0"/>
          <w:highlight w:val="none"/>
        </w:rPr>
      </w:pPr>
      <w:r>
        <w:rPr>
          <w:rFonts w:hint="eastAsia" w:ascii="仿宋" w:hAnsi="仿宋" w:eastAsia="仿宋" w:cs="仿宋"/>
          <w:color w:val="auto"/>
          <w:kern w:val="0"/>
          <w:highlight w:val="none"/>
        </w:rPr>
        <w:t>20.3.2 争议评审小组的决定</w:t>
      </w:r>
    </w:p>
    <w:p w14:paraId="09FE4B56">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合同当事人关于本项的约定：</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w:t>
      </w:r>
    </w:p>
    <w:p w14:paraId="0B4F6B0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20.4仲裁或诉讼</w:t>
      </w:r>
    </w:p>
    <w:p w14:paraId="635CD643">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因合同及合同有关事项发生的争议，双方当事人一致同意提交杭州仲裁委员会申请仲裁；但双方当事人特别约定下列解决方式中第</w:t>
      </w:r>
      <w:r>
        <w:rPr>
          <w:rFonts w:hint="eastAsia" w:ascii="仿宋" w:hAnsi="仿宋" w:eastAsia="仿宋" w:cs="仿宋"/>
          <w:color w:val="auto"/>
          <w:highlight w:val="none"/>
          <w:u w:val="single"/>
        </w:rPr>
        <w:t>（2）</w:t>
      </w:r>
      <w:r>
        <w:rPr>
          <w:rFonts w:hint="eastAsia" w:ascii="仿宋" w:hAnsi="仿宋" w:eastAsia="仿宋" w:cs="仿宋"/>
          <w:color w:val="auto"/>
          <w:highlight w:val="none"/>
        </w:rPr>
        <w:t>种方式解决争议的除外：</w:t>
      </w:r>
    </w:p>
    <w:p w14:paraId="11268460">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（1）向</w:t>
      </w:r>
      <w:r>
        <w:rPr>
          <w:rFonts w:hint="eastAsia" w:ascii="仿宋" w:hAnsi="仿宋" w:eastAsia="仿宋" w:cs="仿宋"/>
          <w:color w:val="auto"/>
          <w:highlight w:val="none"/>
          <w:u w:val="single"/>
        </w:rPr>
        <w:t xml:space="preserve">  /   </w:t>
      </w:r>
      <w:r>
        <w:rPr>
          <w:rFonts w:hint="eastAsia" w:ascii="仿宋" w:hAnsi="仿宋" w:eastAsia="仿宋" w:cs="仿宋"/>
          <w:color w:val="auto"/>
          <w:highlight w:val="none"/>
        </w:rPr>
        <w:t>仲裁委员会申请仲裁；</w:t>
      </w:r>
    </w:p>
    <w:p w14:paraId="516937A2">
      <w:pPr>
        <w:pStyle w:val="131"/>
        <w:adjustRightInd w:val="0"/>
        <w:snapToGrid w:val="0"/>
        <w:spacing w:line="360" w:lineRule="exact"/>
        <w:ind w:firstLine="420" w:firstLineChars="200"/>
        <w:jc w:val="left"/>
        <w:rPr>
          <w:rFonts w:ascii="仿宋" w:hAnsi="仿宋" w:eastAsia="仿宋" w:cs="仿宋"/>
          <w:color w:val="auto"/>
          <w:highlight w:val="none"/>
        </w:rPr>
      </w:pPr>
      <w:r>
        <w:rPr>
          <w:rFonts w:hint="eastAsia" w:ascii="仿宋" w:hAnsi="仿宋" w:eastAsia="仿宋" w:cs="仿宋"/>
          <w:color w:val="auto"/>
          <w:highlight w:val="none"/>
        </w:rPr>
        <w:t>（2）向</w:t>
      </w:r>
      <w:r>
        <w:rPr>
          <w:rFonts w:hint="eastAsia" w:ascii="仿宋" w:hAnsi="仿宋" w:eastAsia="仿宋" w:cs="仿宋"/>
          <w:color w:val="auto"/>
          <w:highlight w:val="none"/>
          <w:u w:val="single"/>
        </w:rPr>
        <w:t xml:space="preserve"> 合同履行地（工程所在地） </w:t>
      </w:r>
      <w:r>
        <w:rPr>
          <w:rFonts w:hint="eastAsia" w:ascii="仿宋" w:hAnsi="仿宋" w:eastAsia="仿宋" w:cs="仿宋"/>
          <w:color w:val="auto"/>
          <w:highlight w:val="none"/>
        </w:rPr>
        <w:t>人民法院起诉。</w:t>
      </w:r>
    </w:p>
    <w:p w14:paraId="7D477914">
      <w:pPr>
        <w:pStyle w:val="131"/>
        <w:adjustRightInd w:val="0"/>
        <w:snapToGrid w:val="0"/>
        <w:spacing w:line="36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21.其他补充事项的约定</w:t>
      </w:r>
    </w:p>
    <w:p w14:paraId="6AF1A169">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21.1进场项目班子应当是承包人建制内的，违法转包、挂靠承包人或临时拼凑的施工班子一经发现并经查实后，</w:t>
      </w:r>
      <w:r>
        <w:rPr>
          <w:rFonts w:hint="eastAsia" w:ascii="仿宋" w:hAnsi="仿宋" w:eastAsia="仿宋" w:cs="仿宋"/>
          <w:color w:val="auto"/>
          <w:szCs w:val="21"/>
          <w:highlight w:val="none"/>
        </w:rPr>
        <w:t>除扣罚履约保证金外，</w:t>
      </w:r>
      <w:r>
        <w:rPr>
          <w:rFonts w:hint="eastAsia" w:ascii="仿宋" w:hAnsi="仿宋" w:eastAsia="仿宋" w:cs="仿宋"/>
          <w:color w:val="auto"/>
          <w:highlight w:val="none"/>
        </w:rPr>
        <w:t>承包人还需按合同金额的10%支付违约金，施工合同将被终止，并赔偿由此给发包人造成的经济损失。派驻现场的施工班子人员数量、年龄结构、专业配备应满足工程实际需要。在合同执行期间发包人有权对不称职的工程技术、管理人员提出更换，承包人应在一个工作周内作出更换，并报发包人批准，不得拒绝和拖延。</w:t>
      </w:r>
    </w:p>
    <w:p w14:paraId="55B5DA4F">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21.2 承包人应严格按已确认的施工技术方案实施，并接受发包人派遣的现场代表及委托的监理单位对施工质量、进度、安全、投资及协调方面的监督和管理。</w:t>
      </w:r>
    </w:p>
    <w:p w14:paraId="258BA1E8">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21.3 承包人应按期支付工人的劳动工资，发包人有权监督承包人对于工人工资支付和发放。</w:t>
      </w:r>
    </w:p>
    <w:p w14:paraId="31E24D4B">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21.4本工程结算造价以审计结果为准。承包人必须保证施工签证的真实性、合理性和合法性并不得与合同约定相违背，否则有权予以调整。</w:t>
      </w:r>
    </w:p>
    <w:p w14:paraId="126588D2">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21.5 工程变更严格按照变更程序办理，所有的工程变更须经设计、监理及发包人三方确认后实施。</w:t>
      </w:r>
    </w:p>
    <w:p w14:paraId="02F62A52">
      <w:pPr>
        <w:pStyle w:val="131"/>
        <w:adjustRightInd w:val="0"/>
        <w:snapToGrid w:val="0"/>
        <w:spacing w:line="38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21.6双方约定的承包人其他违约责任：a、工程竣工后15天内，承包人必须全部清退临时设施、建筑材料、机械设备，每延迟一天支付违约金1000元。b、项目经理未达到承诺的到位率，按未到岗天数计算，每缺岗一天支付违约金1000元。c、发包人有权要求承包人撤换工作不负责任、管理不力、贻误工期和造成严重的安全事故和工程质量事故、违法乱纪的专业技术管理人员或项目经理，直至发包人满意为止。d、工程竣工验收如未达到一次性通过，由此追加的返工费用和延误的工期等均由承包人负责，同时扣除其全额的质量履约保证金。e、施工期间，违反学校有关疫情防控、意识形态、宗教管理教育工作等相关规定的，每次扣罚履约担保1000元。</w:t>
      </w:r>
    </w:p>
    <w:p w14:paraId="2BA15816">
      <w:pPr>
        <w:pStyle w:val="131"/>
        <w:adjustRightInd w:val="0"/>
        <w:snapToGrid w:val="0"/>
        <w:spacing w:line="38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本工程未明确的违约赔偿事宜，均在工程竣工结算时处理，在工程结算款中增加或扣减有关费用。</w:t>
      </w:r>
    </w:p>
    <w:p w14:paraId="03238C7A">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21.7承包人进场后必须无条件的服从发包人对本工程整体上的施工安排。承包人对派驻现场的施工人员必须严格管理，不得扰乱其他施工单位的正常施工，不得偷窃、滋扰、闹事，不得影响其他单位施工现场的安全。</w:t>
      </w:r>
    </w:p>
    <w:p w14:paraId="32D3429A">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21.8发包人有权取消或调整合同范围内的任何工程内容，承包人无条件接受，调整部分按实结算，取消部分相应扣除投标相对应的费用。</w:t>
      </w:r>
    </w:p>
    <w:p w14:paraId="32382466">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21.9承包人承诺在发包人使用投标所有产品时不会因知识产权或产品所有权等问题引起的第三方索赔或其他要求，由此给发包人造成的一切损失都应由承包人承担。</w:t>
      </w:r>
    </w:p>
    <w:p w14:paraId="23C0F1A4">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21.10承包人必须落实有资格证书的专职安全管理人员驻现场管理安全、文明施工，承包人必须严格防范现场消防安全，严格管理施工人员，不得在现场抽烟。施工现场做好标准化布置，醒目位置悬挂工程告示牌；施工人员统一着装，统一编号，工作装或马甲上醒目标识单位名称、人员编号。</w:t>
      </w:r>
    </w:p>
    <w:p w14:paraId="2C8A2491">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21.11承包人在踏勘现场时要充分了解现场地理人文条件，合理处理与周边关系。</w:t>
      </w:r>
    </w:p>
    <w:p w14:paraId="00F9660B">
      <w:pPr>
        <w:pStyle w:val="131"/>
        <w:adjustRightInd w:val="0"/>
        <w:snapToGrid w:val="0"/>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21.12承包人的磋商响应文件必须完全响应磋商文件的要求，投标书中一切有悖于磋商文件的条款均视作无效条款；承包人在磋商响应文件中单方面设置限制发包人的条款和内容均将被视作无效内容，并且出现上述现象时，承包人应自行承担废标风险。磋商响应文件中所有在磋商文件约定内容之外的与费用、进度、质量、索赔等有关的制约性内容，经发包人作出书面确认之前，均视作无效。</w:t>
      </w:r>
    </w:p>
    <w:p w14:paraId="192E5ABC">
      <w:pPr>
        <w:pStyle w:val="131"/>
        <w:adjustRightInd w:val="0"/>
        <w:snapToGrid w:val="0"/>
        <w:spacing w:line="360" w:lineRule="auto"/>
        <w:ind w:firstLine="420" w:firstLineChars="200"/>
        <w:rPr>
          <w:rFonts w:ascii="仿宋" w:hAnsi="仿宋" w:eastAsia="仿宋" w:cs="仿宋"/>
          <w:color w:val="auto"/>
          <w:highlight w:val="none"/>
        </w:rPr>
      </w:pPr>
      <w:r>
        <w:rPr>
          <w:rFonts w:hint="eastAsia" w:ascii="仿宋" w:hAnsi="仿宋" w:eastAsia="仿宋" w:cs="仿宋"/>
          <w:color w:val="auto"/>
          <w:highlight w:val="none"/>
        </w:rPr>
        <w:t>21.13本工程中标后施工方案优化不能低于原施工要求、工艺，须严格按照发包人提供的图纸、技术规格书及国家相关设计施工规范要求，并经本工程主体设计单位、第三方图审单位及发包人审查合格通过后方可实施。所需的优化设计费及优化设计引起的各变化因素应计入投标报价中，结算时其综合单价不予调整。</w:t>
      </w:r>
    </w:p>
    <w:p w14:paraId="5A613149">
      <w:pPr>
        <w:pStyle w:val="131"/>
        <w:adjustRightInd w:val="0"/>
        <w:snapToGrid w:val="0"/>
        <w:spacing w:line="360" w:lineRule="auto"/>
        <w:ind w:firstLine="420" w:firstLineChars="200"/>
        <w:rPr>
          <w:rFonts w:ascii="仿宋" w:hAnsi="仿宋" w:eastAsia="仿宋" w:cs="仿宋"/>
          <w:color w:val="auto"/>
          <w:highlight w:val="none"/>
        </w:rPr>
      </w:pPr>
      <w:r>
        <w:rPr>
          <w:rFonts w:hint="eastAsia" w:ascii="仿宋" w:hAnsi="仿宋" w:eastAsia="仿宋" w:cs="仿宋"/>
          <w:color w:val="auto"/>
          <w:highlight w:val="none"/>
        </w:rPr>
        <w:t>21.14本工程施工管理、竣工验收与结算须按照发包人《浙江工业大学修缮工程管理办法》相关规定执行。施工单位在校内须严格遵守国家相关法律法规，严格遵守学校有关疫情防控、意识形态、宗教管理教育工作等相关规定。</w:t>
      </w:r>
    </w:p>
    <w:p w14:paraId="19DF5D34">
      <w:pPr>
        <w:pStyle w:val="131"/>
        <w:adjustRightInd w:val="0"/>
        <w:snapToGrid w:val="0"/>
        <w:spacing w:line="360" w:lineRule="auto"/>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21.15 </w:t>
      </w:r>
      <w:r>
        <w:rPr>
          <w:rFonts w:hint="eastAsia" w:ascii="仿宋" w:hAnsi="仿宋" w:eastAsia="仿宋" w:cs="仿宋"/>
          <w:color w:val="auto"/>
          <w:szCs w:val="21"/>
          <w:highlight w:val="none"/>
        </w:rPr>
        <w:t>承包人应提前做好各类材料的备货工作，同时充分考虑施工期可能存在暂停施工、二次进场的问题，不得以上述原因提出工期延误及费用调整。</w:t>
      </w:r>
    </w:p>
    <w:p w14:paraId="0EC30F0F">
      <w:pPr>
        <w:autoSpaceDE w:val="0"/>
        <w:autoSpaceDN w:val="0"/>
        <w:adjustRightInd w:val="0"/>
        <w:snapToGrid w:val="0"/>
        <w:spacing w:line="360" w:lineRule="auto"/>
        <w:ind w:firstLine="420"/>
        <w:jc w:val="left"/>
        <w:rPr>
          <w:rFonts w:hint="eastAsia" w:ascii="仿宋" w:hAnsi="仿宋" w:eastAsia="仿宋" w:cs="仿宋"/>
          <w:color w:val="auto"/>
          <w:highlight w:val="none"/>
        </w:rPr>
      </w:pPr>
      <w:r>
        <w:rPr>
          <w:rFonts w:hint="eastAsia" w:ascii="仿宋" w:hAnsi="仿宋" w:eastAsia="仿宋" w:cs="仿宋"/>
          <w:color w:val="auto"/>
          <w:highlight w:val="none"/>
        </w:rPr>
        <w:t>21.16工程移交前，承包人需编制修缮工程使用说明书，明确本项目改造情况、使用注意事项、主要设施设备品牌、工程,质量保修期限及范围等内容。</w:t>
      </w:r>
    </w:p>
    <w:p w14:paraId="6D225485">
      <w:pPr>
        <w:autoSpaceDE w:val="0"/>
        <w:autoSpaceDN w:val="0"/>
        <w:adjustRightInd w:val="0"/>
        <w:snapToGrid w:val="0"/>
        <w:spacing w:line="360" w:lineRule="auto"/>
        <w:ind w:firstLine="420"/>
        <w:jc w:val="left"/>
        <w:rPr>
          <w:rFonts w:ascii="仿宋" w:hAnsi="仿宋" w:eastAsia="仿宋" w:cs="仿宋"/>
          <w:color w:val="auto"/>
          <w:highlight w:val="none"/>
        </w:rPr>
      </w:pPr>
      <w:r>
        <w:rPr>
          <w:rFonts w:hint="eastAsia" w:ascii="仿宋" w:hAnsi="仿宋" w:eastAsia="仿宋" w:cs="仿宋"/>
          <w:color w:val="auto"/>
          <w:highlight w:val="none"/>
        </w:rPr>
        <w:t>21.17施工单位不得使用发包人2024年新购置的客运电梯搬运建筑垃圾、装修材料等，以免造成电梯损坏</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如有涉及</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若因违规使用产生的损失由施工单位承担。</w:t>
      </w:r>
    </w:p>
    <w:p w14:paraId="53292630">
      <w:pPr>
        <w:pStyle w:val="30"/>
        <w:adjustRightInd w:val="0"/>
        <w:snapToGrid w:val="0"/>
        <w:spacing w:before="162" w:after="162" w:line="276" w:lineRule="auto"/>
        <w:rPr>
          <w:rFonts w:ascii="仿宋" w:hAnsi="仿宋" w:eastAsia="仿宋" w:cs="仿宋"/>
          <w:color w:val="auto"/>
          <w:highlight w:val="none"/>
        </w:rPr>
      </w:pPr>
      <w:r>
        <w:rPr>
          <w:rFonts w:hint="eastAsia" w:ascii="仿宋" w:hAnsi="仿宋" w:eastAsia="仿宋" w:cs="仿宋"/>
          <w:b/>
          <w:bCs/>
          <w:color w:val="auto"/>
          <w:highlight w:val="none"/>
        </w:rPr>
        <w:t>附件：</w:t>
      </w:r>
    </w:p>
    <w:p w14:paraId="7F5CDD76">
      <w:pPr>
        <w:spacing w:line="276" w:lineRule="auto"/>
        <w:ind w:firstLine="371" w:firstLineChars="177"/>
        <w:jc w:val="left"/>
        <w:rPr>
          <w:rFonts w:ascii="仿宋" w:hAnsi="仿宋" w:eastAsia="仿宋" w:cs="仿宋"/>
          <w:color w:val="auto"/>
          <w:highlight w:val="none"/>
        </w:rPr>
      </w:pPr>
      <w:r>
        <w:rPr>
          <w:rFonts w:hint="eastAsia" w:ascii="仿宋" w:hAnsi="仿宋" w:eastAsia="仿宋" w:cs="仿宋"/>
          <w:color w:val="auto"/>
          <w:highlight w:val="none"/>
        </w:rPr>
        <w:t>附件1：房屋建筑工程质量保修书</w:t>
      </w:r>
    </w:p>
    <w:p w14:paraId="1C1F6AA4">
      <w:pPr>
        <w:spacing w:line="276" w:lineRule="auto"/>
        <w:ind w:firstLine="371" w:firstLineChars="177"/>
        <w:jc w:val="left"/>
        <w:rPr>
          <w:rFonts w:ascii="仿宋" w:hAnsi="仿宋" w:eastAsia="仿宋" w:cs="仿宋"/>
          <w:color w:val="auto"/>
          <w:highlight w:val="none"/>
        </w:rPr>
      </w:pPr>
      <w:r>
        <w:rPr>
          <w:rFonts w:hint="eastAsia" w:ascii="仿宋" w:hAnsi="仿宋" w:eastAsia="仿宋" w:cs="仿宋"/>
          <w:color w:val="auto"/>
          <w:highlight w:val="none"/>
        </w:rPr>
        <w:t xml:space="preserve">附件2：廉政协议书 </w:t>
      </w:r>
    </w:p>
    <w:p w14:paraId="78E902D2">
      <w:pPr>
        <w:spacing w:line="276" w:lineRule="auto"/>
        <w:ind w:firstLine="420" w:firstLineChars="200"/>
        <w:rPr>
          <w:rFonts w:ascii="仿宋" w:hAnsi="仿宋" w:eastAsia="仿宋" w:cs="仿宋"/>
          <w:color w:val="auto"/>
          <w:highlight w:val="none"/>
        </w:rPr>
      </w:pPr>
      <w:r>
        <w:rPr>
          <w:rFonts w:hint="eastAsia" w:ascii="仿宋" w:hAnsi="仿宋" w:eastAsia="仿宋" w:cs="仿宋"/>
          <w:color w:val="auto"/>
          <w:highlight w:val="none"/>
        </w:rPr>
        <w:t>附件3：建筑施工安全责任书</w:t>
      </w:r>
    </w:p>
    <w:p w14:paraId="5044E47D">
      <w:pPr>
        <w:ind w:firstLine="371" w:firstLineChars="177"/>
        <w:jc w:val="left"/>
        <w:rPr>
          <w:rFonts w:ascii="仿宋" w:hAnsi="仿宋" w:eastAsia="仿宋" w:cs="仿宋"/>
          <w:color w:val="auto"/>
          <w:highlight w:val="none"/>
        </w:rPr>
      </w:pPr>
      <w:r>
        <w:rPr>
          <w:rFonts w:hint="eastAsia" w:ascii="仿宋" w:hAnsi="仿宋" w:eastAsia="仿宋" w:cs="仿宋"/>
          <w:color w:val="auto"/>
          <w:highlight w:val="none"/>
        </w:rPr>
        <w:t xml:space="preserve"> </w:t>
      </w:r>
    </w:p>
    <w:p w14:paraId="10C4A022">
      <w:pPr>
        <w:pStyle w:val="30"/>
        <w:spacing w:before="162" w:after="162" w:line="440" w:lineRule="exact"/>
        <w:rPr>
          <w:rFonts w:ascii="仿宋" w:hAnsi="仿宋" w:eastAsia="仿宋" w:cs="仿宋"/>
          <w:b/>
          <w:bCs/>
          <w:color w:val="auto"/>
          <w:highlight w:val="none"/>
        </w:rPr>
      </w:pPr>
      <w:r>
        <w:rPr>
          <w:rFonts w:hint="eastAsia" w:ascii="仿宋" w:hAnsi="仿宋" w:eastAsia="仿宋" w:cs="仿宋"/>
          <w:color w:val="auto"/>
          <w:highlight w:val="none"/>
          <w:u w:val="single"/>
        </w:rPr>
        <w:br w:type="page"/>
      </w:r>
      <w:r>
        <w:rPr>
          <w:rFonts w:hint="eastAsia" w:ascii="仿宋" w:hAnsi="仿宋" w:eastAsia="仿宋" w:cs="仿宋"/>
          <w:b/>
          <w:bCs/>
          <w:color w:val="auto"/>
          <w:highlight w:val="none"/>
        </w:rPr>
        <w:t>附件1:</w:t>
      </w:r>
    </w:p>
    <w:p w14:paraId="552A0C12">
      <w:pPr>
        <w:pStyle w:val="131"/>
        <w:spacing w:before="162" w:beforeLines="50" w:after="162" w:afterLines="50" w:line="440" w:lineRule="exact"/>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工程质量保修书</w:t>
      </w:r>
    </w:p>
    <w:p w14:paraId="4C9336D9">
      <w:pPr>
        <w:pStyle w:val="131"/>
        <w:spacing w:line="30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发包人（全称）：</w:t>
      </w:r>
      <w:r>
        <w:rPr>
          <w:rFonts w:hint="eastAsia" w:ascii="仿宋" w:hAnsi="仿宋" w:eastAsia="仿宋" w:cs="仿宋"/>
          <w:color w:val="auto"/>
          <w:szCs w:val="21"/>
          <w:highlight w:val="none"/>
          <w:u w:val="single"/>
        </w:rPr>
        <w:t xml:space="preserve">                                  </w:t>
      </w:r>
    </w:p>
    <w:p w14:paraId="595F2BC7">
      <w:pPr>
        <w:pStyle w:val="131"/>
        <w:spacing w:line="30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承包人（全称）：</w:t>
      </w:r>
      <w:r>
        <w:rPr>
          <w:rFonts w:hint="eastAsia" w:ascii="仿宋" w:hAnsi="仿宋" w:eastAsia="仿宋" w:cs="仿宋"/>
          <w:color w:val="auto"/>
          <w:szCs w:val="21"/>
          <w:highlight w:val="none"/>
          <w:u w:val="single"/>
        </w:rPr>
        <w:t xml:space="preserve">                                  </w:t>
      </w:r>
    </w:p>
    <w:p w14:paraId="6DD1821A">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发包人和承包人根据《中华人民共和国建筑法》和《建设工程质量管理条例》，经协商一致就</w:t>
      </w:r>
      <w:r>
        <w:rPr>
          <w:rFonts w:hint="eastAsia" w:ascii="仿宋" w:hAnsi="仿宋" w:eastAsia="仿宋" w:cs="仿宋"/>
          <w:color w:val="auto"/>
          <w:szCs w:val="21"/>
          <w:highlight w:val="none"/>
          <w:u w:val="single"/>
        </w:rPr>
        <w:t xml:space="preserve">  </w:t>
      </w:r>
      <w:r>
        <w:rPr>
          <w:rFonts w:hint="eastAsia" w:ascii="仿宋" w:hAnsi="仿宋" w:eastAsia="仿宋" w:cs="仿宋"/>
          <w:b/>
          <w:bCs/>
          <w:color w:val="auto"/>
          <w:szCs w:val="21"/>
          <w:highlight w:val="none"/>
          <w:u w:val="singl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（工程全称）签订工程质量保修书。</w:t>
      </w:r>
    </w:p>
    <w:p w14:paraId="47656C5F">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一、工程质量保修范围和内容</w:t>
      </w:r>
    </w:p>
    <w:p w14:paraId="3E3C5635">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承包人在质量保修期内，按照有关法律规定和合同约定，承担工程质量保修责任。</w:t>
      </w:r>
    </w:p>
    <w:p w14:paraId="52DA505D">
      <w:pPr>
        <w:pStyle w:val="131"/>
        <w:spacing w:line="300" w:lineRule="auto"/>
        <w:ind w:firstLine="420" w:firstLineChars="200"/>
        <w:rPr>
          <w:rFonts w:ascii="仿宋" w:hAnsi="仿宋" w:eastAsia="仿宋" w:cs="仿宋"/>
          <w:b/>
          <w:bCs/>
          <w:color w:val="auto"/>
          <w:szCs w:val="21"/>
          <w:highlight w:val="none"/>
          <w:u w:val="single"/>
        </w:rPr>
      </w:pPr>
      <w:r>
        <w:rPr>
          <w:rFonts w:hint="eastAsia" w:ascii="仿宋" w:hAnsi="仿宋" w:eastAsia="仿宋" w:cs="仿宋"/>
          <w:color w:val="auto"/>
          <w:szCs w:val="21"/>
          <w:highlight w:val="none"/>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仿宋" w:hAnsi="仿宋" w:eastAsia="仿宋" w:cs="仿宋"/>
          <w:b/>
          <w:bCs/>
          <w:color w:val="auto"/>
          <w:szCs w:val="21"/>
          <w:highlight w:val="none"/>
          <w:u w:val="single"/>
        </w:rPr>
        <w:t>承包范围内所有工程。</w:t>
      </w:r>
    </w:p>
    <w:p w14:paraId="288B0576">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二、质量保修期</w:t>
      </w:r>
    </w:p>
    <w:p w14:paraId="5810E9F5">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根据《建设工程质量管理条例》及有关规定，工程的质量保修期如下：</w:t>
      </w:r>
    </w:p>
    <w:p w14:paraId="02ACC148">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1、地基基础工程和主体结构工程为设计文件规定的该工程合理使用年限；</w:t>
      </w:r>
    </w:p>
    <w:p w14:paraId="547D97D2">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2、屋面防水工程、有防水要求的卫生间、房间和外墙的防渗漏为</w:t>
      </w:r>
      <w:r>
        <w:rPr>
          <w:rFonts w:hint="eastAsia" w:ascii="仿宋" w:hAnsi="仿宋" w:eastAsia="仿宋" w:cs="仿宋"/>
          <w:color w:val="auto"/>
          <w:szCs w:val="21"/>
          <w:highlight w:val="none"/>
          <w:u w:val="single"/>
        </w:rPr>
        <w:t xml:space="preserve"> 5 </w:t>
      </w:r>
      <w:r>
        <w:rPr>
          <w:rFonts w:hint="eastAsia" w:ascii="仿宋" w:hAnsi="仿宋" w:eastAsia="仿宋" w:cs="仿宋"/>
          <w:color w:val="auto"/>
          <w:szCs w:val="21"/>
          <w:highlight w:val="none"/>
        </w:rPr>
        <w:t>年；</w:t>
      </w:r>
    </w:p>
    <w:p w14:paraId="1CA23DA7">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3、装修工程为</w:t>
      </w:r>
      <w:r>
        <w:rPr>
          <w:rFonts w:hint="eastAsia" w:ascii="仿宋" w:hAnsi="仿宋" w:eastAsia="仿宋" w:cs="仿宋"/>
          <w:color w:val="auto"/>
          <w:szCs w:val="21"/>
          <w:highlight w:val="none"/>
          <w:u w:val="single"/>
        </w:rPr>
        <w:t xml:space="preserve"> 2 </w:t>
      </w:r>
      <w:r>
        <w:rPr>
          <w:rFonts w:hint="eastAsia" w:ascii="仿宋" w:hAnsi="仿宋" w:eastAsia="仿宋" w:cs="仿宋"/>
          <w:color w:val="auto"/>
          <w:szCs w:val="21"/>
          <w:highlight w:val="none"/>
        </w:rPr>
        <w:t>年；</w:t>
      </w:r>
    </w:p>
    <w:p w14:paraId="4EDE8E07">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4、电气管线、给排水管道、设备安装工程为</w:t>
      </w:r>
      <w:r>
        <w:rPr>
          <w:rFonts w:hint="eastAsia" w:ascii="仿宋" w:hAnsi="仿宋" w:eastAsia="仿宋" w:cs="仿宋"/>
          <w:color w:val="auto"/>
          <w:szCs w:val="21"/>
          <w:highlight w:val="none"/>
          <w:u w:val="single"/>
        </w:rPr>
        <w:t>2</w:t>
      </w:r>
      <w:r>
        <w:rPr>
          <w:rFonts w:hint="eastAsia" w:ascii="仿宋" w:hAnsi="仿宋" w:eastAsia="仿宋" w:cs="仿宋"/>
          <w:color w:val="auto"/>
          <w:szCs w:val="21"/>
          <w:highlight w:val="none"/>
        </w:rPr>
        <w:t>年；</w:t>
      </w:r>
    </w:p>
    <w:p w14:paraId="08AA4ED8">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5、供热与供冷系统为</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个采暖期、供冷期；</w:t>
      </w:r>
    </w:p>
    <w:p w14:paraId="406AB9B5">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6、住宅小区内的给排水设施、道路等配套工程为</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年；</w:t>
      </w:r>
    </w:p>
    <w:p w14:paraId="5BE22B4B">
      <w:pPr>
        <w:pStyle w:val="131"/>
        <w:spacing w:line="300" w:lineRule="auto"/>
        <w:ind w:firstLine="420" w:firstLineChars="200"/>
        <w:rPr>
          <w:rFonts w:ascii="仿宋" w:hAnsi="仿宋" w:eastAsia="仿宋" w:cs="仿宋"/>
          <w:color w:val="auto"/>
          <w:szCs w:val="21"/>
          <w:highlight w:val="none"/>
          <w:u w:val="single"/>
        </w:rPr>
      </w:pPr>
      <w:r>
        <w:rPr>
          <w:rFonts w:hint="eastAsia" w:ascii="仿宋" w:hAnsi="仿宋" w:eastAsia="仿宋" w:cs="仿宋"/>
          <w:color w:val="auto"/>
          <w:szCs w:val="21"/>
          <w:highlight w:val="none"/>
        </w:rPr>
        <w:t>7、其他项目保修期限约定如下：</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本项目保修期限为2年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33E05FC">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质量保修期自工程竣工验收合格之日起计算，具体期限以承包人承诺的延长质保期为准。</w:t>
      </w:r>
    </w:p>
    <w:p w14:paraId="0721373F">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三、缺陷责任期</w:t>
      </w:r>
    </w:p>
    <w:p w14:paraId="03F018F7">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工程缺陷责任期为</w:t>
      </w:r>
      <w:r>
        <w:rPr>
          <w:rFonts w:hint="eastAsia" w:ascii="仿宋" w:hAnsi="仿宋" w:eastAsia="仿宋" w:cs="仿宋"/>
          <w:color w:val="auto"/>
          <w:szCs w:val="21"/>
          <w:highlight w:val="none"/>
          <w:u w:val="single"/>
        </w:rPr>
        <w:t xml:space="preserve"> 24 </w:t>
      </w:r>
      <w:r>
        <w:rPr>
          <w:rFonts w:hint="eastAsia" w:ascii="仿宋" w:hAnsi="仿宋" w:eastAsia="仿宋" w:cs="仿宋"/>
          <w:color w:val="auto"/>
          <w:szCs w:val="21"/>
          <w:highlight w:val="none"/>
        </w:rPr>
        <w:t>个月，缺陷责任期自工程通过竣工验收之日起计算。单位工程先于全部工程进行验收，单位工程缺陷责任期自单位工程验收合格之日起算。</w:t>
      </w:r>
    </w:p>
    <w:p w14:paraId="099E196F">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四、质量保修责任</w:t>
      </w:r>
    </w:p>
    <w:p w14:paraId="7458B876">
      <w:pPr>
        <w:pStyle w:val="131"/>
        <w:spacing w:line="300" w:lineRule="auto"/>
        <w:ind w:left="105" w:leftChars="50" w:firstLine="430" w:firstLineChars="205"/>
        <w:rPr>
          <w:rFonts w:ascii="仿宋" w:hAnsi="仿宋" w:eastAsia="仿宋" w:cs="仿宋"/>
          <w:color w:val="auto"/>
          <w:szCs w:val="21"/>
          <w:highlight w:val="none"/>
        </w:rPr>
      </w:pPr>
      <w:r>
        <w:rPr>
          <w:rFonts w:hint="eastAsia" w:ascii="仿宋" w:hAnsi="仿宋" w:eastAsia="仿宋" w:cs="仿宋"/>
          <w:color w:val="auto"/>
          <w:szCs w:val="21"/>
          <w:highlight w:val="none"/>
        </w:rPr>
        <w:t>1．属于保修范围、内容的项目，承包人应当在接到保修通知之日起7天内派人保修。承包人不在约定期限内派人保修的，发包人可以委托他人修理。</w:t>
      </w:r>
    </w:p>
    <w:p w14:paraId="27B25A6A">
      <w:pPr>
        <w:pStyle w:val="131"/>
        <w:spacing w:line="300" w:lineRule="auto"/>
        <w:ind w:left="105" w:leftChars="50" w:firstLine="430" w:firstLineChars="205"/>
        <w:rPr>
          <w:rFonts w:ascii="仿宋" w:hAnsi="仿宋" w:eastAsia="仿宋" w:cs="仿宋"/>
          <w:color w:val="auto"/>
          <w:szCs w:val="21"/>
          <w:highlight w:val="none"/>
        </w:rPr>
      </w:pPr>
      <w:r>
        <w:rPr>
          <w:rFonts w:hint="eastAsia" w:ascii="仿宋" w:hAnsi="仿宋" w:eastAsia="仿宋" w:cs="仿宋"/>
          <w:color w:val="auto"/>
          <w:szCs w:val="21"/>
          <w:highlight w:val="none"/>
        </w:rPr>
        <w:t>2. 发生紧急抢修事故的，承包人在接到事故通知后，应当立即到达事故现场抢修。</w:t>
      </w:r>
    </w:p>
    <w:p w14:paraId="73F6AD8A">
      <w:pPr>
        <w:pStyle w:val="131"/>
        <w:spacing w:line="300" w:lineRule="auto"/>
        <w:ind w:left="105" w:leftChars="50" w:firstLine="430" w:firstLineChars="205"/>
        <w:rPr>
          <w:rFonts w:ascii="仿宋" w:hAnsi="仿宋" w:eastAsia="仿宋" w:cs="仿宋"/>
          <w:color w:val="auto"/>
          <w:szCs w:val="21"/>
          <w:highlight w:val="none"/>
        </w:rPr>
      </w:pPr>
      <w:r>
        <w:rPr>
          <w:rFonts w:hint="eastAsia" w:ascii="仿宋" w:hAnsi="仿宋" w:eastAsia="仿宋" w:cs="仿宋"/>
          <w:color w:val="auto"/>
          <w:szCs w:val="21"/>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2EB025A5">
      <w:pPr>
        <w:pStyle w:val="131"/>
        <w:spacing w:line="300" w:lineRule="auto"/>
        <w:ind w:left="105" w:leftChars="50" w:firstLine="430" w:firstLineChars="205"/>
        <w:rPr>
          <w:rFonts w:ascii="仿宋" w:hAnsi="仿宋" w:eastAsia="仿宋" w:cs="仿宋"/>
          <w:color w:val="auto"/>
          <w:szCs w:val="21"/>
          <w:highlight w:val="none"/>
        </w:rPr>
      </w:pPr>
      <w:r>
        <w:rPr>
          <w:rFonts w:hint="eastAsia" w:ascii="仿宋" w:hAnsi="仿宋" w:eastAsia="仿宋" w:cs="仿宋"/>
          <w:color w:val="auto"/>
          <w:szCs w:val="21"/>
          <w:highlight w:val="none"/>
        </w:rPr>
        <w:t>4．质量保修完成后，由发包人组织验收。</w:t>
      </w:r>
    </w:p>
    <w:p w14:paraId="47CCFCA3">
      <w:pPr>
        <w:spacing w:line="300" w:lineRule="auto"/>
        <w:ind w:left="105" w:leftChars="50" w:firstLine="430" w:firstLineChars="205"/>
        <w:rPr>
          <w:rFonts w:ascii="仿宋" w:hAnsi="仿宋" w:eastAsia="仿宋" w:cs="仿宋"/>
          <w:color w:val="auto"/>
          <w:szCs w:val="21"/>
          <w:highlight w:val="none"/>
        </w:rPr>
      </w:pPr>
      <w:r>
        <w:rPr>
          <w:rFonts w:hint="eastAsia" w:ascii="仿宋" w:hAnsi="仿宋" w:eastAsia="仿宋" w:cs="仿宋"/>
          <w:color w:val="auto"/>
          <w:szCs w:val="21"/>
          <w:highlight w:val="none"/>
        </w:rPr>
        <w:t>5．承包人未在指定期限派人维修或发生其他视为承包人未履行维修义务情形的，发包人或管理单位有权委托第三方进行维修，所产生相关费用包括维修费、补偿金等均由承包人承担，并在工程保修金中扣除。</w:t>
      </w:r>
    </w:p>
    <w:p w14:paraId="2EE0FCB9">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五、保修费用</w:t>
      </w:r>
    </w:p>
    <w:p w14:paraId="272FDBEF">
      <w:pPr>
        <w:pStyle w:val="131"/>
        <w:spacing w:line="30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1.保修费用由造成质量缺陷的责任方承担。</w:t>
      </w:r>
    </w:p>
    <w:p w14:paraId="14795958">
      <w:pPr>
        <w:adjustRightInd w:val="0"/>
        <w:snapToGrid w:val="0"/>
        <w:spacing w:line="300" w:lineRule="auto"/>
        <w:ind w:firstLine="407" w:firstLineChars="194"/>
        <w:rPr>
          <w:rFonts w:ascii="仿宋" w:hAnsi="仿宋" w:eastAsia="仿宋" w:cs="仿宋"/>
          <w:b/>
          <w:bCs/>
          <w:color w:val="auto"/>
          <w:szCs w:val="21"/>
          <w:highlight w:val="none"/>
          <w:u w:val="single"/>
        </w:rPr>
      </w:pPr>
      <w:r>
        <w:rPr>
          <w:rFonts w:hint="eastAsia" w:ascii="仿宋" w:hAnsi="仿宋" w:eastAsia="仿宋" w:cs="仿宋"/>
          <w:color w:val="auto"/>
          <w:szCs w:val="21"/>
          <w:highlight w:val="none"/>
        </w:rPr>
        <w:t>2.工程质量保证金的退还：</w:t>
      </w:r>
      <w:r>
        <w:rPr>
          <w:rFonts w:hint="eastAsia" w:ascii="仿宋" w:hAnsi="仿宋" w:eastAsia="仿宋" w:cs="仿宋"/>
          <w:b/>
          <w:bCs/>
          <w:color w:val="auto"/>
          <w:szCs w:val="21"/>
          <w:highlight w:val="none"/>
          <w:u w:val="single"/>
        </w:rPr>
        <w:t>工程竣工验收合格之日起满两年且回访质量符合要求后一次性付清（无息）；如保修期间产生维修费、赔偿金等，则扣除相应的维修费、赔偿金等款项后退还。</w:t>
      </w:r>
    </w:p>
    <w:p w14:paraId="724A5FDB">
      <w:pPr>
        <w:pStyle w:val="131"/>
        <w:spacing w:line="300" w:lineRule="auto"/>
        <w:ind w:left="105" w:leftChars="50" w:firstLine="373" w:firstLineChars="178"/>
        <w:rPr>
          <w:rFonts w:ascii="仿宋" w:hAnsi="仿宋" w:eastAsia="仿宋" w:cs="仿宋"/>
          <w:color w:val="auto"/>
          <w:szCs w:val="21"/>
          <w:highlight w:val="none"/>
        </w:rPr>
      </w:pPr>
      <w:r>
        <w:rPr>
          <w:rFonts w:hint="eastAsia" w:ascii="仿宋" w:hAnsi="仿宋" w:eastAsia="仿宋" w:cs="仿宋"/>
          <w:color w:val="auto"/>
          <w:szCs w:val="21"/>
          <w:highlight w:val="none"/>
        </w:rPr>
        <w:t>六、双方约定的其他工程质量保修事项：</w:t>
      </w:r>
      <w:r>
        <w:rPr>
          <w:rFonts w:hint="eastAsia" w:ascii="仿宋" w:hAnsi="仿宋" w:eastAsia="仿宋" w:cs="仿宋"/>
          <w:color w:val="auto"/>
          <w:szCs w:val="21"/>
          <w:highlight w:val="none"/>
          <w:u w:val="single"/>
        </w:rPr>
        <w:t xml:space="preserve">   无     。</w:t>
      </w:r>
    </w:p>
    <w:p w14:paraId="59B6590D">
      <w:pPr>
        <w:pStyle w:val="131"/>
        <w:spacing w:line="300" w:lineRule="auto"/>
        <w:ind w:left="105" w:leftChars="50"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工程质量保修书由发包人、承包人在工程竣工验收前共同签署，作为施工合同附件，其有效期限至保修期满。</w:t>
      </w:r>
    </w:p>
    <w:p w14:paraId="5F010F56">
      <w:pPr>
        <w:pStyle w:val="131"/>
        <w:spacing w:line="300" w:lineRule="auto"/>
        <w:ind w:firstLine="399" w:firstLineChars="190"/>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w:t>
      </w:r>
    </w:p>
    <w:p w14:paraId="4E0BF91A">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发包人(公章)：</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承包人(公章)：</w:t>
      </w:r>
      <w:r>
        <w:rPr>
          <w:rFonts w:hint="eastAsia" w:ascii="仿宋" w:hAnsi="仿宋" w:eastAsia="仿宋" w:cs="仿宋"/>
          <w:color w:val="auto"/>
          <w:szCs w:val="21"/>
          <w:highlight w:val="none"/>
          <w:u w:val="single"/>
        </w:rPr>
        <w:t xml:space="preserve">            </w:t>
      </w:r>
    </w:p>
    <w:p w14:paraId="100D65EE">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地  址：</w:t>
      </w:r>
      <w:r>
        <w:rPr>
          <w:rFonts w:hint="eastAsia" w:ascii="仿宋" w:hAnsi="仿宋" w:eastAsia="仿宋" w:cs="仿宋"/>
          <w:color w:val="auto"/>
          <w:szCs w:val="21"/>
          <w:highlight w:val="none"/>
          <w:u w:val="single"/>
        </w:rPr>
        <w:t xml:space="preserve">                   </w:t>
      </w:r>
    </w:p>
    <w:p w14:paraId="0779CE60">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法定代表人(签字)：</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法定代表人(签字)：</w:t>
      </w:r>
      <w:r>
        <w:rPr>
          <w:rFonts w:hint="eastAsia" w:ascii="仿宋" w:hAnsi="仿宋" w:eastAsia="仿宋" w:cs="仿宋"/>
          <w:color w:val="auto"/>
          <w:szCs w:val="21"/>
          <w:highlight w:val="none"/>
          <w:u w:val="single"/>
        </w:rPr>
        <w:t xml:space="preserve">       </w:t>
      </w:r>
    </w:p>
    <w:p w14:paraId="232AE26B">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委托代理人(签字)：</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委托代理人(签字)：</w:t>
      </w:r>
      <w:r>
        <w:rPr>
          <w:rFonts w:hint="eastAsia" w:ascii="仿宋" w:hAnsi="仿宋" w:eastAsia="仿宋" w:cs="仿宋"/>
          <w:color w:val="auto"/>
          <w:szCs w:val="21"/>
          <w:highlight w:val="none"/>
          <w:u w:val="single"/>
        </w:rPr>
        <w:t xml:space="preserve">       </w:t>
      </w:r>
    </w:p>
    <w:p w14:paraId="3F923A7B">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电  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电  话：</w:t>
      </w:r>
      <w:r>
        <w:rPr>
          <w:rFonts w:hint="eastAsia" w:ascii="仿宋" w:hAnsi="仿宋" w:eastAsia="仿宋" w:cs="仿宋"/>
          <w:color w:val="auto"/>
          <w:szCs w:val="21"/>
          <w:highlight w:val="none"/>
          <w:u w:val="single"/>
        </w:rPr>
        <w:t xml:space="preserve">           </w:t>
      </w:r>
    </w:p>
    <w:p w14:paraId="22F906AE">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传  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传  真：</w:t>
      </w:r>
      <w:r>
        <w:rPr>
          <w:rFonts w:hint="eastAsia" w:ascii="仿宋" w:hAnsi="仿宋" w:eastAsia="仿宋" w:cs="仿宋"/>
          <w:color w:val="auto"/>
          <w:szCs w:val="21"/>
          <w:highlight w:val="none"/>
          <w:u w:val="single"/>
        </w:rPr>
        <w:t xml:space="preserve">           </w:t>
      </w:r>
    </w:p>
    <w:p w14:paraId="58C96649">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开户银行：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开户银行：</w:t>
      </w:r>
      <w:r>
        <w:rPr>
          <w:rFonts w:hint="eastAsia" w:ascii="仿宋" w:hAnsi="仿宋" w:eastAsia="仿宋" w:cs="仿宋"/>
          <w:color w:val="auto"/>
          <w:szCs w:val="21"/>
          <w:highlight w:val="none"/>
          <w:u w:val="single"/>
        </w:rPr>
        <w:t xml:space="preserve">                 </w:t>
      </w:r>
    </w:p>
    <w:p w14:paraId="047F8513">
      <w:pPr>
        <w:pStyle w:val="131"/>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账  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账  号：</w:t>
      </w:r>
      <w:r>
        <w:rPr>
          <w:rFonts w:hint="eastAsia" w:ascii="仿宋" w:hAnsi="仿宋" w:eastAsia="仿宋" w:cs="仿宋"/>
          <w:color w:val="auto"/>
          <w:szCs w:val="21"/>
          <w:highlight w:val="none"/>
          <w:u w:val="single"/>
        </w:rPr>
        <w:t xml:space="preserve">             </w:t>
      </w:r>
    </w:p>
    <w:p w14:paraId="4BB7EA42">
      <w:pPr>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邮政编码：</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邮政编码：</w:t>
      </w:r>
      <w:r>
        <w:rPr>
          <w:rFonts w:hint="eastAsia" w:ascii="仿宋" w:hAnsi="仿宋" w:eastAsia="仿宋" w:cs="仿宋"/>
          <w:color w:val="auto"/>
          <w:szCs w:val="21"/>
          <w:highlight w:val="none"/>
          <w:u w:val="single"/>
        </w:rPr>
        <w:t xml:space="preserve">           </w:t>
      </w:r>
    </w:p>
    <w:p w14:paraId="01754111">
      <w:pPr>
        <w:pStyle w:val="30"/>
        <w:spacing w:before="162" w:after="162" w:line="440" w:lineRule="exact"/>
        <w:rPr>
          <w:rFonts w:ascii="仿宋" w:hAnsi="仿宋" w:eastAsia="仿宋" w:cs="仿宋"/>
          <w:b/>
          <w:bCs/>
          <w:color w:val="auto"/>
          <w:sz w:val="21"/>
          <w:szCs w:val="21"/>
          <w:highlight w:val="none"/>
        </w:rPr>
      </w:pPr>
      <w:r>
        <w:rPr>
          <w:rFonts w:hint="eastAsia" w:ascii="仿宋" w:hAnsi="仿宋" w:eastAsia="仿宋" w:cs="仿宋"/>
          <w:color w:val="auto"/>
          <w:sz w:val="21"/>
          <w:szCs w:val="21"/>
          <w:highlight w:val="none"/>
        </w:rPr>
        <w:br w:type="page"/>
      </w:r>
      <w:r>
        <w:rPr>
          <w:rFonts w:hint="eastAsia" w:ascii="仿宋" w:hAnsi="仿宋" w:eastAsia="仿宋" w:cs="仿宋"/>
          <w:b/>
          <w:bCs/>
          <w:color w:val="auto"/>
          <w:sz w:val="21"/>
          <w:szCs w:val="21"/>
          <w:highlight w:val="none"/>
        </w:rPr>
        <w:t xml:space="preserve">附件2： </w:t>
      </w:r>
    </w:p>
    <w:p w14:paraId="02591DD6">
      <w:pPr>
        <w:topLinePunct/>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廉政责任合同</w:t>
      </w:r>
    </w:p>
    <w:p w14:paraId="4D674EE8">
      <w:pPr>
        <w:topLinePunct/>
        <w:ind w:firstLine="643"/>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 xml:space="preserve"> </w:t>
      </w:r>
    </w:p>
    <w:p w14:paraId="1A10D787">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第一条</w:t>
      </w:r>
      <w:r>
        <w:rPr>
          <w:rFonts w:hint="eastAsia" w:ascii="仿宋" w:hAnsi="仿宋" w:eastAsia="仿宋" w:cs="仿宋"/>
          <w:color w:val="auto"/>
          <w:szCs w:val="21"/>
          <w:highlight w:val="none"/>
        </w:rPr>
        <w:t>：根据国家建设部、监察部《关于在工程建设中深入开展反对腐败和反不正当竞争的通知》精神和党风廉政建设的有关规定，为进一步规范工程建设中的经济活动管理，经双方协商一致，制订以下廉政责任合同。</w:t>
      </w:r>
    </w:p>
    <w:p w14:paraId="686056C7">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第二条</w:t>
      </w:r>
      <w:r>
        <w:rPr>
          <w:rFonts w:hint="eastAsia" w:ascii="仿宋" w:hAnsi="仿宋" w:eastAsia="仿宋" w:cs="仿宋"/>
          <w:color w:val="auto"/>
          <w:szCs w:val="21"/>
          <w:highlight w:val="none"/>
        </w:rPr>
        <w:t>：廉政责任合同（以下简称本合同）由浙江工业大学与承包方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（以下简称乙方）共同签订。</w:t>
      </w:r>
    </w:p>
    <w:p w14:paraId="0F9D50CF">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第三条</w:t>
      </w:r>
      <w:r>
        <w:rPr>
          <w:rFonts w:hint="eastAsia" w:ascii="仿宋" w:hAnsi="仿宋" w:eastAsia="仿宋" w:cs="仿宋"/>
          <w:color w:val="auto"/>
          <w:szCs w:val="21"/>
          <w:highlight w:val="none"/>
        </w:rPr>
        <w:t>：纪检监察部门负责履行本合同的监督管理工作。</w:t>
      </w:r>
    </w:p>
    <w:p w14:paraId="71BD7CDA">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第四条</w:t>
      </w:r>
      <w:r>
        <w:rPr>
          <w:rFonts w:hint="eastAsia" w:ascii="仿宋" w:hAnsi="仿宋" w:eastAsia="仿宋" w:cs="仿宋"/>
          <w:color w:val="auto"/>
          <w:szCs w:val="21"/>
          <w:highlight w:val="none"/>
        </w:rPr>
        <w:t>：甲乙双方的权利和义务</w:t>
      </w:r>
    </w:p>
    <w:p w14:paraId="60F2D0BA">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一、甲乙双方应严格遵守党和国家法规、党风廉政建设及《反不正当竞争法》的各项规定。</w:t>
      </w:r>
    </w:p>
    <w:p w14:paraId="01631E4F">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二、甲乙双方严格执行所签订的经济合同各项条款，自觉按合同办事，严禁因违法违纪、违反工程建设管理的各项规章制度而损害国家和集体利益。</w:t>
      </w:r>
    </w:p>
    <w:p w14:paraId="784EDD9B">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三、甲、乙双方人员洽谈业务时，必须选择在办公场所或发包人确定的其它公共场所由二人以上共同进行，严禁私下商谈串通。</w:t>
      </w:r>
    </w:p>
    <w:p w14:paraId="25A40AB8">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 xml:space="preserve">第五条  </w:t>
      </w:r>
      <w:r>
        <w:rPr>
          <w:rFonts w:hint="eastAsia" w:ascii="仿宋" w:hAnsi="仿宋" w:eastAsia="仿宋" w:cs="仿宋"/>
          <w:color w:val="auto"/>
          <w:szCs w:val="21"/>
          <w:highlight w:val="none"/>
        </w:rPr>
        <w:t>甲方的权利和义务</w:t>
      </w:r>
    </w:p>
    <w:p w14:paraId="0481D658">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一、甲方人员不得以任何形式向乙方索要回扣；对无法拒收的，应及时上交纪检部门。</w:t>
      </w:r>
    </w:p>
    <w:p w14:paraId="11C750E6">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二、甲方人员在业务交往中或项目结束后，不得接受乙方以任何形式给予的礼金、礼品和有价证券，不得在乙方报销应由个人支付的任何费用。</w:t>
      </w:r>
    </w:p>
    <w:p w14:paraId="6A4CB81B">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三、甲方人员不得参加可能对公正执行公务有影响的宴请、旅游和娱乐活动。</w:t>
      </w:r>
    </w:p>
    <w:p w14:paraId="3ECC9F98">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四、甲方人员不得向乙方介绍家属或亲友从事与甲方工程有关的材料设备供应、工程分包等经济活动。</w:t>
      </w:r>
    </w:p>
    <w:p w14:paraId="16146379">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第六条</w:t>
      </w:r>
      <w:r>
        <w:rPr>
          <w:rFonts w:hint="eastAsia" w:ascii="仿宋" w:hAnsi="仿宋" w:eastAsia="仿宋" w:cs="仿宋"/>
          <w:color w:val="auto"/>
          <w:szCs w:val="21"/>
          <w:highlight w:val="none"/>
        </w:rPr>
        <w:t>：乙方的权利和义务</w:t>
      </w:r>
    </w:p>
    <w:p w14:paraId="72DFA794">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一、乙方人员不得以任何形式向甲方人员赠送礼金、礼品和有价证券。项目结束后，也不得进行上述赠送。</w:t>
      </w:r>
    </w:p>
    <w:p w14:paraId="30F65F54">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二、乙方不准以任何名义为甲方人员报销应由甲方人员个人支付的费用。</w:t>
      </w:r>
    </w:p>
    <w:p w14:paraId="45A4BCE7">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三、乙方人员不得以洽谈业务、签订经济合同为借口，邀请甲方人员参加宴会、旅游和娱乐活动等。</w:t>
      </w:r>
    </w:p>
    <w:p w14:paraId="77F29515">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第七条</w:t>
      </w:r>
      <w:r>
        <w:rPr>
          <w:rFonts w:hint="eastAsia" w:ascii="仿宋" w:hAnsi="仿宋" w:eastAsia="仿宋" w:cs="仿宋"/>
          <w:color w:val="auto"/>
          <w:szCs w:val="21"/>
          <w:highlight w:val="none"/>
        </w:rPr>
        <w:t>：违约责任</w:t>
      </w:r>
    </w:p>
    <w:p w14:paraId="753BF3E4">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一、甲方人员若违反本合同，其主管部门将对违法、违纪、违规人员严肃查处。因此而给乙方造成的损失，甲方按有关规定予以赔偿。</w:t>
      </w:r>
    </w:p>
    <w:p w14:paraId="4866517C">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二、甲方主管部门如发现乙方人员违反本合同规定，一经查实，有权终止其经济合同，由此而造成的损失由乙方负责赔偿；并将乙方列入不良行为名单登记入册，取消其在该工程任何经济项目的投标活动。同时，有义务向政府主管部门提供其不良记录情况。</w:t>
      </w:r>
    </w:p>
    <w:p w14:paraId="4124919C">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三、乙方人员若违反本合同，其主管部门应对违法违纪人员严肃查处，因此而给甲方造成的损失，乙方按有关规定予以赔偿。</w:t>
      </w:r>
    </w:p>
    <w:p w14:paraId="3C4203A3">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四、如乙方发现甲方人员有违反本合同的行为，应及时向甲方纪检监察部门举报。甲方不得以任何借口报复乙方。</w:t>
      </w:r>
    </w:p>
    <w:p w14:paraId="0F7C5BB3">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第八条</w:t>
      </w:r>
      <w:r>
        <w:rPr>
          <w:rFonts w:hint="eastAsia" w:ascii="仿宋" w:hAnsi="仿宋" w:eastAsia="仿宋" w:cs="仿宋"/>
          <w:color w:val="auto"/>
          <w:szCs w:val="21"/>
          <w:highlight w:val="none"/>
        </w:rPr>
        <w:t>：甲乙双方必须将“廉政责任合同”贯穿于所签订的经济合同实施的全过程，及时布置、认真检查、严格考核。</w:t>
      </w:r>
    </w:p>
    <w:p w14:paraId="54EE99ED">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第九条</w:t>
      </w:r>
      <w:r>
        <w:rPr>
          <w:rFonts w:hint="eastAsia" w:ascii="仿宋" w:hAnsi="仿宋" w:eastAsia="仿宋" w:cs="仿宋"/>
          <w:color w:val="auto"/>
          <w:szCs w:val="21"/>
          <w:highlight w:val="none"/>
        </w:rPr>
        <w:t>：本合同在甲乙双方签订重大经济合同的同时签订。</w:t>
      </w:r>
    </w:p>
    <w:p w14:paraId="5316700F">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第十条</w:t>
      </w:r>
      <w:r>
        <w:rPr>
          <w:rFonts w:hint="eastAsia" w:ascii="仿宋" w:hAnsi="仿宋" w:eastAsia="仿宋" w:cs="仿宋"/>
          <w:color w:val="auto"/>
          <w:szCs w:val="21"/>
          <w:highlight w:val="none"/>
        </w:rPr>
        <w:t>：本合同作为本次所签订的</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的附件，经合同双方共同签署后立即生效。</w:t>
      </w:r>
    </w:p>
    <w:p w14:paraId="0654894F">
      <w:pPr>
        <w:pStyle w:val="154"/>
        <w:spacing w:line="360" w:lineRule="auto"/>
        <w:ind w:firstLine="422"/>
        <w:rPr>
          <w:rFonts w:ascii="仿宋" w:hAnsi="仿宋" w:eastAsia="仿宋" w:cs="仿宋"/>
          <w:color w:val="auto"/>
          <w:szCs w:val="21"/>
          <w:highlight w:val="none"/>
        </w:rPr>
      </w:pPr>
      <w:r>
        <w:rPr>
          <w:rFonts w:hint="eastAsia" w:ascii="仿宋" w:hAnsi="仿宋" w:eastAsia="仿宋" w:cs="仿宋"/>
          <w:b/>
          <w:bCs/>
          <w:color w:val="auto"/>
          <w:szCs w:val="21"/>
          <w:highlight w:val="none"/>
        </w:rPr>
        <w:t>第十一条：</w:t>
      </w:r>
      <w:r>
        <w:rPr>
          <w:rFonts w:hint="eastAsia" w:ascii="仿宋" w:hAnsi="仿宋" w:eastAsia="仿宋" w:cs="仿宋"/>
          <w:color w:val="auto"/>
          <w:szCs w:val="21"/>
          <w:highlight w:val="none"/>
        </w:rPr>
        <w:t>本合同一式三份，由甲乙双方及甲方纪检监察部门各执一份。</w:t>
      </w:r>
    </w:p>
    <w:p w14:paraId="296566DF">
      <w:pPr>
        <w:topLinePunct/>
        <w:spacing w:line="360" w:lineRule="auto"/>
        <w:ind w:firstLine="640"/>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w:t>
      </w:r>
    </w:p>
    <w:p w14:paraId="28B83BB9">
      <w:pPr>
        <w:topLinePunct/>
        <w:spacing w:line="360" w:lineRule="auto"/>
        <w:ind w:firstLine="640"/>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w:t>
      </w:r>
    </w:p>
    <w:p w14:paraId="587631A2">
      <w:pPr>
        <w:topLinePunct/>
        <w:spacing w:line="360" w:lineRule="auto"/>
        <w:ind w:firstLine="640"/>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w:t>
      </w:r>
    </w:p>
    <w:p w14:paraId="3DF3471E">
      <w:pPr>
        <w:pStyle w:val="154"/>
        <w:spacing w:line="360" w:lineRule="auto"/>
        <w:ind w:firstLine="422"/>
        <w:rPr>
          <w:rFonts w:ascii="仿宋" w:hAnsi="仿宋" w:eastAsia="仿宋" w:cs="仿宋"/>
          <w:b/>
          <w:bCs/>
          <w:color w:val="auto"/>
          <w:szCs w:val="21"/>
          <w:highlight w:val="none"/>
        </w:rPr>
      </w:pPr>
      <w:r>
        <w:rPr>
          <w:rFonts w:hint="eastAsia" w:ascii="仿宋" w:hAnsi="仿宋" w:eastAsia="仿宋" w:cs="仿宋"/>
          <w:b/>
          <w:bCs/>
          <w:color w:val="auto"/>
          <w:szCs w:val="21"/>
          <w:highlight w:val="none"/>
        </w:rPr>
        <w:t>甲方（盖章）                        乙方（盖章）</w:t>
      </w:r>
    </w:p>
    <w:p w14:paraId="54EB1FAF">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w:t>
      </w:r>
    </w:p>
    <w:p w14:paraId="7D847631">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甲方法定代表人 ：                   乙方法定代表人：</w:t>
      </w:r>
    </w:p>
    <w:p w14:paraId="5931AB05">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或                                  或</w:t>
      </w:r>
    </w:p>
    <w:p w14:paraId="7806520E">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甲方委托代理人：                    乙方委托代理人：</w:t>
      </w:r>
    </w:p>
    <w:p w14:paraId="74318A4C">
      <w:pPr>
        <w:pStyle w:val="154"/>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w:t>
      </w:r>
    </w:p>
    <w:p w14:paraId="753255B9">
      <w:pPr>
        <w:pStyle w:val="154"/>
        <w:spacing w:line="360" w:lineRule="auto"/>
        <w:ind w:firstLine="1470" w:firstLineChars="700"/>
        <w:rPr>
          <w:rFonts w:ascii="仿宋" w:hAnsi="仿宋" w:eastAsia="仿宋" w:cs="仿宋"/>
          <w:color w:val="auto"/>
          <w:szCs w:val="21"/>
          <w:highlight w:val="none"/>
        </w:rPr>
      </w:pPr>
      <w:r>
        <w:rPr>
          <w:rFonts w:hint="eastAsia" w:ascii="仿宋" w:hAnsi="仿宋" w:eastAsia="仿宋" w:cs="仿宋"/>
          <w:color w:val="auto"/>
          <w:szCs w:val="21"/>
          <w:highlight w:val="none"/>
        </w:rPr>
        <w:t>年   月   日                        年   月   日</w:t>
      </w:r>
    </w:p>
    <w:p w14:paraId="1C68DD0C">
      <w:pPr>
        <w:pStyle w:val="154"/>
        <w:spacing w:line="360" w:lineRule="auto"/>
        <w:ind w:firstLine="422"/>
        <w:rPr>
          <w:rFonts w:ascii="仿宋" w:hAnsi="仿宋" w:eastAsia="仿宋" w:cs="仿宋"/>
          <w:b/>
          <w:bCs/>
          <w:color w:val="auto"/>
          <w:szCs w:val="21"/>
          <w:highlight w:val="none"/>
        </w:rPr>
      </w:pPr>
      <w:r>
        <w:rPr>
          <w:rFonts w:hint="eastAsia" w:ascii="仿宋" w:hAnsi="仿宋" w:eastAsia="仿宋" w:cs="仿宋"/>
          <w:b/>
          <w:bCs/>
          <w:color w:val="auto"/>
          <w:szCs w:val="21"/>
          <w:highlight w:val="none"/>
        </w:rPr>
        <w:t xml:space="preserve"> </w:t>
      </w:r>
    </w:p>
    <w:p w14:paraId="157354C9">
      <w:pPr>
        <w:rPr>
          <w:rFonts w:ascii="仿宋" w:hAnsi="仿宋" w:eastAsia="仿宋" w:cs="仿宋"/>
          <w:color w:val="auto"/>
          <w:szCs w:val="21"/>
          <w:highlight w:val="none"/>
        </w:rPr>
      </w:pPr>
      <w:r>
        <w:rPr>
          <w:rFonts w:hint="eastAsia" w:ascii="仿宋" w:hAnsi="仿宋" w:eastAsia="仿宋" w:cs="仿宋"/>
          <w:b/>
          <w:bCs/>
          <w:color w:val="auto"/>
          <w:szCs w:val="21"/>
          <w:highlight w:val="none"/>
        </w:rPr>
        <w:t>签约地点：</w:t>
      </w:r>
    </w:p>
    <w:p w14:paraId="28DDC4B7">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2B97D14A">
      <w:pP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1029F33B">
      <w:pP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附件3： </w:t>
      </w:r>
    </w:p>
    <w:p w14:paraId="0A3CB9AF">
      <w:pPr>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建筑施工安全责任书</w:t>
      </w:r>
    </w:p>
    <w:p w14:paraId="0A5B8295">
      <w:pPr>
        <w:rPr>
          <w:rFonts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rPr>
        <w:t xml:space="preserve">为了加强施工现场的安全施工管理，深入贯彻"安全第一，预防为主"安全生产方针，依据“谁施工、谁负责”的原则，落实安全生产责任，加强安全生产、文明施工及治安消防管理，切实有效的防止各类事故的发生，保证施工人员在校内施工过程中的人身安全和健康，确保施工顺利进行，根据《中华人民共和国安全生产法》、学校有关安全生产管理规定，结合本校实际情况，就相关项目施工订立本责任书： </w:t>
      </w:r>
    </w:p>
    <w:p w14:paraId="54BBAFEA">
      <w:pPr>
        <w:numPr>
          <w:ilvl w:val="0"/>
          <w:numId w:val="9"/>
        </w:numPr>
        <w:spacing w:line="400" w:lineRule="exact"/>
        <w:ind w:firstLine="422" w:firstLineChars="200"/>
        <w:rPr>
          <w:rFonts w:ascii="仿宋" w:hAnsi="仿宋" w:eastAsia="仿宋" w:cs="仿宋"/>
          <w:b/>
          <w:bCs/>
          <w:color w:val="auto"/>
          <w:highlight w:val="none"/>
        </w:rPr>
      </w:pPr>
      <w:r>
        <w:rPr>
          <w:rFonts w:hint="eastAsia" w:ascii="仿宋" w:hAnsi="仿宋" w:eastAsia="仿宋" w:cs="仿宋"/>
          <w:b/>
          <w:bCs/>
          <w:color w:val="auto"/>
          <w:highlight w:val="none"/>
        </w:rPr>
        <w:t>施工项目</w:t>
      </w:r>
    </w:p>
    <w:p w14:paraId="12801373">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仿宋" w:hAnsi="仿宋" w:eastAsia="仿宋" w:cs="仿宋"/>
          <w:b/>
          <w:bCs/>
          <w:color w:val="auto"/>
          <w:highlight w:val="none"/>
        </w:rPr>
      </w:pPr>
      <w:r>
        <w:rPr>
          <w:rFonts w:hint="eastAsia" w:ascii="仿宋" w:hAnsi="仿宋" w:eastAsia="仿宋" w:cs="仿宋"/>
          <w:b/>
          <w:bCs/>
          <w:color w:val="auto"/>
          <w:highlight w:val="none"/>
        </w:rPr>
        <w:t>1、项目名称：____________________________________________________</w:t>
      </w:r>
    </w:p>
    <w:p w14:paraId="1D9E2D5A">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仿宋" w:hAnsi="仿宋" w:eastAsia="仿宋" w:cs="仿宋"/>
          <w:b/>
          <w:bCs/>
          <w:color w:val="auto"/>
          <w:highlight w:val="none"/>
        </w:rPr>
      </w:pPr>
      <w:r>
        <w:rPr>
          <w:rFonts w:hint="eastAsia" w:ascii="仿宋" w:hAnsi="仿宋" w:eastAsia="仿宋" w:cs="仿宋"/>
          <w:b/>
          <w:bCs/>
          <w:color w:val="auto"/>
          <w:highlight w:val="none"/>
        </w:rPr>
        <w:t>2、项目地点: _____________________________________________________</w:t>
      </w:r>
    </w:p>
    <w:p w14:paraId="698460C9">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仿宋" w:hAnsi="仿宋" w:eastAsia="仿宋" w:cs="仿宋"/>
          <w:b/>
          <w:bCs/>
          <w:color w:val="auto"/>
          <w:highlight w:val="none"/>
        </w:rPr>
      </w:pPr>
      <w:r>
        <w:rPr>
          <w:rFonts w:hint="eastAsia" w:ascii="仿宋" w:hAnsi="仿宋" w:eastAsia="仿宋" w:cs="仿宋"/>
          <w:b/>
          <w:bCs/>
          <w:color w:val="auto"/>
          <w:highlight w:val="none"/>
        </w:rPr>
        <w:t>3、项目时间: _____________________________________________________</w:t>
      </w:r>
    </w:p>
    <w:p w14:paraId="20620C81">
      <w:pPr>
        <w:numPr>
          <w:ilvl w:val="0"/>
          <w:numId w:val="9"/>
        </w:numPr>
        <w:spacing w:line="400" w:lineRule="exact"/>
        <w:ind w:firstLine="422" w:firstLineChars="200"/>
        <w:rPr>
          <w:rFonts w:ascii="仿宋" w:hAnsi="仿宋" w:eastAsia="仿宋" w:cs="仿宋"/>
          <w:b/>
          <w:bCs/>
          <w:color w:val="auto"/>
          <w:highlight w:val="none"/>
        </w:rPr>
      </w:pPr>
      <w:r>
        <w:rPr>
          <w:rFonts w:hint="eastAsia" w:ascii="仿宋" w:hAnsi="仿宋" w:eastAsia="仿宋" w:cs="仿宋"/>
          <w:b/>
          <w:bCs/>
          <w:color w:val="auto"/>
          <w:highlight w:val="none"/>
        </w:rPr>
        <w:t>施工单位责任管理目标及承诺</w:t>
      </w:r>
    </w:p>
    <w:p w14:paraId="3A905F28">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1.承诺在施工期间，严格按浙江工业大学的要求，依照国家及省市安全法规定、《建筑施工安全检查标准》，明确安全责任，做好施工安全技术交底，服从浙江工业大学相关部门的日常管理和检查。</w:t>
      </w:r>
    </w:p>
    <w:p w14:paraId="4D90484A">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2.承诺对本单位施工人员进行安全教育，有健全的安全管理制度，保证施工人员遵守相关规范，服从浙江工业大学现场管理人员的管理。</w:t>
      </w:r>
    </w:p>
    <w:p w14:paraId="480A9308">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3.承诺文明施工，保证现场不出现消防安全事故和工伤事故，设立现场安全负责人。浙江工业大学现场监管人员若发现有重大不安全因素时，随时有权要求施工方停工整改，施工方不得继续违章操作强行施工。如因施工发生任何意外或造成人员伤亡，施工方承诺承担完全负责，与浙江工业大学无关。需上报工程所在地安监局及有关部门的安全事故，一切手续由施工方负责处理，无需浙江工业大学办理。</w:t>
      </w:r>
    </w:p>
    <w:p w14:paraId="2BA0733B">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4.承诺施工期间不影响浙江工业大学师生正常教学、工作、生活和学校卫生、环境安全，对本单位施工人员造成的一切不良影响负责。</w:t>
      </w:r>
    </w:p>
    <w:p w14:paraId="58AF332D">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5.在责任期内的施工过程中，各级部门安全文明检查中合格率达到100%，杜绝不良影响。</w:t>
      </w:r>
    </w:p>
    <w:p w14:paraId="68046CB3">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6.在责任期内，杜绝发生重大事故，包括火灾事故、现场交通事故等。</w:t>
      </w:r>
    </w:p>
    <w:p w14:paraId="6C4CB744">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7.施工过程中有责任在施工单位区域内和作业点做好文明施工，减少施工噪音，施工污染、杜绝扬尘，控制污染源并及时处理，严禁建筑垃圾随意堆放。</w:t>
      </w:r>
    </w:p>
    <w:p w14:paraId="60EA8A0E">
      <w:pPr>
        <w:spacing w:line="400" w:lineRule="exact"/>
        <w:ind w:firstLine="480"/>
        <w:rPr>
          <w:rFonts w:ascii="仿宋" w:hAnsi="仿宋" w:eastAsia="仿宋" w:cs="仿宋"/>
          <w:color w:val="auto"/>
          <w:highlight w:val="none"/>
        </w:rPr>
      </w:pPr>
      <w:r>
        <w:rPr>
          <w:rFonts w:hint="eastAsia" w:ascii="仿宋" w:hAnsi="仿宋" w:eastAsia="仿宋" w:cs="仿宋"/>
          <w:color w:val="auto"/>
          <w:highlight w:val="none"/>
        </w:rPr>
        <w:t>8.以人为本，关心员工，努力做好各种疾病和职业病的防治工作，减少或消除各类疾病和职业病的发生。同时现场员工必须正确使用劳动保护用品，特种作业人员必须持证上岗。</w:t>
      </w:r>
    </w:p>
    <w:p w14:paraId="22435138">
      <w:pPr>
        <w:spacing w:line="400" w:lineRule="exact"/>
        <w:ind w:right="-607" w:rightChars="-289" w:firstLine="480"/>
        <w:rPr>
          <w:rFonts w:ascii="仿宋" w:hAnsi="仿宋" w:eastAsia="仿宋" w:cs="仿宋"/>
          <w:color w:val="auto"/>
          <w:highlight w:val="none"/>
        </w:rPr>
      </w:pPr>
      <w:r>
        <w:rPr>
          <w:rFonts w:hint="eastAsia" w:ascii="仿宋" w:hAnsi="仿宋" w:eastAsia="仿宋" w:cs="仿宋"/>
          <w:color w:val="auto"/>
          <w:highlight w:val="none"/>
        </w:rPr>
        <w:t>9.在责任期限内杜绝发生火灾事故，落实各级消防制度。</w:t>
      </w:r>
    </w:p>
    <w:p w14:paraId="0539AC95">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10.注意和加强内部治安宣传教育管理，杜绝重大治安事件和刑事案件的发生。</w:t>
      </w:r>
    </w:p>
    <w:p w14:paraId="2686BBD4">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11.如涉及高空作业，施工单位则需另外签订《高空作业安全施工承诺书》</w:t>
      </w:r>
    </w:p>
    <w:p w14:paraId="2DD87BC8">
      <w:pPr>
        <w:spacing w:line="400" w:lineRule="exact"/>
        <w:ind w:firstLine="422" w:firstLineChars="200"/>
        <w:rPr>
          <w:rFonts w:ascii="仿宋" w:hAnsi="仿宋" w:eastAsia="仿宋" w:cs="仿宋"/>
          <w:b/>
          <w:bCs/>
          <w:color w:val="auto"/>
          <w:highlight w:val="none"/>
        </w:rPr>
      </w:pPr>
      <w:r>
        <w:rPr>
          <w:rFonts w:hint="eastAsia" w:ascii="仿宋" w:hAnsi="仿宋" w:eastAsia="仿宋" w:cs="仿宋"/>
          <w:b/>
          <w:bCs/>
          <w:color w:val="auto"/>
          <w:highlight w:val="none"/>
        </w:rPr>
        <w:t>二、施工单位安全责任</w:t>
      </w:r>
    </w:p>
    <w:p w14:paraId="13BF1A36">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为了完成上述管理目标，施工单位必须采取有力措施，行使下列职责：</w:t>
      </w:r>
    </w:p>
    <w:p w14:paraId="465470F6">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1.施工时是安全生产的直接责任人，必须严格执行甲方的有关安全生产的规定、制度； </w:t>
      </w:r>
    </w:p>
    <w:p w14:paraId="0D3D7A60">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进场施工前向我校相关管理部门提供相应资质证明材料，并负责为所有施工方安装施工人员办理医疗及工伤社会保险，并根据需要为从事高度危险工作的人员购买适当的人身意外伤害保险，在施工过程中如发生人身伤亡事故，由施工方承担全部责任；</w:t>
      </w:r>
    </w:p>
    <w:p w14:paraId="03854D04">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3.应对现场安装施工的行为完全负责，施工方安装施工人员不得违章作业，冒险作业，不能疲劳作业，并按规定做好保护工作； </w:t>
      </w:r>
    </w:p>
    <w:p w14:paraId="0023935C">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4.在施工现场人员必须有配备齐全的安全防护用品，不能满足安全施工需要时，人员不得进入施工现场。 </w:t>
      </w:r>
    </w:p>
    <w:p w14:paraId="3D388004">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5.高空悬空作业必须系好安全带； </w:t>
      </w:r>
    </w:p>
    <w:p w14:paraId="4F0E726B">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6.施工前不得喝酒，在禁止吸烟的区域不得吸烟； </w:t>
      </w:r>
    </w:p>
    <w:p w14:paraId="217CB4AD">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7.现场内不得赤脚，不得穿拖鞋、高跟鞋，高空作业不得穿皮鞋和带钉易滑鞋； </w:t>
      </w:r>
    </w:p>
    <w:p w14:paraId="03B638FC">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8.施工现场应设安全防护设施，采用护栏、挡板及警示禁行标志；如工程过程中存在洞、坑、沟等危险部位，除采用防护设施外，还应采用木板、毛竹片或钢板等对危险部位进行有效覆盖，防止跌落；未经甲方管理人员批准，不得随便拆除已架设的安全防护设施及安全装置和安全标牌； </w:t>
      </w:r>
    </w:p>
    <w:p w14:paraId="04E9B31D">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9.不得私自乱接乱拉电线，保护工地上临时用电电缆及配电箱的完好，不得用材料、工具等压砸电缆电线，确保用电安全；</w:t>
      </w:r>
    </w:p>
    <w:p w14:paraId="176C084A">
      <w:pPr>
        <w:spacing w:line="400" w:lineRule="exact"/>
        <w:ind w:right="-607" w:rightChars="-289"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10.不得在施工现场烧火，不得违反用电、明火作业、易燃易爆物品等安全管理制度 </w:t>
      </w:r>
    </w:p>
    <w:p w14:paraId="045ECA00">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11.不得从高处向下抛扔任何物资、材料，堆放时不得超过支撑限重的70%； </w:t>
      </w:r>
    </w:p>
    <w:p w14:paraId="1613D70C">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12.不得在高处临边一米范围内堆放活动材料；</w:t>
      </w:r>
    </w:p>
    <w:p w14:paraId="4EDC5269">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13.不得在操作面上及高处临边竖立放置工具和线材； </w:t>
      </w:r>
    </w:p>
    <w:p w14:paraId="7FE9504D">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14.使用电动工具，必须按操作规程和说明书要求正确佩戴防护用品；</w:t>
      </w:r>
    </w:p>
    <w:p w14:paraId="6BEA9A6F">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15.施工过程中必须严格遵守安全操作规程；</w:t>
      </w:r>
    </w:p>
    <w:p w14:paraId="649E6787">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16.不应疲劳作业，不得在操作面上及楼层上睡觉。 </w:t>
      </w:r>
    </w:p>
    <w:p w14:paraId="68986F2D">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17.不得在道路广场等公共场合搅拌水泥、混凝土、制作各类预制件，如场地狭小，确需在公共场合施工，必须及时清理，恢复地面原貌。</w:t>
      </w:r>
    </w:p>
    <w:p w14:paraId="20DAB2EC">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18.现场所有的材料应统一摆放整齐，且不得放置在道路、广场等公共场合，保证校园环境整洁。</w:t>
      </w:r>
    </w:p>
    <w:p w14:paraId="757A862E">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19.工程施工过程中所产生的建筑垃圾应采取袋装，不得放置在道路、广场等公共场合，同时建筑垃圾应及时清理，做到人走场清，建筑垃圾最长堆放时间不得超过48小时。</w:t>
      </w:r>
    </w:p>
    <w:p w14:paraId="2508C72A">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20.施工单位有责任保护学校财产物品，施工过程中不得拆卸校园内公共设施，如确因工程实际需要，须对其移除或拆卸，应报建设单位同意或与建设单位协商处理。工程结束后，应及时复原公共设施。对擅自损坏、拆卸、移动所造成的后果要承担主要责任。</w:t>
      </w:r>
    </w:p>
    <w:p w14:paraId="2769456A">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21.如工程项目地点在绿化范围内，施工单位施工前三天应告知建设单位绿化相关人员，上报在施工范围内可能损害到的绿化植物数量、品种等，在施工前一天应在建设单位绿化人员指导下完成施工范围内绿化的移除工作；施工单位完成施工项目之后，在3天时间内完成绿化的复原工作，相关的种植技术问题及时与建设单位绿化工作人员商榷已保证绿植的成活率，不能擅自复原，需要另行采购绿植所产生的费用由施工单位承担。</w:t>
      </w:r>
    </w:p>
    <w:p w14:paraId="01261F2D">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22.对人身安全健康存在威胁工程（如电焊、切割、油漆工程等），必须在我校相关管理部门指定地点施工作业，不得在人员密集的办公、学习、生活区、公共场地施工；如确因工程实际需要，必须在上述场合施工，应报管理部门同意，且避开人员办公时间施工作业。</w:t>
      </w:r>
    </w:p>
    <w:p w14:paraId="4674A3C3">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23.把好现场安全防护用品、设备、设施安全使用关，严禁不合格产品进入施工现场。</w:t>
      </w:r>
    </w:p>
    <w:p w14:paraId="7DBAAF60">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24.做好本单位施工区域和作业点的安全生产、文明施工工作，并服从建设单位统一布置安排。</w:t>
      </w:r>
    </w:p>
    <w:p w14:paraId="18AEDC0B">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25.施工方人员进入校内楼栋应服从学校相关人员（宿管员及楼宇管理员等）管理，不得随意翻阅室内任何物品，如室内发生失窃事件，应积极配合相关人员检查。</w:t>
      </w:r>
    </w:p>
    <w:p w14:paraId="2650D502">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26.施工方人员如需进入楼层作业，应事先提供当天现场作业人员相关证件（身份证扫描件、劳动合同扫描件等），报甲方备案，并及时办理所需相关证件。</w:t>
      </w:r>
    </w:p>
    <w:p w14:paraId="6024A3D7">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27.施工方人员进出校内楼栋应积极配合学校相关人员检查：如包裹口袋、工具箱（盒）、器械等。</w:t>
      </w:r>
    </w:p>
    <w:p w14:paraId="74B59A00">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28.施工方人员如需进入校内楼栋施工，应提前三个工作日向建设方报备，不得擅自进入楼内施工。</w:t>
      </w:r>
    </w:p>
    <w:p w14:paraId="05453674">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29.安全问题包括不仅限于上述情况，如有未尽详细事宜，参照国家法律法规的有关条款执行。</w:t>
      </w:r>
    </w:p>
    <w:p w14:paraId="1451DA62">
      <w:pPr>
        <w:spacing w:line="400" w:lineRule="exact"/>
        <w:rPr>
          <w:rFonts w:ascii="仿宋" w:hAnsi="仿宋" w:eastAsia="仿宋" w:cs="仿宋"/>
          <w:b/>
          <w:bCs/>
          <w:color w:val="auto"/>
          <w:highlight w:val="none"/>
        </w:rPr>
      </w:pPr>
      <w:r>
        <w:rPr>
          <w:rFonts w:hint="eastAsia" w:ascii="仿宋" w:hAnsi="仿宋" w:eastAsia="仿宋" w:cs="仿宋"/>
          <w:color w:val="auto"/>
          <w:highlight w:val="none"/>
        </w:rPr>
        <w:t xml:space="preserve">     </w:t>
      </w:r>
      <w:r>
        <w:rPr>
          <w:rFonts w:hint="eastAsia" w:ascii="仿宋" w:hAnsi="仿宋" w:eastAsia="仿宋" w:cs="仿宋"/>
          <w:b/>
          <w:bCs/>
          <w:color w:val="auto"/>
          <w:highlight w:val="none"/>
        </w:rPr>
        <w:t>三、处罚条款</w:t>
      </w:r>
    </w:p>
    <w:p w14:paraId="79E69767">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1.发生重伤和死亡事故，应由甲方主管部门牵头，双方参加，组成事故调查组，查清事故原因，分清事故责任，提出对事故的处理意见，并按有关规定及时向有上级报告； </w:t>
      </w:r>
    </w:p>
    <w:p w14:paraId="39FF81A6">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2.由于施工方没有尽到自身安全责任，造成重大安全事故，主要和相关责任者已触及刑律的，报检察院或劳动监督部门处理；  </w:t>
      </w:r>
    </w:p>
    <w:p w14:paraId="16DD9ED4">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3.施工方安装施工人员违章违纪作业造成安全事故的，施工方负全部责任，并由施工方事故责任者承担造成的经济损失和刑事责任； </w:t>
      </w:r>
    </w:p>
    <w:p w14:paraId="205AC8F0">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 xml:space="preserve">4.施工现场发生安全事故，导致重大伤亡的，相关赔偿责任全部由施工方承担。 </w:t>
      </w:r>
    </w:p>
    <w:p w14:paraId="1A3B0F6E">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5.如因施工方或施工方安装施工人员过错给学校造成损失，由施工方负责向校方赔偿，校方有权直接从施工方工程款中将相关损失赔偿款进行抵扣。</w:t>
      </w:r>
    </w:p>
    <w:p w14:paraId="0DBB3E6E">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6.如施工方未经建设方允许，擅自进入楼内施工，需承担因此造成的经济损失和刑事责任，且建设方保留追究责任的权利。</w:t>
      </w:r>
    </w:p>
    <w:p w14:paraId="158AF64C">
      <w:pPr>
        <w:spacing w:line="400" w:lineRule="exact"/>
        <w:ind w:firstLine="420" w:firstLineChars="200"/>
        <w:rPr>
          <w:rFonts w:ascii="仿宋" w:hAnsi="仿宋" w:eastAsia="仿宋" w:cs="仿宋"/>
          <w:color w:val="auto"/>
          <w:highlight w:val="none"/>
        </w:rPr>
      </w:pPr>
      <w:r>
        <w:rPr>
          <w:rFonts w:hint="eastAsia" w:ascii="仿宋" w:hAnsi="仿宋" w:eastAsia="仿宋" w:cs="仿宋"/>
          <w:color w:val="auto"/>
          <w:highlight w:val="none"/>
        </w:rPr>
        <w:t>7.在施工中产生严重安全问题，将被列入黑名单，禁止进入我校进行任何施工。</w:t>
      </w:r>
    </w:p>
    <w:p w14:paraId="68D91A29">
      <w:pPr>
        <w:spacing w:line="400" w:lineRule="exact"/>
        <w:ind w:firstLine="422" w:firstLineChars="200"/>
        <w:rPr>
          <w:rFonts w:ascii="仿宋" w:hAnsi="仿宋" w:eastAsia="仿宋" w:cs="仿宋"/>
          <w:color w:val="auto"/>
          <w:highlight w:val="none"/>
        </w:rPr>
      </w:pPr>
      <w:r>
        <w:rPr>
          <w:rFonts w:hint="eastAsia" w:ascii="仿宋" w:hAnsi="仿宋" w:eastAsia="仿宋" w:cs="仿宋"/>
          <w:b/>
          <w:bCs/>
          <w:color w:val="auto"/>
          <w:highlight w:val="none"/>
        </w:rPr>
        <w:t>三、本承诺书是浙江工业大学对外来施工安全监管的有效证明文件，是合同的附件，具有法律效力。</w:t>
      </w:r>
    </w:p>
    <w:p w14:paraId="45C0690C">
      <w:pPr>
        <w:spacing w:line="400" w:lineRule="exact"/>
        <w:ind w:firstLine="422" w:firstLineChars="200"/>
        <w:rPr>
          <w:rFonts w:ascii="仿宋" w:hAnsi="仿宋" w:eastAsia="仿宋" w:cs="仿宋"/>
          <w:b/>
          <w:bCs/>
          <w:color w:val="auto"/>
          <w:highlight w:val="none"/>
        </w:rPr>
      </w:pPr>
      <w:r>
        <w:rPr>
          <w:rFonts w:hint="eastAsia" w:ascii="仿宋" w:hAnsi="仿宋" w:eastAsia="仿宋" w:cs="仿宋"/>
          <w:b/>
          <w:bCs/>
          <w:color w:val="auto"/>
          <w:highlight w:val="none"/>
        </w:rPr>
        <w:t>四、本协议自签订之日起生效，一式两份，双方各执一份。</w:t>
      </w:r>
    </w:p>
    <w:p w14:paraId="2ED0E82F">
      <w:pPr>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p>
    <w:p w14:paraId="20F5CD48">
      <w:pPr>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p>
    <w:p w14:paraId="3FCACD0A">
      <w:pPr>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p>
    <w:p w14:paraId="1F0701D0">
      <w:pPr>
        <w:ind w:firstLine="4410" w:firstLineChars="2100"/>
        <w:rPr>
          <w:rFonts w:ascii="仿宋" w:hAnsi="仿宋" w:eastAsia="仿宋" w:cs="仿宋"/>
          <w:color w:val="auto"/>
          <w:highlight w:val="none"/>
        </w:rPr>
      </w:pPr>
      <w:r>
        <w:rPr>
          <w:rFonts w:hint="eastAsia" w:ascii="仿宋" w:hAnsi="仿宋" w:eastAsia="仿宋" w:cs="仿宋"/>
          <w:color w:val="auto"/>
          <w:highlight w:val="none"/>
        </w:rPr>
        <w:t>施工单位（盖章）：</w:t>
      </w:r>
    </w:p>
    <w:p w14:paraId="095A1321">
      <w:pPr>
        <w:rPr>
          <w:rFonts w:ascii="仿宋" w:hAnsi="仿宋" w:eastAsia="仿宋" w:cs="仿宋"/>
          <w:color w:val="auto"/>
          <w:highlight w:val="none"/>
        </w:rPr>
      </w:pPr>
      <w:r>
        <w:rPr>
          <w:rFonts w:hint="eastAsia" w:ascii="仿宋" w:hAnsi="仿宋" w:eastAsia="仿宋" w:cs="仿宋"/>
          <w:color w:val="auto"/>
          <w:highlight w:val="none"/>
        </w:rPr>
        <w:t xml:space="preserve"> </w:t>
      </w:r>
    </w:p>
    <w:p w14:paraId="15005CD7">
      <w:pPr>
        <w:ind w:firstLine="4410" w:firstLineChars="2100"/>
        <w:rPr>
          <w:rFonts w:ascii="仿宋" w:hAnsi="仿宋" w:eastAsia="仿宋" w:cs="仿宋"/>
          <w:color w:val="auto"/>
          <w:highlight w:val="none"/>
        </w:rPr>
      </w:pPr>
      <w:r>
        <w:rPr>
          <w:rFonts w:hint="eastAsia" w:ascii="仿宋" w:hAnsi="仿宋" w:eastAsia="仿宋" w:cs="仿宋"/>
          <w:color w:val="auto"/>
          <w:highlight w:val="none"/>
        </w:rPr>
        <w:t>负责人（签字或盖章）：</w:t>
      </w:r>
    </w:p>
    <w:p w14:paraId="6D8E61A1">
      <w:pPr>
        <w:pStyle w:val="30"/>
        <w:snapToGrid w:val="0"/>
        <w:spacing w:before="162" w:after="162" w:line="360" w:lineRule="auto"/>
        <w:jc w:val="center"/>
        <w:rPr>
          <w:rFonts w:ascii="仿宋" w:hAnsi="仿宋" w:eastAsia="仿宋" w:cs="仿宋"/>
          <w:b/>
          <w:bCs/>
          <w:color w:val="auto"/>
          <w:sz w:val="21"/>
          <w:szCs w:val="21"/>
          <w:highlight w:val="none"/>
        </w:rPr>
        <w:sectPr>
          <w:pgSz w:w="11906" w:h="16838"/>
          <w:pgMar w:top="1276" w:right="1417" w:bottom="1276" w:left="1417" w:header="851" w:footer="992" w:gutter="0"/>
          <w:cols w:space="720" w:num="1"/>
          <w:docGrid w:type="lines" w:linePitch="325" w:charSpace="0"/>
        </w:sectPr>
      </w:pPr>
    </w:p>
    <w:p w14:paraId="406DCAC8">
      <w:pPr>
        <w:autoSpaceDN w:val="0"/>
        <w:snapToGrid w:val="0"/>
        <w:spacing w:line="360" w:lineRule="auto"/>
        <w:ind w:left="238"/>
        <w:jc w:val="center"/>
        <w:outlineLvl w:val="0"/>
        <w:rPr>
          <w:rFonts w:ascii="仿宋" w:hAnsi="仿宋" w:eastAsia="仿宋" w:cs="宋体"/>
          <w:b/>
          <w:color w:val="auto"/>
          <w:sz w:val="32"/>
          <w:szCs w:val="32"/>
          <w:highlight w:val="none"/>
        </w:rPr>
      </w:pPr>
      <w:bookmarkStart w:id="98" w:name="_Toc351203642"/>
      <w:bookmarkEnd w:id="98"/>
      <w:r>
        <w:rPr>
          <w:rFonts w:hint="eastAsia" w:ascii="仿宋" w:hAnsi="仿宋" w:eastAsia="仿宋" w:cs="宋体"/>
          <w:b/>
          <w:color w:val="auto"/>
          <w:sz w:val="32"/>
          <w:szCs w:val="32"/>
          <w:highlight w:val="none"/>
        </w:rPr>
        <w:t>第六章 响应文件格式</w:t>
      </w:r>
      <w:bookmarkEnd w:id="97"/>
    </w:p>
    <w:p w14:paraId="59C4691B">
      <w:pPr>
        <w:autoSpaceDN w:val="0"/>
        <w:snapToGrid w:val="0"/>
        <w:spacing w:line="360" w:lineRule="auto"/>
        <w:rPr>
          <w:rFonts w:ascii="仿宋" w:hAnsi="仿宋" w:eastAsia="仿宋" w:cs="宋体"/>
          <w:color w:val="auto"/>
          <w:sz w:val="24"/>
          <w:szCs w:val="24"/>
          <w:highlight w:val="none"/>
        </w:rPr>
      </w:pPr>
    </w:p>
    <w:p w14:paraId="77382F52">
      <w:pPr>
        <w:keepNext/>
        <w:keepLines/>
        <w:autoSpaceDN w:val="0"/>
        <w:spacing w:before="260" w:after="260" w:line="415" w:lineRule="auto"/>
        <w:outlineLvl w:val="1"/>
        <w:rPr>
          <w:rFonts w:ascii="仿宋" w:hAnsi="仿宋" w:eastAsia="仿宋" w:cs="Times New Roman"/>
          <w:b/>
          <w:bCs/>
          <w:color w:val="auto"/>
          <w:sz w:val="32"/>
          <w:szCs w:val="32"/>
          <w:highlight w:val="none"/>
        </w:rPr>
      </w:pPr>
      <w:bookmarkStart w:id="99" w:name="_Toc1935"/>
      <w:r>
        <w:rPr>
          <w:rFonts w:hint="eastAsia" w:ascii="仿宋" w:hAnsi="仿宋" w:eastAsia="仿宋" w:cs="Times New Roman"/>
          <w:b/>
          <w:bCs/>
          <w:color w:val="auto"/>
          <w:sz w:val="32"/>
          <w:szCs w:val="32"/>
          <w:highlight w:val="none"/>
        </w:rPr>
        <w:t>一、资格文件部分格式</w:t>
      </w:r>
      <w:bookmarkEnd w:id="99"/>
    </w:p>
    <w:p w14:paraId="78A19DBF">
      <w:pPr>
        <w:autoSpaceDE w:val="0"/>
        <w:autoSpaceDN w:val="0"/>
        <w:adjustRightInd w:val="0"/>
        <w:spacing w:line="480" w:lineRule="auto"/>
        <w:ind w:left="1050" w:leftChars="500"/>
        <w:jc w:val="left"/>
        <w:rPr>
          <w:rFonts w:ascii="仿宋" w:hAnsi="仿宋" w:eastAsia="仿宋" w:cs="Times New Roman"/>
          <w:b/>
          <w:bCs/>
          <w:color w:val="auto"/>
          <w:sz w:val="32"/>
          <w:szCs w:val="32"/>
          <w:highlight w:val="none"/>
        </w:rPr>
      </w:pPr>
    </w:p>
    <w:p w14:paraId="11CDC3BD">
      <w:pPr>
        <w:tabs>
          <w:tab w:val="left" w:pos="2580"/>
          <w:tab w:val="left" w:pos="5940"/>
        </w:tabs>
        <w:autoSpaceDE w:val="0"/>
        <w:autoSpaceDN w:val="0"/>
        <w:adjustRightInd w:val="0"/>
        <w:spacing w:line="360" w:lineRule="auto"/>
        <w:ind w:right="-20"/>
        <w:rPr>
          <w:rFonts w:ascii="仿宋" w:hAnsi="仿宋" w:eastAsia="仿宋" w:cs="Times New Roman"/>
          <w:color w:val="auto"/>
          <w:kern w:val="0"/>
          <w:sz w:val="28"/>
          <w:szCs w:val="24"/>
          <w:highlight w:val="none"/>
        </w:rPr>
      </w:pPr>
    </w:p>
    <w:p w14:paraId="54BB1AD3">
      <w:pPr>
        <w:autoSpaceDE w:val="0"/>
        <w:autoSpaceDN w:val="0"/>
        <w:adjustRightInd w:val="0"/>
        <w:spacing w:line="480" w:lineRule="auto"/>
        <w:ind w:left="1050" w:leftChars="500"/>
        <w:jc w:val="left"/>
        <w:rPr>
          <w:rFonts w:ascii="仿宋" w:hAnsi="仿宋" w:eastAsia="仿宋" w:cs="华文中宋"/>
          <w:color w:val="auto"/>
          <w:kern w:val="0"/>
          <w:sz w:val="30"/>
          <w:szCs w:val="30"/>
          <w:highlight w:val="none"/>
          <w:u w:val="single"/>
        </w:rPr>
      </w:pPr>
      <w:r>
        <w:rPr>
          <w:rFonts w:hint="eastAsia" w:ascii="仿宋" w:hAnsi="仿宋" w:eastAsia="仿宋" w:cs="华文中宋"/>
          <w:color w:val="auto"/>
          <w:sz w:val="30"/>
          <w:szCs w:val="30"/>
          <w:highlight w:val="none"/>
        </w:rPr>
        <w:t>项目名称：</w:t>
      </w:r>
    </w:p>
    <w:p w14:paraId="214171F1">
      <w:pPr>
        <w:widowControl/>
        <w:autoSpaceDN w:val="0"/>
        <w:ind w:left="2550"/>
        <w:rPr>
          <w:rFonts w:ascii="仿宋" w:hAnsi="仿宋" w:eastAsia="仿宋" w:cs="Times New Roman"/>
          <w:color w:val="auto"/>
          <w:kern w:val="0"/>
          <w:highlight w:val="none"/>
        </w:rPr>
      </w:pPr>
    </w:p>
    <w:p w14:paraId="4CC35F23">
      <w:pPr>
        <w:tabs>
          <w:tab w:val="left" w:pos="2580"/>
          <w:tab w:val="left" w:pos="5940"/>
        </w:tabs>
        <w:autoSpaceDE w:val="0"/>
        <w:autoSpaceDN w:val="0"/>
        <w:adjustRightInd w:val="0"/>
        <w:snapToGrid w:val="0"/>
        <w:spacing w:line="360" w:lineRule="auto"/>
        <w:ind w:right="-20" w:firstLine="1050" w:firstLineChars="350"/>
        <w:rPr>
          <w:rFonts w:ascii="仿宋" w:hAnsi="仿宋" w:eastAsia="仿宋" w:cs="华文中宋"/>
          <w:color w:val="auto"/>
          <w:kern w:val="0"/>
          <w:sz w:val="30"/>
          <w:szCs w:val="30"/>
          <w:highlight w:val="none"/>
          <w:u w:val="single"/>
        </w:rPr>
      </w:pPr>
      <w:r>
        <w:rPr>
          <w:rFonts w:hint="eastAsia" w:ascii="仿宋" w:hAnsi="仿宋" w:eastAsia="仿宋" w:cs="华文中宋"/>
          <w:color w:val="auto"/>
          <w:kern w:val="0"/>
          <w:sz w:val="30"/>
          <w:szCs w:val="30"/>
          <w:highlight w:val="none"/>
        </w:rPr>
        <w:t>项目编号：</w:t>
      </w:r>
    </w:p>
    <w:p w14:paraId="1A966BCF">
      <w:pPr>
        <w:autoSpaceDE w:val="0"/>
        <w:autoSpaceDN w:val="0"/>
        <w:adjustRightInd w:val="0"/>
        <w:jc w:val="left"/>
        <w:rPr>
          <w:rFonts w:ascii="仿宋" w:hAnsi="仿宋" w:eastAsia="仿宋" w:cs="..ì."/>
          <w:color w:val="auto"/>
          <w:kern w:val="0"/>
          <w:sz w:val="24"/>
          <w:szCs w:val="24"/>
          <w:highlight w:val="none"/>
        </w:rPr>
      </w:pPr>
    </w:p>
    <w:p w14:paraId="01BF13B7">
      <w:pPr>
        <w:widowControl/>
        <w:autoSpaceDN w:val="0"/>
        <w:ind w:left="2550"/>
        <w:rPr>
          <w:rFonts w:ascii="仿宋" w:hAnsi="仿宋" w:eastAsia="仿宋" w:cs="Times New Roman"/>
          <w:color w:val="auto"/>
          <w:kern w:val="0"/>
          <w:highlight w:val="none"/>
        </w:rPr>
      </w:pPr>
    </w:p>
    <w:p w14:paraId="35FDF60F">
      <w:pPr>
        <w:tabs>
          <w:tab w:val="left" w:pos="1805"/>
          <w:tab w:val="left" w:pos="5360"/>
        </w:tabs>
        <w:autoSpaceDE w:val="0"/>
        <w:autoSpaceDN w:val="0"/>
        <w:adjustRightInd w:val="0"/>
        <w:snapToGrid w:val="0"/>
        <w:spacing w:line="360" w:lineRule="auto"/>
        <w:ind w:right="-20"/>
        <w:jc w:val="center"/>
        <w:rPr>
          <w:rFonts w:ascii="仿宋" w:hAnsi="仿宋" w:eastAsia="仿宋" w:cs="Times New Roman"/>
          <w:color w:val="auto"/>
          <w:kern w:val="0"/>
          <w:sz w:val="72"/>
          <w:szCs w:val="24"/>
          <w:highlight w:val="none"/>
        </w:rPr>
      </w:pPr>
      <w:r>
        <w:rPr>
          <w:rFonts w:hint="eastAsia" w:ascii="仿宋" w:hAnsi="仿宋" w:eastAsia="仿宋" w:cs="Times New Roman"/>
          <w:color w:val="auto"/>
          <w:kern w:val="0"/>
          <w:sz w:val="72"/>
          <w:szCs w:val="24"/>
          <w:highlight w:val="none"/>
        </w:rPr>
        <w:t>响应文件</w:t>
      </w:r>
    </w:p>
    <w:p w14:paraId="78C43597">
      <w:pPr>
        <w:tabs>
          <w:tab w:val="left" w:pos="1805"/>
          <w:tab w:val="left" w:pos="5360"/>
        </w:tabs>
        <w:autoSpaceDE w:val="0"/>
        <w:autoSpaceDN w:val="0"/>
        <w:adjustRightInd w:val="0"/>
        <w:snapToGrid w:val="0"/>
        <w:spacing w:line="360" w:lineRule="auto"/>
        <w:ind w:right="-20"/>
        <w:jc w:val="center"/>
        <w:rPr>
          <w:rFonts w:ascii="仿宋" w:hAnsi="仿宋" w:eastAsia="仿宋" w:cs="Times New Roman"/>
          <w:color w:val="auto"/>
          <w:kern w:val="0"/>
          <w:sz w:val="72"/>
          <w:szCs w:val="24"/>
          <w:highlight w:val="none"/>
        </w:rPr>
      </w:pPr>
      <w:r>
        <w:rPr>
          <w:rFonts w:hint="eastAsia" w:ascii="仿宋" w:hAnsi="仿宋" w:eastAsia="仿宋" w:cs="Times New Roman"/>
          <w:color w:val="auto"/>
          <w:kern w:val="0"/>
          <w:sz w:val="72"/>
          <w:szCs w:val="24"/>
          <w:highlight w:val="none"/>
        </w:rPr>
        <w:t>（资格文件）</w:t>
      </w:r>
    </w:p>
    <w:p w14:paraId="335BAD00">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5FB64233">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061D05F2">
      <w:pPr>
        <w:autoSpaceDE w:val="0"/>
        <w:autoSpaceDN w:val="0"/>
        <w:adjustRightInd w:val="0"/>
        <w:snapToGrid w:val="0"/>
        <w:spacing w:line="480" w:lineRule="auto"/>
        <w:ind w:firstLine="840" w:firstLineChars="300"/>
        <w:jc w:val="left"/>
        <w:rPr>
          <w:rFonts w:ascii="仿宋" w:hAnsi="仿宋" w:eastAsia="仿宋" w:cs="..ì."/>
          <w:color w:val="auto"/>
          <w:kern w:val="0"/>
          <w:sz w:val="28"/>
          <w:szCs w:val="24"/>
          <w:highlight w:val="none"/>
        </w:rPr>
      </w:pPr>
      <w:r>
        <w:rPr>
          <w:rFonts w:hint="eastAsia" w:ascii="仿宋" w:hAnsi="仿宋" w:eastAsia="仿宋" w:cs="..ì."/>
          <w:color w:val="auto"/>
          <w:sz w:val="28"/>
          <w:szCs w:val="24"/>
          <w:highlight w:val="none"/>
        </w:rPr>
        <w:t>磋商响应供应商</w:t>
      </w:r>
      <w:r>
        <w:rPr>
          <w:rFonts w:hint="eastAsia" w:ascii="仿宋" w:hAnsi="仿宋" w:eastAsia="仿宋" w:cs="..ì."/>
          <w:b/>
          <w:bCs/>
          <w:color w:val="auto"/>
          <w:sz w:val="28"/>
          <w:szCs w:val="24"/>
          <w:highlight w:val="none"/>
        </w:rPr>
        <w:t>（盖章）</w:t>
      </w:r>
      <w:r>
        <w:rPr>
          <w:rFonts w:hint="eastAsia" w:ascii="仿宋" w:hAnsi="仿宋" w:eastAsia="仿宋" w:cs="..ì."/>
          <w:color w:val="auto"/>
          <w:sz w:val="28"/>
          <w:szCs w:val="24"/>
          <w:highlight w:val="none"/>
        </w:rPr>
        <w:t>：</w:t>
      </w:r>
    </w:p>
    <w:p w14:paraId="74EAD594">
      <w:pPr>
        <w:autoSpaceDE w:val="0"/>
        <w:autoSpaceDN w:val="0"/>
        <w:adjustRightInd w:val="0"/>
        <w:snapToGrid w:val="0"/>
        <w:spacing w:line="480" w:lineRule="auto"/>
        <w:ind w:firstLine="840" w:firstLineChars="300"/>
        <w:jc w:val="left"/>
        <w:rPr>
          <w:rFonts w:ascii="仿宋" w:hAnsi="仿宋" w:eastAsia="仿宋" w:cs="..ì."/>
          <w:color w:val="auto"/>
          <w:sz w:val="28"/>
          <w:szCs w:val="24"/>
          <w:highlight w:val="none"/>
        </w:rPr>
      </w:pPr>
      <w:r>
        <w:rPr>
          <w:rFonts w:hint="eastAsia" w:ascii="仿宋" w:hAnsi="仿宋" w:eastAsia="仿宋" w:cs="..ì."/>
          <w:color w:val="auto"/>
          <w:sz w:val="28"/>
          <w:szCs w:val="24"/>
          <w:highlight w:val="none"/>
        </w:rPr>
        <w:t>磋商响应供应商地址：</w:t>
      </w:r>
    </w:p>
    <w:p w14:paraId="1B42C165">
      <w:pPr>
        <w:autoSpaceDE w:val="0"/>
        <w:autoSpaceDN w:val="0"/>
        <w:adjustRightInd w:val="0"/>
        <w:snapToGrid w:val="0"/>
        <w:spacing w:line="480" w:lineRule="auto"/>
        <w:ind w:firstLine="840" w:firstLineChars="300"/>
        <w:jc w:val="left"/>
        <w:rPr>
          <w:rFonts w:ascii="仿宋" w:hAnsi="仿宋" w:eastAsia="仿宋" w:cs="..ì."/>
          <w:color w:val="auto"/>
          <w:sz w:val="24"/>
          <w:szCs w:val="24"/>
          <w:highlight w:val="none"/>
        </w:rPr>
      </w:pPr>
      <w:r>
        <w:rPr>
          <w:rFonts w:hint="eastAsia" w:ascii="仿宋" w:hAnsi="仿宋" w:eastAsia="仿宋" w:cs="..ì."/>
          <w:color w:val="auto"/>
          <w:sz w:val="28"/>
          <w:szCs w:val="24"/>
          <w:highlight w:val="none"/>
        </w:rPr>
        <w:t>磋商响应供应商联系电话：</w:t>
      </w:r>
    </w:p>
    <w:p w14:paraId="19FE76E3">
      <w:pPr>
        <w:tabs>
          <w:tab w:val="left" w:pos="6080"/>
          <w:tab w:val="left" w:pos="6640"/>
        </w:tabs>
        <w:autoSpaceDE w:val="0"/>
        <w:autoSpaceDN w:val="0"/>
        <w:adjustRightInd w:val="0"/>
        <w:snapToGrid w:val="0"/>
        <w:spacing w:line="480" w:lineRule="auto"/>
        <w:ind w:left="774" w:right="403"/>
        <w:jc w:val="left"/>
        <w:rPr>
          <w:rFonts w:ascii="仿宋" w:hAnsi="仿宋" w:eastAsia="仿宋" w:cs="Times New Roman"/>
          <w:color w:val="auto"/>
          <w:kern w:val="0"/>
          <w:sz w:val="28"/>
          <w:szCs w:val="24"/>
          <w:highlight w:val="none"/>
        </w:rPr>
      </w:pPr>
    </w:p>
    <w:p w14:paraId="5306EB8F">
      <w:pPr>
        <w:tabs>
          <w:tab w:val="left" w:pos="3280"/>
          <w:tab w:val="left" w:pos="4680"/>
          <w:tab w:val="left" w:pos="6080"/>
        </w:tabs>
        <w:autoSpaceDE w:val="0"/>
        <w:autoSpaceDN w:val="0"/>
        <w:adjustRightInd w:val="0"/>
        <w:snapToGrid w:val="0"/>
        <w:spacing w:line="360" w:lineRule="auto"/>
        <w:ind w:right="-20"/>
        <w:jc w:val="center"/>
        <w:rPr>
          <w:rFonts w:ascii="仿宋" w:hAnsi="仿宋" w:eastAsia="仿宋" w:cs="Times New Roman"/>
          <w:color w:val="auto"/>
          <w:szCs w:val="24"/>
          <w:highlight w:val="none"/>
        </w:rPr>
      </w:pPr>
      <w:r>
        <w:rPr>
          <w:rFonts w:hint="eastAsia" w:ascii="仿宋" w:hAnsi="仿宋" w:eastAsia="仿宋" w:cs="Times New Roman"/>
          <w:color w:val="auto"/>
          <w:kern w:val="0"/>
          <w:sz w:val="28"/>
          <w:szCs w:val="24"/>
          <w:highlight w:val="none"/>
        </w:rPr>
        <w:t>年  月  日</w:t>
      </w:r>
    </w:p>
    <w:p w14:paraId="2BC03B77">
      <w:pPr>
        <w:autoSpaceDN w:val="0"/>
        <w:spacing w:line="360" w:lineRule="auto"/>
        <w:ind w:firstLine="420" w:firstLineChars="200"/>
        <w:rPr>
          <w:rFonts w:ascii="仿宋" w:hAnsi="仿宋" w:eastAsia="仿宋" w:cs="Times New Roman"/>
          <w:color w:val="auto"/>
          <w:szCs w:val="24"/>
          <w:highlight w:val="none"/>
        </w:rPr>
      </w:pPr>
    </w:p>
    <w:p w14:paraId="45131557">
      <w:pPr>
        <w:keepNext/>
        <w:keepLines/>
        <w:autoSpaceDN w:val="0"/>
        <w:spacing w:line="376" w:lineRule="auto"/>
        <w:jc w:val="left"/>
        <w:outlineLvl w:val="4"/>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 xml:space="preserve"> </w:t>
      </w:r>
      <w:r>
        <w:rPr>
          <w:rFonts w:hint="eastAsia" w:ascii="华文中宋" w:hAnsi="华文中宋" w:eastAsia="宋体" w:cs="Times New Roman"/>
          <w:b/>
          <w:bCs/>
          <w:color w:val="auto"/>
          <w:kern w:val="0"/>
          <w:sz w:val="28"/>
          <w:szCs w:val="28"/>
          <w:highlight w:val="none"/>
        </w:rPr>
        <w:t>▲1-1 符合“申请人的资格要求”第1条规定的证明文件</w:t>
      </w:r>
    </w:p>
    <w:p w14:paraId="13ADF5A4">
      <w:pPr>
        <w:keepNext/>
        <w:keepLines/>
        <w:autoSpaceDN w:val="0"/>
        <w:spacing w:before="280" w:after="290" w:line="374" w:lineRule="auto"/>
        <w:ind w:firstLine="480"/>
        <w:jc w:val="left"/>
        <w:outlineLvl w:val="3"/>
        <w:rPr>
          <w:rFonts w:ascii="仿宋" w:hAnsi="仿宋" w:eastAsia="仿宋" w:cs="华文中宋"/>
          <w:b/>
          <w:bCs/>
          <w:color w:val="auto"/>
          <w:kern w:val="0"/>
          <w:sz w:val="28"/>
          <w:szCs w:val="28"/>
          <w:highlight w:val="none"/>
        </w:rPr>
      </w:pPr>
      <w:bookmarkStart w:id="100" w:name="_Hlk96934705"/>
      <w:r>
        <w:rPr>
          <w:rFonts w:hint="eastAsia" w:ascii="仿宋" w:hAnsi="仿宋" w:eastAsia="仿宋" w:cs="Times New Roman"/>
          <w:color w:val="auto"/>
          <w:kern w:val="0"/>
          <w:sz w:val="28"/>
          <w:szCs w:val="28"/>
          <w:highlight w:val="none"/>
        </w:rPr>
        <w:t>▲</w:t>
      </w:r>
      <w:bookmarkEnd w:id="100"/>
      <w:r>
        <w:rPr>
          <w:rFonts w:hint="eastAsia" w:ascii="仿宋" w:hAnsi="仿宋" w:eastAsia="仿宋" w:cs="华文中宋"/>
          <w:b/>
          <w:bCs/>
          <w:color w:val="auto"/>
          <w:kern w:val="0"/>
          <w:sz w:val="28"/>
          <w:szCs w:val="28"/>
          <w:highlight w:val="none"/>
        </w:rPr>
        <w:t>（1）资格承诺函</w:t>
      </w:r>
    </w:p>
    <w:p w14:paraId="2B95ABFD">
      <w:pPr>
        <w:autoSpaceDN w:val="0"/>
        <w:spacing w:line="360" w:lineRule="auto"/>
        <w:jc w:val="center"/>
        <w:rPr>
          <w:rFonts w:ascii="仿宋" w:hAnsi="仿宋" w:eastAsia="仿宋" w:cs="Times New Roman"/>
          <w:b/>
          <w:color w:val="auto"/>
          <w:sz w:val="36"/>
          <w:szCs w:val="36"/>
          <w:highlight w:val="none"/>
        </w:rPr>
      </w:pPr>
      <w:r>
        <w:rPr>
          <w:rFonts w:hint="eastAsia" w:ascii="仿宋" w:hAnsi="仿宋" w:eastAsia="仿宋" w:cs="Times New Roman"/>
          <w:b/>
          <w:color w:val="auto"/>
          <w:sz w:val="36"/>
          <w:szCs w:val="36"/>
          <w:highlight w:val="none"/>
        </w:rPr>
        <w:t>资格承诺函（联合体各方均须提供）</w:t>
      </w:r>
    </w:p>
    <w:p w14:paraId="7F8FBFA0">
      <w:pPr>
        <w:autoSpaceDN w:val="0"/>
        <w:spacing w:line="360" w:lineRule="auto"/>
        <w:rPr>
          <w:rFonts w:ascii="仿宋" w:hAnsi="仿宋" w:eastAsia="仿宋" w:cs="Arial"/>
          <w:color w:val="auto"/>
          <w:kern w:val="0"/>
          <w:sz w:val="24"/>
          <w:szCs w:val="24"/>
          <w:highlight w:val="none"/>
        </w:rPr>
      </w:pPr>
      <w:r>
        <w:rPr>
          <w:rFonts w:hint="eastAsia" w:ascii="仿宋" w:hAnsi="仿宋" w:eastAsia="仿宋" w:cs="Arial"/>
          <w:b/>
          <w:color w:val="auto"/>
          <w:kern w:val="0"/>
          <w:sz w:val="24"/>
          <w:szCs w:val="24"/>
          <w:highlight w:val="none"/>
          <w:u w:val="single"/>
        </w:rPr>
        <w:t>浙江工业大学、浙江豪圣建设项目管理有限公司</w:t>
      </w:r>
      <w:r>
        <w:rPr>
          <w:rFonts w:hint="eastAsia" w:ascii="仿宋" w:hAnsi="仿宋" w:eastAsia="仿宋" w:cs="Arial"/>
          <w:b/>
          <w:color w:val="auto"/>
          <w:kern w:val="0"/>
          <w:sz w:val="24"/>
          <w:szCs w:val="24"/>
          <w:highlight w:val="none"/>
        </w:rPr>
        <w:t>：</w:t>
      </w:r>
    </w:p>
    <w:p w14:paraId="2945A74F">
      <w:pPr>
        <w:autoSpaceDN w:val="0"/>
        <w:spacing w:line="360" w:lineRule="auto"/>
        <w:ind w:firstLine="482" w:firstLineChars="200"/>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我方参加</w:t>
      </w:r>
      <w:r>
        <w:rPr>
          <w:rFonts w:hint="eastAsia" w:ascii="仿宋" w:hAnsi="仿宋" w:eastAsia="仿宋" w:cs="Arial"/>
          <w:b/>
          <w:color w:val="auto"/>
          <w:kern w:val="0"/>
          <w:sz w:val="24"/>
          <w:szCs w:val="24"/>
          <w:highlight w:val="none"/>
          <w:u w:val="single"/>
          <w:lang w:eastAsia="zh-CN"/>
        </w:rPr>
        <w:t>浙江工业大学2024年学生校区布局调整相关用房装修工程</w:t>
      </w:r>
      <w:r>
        <w:rPr>
          <w:rFonts w:hint="eastAsia" w:ascii="仿宋" w:hAnsi="仿宋" w:eastAsia="仿宋" w:cs="Arial"/>
          <w:b/>
          <w:color w:val="auto"/>
          <w:kern w:val="0"/>
          <w:sz w:val="24"/>
          <w:szCs w:val="24"/>
          <w:highlight w:val="none"/>
          <w:u w:val="single"/>
        </w:rPr>
        <w:t>（项目编号：</w:t>
      </w:r>
      <w:r>
        <w:rPr>
          <w:rFonts w:hint="eastAsia" w:ascii="仿宋" w:hAnsi="仿宋" w:eastAsia="仿宋" w:cs="Arial"/>
          <w:b/>
          <w:color w:val="auto"/>
          <w:kern w:val="0"/>
          <w:sz w:val="24"/>
          <w:szCs w:val="24"/>
          <w:highlight w:val="none"/>
          <w:u w:val="single"/>
          <w:lang w:eastAsia="zh-CN"/>
        </w:rPr>
        <w:t>HSZB-2024-598</w:t>
      </w:r>
      <w:r>
        <w:rPr>
          <w:rFonts w:hint="eastAsia" w:ascii="仿宋" w:hAnsi="仿宋" w:eastAsia="仿宋" w:cs="Arial"/>
          <w:b/>
          <w:color w:val="auto"/>
          <w:kern w:val="0"/>
          <w:sz w:val="24"/>
          <w:szCs w:val="24"/>
          <w:highlight w:val="none"/>
          <w:u w:val="single"/>
        </w:rPr>
        <w:t>）</w:t>
      </w:r>
      <w:r>
        <w:rPr>
          <w:rFonts w:hint="eastAsia" w:ascii="仿宋" w:hAnsi="仿宋" w:eastAsia="仿宋" w:cs="Arial"/>
          <w:b/>
          <w:color w:val="auto"/>
          <w:kern w:val="0"/>
          <w:sz w:val="24"/>
          <w:szCs w:val="24"/>
          <w:highlight w:val="none"/>
        </w:rPr>
        <w:t>的政府采购活动，依据采购文件相关规定，郑重承诺如下：</w:t>
      </w:r>
    </w:p>
    <w:p w14:paraId="3D10645F">
      <w:pPr>
        <w:autoSpaceDN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（1）我方具有独立承担民事责任的能力；</w:t>
      </w:r>
    </w:p>
    <w:p w14:paraId="0996D76A">
      <w:pPr>
        <w:autoSpaceDN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（2）我方具有良好的商业信誉和健全的财务会计制度；</w:t>
      </w:r>
    </w:p>
    <w:p w14:paraId="1FF644E3">
      <w:pPr>
        <w:autoSpaceDN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（3）我方具有履行本项目合同所必需的设备和专业技术能力；</w:t>
      </w:r>
    </w:p>
    <w:p w14:paraId="06AC6F2D">
      <w:pPr>
        <w:autoSpaceDN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（4）我方有依法缴纳税收和社会保障资金的良好记录；</w:t>
      </w:r>
    </w:p>
    <w:p w14:paraId="7AED9CD2">
      <w:pPr>
        <w:autoSpaceDN w:val="0"/>
        <w:spacing w:line="360" w:lineRule="auto"/>
        <w:ind w:firstLine="480" w:firstLineChars="200"/>
        <w:rPr>
          <w:rFonts w:ascii="仿宋" w:hAnsi="仿宋" w:eastAsia="仿宋" w:cs="Arial"/>
          <w:color w:val="auto"/>
          <w:sz w:val="24"/>
          <w:szCs w:val="24"/>
          <w:highlight w:val="none"/>
        </w:rPr>
      </w:pPr>
      <w:r>
        <w:rPr>
          <w:rFonts w:hint="eastAsia" w:ascii="仿宋" w:hAnsi="仿宋" w:eastAsia="仿宋" w:cs="Arial"/>
          <w:color w:val="auto"/>
          <w:kern w:val="0"/>
          <w:sz w:val="24"/>
          <w:szCs w:val="24"/>
          <w:highlight w:val="none"/>
        </w:rPr>
        <w:t>（5）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失信主体、政府采购严重违法失信行为记录名单及其他不符合《中华人民共和国政府采购法》第二十二条规定条件而被限制参加政府采购，没有因违法经营被禁止参加政府采购活动的期限未满情形）</w:t>
      </w:r>
      <w:r>
        <w:rPr>
          <w:rFonts w:hint="eastAsia" w:ascii="仿宋" w:hAnsi="仿宋" w:eastAsia="仿宋" w:cs="Arial"/>
          <w:color w:val="auto"/>
          <w:sz w:val="24"/>
          <w:szCs w:val="24"/>
          <w:highlight w:val="none"/>
        </w:rPr>
        <w:t>；</w:t>
      </w:r>
    </w:p>
    <w:p w14:paraId="7CCFAAF0">
      <w:pPr>
        <w:autoSpaceDN w:val="0"/>
        <w:spacing w:line="360" w:lineRule="auto"/>
        <w:ind w:firstLine="480" w:firstLineChars="200"/>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（6）我方符合法律、行政法规规定的其他条件；</w:t>
      </w:r>
    </w:p>
    <w:p w14:paraId="6CADB496">
      <w:pPr>
        <w:autoSpaceDN w:val="0"/>
        <w:spacing w:line="360" w:lineRule="auto"/>
        <w:ind w:firstLine="480" w:firstLineChars="200"/>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（7）</w:t>
      </w:r>
      <w:r>
        <w:rPr>
          <w:rFonts w:hint="eastAsia" w:ascii="仿宋" w:hAnsi="仿宋" w:eastAsia="仿宋" w:cs="Arial"/>
          <w:color w:val="auto"/>
          <w:kern w:val="0"/>
          <w:sz w:val="24"/>
          <w:szCs w:val="24"/>
          <w:highlight w:val="none"/>
        </w:rPr>
        <w:t>我方在投标文件递交前，未被“信用中国”（www.creditchina.gov.cn）、“中国政府采购网”（www.ccgp.gov.cn）列入失信被执行人名单、重大税收违法失信主体、政府采购严重违法失信行为记录名单（我方的信用信息记录以采购人或采购代理机构统一查询的结果为准）。</w:t>
      </w:r>
    </w:p>
    <w:p w14:paraId="61FF8976">
      <w:pPr>
        <w:autoSpaceDN w:val="0"/>
        <w:spacing w:line="360" w:lineRule="auto"/>
        <w:ind w:firstLine="482" w:firstLineChars="200"/>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以上承诺如有虚假或隐瞒，采购人可取消我方任何资格（投标/中标/签订合同），我方对此无任何异议，并愿意承担一切后果和责任。</w:t>
      </w:r>
    </w:p>
    <w:p w14:paraId="191856C9">
      <w:pPr>
        <w:autoSpaceDN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特此承诺</w:t>
      </w:r>
    </w:p>
    <w:p w14:paraId="39F26879">
      <w:pPr>
        <w:autoSpaceDN w:val="0"/>
        <w:spacing w:line="360" w:lineRule="auto"/>
        <w:ind w:firstLine="480" w:firstLineChars="200"/>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投标供应商名称（盖章）：__________________________________</w:t>
      </w:r>
    </w:p>
    <w:p w14:paraId="09219A85">
      <w:pPr>
        <w:autoSpaceDN w:val="0"/>
        <w:spacing w:line="360" w:lineRule="auto"/>
        <w:ind w:firstLine="480" w:firstLineChars="200"/>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日期：________年____月____日</w:t>
      </w:r>
    </w:p>
    <w:p w14:paraId="3FA3BC88">
      <w:pPr>
        <w:autoSpaceDN w:val="0"/>
        <w:adjustRightInd w:val="0"/>
        <w:snapToGrid w:val="0"/>
        <w:spacing w:line="480" w:lineRule="auto"/>
        <w:rPr>
          <w:rFonts w:ascii="仿宋" w:hAnsi="仿宋" w:eastAsia="仿宋" w:cs="Times New Roman"/>
          <w:b/>
          <w:bCs/>
          <w:color w:val="auto"/>
          <w:sz w:val="24"/>
          <w:szCs w:val="24"/>
          <w:highlight w:val="none"/>
        </w:rPr>
      </w:pPr>
    </w:p>
    <w:p w14:paraId="53D82583">
      <w:pPr>
        <w:autoSpaceDN w:val="0"/>
        <w:adjustRightInd w:val="0"/>
        <w:snapToGrid w:val="0"/>
        <w:spacing w:line="480" w:lineRule="auto"/>
        <w:rPr>
          <w:rFonts w:ascii="仿宋" w:hAnsi="仿宋" w:eastAsia="仿宋" w:cs="Times New Roman"/>
          <w:b/>
          <w:bCs/>
          <w:color w:val="auto"/>
          <w:sz w:val="24"/>
          <w:szCs w:val="24"/>
          <w:highlight w:val="none"/>
        </w:rPr>
      </w:pPr>
      <w:r>
        <w:rPr>
          <w:rFonts w:hint="eastAsia" w:ascii="仿宋" w:hAnsi="仿宋" w:eastAsia="仿宋" w:cs="Times New Roman"/>
          <w:b/>
          <w:color w:val="auto"/>
          <w:sz w:val="28"/>
          <w:szCs w:val="28"/>
          <w:highlight w:val="none"/>
        </w:rPr>
        <w:t>（2）营业执照（或其他同类证明文件）</w:t>
      </w:r>
    </w:p>
    <w:p w14:paraId="29509AB8">
      <w:pPr>
        <w:autoSpaceDN w:val="0"/>
        <w:adjustRightInd w:val="0"/>
        <w:snapToGrid w:val="0"/>
        <w:spacing w:line="480" w:lineRule="auto"/>
        <w:jc w:val="center"/>
        <w:rPr>
          <w:rFonts w:ascii="仿宋" w:hAnsi="仿宋" w:eastAsia="仿宋" w:cs="Times New Roman"/>
          <w:b/>
          <w:color w:val="auto"/>
          <w:sz w:val="36"/>
          <w:szCs w:val="36"/>
          <w:highlight w:val="none"/>
        </w:rPr>
      </w:pPr>
      <w:r>
        <w:rPr>
          <w:rFonts w:hint="eastAsia" w:ascii="仿宋" w:hAnsi="仿宋" w:eastAsia="仿宋" w:cs="Times New Roman"/>
          <w:b/>
          <w:color w:val="auto"/>
          <w:sz w:val="36"/>
          <w:szCs w:val="36"/>
          <w:highlight w:val="none"/>
        </w:rPr>
        <w:t>营业执照等证明文件</w:t>
      </w:r>
    </w:p>
    <w:tbl>
      <w:tblPr>
        <w:tblStyle w:val="61"/>
        <w:tblW w:w="9150" w:type="dxa"/>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50"/>
      </w:tblGrid>
      <w:tr w14:paraId="1555F1E4">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565" w:hRule="atLeast"/>
        </w:trPr>
        <w:tc>
          <w:tcPr>
            <w:tcW w:w="9146" w:type="dxa"/>
            <w:tcBorders>
              <w:top w:val="dotDash" w:color="BFBFBF" w:sz="4" w:space="0"/>
              <w:left w:val="dotDash" w:color="BFBFBF" w:sz="4" w:space="0"/>
              <w:bottom w:val="dotDash" w:color="BFBFBF" w:sz="4" w:space="0"/>
              <w:right w:val="dotDash" w:color="BFBFBF" w:sz="4" w:space="0"/>
            </w:tcBorders>
            <w:noWrap/>
            <w:vAlign w:val="center"/>
          </w:tcPr>
          <w:p w14:paraId="15BBDDC0">
            <w:pPr>
              <w:autoSpaceDN w:val="0"/>
              <w:spacing w:line="360" w:lineRule="auto"/>
              <w:jc w:val="left"/>
              <w:rPr>
                <w:rFonts w:ascii="仿宋" w:hAnsi="仿宋" w:eastAsia="仿宋" w:cs="Times New Roman"/>
                <w:b/>
                <w:color w:val="auto"/>
                <w:sz w:val="28"/>
                <w:szCs w:val="24"/>
                <w:highlight w:val="none"/>
              </w:rPr>
            </w:pPr>
            <w:r>
              <w:rPr>
                <w:rFonts w:hint="eastAsia" w:ascii="仿宋" w:hAnsi="仿宋" w:eastAsia="仿宋" w:cs="Times New Roman"/>
                <w:b/>
                <w:color w:val="auto"/>
                <w:sz w:val="28"/>
                <w:szCs w:val="24"/>
                <w:highlight w:val="none"/>
              </w:rPr>
              <w:t>证明材料：</w:t>
            </w:r>
            <w:r>
              <w:rPr>
                <w:rFonts w:hint="eastAsia" w:ascii="仿宋" w:hAnsi="仿宋" w:eastAsia="仿宋" w:cs="Times New Roman"/>
                <w:b/>
                <w:color w:val="auto"/>
                <w:sz w:val="28"/>
                <w:szCs w:val="24"/>
                <w:highlight w:val="none"/>
                <w:u w:val="single"/>
              </w:rPr>
              <w:t>营业执照（或事业单位法人证书或执业许可证或自然人有效身份证明）</w:t>
            </w:r>
            <w:r>
              <w:rPr>
                <w:rFonts w:hint="eastAsia" w:ascii="仿宋" w:hAnsi="仿宋" w:eastAsia="仿宋" w:cs="Times New Roman"/>
                <w:color w:val="auto"/>
                <w:sz w:val="28"/>
                <w:szCs w:val="24"/>
                <w:highlight w:val="none"/>
              </w:rPr>
              <w:t>（提供扫描件加盖磋商响应供应商公章）</w:t>
            </w:r>
            <w:r>
              <w:rPr>
                <w:rFonts w:hint="eastAsia" w:ascii="仿宋" w:hAnsi="仿宋" w:eastAsia="仿宋" w:cs="Times New Roman"/>
                <w:color w:val="auto"/>
                <w:sz w:val="24"/>
                <w:szCs w:val="24"/>
                <w:highlight w:val="none"/>
              </w:rPr>
              <w:t>。</w:t>
            </w:r>
          </w:p>
          <w:p w14:paraId="46F4B8B2">
            <w:pPr>
              <w:autoSpaceDN w:val="0"/>
              <w:spacing w:line="360" w:lineRule="auto"/>
              <w:jc w:val="left"/>
              <w:rPr>
                <w:rFonts w:ascii="仿宋" w:hAnsi="仿宋" w:eastAsia="仿宋" w:cs="Times New Roman"/>
                <w:i/>
                <w:color w:val="auto"/>
                <w:sz w:val="24"/>
                <w:szCs w:val="24"/>
                <w:highlight w:val="none"/>
              </w:rPr>
            </w:pPr>
          </w:p>
          <w:p w14:paraId="41C7E6E2">
            <w:pPr>
              <w:autoSpaceDN w:val="0"/>
              <w:spacing w:line="360" w:lineRule="auto"/>
              <w:jc w:val="left"/>
              <w:rPr>
                <w:rFonts w:ascii="仿宋" w:hAnsi="仿宋" w:eastAsia="仿宋" w:cs="Times New Roman"/>
                <w:b/>
                <w:i/>
                <w:color w:val="auto"/>
                <w:sz w:val="28"/>
                <w:szCs w:val="24"/>
                <w:highlight w:val="none"/>
              </w:rPr>
            </w:pPr>
            <w:r>
              <w:rPr>
                <w:rFonts w:hint="eastAsia" w:ascii="仿宋" w:hAnsi="仿宋" w:eastAsia="仿宋" w:cs="Times New Roman"/>
                <w:b/>
                <w:i/>
                <w:color w:val="auto"/>
                <w:sz w:val="28"/>
                <w:szCs w:val="24"/>
                <w:highlight w:val="none"/>
              </w:rPr>
              <w:t>提示和说明：</w:t>
            </w:r>
          </w:p>
          <w:p w14:paraId="7B7F08CA">
            <w:pPr>
              <w:autoSpaceDN w:val="0"/>
              <w:spacing w:line="360" w:lineRule="auto"/>
              <w:ind w:firstLine="369" w:firstLineChars="132"/>
              <w:jc w:val="left"/>
              <w:rPr>
                <w:rFonts w:ascii="仿宋" w:hAnsi="仿宋" w:eastAsia="仿宋" w:cs="Times New Roman"/>
                <w:color w:val="auto"/>
                <w:sz w:val="28"/>
                <w:szCs w:val="24"/>
                <w:highlight w:val="none"/>
              </w:rPr>
            </w:pPr>
            <w:r>
              <w:rPr>
                <w:rFonts w:hint="eastAsia" w:ascii="仿宋" w:hAnsi="仿宋" w:eastAsia="仿宋" w:cs="Times New Roman"/>
                <w:color w:val="auto"/>
                <w:sz w:val="28"/>
                <w:szCs w:val="24"/>
                <w:highlight w:val="none"/>
              </w:rPr>
              <w:t>a.投标供应商为企业或个体工商户的，提供有效的“营业执照”；投标供应商为事业单位的，提供有效的“事业单位法人证书”；投标供应商为非企业专业服务机构的，提供执业许可证等证明文件；投标供应商为自然人（中国公民）的，提供个人有效身份证明文件。</w:t>
            </w:r>
          </w:p>
          <w:p w14:paraId="50DC2938">
            <w:pPr>
              <w:autoSpaceDN w:val="0"/>
              <w:spacing w:line="360" w:lineRule="auto"/>
              <w:ind w:firstLine="422" w:firstLineChars="151"/>
              <w:jc w:val="left"/>
              <w:rPr>
                <w:rFonts w:ascii="仿宋" w:hAnsi="仿宋" w:eastAsia="仿宋" w:cs="Times New Roman"/>
                <w:color w:val="auto"/>
                <w:sz w:val="28"/>
                <w:szCs w:val="24"/>
                <w:highlight w:val="none"/>
              </w:rPr>
            </w:pPr>
            <w:r>
              <w:rPr>
                <w:rFonts w:hint="eastAsia" w:ascii="仿宋" w:hAnsi="仿宋" w:eastAsia="仿宋" w:cs="Times New Roman"/>
                <w:color w:val="auto"/>
                <w:sz w:val="28"/>
                <w:szCs w:val="24"/>
                <w:highlight w:val="none"/>
              </w:rPr>
              <w:t>b.金融、保险、通讯等特定行业的全国性企业所设立的区域性分支机构，以及个体工商户、个人独资企业、合伙企业参加本项目投标的，除提供供应商自身的营业执照外，还须提供总公司（总机构）授权书或房产权证或其他有效财产证明材料（提供扫描件加盖投标供应商公章），以证明其具备实际承担责任的能力和法定的缔结合同能力。</w:t>
            </w:r>
          </w:p>
          <w:p w14:paraId="1872DD56">
            <w:pPr>
              <w:keepNext/>
              <w:keepLines/>
              <w:autoSpaceDN w:val="0"/>
              <w:spacing w:before="260" w:after="260" w:line="415" w:lineRule="auto"/>
              <w:ind w:firstLine="281"/>
              <w:outlineLvl w:val="2"/>
              <w:rPr>
                <w:rFonts w:ascii="仿宋" w:hAnsi="仿宋" w:eastAsia="仿宋" w:cs="Times New Roman"/>
                <w:b/>
                <w:bCs/>
                <w:i/>
                <w:color w:val="auto"/>
                <w:kern w:val="0"/>
                <w:sz w:val="32"/>
                <w:szCs w:val="32"/>
                <w:highlight w:val="none"/>
              </w:rPr>
            </w:pPr>
            <w:r>
              <w:rPr>
                <w:rFonts w:hint="eastAsia" w:ascii="仿宋" w:hAnsi="仿宋" w:eastAsia="仿宋" w:cs="Arial"/>
                <w:b/>
                <w:bCs/>
                <w:color w:val="auto"/>
                <w:kern w:val="0"/>
                <w:sz w:val="32"/>
                <w:szCs w:val="24"/>
                <w:highlight w:val="none"/>
              </w:rPr>
              <w:t>c.</w:t>
            </w:r>
            <w:r>
              <w:rPr>
                <w:rFonts w:hint="eastAsia" w:ascii="仿宋" w:hAnsi="仿宋" w:eastAsia="仿宋" w:cs="Arial"/>
                <w:b/>
                <w:bCs/>
                <w:color w:val="auto"/>
                <w:kern w:val="0"/>
                <w:sz w:val="32"/>
                <w:szCs w:val="24"/>
                <w:highlight w:val="none"/>
                <w:u w:val="single"/>
              </w:rPr>
              <w:t>供应商为联合体的，联合体各方均须提供</w:t>
            </w:r>
            <w:r>
              <w:rPr>
                <w:rFonts w:hint="eastAsia" w:ascii="仿宋" w:hAnsi="仿宋" w:eastAsia="仿宋" w:cs="Arial"/>
                <w:b/>
                <w:bCs/>
                <w:color w:val="auto"/>
                <w:kern w:val="0"/>
                <w:sz w:val="32"/>
                <w:szCs w:val="24"/>
                <w:highlight w:val="none"/>
              </w:rPr>
              <w:t>。</w:t>
            </w:r>
          </w:p>
        </w:tc>
      </w:tr>
    </w:tbl>
    <w:p w14:paraId="12D6CE49">
      <w:pPr>
        <w:autoSpaceDN w:val="0"/>
        <w:adjustRightInd w:val="0"/>
        <w:snapToGrid w:val="0"/>
        <w:spacing w:line="480" w:lineRule="auto"/>
        <w:rPr>
          <w:rFonts w:ascii="Times New Roman" w:hAnsi="Times New Roman" w:eastAsia="宋体" w:cs="Times New Roman"/>
          <w:color w:val="auto"/>
          <w:szCs w:val="24"/>
          <w:highlight w:val="none"/>
        </w:rPr>
      </w:pPr>
    </w:p>
    <w:p w14:paraId="40982DE5">
      <w:pPr>
        <w:autoSpaceDN w:val="0"/>
        <w:adjustRightInd w:val="0"/>
        <w:snapToGrid w:val="0"/>
        <w:spacing w:line="480" w:lineRule="auto"/>
        <w:rPr>
          <w:rFonts w:ascii="Times New Roman" w:hAnsi="Times New Roman" w:eastAsia="宋体" w:cs="Times New Roman"/>
          <w:color w:val="auto"/>
          <w:szCs w:val="24"/>
          <w:highlight w:val="none"/>
        </w:rPr>
      </w:pPr>
    </w:p>
    <w:p w14:paraId="153F6128">
      <w:pPr>
        <w:widowControl/>
        <w:autoSpaceDE w:val="0"/>
        <w:autoSpaceDN w:val="0"/>
        <w:spacing w:before="120" w:beforeLines="50" w:after="120" w:afterLines="50" w:line="300" w:lineRule="auto"/>
        <w:ind w:firstLine="281" w:firstLineChars="100"/>
        <w:outlineLvl w:val="2"/>
        <w:rPr>
          <w:rFonts w:ascii="仿宋" w:hAnsi="仿宋" w:eastAsia="仿宋" w:cs="Times New Roman"/>
          <w:b/>
          <w:bCs/>
          <w:color w:val="auto"/>
          <w:kern w:val="0"/>
          <w:sz w:val="28"/>
          <w:szCs w:val="28"/>
          <w:highlight w:val="none"/>
        </w:rPr>
      </w:pPr>
    </w:p>
    <w:p w14:paraId="203C51C9">
      <w:pPr>
        <w:widowControl/>
        <w:autoSpaceDE w:val="0"/>
        <w:autoSpaceDN w:val="0"/>
        <w:spacing w:before="120" w:beforeLines="50" w:after="120" w:afterLines="50" w:line="300" w:lineRule="auto"/>
        <w:ind w:firstLine="281" w:firstLineChars="100"/>
        <w:outlineLvl w:val="2"/>
        <w:rPr>
          <w:rFonts w:ascii="华文中宋" w:hAnsi="华文中宋" w:eastAsia="宋体" w:cs="Times New Roman"/>
          <w:bCs/>
          <w:color w:val="auto"/>
          <w:kern w:val="0"/>
          <w:sz w:val="28"/>
          <w:szCs w:val="28"/>
          <w:highlight w:val="none"/>
        </w:rPr>
      </w:pPr>
      <w:r>
        <w:rPr>
          <w:rFonts w:hint="eastAsia" w:ascii="仿宋" w:hAnsi="仿宋" w:eastAsia="仿宋" w:cs="Times New Roman"/>
          <w:b/>
          <w:bCs/>
          <w:color w:val="auto"/>
          <w:kern w:val="0"/>
          <w:sz w:val="28"/>
          <w:szCs w:val="28"/>
          <w:highlight w:val="none"/>
        </w:rPr>
        <w:t>▲1-2</w:t>
      </w:r>
      <w:r>
        <w:rPr>
          <w:rFonts w:hint="eastAsia" w:ascii="华文中宋" w:hAnsi="华文中宋" w:eastAsia="宋体" w:cs="Times New Roman"/>
          <w:bCs/>
          <w:color w:val="auto"/>
          <w:kern w:val="0"/>
          <w:sz w:val="28"/>
          <w:szCs w:val="28"/>
          <w:highlight w:val="none"/>
        </w:rPr>
        <w:t>符合“申请人的资格要求”第2条“落实政府采购政策需满足的资格要求”规定的证明文件</w:t>
      </w:r>
    </w:p>
    <w:p w14:paraId="4EB25CEE">
      <w:pPr>
        <w:autoSpaceDN w:val="0"/>
        <w:spacing w:line="312" w:lineRule="auto"/>
        <w:jc w:val="center"/>
        <w:rPr>
          <w:rFonts w:ascii="仿宋" w:hAnsi="仿宋" w:eastAsia="仿宋" w:cs="Times New Roman"/>
          <w:b/>
          <w:color w:val="auto"/>
          <w:sz w:val="36"/>
          <w:szCs w:val="36"/>
          <w:highlight w:val="none"/>
        </w:rPr>
      </w:pPr>
      <w:r>
        <w:rPr>
          <w:rFonts w:hint="eastAsia" w:ascii="仿宋" w:hAnsi="仿宋" w:eastAsia="仿宋" w:cs="Times New Roman"/>
          <w:b/>
          <w:color w:val="auto"/>
          <w:sz w:val="36"/>
          <w:szCs w:val="36"/>
          <w:highlight w:val="none"/>
        </w:rPr>
        <w:t>▲中小企业声明函</w:t>
      </w:r>
    </w:p>
    <w:p w14:paraId="289EB686">
      <w:pPr>
        <w:widowControl/>
        <w:autoSpaceDN w:val="0"/>
        <w:spacing w:before="60" w:after="60" w:line="312" w:lineRule="auto"/>
        <w:ind w:firstLine="560" w:firstLineChars="200"/>
        <w:jc w:val="left"/>
        <w:rPr>
          <w:rFonts w:ascii="仿宋" w:hAnsi="仿宋" w:eastAsia="仿宋" w:cs="Arial"/>
          <w:color w:val="auto"/>
          <w:kern w:val="0"/>
          <w:sz w:val="28"/>
          <w:szCs w:val="28"/>
          <w:highlight w:val="none"/>
        </w:rPr>
      </w:pPr>
      <w:r>
        <w:rPr>
          <w:rFonts w:hint="eastAsia" w:ascii="仿宋" w:hAnsi="仿宋" w:eastAsia="仿宋" w:cs="Arial"/>
          <w:color w:val="auto"/>
          <w:kern w:val="0"/>
          <w:sz w:val="28"/>
          <w:szCs w:val="28"/>
          <w:highlight w:val="none"/>
        </w:rPr>
        <w:t>本公司郑重声明，根据《政府采购促进中小企业发展管理办法》（财库﹝2020﹞46 号）的规定，本公司参加</w:t>
      </w:r>
      <w:r>
        <w:rPr>
          <w:rFonts w:hint="eastAsia" w:ascii="仿宋" w:hAnsi="仿宋" w:eastAsia="仿宋" w:cs="Arial"/>
          <w:b/>
          <w:bCs/>
          <w:color w:val="auto"/>
          <w:kern w:val="0"/>
          <w:sz w:val="28"/>
          <w:szCs w:val="28"/>
          <w:highlight w:val="none"/>
          <w:u w:val="single"/>
        </w:rPr>
        <w:t>浙江工业大学</w:t>
      </w:r>
      <w:r>
        <w:rPr>
          <w:rFonts w:hint="eastAsia" w:ascii="仿宋" w:hAnsi="仿宋" w:eastAsia="仿宋" w:cs="Arial"/>
          <w:color w:val="auto"/>
          <w:kern w:val="0"/>
          <w:sz w:val="28"/>
          <w:szCs w:val="28"/>
          <w:highlight w:val="none"/>
        </w:rPr>
        <w:t>的</w:t>
      </w:r>
      <w:r>
        <w:rPr>
          <w:rFonts w:hint="eastAsia" w:ascii="仿宋" w:hAnsi="仿宋" w:eastAsia="仿宋" w:cs="Arial"/>
          <w:b/>
          <w:bCs/>
          <w:color w:val="auto"/>
          <w:kern w:val="0"/>
          <w:sz w:val="28"/>
          <w:szCs w:val="28"/>
          <w:highlight w:val="none"/>
          <w:u w:val="single"/>
          <w:lang w:eastAsia="zh-CN"/>
        </w:rPr>
        <w:t>浙江工业大学2024年学生校区布局调整相关用房装修工程</w:t>
      </w:r>
      <w:r>
        <w:rPr>
          <w:rFonts w:hint="eastAsia" w:ascii="仿宋" w:hAnsi="仿宋" w:eastAsia="仿宋" w:cs="Arial"/>
          <w:color w:val="auto"/>
          <w:kern w:val="0"/>
          <w:sz w:val="28"/>
          <w:szCs w:val="28"/>
          <w:highlight w:val="none"/>
        </w:rPr>
        <w:t>采购活动，工程的施工单位全部为符合政策要求的中小企业。企业具体情况如下：</w:t>
      </w:r>
    </w:p>
    <w:p w14:paraId="2E372188">
      <w:pPr>
        <w:widowControl/>
        <w:autoSpaceDN w:val="0"/>
        <w:spacing w:before="60" w:after="60" w:line="312" w:lineRule="auto"/>
        <w:ind w:firstLine="560" w:firstLineChars="200"/>
        <w:jc w:val="left"/>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1</w:t>
      </w:r>
      <w:bookmarkStart w:id="101" w:name="_Hlk97721535"/>
      <w:r>
        <w:rPr>
          <w:rFonts w:hint="eastAsia" w:ascii="仿宋" w:hAnsi="仿宋" w:eastAsia="仿宋" w:cs="宋体"/>
          <w:color w:val="auto"/>
          <w:kern w:val="0"/>
          <w:sz w:val="28"/>
          <w:szCs w:val="28"/>
          <w:highlight w:val="none"/>
        </w:rPr>
        <w:t>.</w:t>
      </w:r>
      <w:bookmarkEnd w:id="101"/>
      <w:r>
        <w:rPr>
          <w:rFonts w:hint="eastAsia" w:ascii="仿宋" w:hAnsi="仿宋" w:eastAsia="仿宋" w:cs="宋体"/>
          <w:b/>
          <w:bCs/>
          <w:i/>
          <w:iCs/>
          <w:color w:val="auto"/>
          <w:sz w:val="28"/>
          <w:szCs w:val="28"/>
          <w:highlight w:val="none"/>
          <w:u w:val="single"/>
        </w:rPr>
        <w:t xml:space="preserve"> （标的名称）</w:t>
      </w:r>
      <w:r>
        <w:rPr>
          <w:rFonts w:hint="eastAsia" w:ascii="仿宋" w:hAnsi="仿宋" w:eastAsia="仿宋" w:cs="宋体"/>
          <w:color w:val="auto"/>
          <w:kern w:val="0"/>
          <w:sz w:val="28"/>
          <w:szCs w:val="28"/>
          <w:highlight w:val="none"/>
        </w:rPr>
        <w:t>，属于</w:t>
      </w:r>
      <w:r>
        <w:rPr>
          <w:rFonts w:hint="eastAsia" w:ascii="仿宋" w:hAnsi="仿宋" w:eastAsia="仿宋" w:cs="宋体"/>
          <w:b/>
          <w:bCs/>
          <w:i/>
          <w:iCs/>
          <w:color w:val="auto"/>
          <w:kern w:val="0"/>
          <w:sz w:val="28"/>
          <w:szCs w:val="28"/>
          <w:highlight w:val="none"/>
          <w:u w:val="single"/>
        </w:rPr>
        <w:t>建筑业</w:t>
      </w:r>
      <w:r>
        <w:rPr>
          <w:rFonts w:hint="eastAsia" w:ascii="仿宋" w:hAnsi="仿宋" w:eastAsia="仿宋" w:cs="宋体"/>
          <w:color w:val="auto"/>
          <w:kern w:val="0"/>
          <w:sz w:val="28"/>
          <w:szCs w:val="28"/>
          <w:highlight w:val="none"/>
        </w:rPr>
        <w:t>；承建（承接）企业为</w:t>
      </w:r>
      <w:r>
        <w:rPr>
          <w:rFonts w:hint="eastAsia" w:ascii="仿宋" w:hAnsi="仿宋" w:eastAsia="仿宋" w:cs="宋体"/>
          <w:i/>
          <w:iCs/>
          <w:color w:val="auto"/>
          <w:kern w:val="0"/>
          <w:sz w:val="28"/>
          <w:szCs w:val="28"/>
          <w:highlight w:val="none"/>
          <w:u w:val="single"/>
        </w:rPr>
        <w:t>（企业名称）</w:t>
      </w:r>
      <w:r>
        <w:rPr>
          <w:rFonts w:hint="eastAsia" w:ascii="仿宋" w:hAnsi="仿宋" w:eastAsia="仿宋" w:cs="宋体"/>
          <w:color w:val="auto"/>
          <w:kern w:val="0"/>
          <w:sz w:val="28"/>
          <w:szCs w:val="28"/>
          <w:highlight w:val="none"/>
        </w:rPr>
        <w:t>，从业人员</w:t>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u w:val="single"/>
        </w:rPr>
        <w:tab/>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rPr>
        <w:t>人，营业收入为</w:t>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u w:val="single"/>
        </w:rPr>
        <w:tab/>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rPr>
        <w:t>万元，资产总额为</w:t>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u w:val="single"/>
        </w:rPr>
        <w:tab/>
      </w:r>
      <w:r>
        <w:rPr>
          <w:rFonts w:hint="eastAsia" w:ascii="仿宋" w:hAnsi="仿宋" w:eastAsia="仿宋" w:cs="宋体"/>
          <w:color w:val="auto"/>
          <w:kern w:val="0"/>
          <w:sz w:val="28"/>
          <w:szCs w:val="28"/>
          <w:highlight w:val="none"/>
        </w:rPr>
        <w:t>万元，属于</w:t>
      </w:r>
      <w:r>
        <w:rPr>
          <w:rFonts w:hint="eastAsia" w:ascii="仿宋" w:hAnsi="仿宋" w:eastAsia="仿宋" w:cs="宋体"/>
          <w:i/>
          <w:iCs/>
          <w:color w:val="auto"/>
          <w:kern w:val="0"/>
          <w:sz w:val="28"/>
          <w:szCs w:val="28"/>
          <w:highlight w:val="none"/>
          <w:u w:val="single"/>
        </w:rPr>
        <w:t>（中型企业、小型企业、微型企业）</w:t>
      </w:r>
      <w:r>
        <w:rPr>
          <w:rFonts w:hint="eastAsia" w:ascii="仿宋" w:hAnsi="仿宋" w:eastAsia="仿宋" w:cs="宋体"/>
          <w:color w:val="auto"/>
          <w:kern w:val="0"/>
          <w:sz w:val="28"/>
          <w:szCs w:val="28"/>
          <w:highlight w:val="none"/>
        </w:rPr>
        <w:t>；</w:t>
      </w:r>
    </w:p>
    <w:p w14:paraId="6BFCA404">
      <w:pPr>
        <w:widowControl/>
        <w:autoSpaceDN w:val="0"/>
        <w:spacing w:before="60" w:after="60" w:line="312" w:lineRule="auto"/>
        <w:ind w:firstLine="560" w:firstLineChars="200"/>
        <w:jc w:val="left"/>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2.</w:t>
      </w:r>
      <w:r>
        <w:rPr>
          <w:rFonts w:hint="eastAsia" w:ascii="仿宋" w:hAnsi="仿宋" w:eastAsia="仿宋" w:cs="宋体"/>
          <w:b/>
          <w:bCs/>
          <w:i/>
          <w:iCs/>
          <w:color w:val="auto"/>
          <w:sz w:val="28"/>
          <w:szCs w:val="28"/>
          <w:highlight w:val="none"/>
          <w:u w:val="single"/>
        </w:rPr>
        <w:t xml:space="preserve"> （标的名称）</w:t>
      </w:r>
      <w:r>
        <w:rPr>
          <w:rFonts w:hint="eastAsia" w:ascii="仿宋" w:hAnsi="仿宋" w:eastAsia="仿宋" w:cs="宋体"/>
          <w:color w:val="auto"/>
          <w:kern w:val="0"/>
          <w:sz w:val="28"/>
          <w:szCs w:val="28"/>
          <w:highlight w:val="none"/>
        </w:rPr>
        <w:t>，属于</w:t>
      </w:r>
      <w:r>
        <w:rPr>
          <w:rFonts w:hint="eastAsia" w:ascii="仿宋" w:hAnsi="仿宋" w:eastAsia="仿宋" w:cs="宋体"/>
          <w:b/>
          <w:bCs/>
          <w:i/>
          <w:iCs/>
          <w:color w:val="auto"/>
          <w:kern w:val="0"/>
          <w:sz w:val="28"/>
          <w:szCs w:val="28"/>
          <w:highlight w:val="none"/>
          <w:u w:val="single"/>
        </w:rPr>
        <w:t>建筑业</w:t>
      </w:r>
      <w:r>
        <w:rPr>
          <w:rFonts w:hint="eastAsia" w:ascii="仿宋" w:hAnsi="仿宋" w:eastAsia="仿宋" w:cs="宋体"/>
          <w:color w:val="auto"/>
          <w:kern w:val="0"/>
          <w:sz w:val="28"/>
          <w:szCs w:val="28"/>
          <w:highlight w:val="none"/>
        </w:rPr>
        <w:t>；承建（承接）企业为</w:t>
      </w:r>
      <w:r>
        <w:rPr>
          <w:rFonts w:hint="eastAsia" w:ascii="仿宋" w:hAnsi="仿宋" w:eastAsia="仿宋" w:cs="宋体"/>
          <w:i/>
          <w:iCs/>
          <w:color w:val="auto"/>
          <w:kern w:val="0"/>
          <w:sz w:val="28"/>
          <w:szCs w:val="28"/>
          <w:highlight w:val="none"/>
          <w:u w:val="single"/>
        </w:rPr>
        <w:t>（企业名称）</w:t>
      </w:r>
      <w:r>
        <w:rPr>
          <w:rFonts w:hint="eastAsia" w:ascii="仿宋" w:hAnsi="仿宋" w:eastAsia="仿宋" w:cs="宋体"/>
          <w:color w:val="auto"/>
          <w:kern w:val="0"/>
          <w:sz w:val="28"/>
          <w:szCs w:val="28"/>
          <w:highlight w:val="none"/>
        </w:rPr>
        <w:t>，从业人员</w:t>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u w:val="single"/>
        </w:rPr>
        <w:tab/>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rPr>
        <w:t>人，营业收入为</w:t>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u w:val="single"/>
        </w:rPr>
        <w:tab/>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rPr>
        <w:t>万元，资产总额为</w:t>
      </w:r>
      <w:r>
        <w:rPr>
          <w:rFonts w:hint="eastAsia" w:ascii="仿宋" w:hAnsi="仿宋" w:eastAsia="仿宋" w:cs="宋体"/>
          <w:color w:val="auto"/>
          <w:kern w:val="0"/>
          <w:sz w:val="28"/>
          <w:szCs w:val="28"/>
          <w:highlight w:val="none"/>
          <w:u w:val="single"/>
        </w:rPr>
        <w:t xml:space="preserve">  </w:t>
      </w:r>
      <w:r>
        <w:rPr>
          <w:rFonts w:hint="eastAsia" w:ascii="仿宋" w:hAnsi="仿宋" w:eastAsia="仿宋" w:cs="宋体"/>
          <w:color w:val="auto"/>
          <w:kern w:val="0"/>
          <w:sz w:val="28"/>
          <w:szCs w:val="28"/>
          <w:highlight w:val="none"/>
          <w:u w:val="single"/>
        </w:rPr>
        <w:tab/>
      </w:r>
      <w:r>
        <w:rPr>
          <w:rFonts w:hint="eastAsia" w:ascii="仿宋" w:hAnsi="仿宋" w:eastAsia="仿宋" w:cs="宋体"/>
          <w:color w:val="auto"/>
          <w:kern w:val="0"/>
          <w:sz w:val="28"/>
          <w:szCs w:val="28"/>
          <w:highlight w:val="none"/>
        </w:rPr>
        <w:t>万元，属于</w:t>
      </w:r>
      <w:r>
        <w:rPr>
          <w:rFonts w:hint="eastAsia" w:ascii="仿宋" w:hAnsi="仿宋" w:eastAsia="仿宋" w:cs="宋体"/>
          <w:i/>
          <w:iCs/>
          <w:color w:val="auto"/>
          <w:kern w:val="0"/>
          <w:sz w:val="28"/>
          <w:szCs w:val="28"/>
          <w:highlight w:val="none"/>
          <w:u w:val="single"/>
        </w:rPr>
        <w:t>（中型企业、小型企业、微型企业）</w:t>
      </w:r>
      <w:r>
        <w:rPr>
          <w:rFonts w:hint="eastAsia" w:ascii="仿宋" w:hAnsi="仿宋" w:eastAsia="仿宋" w:cs="宋体"/>
          <w:color w:val="auto"/>
          <w:kern w:val="0"/>
          <w:sz w:val="28"/>
          <w:szCs w:val="28"/>
          <w:highlight w:val="none"/>
        </w:rPr>
        <w:t>；</w:t>
      </w:r>
    </w:p>
    <w:p w14:paraId="7E7F081F">
      <w:pPr>
        <w:widowControl/>
        <w:autoSpaceDN w:val="0"/>
        <w:spacing w:before="60" w:after="60" w:line="312" w:lineRule="auto"/>
        <w:ind w:firstLine="560" w:firstLineChars="200"/>
        <w:jc w:val="left"/>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w:t>
      </w:r>
    </w:p>
    <w:p w14:paraId="3F31B0EB">
      <w:pPr>
        <w:autoSpaceDN w:val="0"/>
        <w:spacing w:line="360" w:lineRule="auto"/>
        <w:ind w:firstLine="565" w:firstLineChars="202"/>
        <w:jc w:val="left"/>
        <w:rPr>
          <w:rFonts w:ascii="仿宋" w:hAnsi="仿宋" w:eastAsia="仿宋" w:cs="Arial"/>
          <w:color w:val="auto"/>
          <w:kern w:val="0"/>
          <w:sz w:val="28"/>
          <w:szCs w:val="28"/>
          <w:highlight w:val="none"/>
        </w:rPr>
      </w:pPr>
      <w:r>
        <w:rPr>
          <w:rFonts w:hint="eastAsia" w:ascii="仿宋" w:hAnsi="仿宋" w:eastAsia="仿宋" w:cs="Arial"/>
          <w:color w:val="auto"/>
          <w:kern w:val="0"/>
          <w:sz w:val="28"/>
          <w:szCs w:val="28"/>
          <w:highlight w:val="none"/>
        </w:rPr>
        <w:t>以上企业，不属于大企业的分支机构，不存在控股股东为大企业的情形，也不存在与大企业的负责人为同一人的情形。</w:t>
      </w:r>
    </w:p>
    <w:p w14:paraId="270E5814">
      <w:pPr>
        <w:autoSpaceDN w:val="0"/>
        <w:spacing w:line="360" w:lineRule="auto"/>
        <w:ind w:firstLine="565" w:firstLineChars="202"/>
        <w:jc w:val="left"/>
        <w:rPr>
          <w:rFonts w:ascii="仿宋" w:hAnsi="仿宋" w:eastAsia="仿宋" w:cs="Arial"/>
          <w:color w:val="auto"/>
          <w:kern w:val="0"/>
          <w:sz w:val="28"/>
          <w:szCs w:val="28"/>
          <w:highlight w:val="none"/>
        </w:rPr>
      </w:pPr>
      <w:r>
        <w:rPr>
          <w:rFonts w:hint="eastAsia" w:ascii="仿宋" w:hAnsi="仿宋" w:eastAsia="仿宋" w:cs="Arial"/>
          <w:color w:val="auto"/>
          <w:kern w:val="0"/>
          <w:sz w:val="28"/>
          <w:szCs w:val="28"/>
          <w:highlight w:val="none"/>
        </w:rPr>
        <w:t>本企业对上述声明内容的真实性负责。如有虚假，将依法承担相应责任。</w:t>
      </w:r>
    </w:p>
    <w:p w14:paraId="64FBDE9B">
      <w:pPr>
        <w:autoSpaceDN w:val="0"/>
        <w:spacing w:line="360" w:lineRule="auto"/>
        <w:ind w:left="3570" w:leftChars="1700" w:firstLine="565" w:firstLineChars="202"/>
        <w:jc w:val="left"/>
        <w:rPr>
          <w:rFonts w:ascii="仿宋" w:hAnsi="仿宋" w:eastAsia="仿宋" w:cs="Arial"/>
          <w:color w:val="auto"/>
          <w:kern w:val="0"/>
          <w:sz w:val="28"/>
          <w:szCs w:val="28"/>
          <w:highlight w:val="none"/>
        </w:rPr>
      </w:pPr>
      <w:r>
        <w:rPr>
          <w:rFonts w:hint="eastAsia" w:ascii="仿宋" w:hAnsi="仿宋" w:eastAsia="仿宋" w:cs="Arial"/>
          <w:color w:val="auto"/>
          <w:kern w:val="0"/>
          <w:sz w:val="28"/>
          <w:szCs w:val="28"/>
          <w:highlight w:val="none"/>
        </w:rPr>
        <w:t>企业名称（盖章）：</w:t>
      </w:r>
    </w:p>
    <w:p w14:paraId="4E36325F">
      <w:pPr>
        <w:autoSpaceDN w:val="0"/>
        <w:spacing w:line="360" w:lineRule="auto"/>
        <w:ind w:left="3570" w:leftChars="1700" w:firstLine="565" w:firstLineChars="202"/>
        <w:jc w:val="left"/>
        <w:rPr>
          <w:rFonts w:ascii="仿宋" w:hAnsi="仿宋" w:eastAsia="仿宋" w:cs="Arial"/>
          <w:color w:val="auto"/>
          <w:kern w:val="0"/>
          <w:sz w:val="28"/>
          <w:szCs w:val="28"/>
          <w:highlight w:val="none"/>
        </w:rPr>
      </w:pPr>
      <w:r>
        <w:rPr>
          <w:rFonts w:hint="eastAsia" w:ascii="仿宋" w:hAnsi="仿宋" w:eastAsia="仿宋" w:cs="Arial"/>
          <w:color w:val="auto"/>
          <w:kern w:val="0"/>
          <w:sz w:val="28"/>
          <w:szCs w:val="28"/>
          <w:highlight w:val="none"/>
        </w:rPr>
        <w:t>日期：</w:t>
      </w:r>
    </w:p>
    <w:p w14:paraId="5825E1CD">
      <w:pPr>
        <w:widowControl/>
        <w:autoSpaceDE w:val="0"/>
        <w:autoSpaceDN w:val="0"/>
        <w:snapToGrid w:val="0"/>
        <w:spacing w:before="120" w:line="400" w:lineRule="atLeast"/>
        <w:ind w:firstLine="570"/>
        <w:textAlignment w:val="bottom"/>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备注：1、从业人员、营业收入、资产总额填报上一年度数据，无上一年度数据的新成立企业可不填报。</w:t>
      </w:r>
    </w:p>
    <w:p w14:paraId="38D90FD0">
      <w:pPr>
        <w:widowControl/>
        <w:autoSpaceDE w:val="0"/>
        <w:autoSpaceDN w:val="0"/>
        <w:snapToGrid w:val="0"/>
        <w:spacing w:before="120" w:line="400" w:lineRule="atLeast"/>
        <w:ind w:firstLine="570"/>
        <w:textAlignment w:val="bottom"/>
        <w:rPr>
          <w:rFonts w:ascii="仿宋" w:hAnsi="仿宋" w:eastAsia="仿宋" w:cs="仿宋"/>
          <w:b/>
          <w:bCs/>
          <w:color w:val="auto"/>
          <w:kern w:val="0"/>
          <w:sz w:val="24"/>
          <w:szCs w:val="20"/>
          <w:highlight w:val="none"/>
        </w:rPr>
      </w:pPr>
    </w:p>
    <w:p w14:paraId="7CAD351B">
      <w:pPr>
        <w:widowControl/>
        <w:autoSpaceDE w:val="0"/>
        <w:autoSpaceDN w:val="0"/>
        <w:snapToGrid w:val="0"/>
        <w:spacing w:before="120" w:line="400" w:lineRule="atLeast"/>
        <w:ind w:firstLine="570"/>
        <w:textAlignment w:val="bottom"/>
        <w:rPr>
          <w:rFonts w:ascii="仿宋" w:hAnsi="仿宋" w:eastAsia="仿宋" w:cs="仿宋"/>
          <w:b/>
          <w:bCs/>
          <w:color w:val="auto"/>
          <w:kern w:val="0"/>
          <w:sz w:val="24"/>
          <w:szCs w:val="20"/>
          <w:highlight w:val="none"/>
        </w:rPr>
      </w:pPr>
    </w:p>
    <w:p w14:paraId="566F5A25">
      <w:pPr>
        <w:autoSpaceDN w:val="0"/>
        <w:spacing w:line="312" w:lineRule="auto"/>
        <w:rPr>
          <w:rFonts w:ascii="仿宋" w:hAnsi="仿宋" w:eastAsia="仿宋" w:cs="Times New Roman"/>
          <w:b/>
          <w:color w:val="auto"/>
          <w:sz w:val="36"/>
          <w:szCs w:val="36"/>
          <w:highlight w:val="none"/>
        </w:rPr>
      </w:pPr>
    </w:p>
    <w:p w14:paraId="02120B5D">
      <w:pPr>
        <w:autoSpaceDN w:val="0"/>
        <w:spacing w:line="312" w:lineRule="auto"/>
        <w:rPr>
          <w:rFonts w:ascii="仿宋" w:hAnsi="仿宋" w:eastAsia="仿宋" w:cs="Times New Roman"/>
          <w:b/>
          <w:color w:val="auto"/>
          <w:sz w:val="28"/>
          <w:szCs w:val="28"/>
          <w:highlight w:val="none"/>
        </w:rPr>
      </w:pPr>
    </w:p>
    <w:p w14:paraId="69F074D7">
      <w:pPr>
        <w:autoSpaceDN w:val="0"/>
        <w:spacing w:line="312" w:lineRule="auto"/>
        <w:rPr>
          <w:rFonts w:ascii="仿宋" w:hAnsi="仿宋" w:eastAsia="仿宋" w:cs="Times New Roman"/>
          <w:b/>
          <w:color w:val="auto"/>
          <w:sz w:val="28"/>
          <w:szCs w:val="28"/>
          <w:highlight w:val="none"/>
        </w:rPr>
      </w:pPr>
    </w:p>
    <w:p w14:paraId="1B8BA8F7">
      <w:pPr>
        <w:autoSpaceDN w:val="0"/>
        <w:spacing w:line="312" w:lineRule="auto"/>
        <w:rPr>
          <w:rFonts w:ascii="仿宋" w:hAnsi="仿宋" w:eastAsia="仿宋" w:cs="Times New Roman"/>
          <w:b/>
          <w:color w:val="auto"/>
          <w:sz w:val="28"/>
          <w:szCs w:val="28"/>
          <w:highlight w:val="none"/>
        </w:rPr>
      </w:pPr>
      <w:r>
        <w:rPr>
          <w:rFonts w:hint="eastAsia" w:ascii="仿宋" w:hAnsi="仿宋" w:eastAsia="仿宋" w:cs="Times New Roman"/>
          <w:b/>
          <w:color w:val="auto"/>
          <w:sz w:val="28"/>
          <w:szCs w:val="28"/>
          <w:highlight w:val="none"/>
        </w:rPr>
        <w:t>（1）残疾人福利性单位声明函</w:t>
      </w:r>
      <w:bookmarkStart w:id="102" w:name="_Hlk97621277"/>
      <w:r>
        <w:rPr>
          <w:rFonts w:hint="eastAsia" w:ascii="仿宋" w:hAnsi="仿宋" w:eastAsia="仿宋" w:cs="Times New Roman"/>
          <w:b/>
          <w:color w:val="auto"/>
          <w:sz w:val="28"/>
          <w:szCs w:val="28"/>
          <w:highlight w:val="none"/>
        </w:rPr>
        <w:t>（如是）</w:t>
      </w:r>
      <w:bookmarkEnd w:id="102"/>
    </w:p>
    <w:p w14:paraId="6880FC34">
      <w:pPr>
        <w:autoSpaceDN w:val="0"/>
        <w:spacing w:before="240" w:line="360" w:lineRule="auto"/>
        <w:jc w:val="center"/>
        <w:rPr>
          <w:rFonts w:ascii="仿宋" w:hAnsi="仿宋" w:eastAsia="仿宋" w:cs="Times New Roman"/>
          <w:b/>
          <w:color w:val="auto"/>
          <w:spacing w:val="6"/>
          <w:sz w:val="32"/>
          <w:szCs w:val="32"/>
          <w:highlight w:val="none"/>
        </w:rPr>
      </w:pPr>
      <w:r>
        <w:rPr>
          <w:rFonts w:hint="eastAsia" w:ascii="仿宋" w:hAnsi="仿宋" w:eastAsia="仿宋" w:cs="Times New Roman"/>
          <w:b/>
          <w:color w:val="auto"/>
          <w:sz w:val="32"/>
          <w:szCs w:val="32"/>
          <w:highlight w:val="none"/>
        </w:rPr>
        <w:t>残疾人福利性单位声明函</w:t>
      </w:r>
    </w:p>
    <w:p w14:paraId="5686A0F8">
      <w:pPr>
        <w:autoSpaceDN w:val="0"/>
        <w:spacing w:line="360" w:lineRule="auto"/>
        <w:ind w:firstLine="584" w:firstLineChars="200"/>
        <w:rPr>
          <w:rFonts w:ascii="仿宋" w:hAnsi="仿宋" w:eastAsia="仿宋" w:cs="Times New Roman"/>
          <w:color w:val="auto"/>
          <w:spacing w:val="6"/>
          <w:sz w:val="28"/>
          <w:szCs w:val="24"/>
          <w:highlight w:val="none"/>
        </w:rPr>
      </w:pPr>
      <w:r>
        <w:rPr>
          <w:rFonts w:hint="eastAsia" w:ascii="仿宋" w:hAnsi="仿宋" w:eastAsia="仿宋" w:cs="Times New Roman"/>
          <w:color w:val="auto"/>
          <w:spacing w:val="6"/>
          <w:sz w:val="28"/>
          <w:szCs w:val="24"/>
          <w:highlight w:val="none"/>
        </w:rPr>
        <w:t>本单位郑重声明，根据《财政部 民政部 中国残疾人联合会关于促进残疾人就业政府采购政策的通知》（财库</w:t>
      </w:r>
      <w:r>
        <w:rPr>
          <w:rFonts w:hint="eastAsia" w:ascii="仿宋" w:hAnsi="仿宋" w:eastAsia="仿宋" w:cs="Times New Roman"/>
          <w:color w:val="auto"/>
          <w:sz w:val="28"/>
          <w:szCs w:val="24"/>
          <w:highlight w:val="none"/>
        </w:rPr>
        <w:t>〔2017〕141</w:t>
      </w:r>
      <w:r>
        <w:rPr>
          <w:rFonts w:hint="eastAsia" w:ascii="仿宋" w:hAnsi="仿宋" w:eastAsia="仿宋" w:cs="Times New Roman"/>
          <w:color w:val="auto"/>
          <w:spacing w:val="6"/>
          <w:sz w:val="28"/>
          <w:szCs w:val="24"/>
          <w:highlight w:val="none"/>
        </w:rPr>
        <w:t>号）的规定，本单位为符合条件的残疾人福利性单位，且本单位参加</w:t>
      </w:r>
      <w:r>
        <w:rPr>
          <w:rFonts w:hint="eastAsia" w:ascii="仿宋" w:hAnsi="仿宋" w:eastAsia="仿宋" w:cs="宋体"/>
          <w:b/>
          <w:bCs/>
          <w:color w:val="auto"/>
          <w:kern w:val="0"/>
          <w:sz w:val="28"/>
          <w:szCs w:val="28"/>
          <w:highlight w:val="none"/>
          <w:u w:val="single"/>
          <w:lang w:eastAsia="zh-CN"/>
        </w:rPr>
        <w:t>浙江工业大学2024年学生校区布局调整相关用房装修工程</w:t>
      </w:r>
      <w:r>
        <w:rPr>
          <w:rFonts w:hint="eastAsia" w:ascii="仿宋" w:hAnsi="仿宋" w:eastAsia="仿宋" w:cs="宋体"/>
          <w:b/>
          <w:bCs/>
          <w:color w:val="auto"/>
          <w:kern w:val="0"/>
          <w:sz w:val="28"/>
          <w:szCs w:val="28"/>
          <w:highlight w:val="none"/>
          <w:u w:val="single"/>
        </w:rPr>
        <w:t>（项目编号：</w:t>
      </w:r>
      <w:r>
        <w:rPr>
          <w:rFonts w:hint="eastAsia" w:ascii="仿宋" w:hAnsi="仿宋" w:eastAsia="仿宋" w:cs="宋体"/>
          <w:b/>
          <w:bCs/>
          <w:color w:val="auto"/>
          <w:kern w:val="0"/>
          <w:sz w:val="28"/>
          <w:szCs w:val="28"/>
          <w:highlight w:val="none"/>
          <w:u w:val="single"/>
          <w:lang w:eastAsia="zh-CN"/>
        </w:rPr>
        <w:t>HSZB-2024-598</w:t>
      </w:r>
      <w:r>
        <w:rPr>
          <w:rFonts w:hint="eastAsia" w:ascii="仿宋" w:hAnsi="仿宋" w:eastAsia="仿宋" w:cs="宋体"/>
          <w:b/>
          <w:bCs/>
          <w:color w:val="auto"/>
          <w:kern w:val="0"/>
          <w:sz w:val="28"/>
          <w:szCs w:val="28"/>
          <w:highlight w:val="none"/>
          <w:u w:val="single"/>
        </w:rPr>
        <w:t>）</w:t>
      </w:r>
      <w:r>
        <w:rPr>
          <w:rFonts w:hint="eastAsia" w:ascii="仿宋" w:hAnsi="仿宋" w:eastAsia="仿宋" w:cs="Times New Roman"/>
          <w:color w:val="auto"/>
          <w:spacing w:val="6"/>
          <w:sz w:val="28"/>
          <w:szCs w:val="24"/>
          <w:highlight w:val="none"/>
        </w:rPr>
        <w:t>的采购活动，由本单位承担工程。</w:t>
      </w:r>
    </w:p>
    <w:p w14:paraId="68E8921E">
      <w:pPr>
        <w:autoSpaceDN w:val="0"/>
        <w:spacing w:line="360" w:lineRule="auto"/>
        <w:ind w:firstLine="584" w:firstLineChars="200"/>
        <w:rPr>
          <w:rFonts w:ascii="仿宋" w:hAnsi="仿宋" w:eastAsia="仿宋" w:cs="Times New Roman"/>
          <w:color w:val="auto"/>
          <w:spacing w:val="6"/>
          <w:sz w:val="28"/>
          <w:szCs w:val="24"/>
          <w:highlight w:val="none"/>
        </w:rPr>
      </w:pPr>
      <w:r>
        <w:rPr>
          <w:rFonts w:hint="eastAsia" w:ascii="仿宋" w:hAnsi="仿宋" w:eastAsia="仿宋" w:cs="Times New Roman"/>
          <w:color w:val="auto"/>
          <w:spacing w:val="6"/>
          <w:sz w:val="28"/>
          <w:szCs w:val="24"/>
          <w:highlight w:val="none"/>
        </w:rPr>
        <w:t>本单位对上述声明的真实性负责。如有虚假，将依法承担相应责任。</w:t>
      </w:r>
    </w:p>
    <w:p w14:paraId="73C16117">
      <w:pPr>
        <w:widowControl/>
        <w:autoSpaceDE w:val="0"/>
        <w:autoSpaceDN w:val="0"/>
        <w:snapToGrid w:val="0"/>
        <w:spacing w:before="120" w:line="400" w:lineRule="atLeast"/>
        <w:ind w:firstLine="570"/>
        <w:textAlignment w:val="bottom"/>
        <w:rPr>
          <w:rFonts w:ascii="宋体" w:hAnsi="Calibri" w:eastAsia="宋体" w:cs="Times New Roman"/>
          <w:color w:val="auto"/>
          <w:kern w:val="0"/>
          <w:sz w:val="24"/>
          <w:szCs w:val="20"/>
          <w:highlight w:val="none"/>
        </w:rPr>
      </w:pPr>
    </w:p>
    <w:p w14:paraId="11678A71">
      <w:pPr>
        <w:autoSpaceDN w:val="0"/>
        <w:spacing w:line="360" w:lineRule="auto"/>
        <w:ind w:firstLine="504" w:firstLineChars="200"/>
        <w:rPr>
          <w:rFonts w:ascii="仿宋" w:hAnsi="仿宋" w:eastAsia="仿宋" w:cs="Times New Roman"/>
          <w:color w:val="auto"/>
          <w:spacing w:val="6"/>
          <w:sz w:val="24"/>
          <w:szCs w:val="24"/>
          <w:highlight w:val="none"/>
        </w:rPr>
      </w:pPr>
    </w:p>
    <w:p w14:paraId="26FA9927">
      <w:pPr>
        <w:autoSpaceDN w:val="0"/>
        <w:spacing w:line="360" w:lineRule="auto"/>
        <w:ind w:firstLine="504" w:firstLineChars="200"/>
        <w:rPr>
          <w:rFonts w:ascii="仿宋" w:hAnsi="仿宋" w:eastAsia="仿宋" w:cs="Times New Roman"/>
          <w:color w:val="auto"/>
          <w:spacing w:val="6"/>
          <w:sz w:val="24"/>
          <w:szCs w:val="24"/>
          <w:highlight w:val="none"/>
        </w:rPr>
      </w:pPr>
    </w:p>
    <w:p w14:paraId="4A90874E">
      <w:pPr>
        <w:tabs>
          <w:tab w:val="left" w:pos="4860"/>
        </w:tabs>
        <w:autoSpaceDN w:val="0"/>
        <w:spacing w:line="360" w:lineRule="auto"/>
        <w:ind w:right="1560"/>
        <w:jc w:val="left"/>
        <w:rPr>
          <w:rFonts w:ascii="仿宋" w:hAnsi="仿宋" w:eastAsia="仿宋" w:cs="Times New Roman"/>
          <w:color w:val="auto"/>
          <w:spacing w:val="6"/>
          <w:sz w:val="28"/>
          <w:szCs w:val="24"/>
          <w:highlight w:val="none"/>
        </w:rPr>
      </w:pPr>
      <w:r>
        <w:rPr>
          <w:rFonts w:hint="eastAsia" w:ascii="仿宋" w:hAnsi="仿宋" w:eastAsia="仿宋" w:cs="Times New Roman"/>
          <w:color w:val="auto"/>
          <w:spacing w:val="6"/>
          <w:sz w:val="28"/>
          <w:szCs w:val="24"/>
          <w:highlight w:val="none"/>
        </w:rPr>
        <w:t>单位名称（盖章）：</w:t>
      </w:r>
      <w:r>
        <w:rPr>
          <w:rFonts w:hint="eastAsia" w:ascii="仿宋" w:hAnsi="仿宋" w:eastAsia="仿宋" w:cs="Arial"/>
          <w:color w:val="auto"/>
          <w:w w:val="90"/>
          <w:kern w:val="0"/>
          <w:sz w:val="28"/>
          <w:szCs w:val="24"/>
          <w:highlight w:val="none"/>
        </w:rPr>
        <w:t>__________________________________</w:t>
      </w:r>
    </w:p>
    <w:p w14:paraId="0222CD92">
      <w:pPr>
        <w:autoSpaceDN w:val="0"/>
        <w:spacing w:line="360" w:lineRule="auto"/>
        <w:rPr>
          <w:rFonts w:ascii="仿宋" w:hAnsi="仿宋" w:eastAsia="仿宋" w:cs="Arial"/>
          <w:color w:val="auto"/>
          <w:w w:val="90"/>
          <w:kern w:val="0"/>
          <w:sz w:val="28"/>
          <w:szCs w:val="24"/>
          <w:highlight w:val="none"/>
        </w:rPr>
      </w:pPr>
      <w:r>
        <w:rPr>
          <w:rFonts w:hint="eastAsia" w:ascii="仿宋" w:hAnsi="仿宋" w:eastAsia="仿宋" w:cs="Times New Roman"/>
          <w:color w:val="auto"/>
          <w:spacing w:val="6"/>
          <w:sz w:val="28"/>
          <w:szCs w:val="24"/>
          <w:highlight w:val="none"/>
        </w:rPr>
        <w:t>日期：</w:t>
      </w:r>
      <w:r>
        <w:rPr>
          <w:rFonts w:hint="eastAsia" w:ascii="仿宋" w:hAnsi="仿宋" w:eastAsia="仿宋" w:cs="Arial"/>
          <w:color w:val="auto"/>
          <w:w w:val="90"/>
          <w:kern w:val="0"/>
          <w:sz w:val="28"/>
          <w:szCs w:val="24"/>
          <w:highlight w:val="none"/>
        </w:rPr>
        <w:t>____________________________________________</w:t>
      </w:r>
    </w:p>
    <w:p w14:paraId="2863BF78">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备注：（1）符合《财政部、民政部、中国残疾人联合会关于促进残疾人就业政府采购政策的通知》（财库[2017]141号）规定的残疾人福利性单位，在全部提供本单位制造的货物（由本单位承担工程/提供服务）或者提供其他残疾人福利性单位制造的货物（不包括使用非残疾人福利性单位注册商标的货物）参加本政府采购活动时，视同小型、微型企业。</w:t>
      </w:r>
    </w:p>
    <w:p w14:paraId="5B476ECF">
      <w:pPr>
        <w:autoSpaceDN w:val="0"/>
        <w:spacing w:line="360" w:lineRule="auto"/>
        <w:ind w:firstLine="482" w:firstLineChars="200"/>
        <w:rPr>
          <w:rFonts w:ascii="仿宋" w:hAnsi="仿宋" w:eastAsia="仿宋" w:cs="Times New Roman"/>
          <w:b/>
          <w:bCs/>
          <w:color w:val="auto"/>
          <w:sz w:val="24"/>
          <w:szCs w:val="20"/>
          <w:highlight w:val="none"/>
        </w:rPr>
      </w:pPr>
      <w:r>
        <w:rPr>
          <w:rFonts w:hint="eastAsia" w:ascii="仿宋" w:hAnsi="仿宋" w:eastAsia="仿宋" w:cs="Times New Roman"/>
          <w:b/>
          <w:bCs/>
          <w:color w:val="auto"/>
          <w:sz w:val="24"/>
          <w:szCs w:val="20"/>
          <w:highlight w:val="none"/>
        </w:rPr>
        <w:t>（2）残疾人福利性单位证明材料：残疾人福利性单位声明函，如提供其他残疾人福利性单位制造的货物，还须同时提供该企业的残疾人福利性单位声明函。</w:t>
      </w:r>
    </w:p>
    <w:p w14:paraId="7DE3E4DD">
      <w:pPr>
        <w:keepNext/>
        <w:keepLines/>
        <w:autoSpaceDN w:val="0"/>
        <w:spacing w:line="360" w:lineRule="auto"/>
        <w:jc w:val="left"/>
        <w:outlineLvl w:val="3"/>
        <w:rPr>
          <w:rFonts w:ascii="仿宋" w:hAnsi="仿宋" w:eastAsia="仿宋" w:cs="Times New Roman"/>
          <w:b/>
          <w:bCs/>
          <w:color w:val="auto"/>
          <w:sz w:val="28"/>
          <w:szCs w:val="28"/>
          <w:highlight w:val="none"/>
        </w:rPr>
      </w:pPr>
      <w:r>
        <w:rPr>
          <w:rFonts w:hint="eastAsia" w:ascii="华文中宋" w:hAnsi="华文中宋" w:eastAsia="华文中宋" w:cs="Times New Roman"/>
          <w:b/>
          <w:bCs/>
          <w:color w:val="auto"/>
          <w:sz w:val="28"/>
          <w:szCs w:val="28"/>
          <w:highlight w:val="none"/>
        </w:rPr>
        <w:br w:type="page"/>
      </w:r>
      <w:r>
        <w:rPr>
          <w:rFonts w:hint="eastAsia" w:ascii="宋体" w:hAnsi="宋体" w:eastAsia="宋体" w:cs="宋体"/>
          <w:b/>
          <w:bCs/>
          <w:color w:val="auto"/>
          <w:sz w:val="28"/>
          <w:szCs w:val="28"/>
          <w:highlight w:val="none"/>
        </w:rPr>
        <w:t>（2）</w:t>
      </w:r>
      <w:r>
        <w:rPr>
          <w:rFonts w:hint="eastAsia" w:ascii="仿宋" w:hAnsi="仿宋" w:eastAsia="仿宋" w:cs="Times New Roman"/>
          <w:b/>
          <w:bCs/>
          <w:color w:val="auto"/>
          <w:sz w:val="28"/>
          <w:szCs w:val="28"/>
          <w:highlight w:val="none"/>
        </w:rPr>
        <w:t>监狱企业证明文件（如是）</w:t>
      </w:r>
    </w:p>
    <w:p w14:paraId="71F3C31E">
      <w:pPr>
        <w:autoSpaceDN w:val="0"/>
        <w:spacing w:before="240" w:line="360" w:lineRule="auto"/>
        <w:jc w:val="center"/>
        <w:rPr>
          <w:rFonts w:ascii="仿宋" w:hAnsi="仿宋" w:eastAsia="仿宋" w:cs="Times New Roman"/>
          <w:b/>
          <w:color w:val="auto"/>
          <w:sz w:val="32"/>
          <w:szCs w:val="32"/>
          <w:highlight w:val="none"/>
        </w:rPr>
      </w:pPr>
      <w:r>
        <w:rPr>
          <w:rFonts w:hint="eastAsia" w:ascii="仿宋" w:hAnsi="仿宋" w:eastAsia="仿宋" w:cs="Times New Roman"/>
          <w:b/>
          <w:color w:val="auto"/>
          <w:sz w:val="32"/>
          <w:szCs w:val="32"/>
          <w:highlight w:val="none"/>
        </w:rPr>
        <w:t>监狱企业证明文件</w:t>
      </w:r>
    </w:p>
    <w:tbl>
      <w:tblPr>
        <w:tblStyle w:val="61"/>
        <w:tblW w:w="0" w:type="auto"/>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14:paraId="1A2B7BE3">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7642" w:hRule="atLeast"/>
        </w:trPr>
        <w:tc>
          <w:tcPr>
            <w:tcW w:w="9037" w:type="dxa"/>
            <w:tcBorders>
              <w:top w:val="dotDash" w:color="000000" w:sz="4" w:space="0"/>
              <w:left w:val="dotDash" w:color="000000" w:sz="4" w:space="0"/>
              <w:bottom w:val="dotDash" w:color="000000" w:sz="4" w:space="0"/>
              <w:right w:val="dotDash" w:color="000000" w:sz="4" w:space="0"/>
            </w:tcBorders>
            <w:vAlign w:val="center"/>
          </w:tcPr>
          <w:p w14:paraId="112AE536">
            <w:pPr>
              <w:autoSpaceDN w:val="0"/>
              <w:spacing w:line="360" w:lineRule="auto"/>
              <w:ind w:firstLine="426" w:firstLineChars="177"/>
              <w:rPr>
                <w:rFonts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备注:（1）根据《关于政府采购支持监狱企业发展有关问题的通知》（财库[2014]68号）的规定，符合规定要求的供应商视同为小型和微型企业。</w:t>
            </w:r>
          </w:p>
          <w:p w14:paraId="3C9EF5EB">
            <w:pPr>
              <w:autoSpaceDN w:val="0"/>
              <w:spacing w:line="360" w:lineRule="auto"/>
              <w:ind w:firstLine="426" w:firstLineChars="177"/>
              <w:rPr>
                <w:rFonts w:ascii="仿宋" w:hAnsi="仿宋" w:eastAsia="仿宋" w:cs="Arial"/>
                <w:b/>
                <w:i/>
                <w:color w:val="auto"/>
                <w:kern w:val="0"/>
                <w:sz w:val="28"/>
                <w:szCs w:val="24"/>
                <w:highlight w:val="none"/>
              </w:rPr>
            </w:pPr>
            <w:r>
              <w:rPr>
                <w:rFonts w:hint="eastAsia" w:ascii="仿宋" w:hAnsi="仿宋" w:eastAsia="仿宋" w:cs="Times New Roman"/>
                <w:b/>
                <w:color w:val="auto"/>
                <w:sz w:val="24"/>
                <w:szCs w:val="20"/>
                <w:highlight w:val="none"/>
              </w:rPr>
              <w:t>（2）监狱企业证明文件：省级或以上监狱管理局、戒毒管理局（含新疆生产建设兵团）出具的属于监狱企业的证明文件，如提供其他监狱企业制造的货物，还须同时提供该企业为监狱企业的证明文件。提供扫描件加盖磋商响应供应商公章</w:t>
            </w:r>
          </w:p>
        </w:tc>
      </w:tr>
    </w:tbl>
    <w:p w14:paraId="0D4B817B">
      <w:pPr>
        <w:widowControl/>
        <w:jc w:val="left"/>
        <w:rPr>
          <w:rFonts w:ascii="仿宋_GB2312" w:hAnsi="仿宋" w:eastAsia="仿宋_GB2312" w:cs="仿宋_GB2312"/>
          <w:color w:val="auto"/>
          <w:kern w:val="0"/>
          <w:sz w:val="24"/>
          <w:szCs w:val="20"/>
          <w:highlight w:val="none"/>
        </w:rPr>
        <w:sectPr>
          <w:headerReference r:id="rId7" w:type="default"/>
          <w:footerReference r:id="rId8" w:type="default"/>
          <w:pgSz w:w="11910" w:h="16840"/>
          <w:pgMar w:top="1418" w:right="1418" w:bottom="1418" w:left="1418" w:header="851" w:footer="1077" w:gutter="0"/>
          <w:cols w:space="720" w:num="1"/>
          <w:docGrid w:linePitch="286" w:charSpace="0"/>
        </w:sectPr>
      </w:pPr>
    </w:p>
    <w:p w14:paraId="08271355">
      <w:pPr>
        <w:widowControl/>
        <w:autoSpaceDE w:val="0"/>
        <w:autoSpaceDN w:val="0"/>
        <w:spacing w:before="120" w:beforeLines="50" w:after="120" w:afterLines="50" w:line="300" w:lineRule="auto"/>
        <w:ind w:firstLine="281" w:firstLineChars="100"/>
        <w:outlineLvl w:val="2"/>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▲1-3符合“申请人的资格要求”第3条“本项目的特定资格要求”的证明文件</w:t>
      </w:r>
    </w:p>
    <w:tbl>
      <w:tblPr>
        <w:tblStyle w:val="61"/>
        <w:tblW w:w="9045"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45"/>
      </w:tblGrid>
      <w:tr w14:paraId="2052C023">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11295" w:hRule="atLeast"/>
        </w:trPr>
        <w:tc>
          <w:tcPr>
            <w:tcW w:w="9040" w:type="dxa"/>
            <w:tcBorders>
              <w:top w:val="dotDash" w:color="000000" w:sz="4" w:space="0"/>
              <w:left w:val="dotDash" w:color="000000" w:sz="4" w:space="0"/>
              <w:bottom w:val="dotDash" w:color="000000" w:sz="4" w:space="0"/>
              <w:right w:val="dotDash" w:color="000000" w:sz="4" w:space="0"/>
            </w:tcBorders>
            <w:vAlign w:val="center"/>
          </w:tcPr>
          <w:p w14:paraId="550724A2">
            <w:pPr>
              <w:autoSpaceDN w:val="0"/>
              <w:spacing w:line="360" w:lineRule="auto"/>
              <w:ind w:firstLine="703" w:firstLineChars="250"/>
              <w:rPr>
                <w:rFonts w:ascii="仿宋" w:hAnsi="仿宋" w:eastAsia="仿宋" w:cs="Times New Roman"/>
                <w:b/>
                <w:color w:val="auto"/>
                <w:sz w:val="28"/>
                <w:szCs w:val="24"/>
                <w:highlight w:val="none"/>
              </w:rPr>
            </w:pPr>
            <w:r>
              <w:rPr>
                <w:rFonts w:hint="eastAsia" w:ascii="仿宋" w:hAnsi="仿宋" w:eastAsia="仿宋" w:cs="Times New Roman"/>
                <w:b/>
                <w:color w:val="auto"/>
                <w:sz w:val="28"/>
                <w:szCs w:val="24"/>
                <w:highlight w:val="none"/>
              </w:rPr>
              <w:t>（1）▲具备建筑工程施工总承包三级及以上资质；具有有效的安全生产许可证（扫描件加盖磋商响应供应商公章）；</w:t>
            </w:r>
          </w:p>
          <w:p w14:paraId="2AB42591">
            <w:pPr>
              <w:autoSpaceDN w:val="0"/>
              <w:spacing w:line="360" w:lineRule="auto"/>
              <w:ind w:firstLine="703" w:firstLineChars="250"/>
              <w:rPr>
                <w:rFonts w:ascii="仿宋" w:hAnsi="仿宋" w:eastAsia="仿宋" w:cs="Times New Roman"/>
                <w:b/>
                <w:color w:val="auto"/>
                <w:sz w:val="28"/>
                <w:szCs w:val="24"/>
                <w:highlight w:val="none"/>
              </w:rPr>
            </w:pPr>
            <w:r>
              <w:rPr>
                <w:rFonts w:hint="eastAsia" w:ascii="仿宋" w:hAnsi="仿宋" w:eastAsia="仿宋" w:cs="Times New Roman"/>
                <w:b/>
                <w:color w:val="auto"/>
                <w:sz w:val="28"/>
                <w:szCs w:val="24"/>
                <w:highlight w:val="none"/>
              </w:rPr>
              <w:t>（2）▲企业主要负责人（法定代表人、企业经理、企业分管安全生产的副经理、企业技术负责人）具有“三类人员”有效A类证书，企业分管安全生产的副经理具有任命文件；拟派项目经理具有有效的建筑工程专业二级及以上注册建造师证书及“三类人员”有效B类证书；拟派现场安全生产专职管理人员具有“三类人员”有效C类证书（扫描件加盖磋商响应供应商公章）；</w:t>
            </w:r>
          </w:p>
          <w:p w14:paraId="19FC6A17">
            <w:pPr>
              <w:autoSpaceDN w:val="0"/>
              <w:spacing w:line="360" w:lineRule="auto"/>
              <w:ind w:firstLine="703" w:firstLineChars="250"/>
              <w:rPr>
                <w:rFonts w:ascii="仿宋" w:hAnsi="仿宋" w:eastAsia="仿宋" w:cs="Times New Roman"/>
                <w:b/>
                <w:color w:val="auto"/>
                <w:sz w:val="28"/>
                <w:szCs w:val="24"/>
                <w:highlight w:val="none"/>
              </w:rPr>
            </w:pPr>
            <w:r>
              <w:rPr>
                <w:rFonts w:hint="eastAsia" w:ascii="仿宋" w:hAnsi="仿宋" w:eastAsia="仿宋" w:cs="Times New Roman"/>
                <w:b/>
                <w:color w:val="auto"/>
                <w:sz w:val="28"/>
                <w:szCs w:val="24"/>
                <w:highlight w:val="none"/>
              </w:rPr>
              <w:t>（3）▲有效的《联合投标协议书》（仅联合体须提供）（格式附后）；</w:t>
            </w:r>
          </w:p>
          <w:p w14:paraId="1435297B">
            <w:pPr>
              <w:autoSpaceDN w:val="0"/>
              <w:snapToGrid w:val="0"/>
              <w:spacing w:line="360" w:lineRule="auto"/>
              <w:ind w:firstLine="703" w:firstLineChars="250"/>
              <w:rPr>
                <w:rFonts w:ascii="仿宋" w:hAnsi="仿宋" w:eastAsia="仿宋" w:cs="Times New Roman"/>
                <w:b/>
                <w:color w:val="auto"/>
                <w:sz w:val="28"/>
                <w:szCs w:val="24"/>
                <w:highlight w:val="none"/>
              </w:rPr>
            </w:pPr>
            <w:r>
              <w:rPr>
                <w:rFonts w:hint="eastAsia" w:ascii="仿宋" w:hAnsi="仿宋" w:eastAsia="仿宋" w:cs="Times New Roman"/>
                <w:b/>
                <w:color w:val="auto"/>
                <w:sz w:val="28"/>
                <w:szCs w:val="24"/>
                <w:highlight w:val="none"/>
              </w:rPr>
              <w:t>（4）▲有效的《分包意向协议》（仅分包须提供）（格式附后）。</w:t>
            </w:r>
          </w:p>
          <w:p w14:paraId="6A3FE991">
            <w:pPr>
              <w:keepNext/>
              <w:keepLines/>
              <w:autoSpaceDN w:val="0"/>
              <w:spacing w:before="360" w:beforeLines="150" w:line="360" w:lineRule="auto"/>
              <w:ind w:firstLine="562" w:firstLineChars="200"/>
              <w:outlineLvl w:val="1"/>
              <w:rPr>
                <w:rFonts w:ascii="仿宋" w:hAnsi="仿宋" w:eastAsia="仿宋" w:cs="Times New Roman"/>
                <w:b/>
                <w:color w:val="auto"/>
                <w:sz w:val="28"/>
                <w:szCs w:val="24"/>
                <w:highlight w:val="none"/>
              </w:rPr>
            </w:pPr>
          </w:p>
          <w:p w14:paraId="162FACE9">
            <w:pPr>
              <w:autoSpaceDN w:val="0"/>
              <w:spacing w:line="360" w:lineRule="auto"/>
              <w:ind w:firstLine="703" w:firstLineChars="250"/>
              <w:rPr>
                <w:rFonts w:ascii="仿宋" w:hAnsi="仿宋" w:eastAsia="仿宋" w:cs="Times New Roman"/>
                <w:b/>
                <w:color w:val="auto"/>
                <w:sz w:val="28"/>
                <w:szCs w:val="24"/>
                <w:highlight w:val="none"/>
              </w:rPr>
            </w:pPr>
          </w:p>
          <w:p w14:paraId="07E92B9F">
            <w:pPr>
              <w:keepNext/>
              <w:keepLines/>
              <w:autoSpaceDN w:val="0"/>
              <w:spacing w:before="360" w:beforeLines="150" w:line="360" w:lineRule="auto"/>
              <w:ind w:firstLine="562" w:firstLineChars="200"/>
              <w:outlineLvl w:val="1"/>
              <w:rPr>
                <w:rFonts w:ascii="仿宋" w:hAnsi="仿宋" w:eastAsia="仿宋" w:cs="Times New Roman"/>
                <w:b/>
                <w:color w:val="auto"/>
                <w:sz w:val="28"/>
                <w:szCs w:val="24"/>
                <w:highlight w:val="none"/>
              </w:rPr>
            </w:pPr>
          </w:p>
        </w:tc>
      </w:tr>
    </w:tbl>
    <w:p w14:paraId="040A2DC8">
      <w:pPr>
        <w:widowControl/>
        <w:spacing w:line="360" w:lineRule="auto"/>
        <w:jc w:val="left"/>
        <w:rPr>
          <w:rFonts w:ascii="Cambria" w:hAnsi="Cambria" w:eastAsia="华文中宋" w:cs="Times New Roman"/>
          <w:b/>
          <w:bCs/>
          <w:color w:val="auto"/>
          <w:kern w:val="0"/>
          <w:sz w:val="28"/>
          <w:szCs w:val="28"/>
          <w:highlight w:val="none"/>
        </w:rPr>
        <w:sectPr>
          <w:headerReference r:id="rId9" w:type="default"/>
          <w:footerReference r:id="rId10" w:type="default"/>
          <w:pgSz w:w="11906" w:h="16838"/>
          <w:pgMar w:top="1440" w:right="1416" w:bottom="1440" w:left="1560" w:header="851" w:footer="1077" w:gutter="0"/>
          <w:cols w:space="720" w:num="1"/>
          <w:docGrid w:linePitch="286" w:charSpace="0"/>
        </w:sectPr>
      </w:pPr>
    </w:p>
    <w:p w14:paraId="1F429A82">
      <w:pPr>
        <w:keepNext/>
        <w:keepLines/>
        <w:autoSpaceDN w:val="0"/>
        <w:spacing w:line="360" w:lineRule="auto"/>
        <w:jc w:val="left"/>
        <w:outlineLvl w:val="3"/>
        <w:rPr>
          <w:rFonts w:ascii="仿宋" w:hAnsi="仿宋" w:eastAsia="仿宋" w:cs="Times New Roman"/>
          <w:b/>
          <w:bCs/>
          <w:color w:val="auto"/>
          <w:sz w:val="28"/>
          <w:szCs w:val="28"/>
          <w:highlight w:val="none"/>
        </w:rPr>
      </w:pPr>
      <w:r>
        <w:rPr>
          <w:rFonts w:hint="eastAsia" w:ascii="仿宋" w:hAnsi="仿宋" w:eastAsia="仿宋" w:cs="Times New Roman"/>
          <w:b/>
          <w:bCs/>
          <w:color w:val="auto"/>
          <w:sz w:val="28"/>
          <w:szCs w:val="28"/>
          <w:highlight w:val="none"/>
        </w:rPr>
        <w:t>▲1-</w:t>
      </w:r>
      <w:bookmarkStart w:id="103" w:name="_Hlk106785996"/>
      <w:r>
        <w:rPr>
          <w:rFonts w:hint="eastAsia" w:ascii="仿宋" w:hAnsi="仿宋" w:eastAsia="仿宋" w:cs="Times New Roman"/>
          <w:b/>
          <w:bCs/>
          <w:color w:val="auto"/>
          <w:sz w:val="28"/>
          <w:szCs w:val="28"/>
          <w:highlight w:val="none"/>
        </w:rPr>
        <w:t>4联</w:t>
      </w:r>
      <w:bookmarkEnd w:id="103"/>
      <w:r>
        <w:rPr>
          <w:rFonts w:hint="eastAsia" w:ascii="仿宋" w:hAnsi="仿宋" w:eastAsia="仿宋" w:cs="Times New Roman"/>
          <w:b/>
          <w:bCs/>
          <w:color w:val="auto"/>
          <w:sz w:val="28"/>
          <w:szCs w:val="28"/>
          <w:highlight w:val="none"/>
        </w:rPr>
        <w:t>合投标协议书</w:t>
      </w:r>
    </w:p>
    <w:p w14:paraId="3DED8ED0">
      <w:pPr>
        <w:widowControl/>
        <w:autoSpaceDN w:val="0"/>
        <w:spacing w:line="360" w:lineRule="auto"/>
        <w:jc w:val="center"/>
        <w:rPr>
          <w:rFonts w:ascii="仿宋" w:hAnsi="仿宋" w:eastAsia="仿宋" w:cs="Arial"/>
          <w:b/>
          <w:color w:val="auto"/>
          <w:w w:val="80"/>
          <w:kern w:val="0"/>
          <w:sz w:val="32"/>
          <w:szCs w:val="32"/>
          <w:highlight w:val="none"/>
        </w:rPr>
      </w:pPr>
      <w:bookmarkStart w:id="104" w:name="_Hlk106785969"/>
      <w:r>
        <w:rPr>
          <w:rFonts w:hint="eastAsia" w:ascii="仿宋" w:hAnsi="仿宋" w:eastAsia="仿宋" w:cs="Times New Roman"/>
          <w:b/>
          <w:color w:val="auto"/>
          <w:sz w:val="32"/>
          <w:szCs w:val="32"/>
          <w:highlight w:val="none"/>
        </w:rPr>
        <w:t>▲</w:t>
      </w:r>
      <w:bookmarkEnd w:id="104"/>
      <w:r>
        <w:rPr>
          <w:rFonts w:hint="eastAsia" w:ascii="仿宋" w:hAnsi="仿宋" w:eastAsia="仿宋" w:cs="Times New Roman"/>
          <w:b/>
          <w:color w:val="auto"/>
          <w:sz w:val="32"/>
          <w:szCs w:val="32"/>
          <w:highlight w:val="none"/>
        </w:rPr>
        <w:t>联合投标协议书（仅联合体适用）</w:t>
      </w:r>
    </w:p>
    <w:p w14:paraId="66457014">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kern w:val="0"/>
          <w:sz w:val="24"/>
          <w:szCs w:val="24"/>
          <w:highlight w:val="none"/>
        </w:rPr>
        <w:t>_________</w:t>
      </w:r>
      <w:r>
        <w:rPr>
          <w:rFonts w:hint="eastAsia" w:ascii="仿宋" w:hAnsi="仿宋" w:eastAsia="仿宋" w:cs="Arial"/>
          <w:color w:val="auto"/>
          <w:sz w:val="24"/>
          <w:szCs w:val="24"/>
          <w:highlight w:val="none"/>
          <w:u w:val="single"/>
        </w:rPr>
        <w:t>（联合体各方全称）</w:t>
      </w:r>
      <w:r>
        <w:rPr>
          <w:rFonts w:hint="eastAsia" w:ascii="仿宋" w:hAnsi="仿宋" w:eastAsia="仿宋" w:cs="Arial"/>
          <w:color w:val="auto"/>
          <w:kern w:val="0"/>
          <w:sz w:val="24"/>
          <w:szCs w:val="24"/>
          <w:highlight w:val="none"/>
        </w:rPr>
        <w:t>_______</w:t>
      </w:r>
      <w:r>
        <w:rPr>
          <w:rFonts w:hint="eastAsia" w:ascii="仿宋" w:hAnsi="仿宋" w:eastAsia="仿宋" w:cs="Arial"/>
          <w:color w:val="auto"/>
          <w:sz w:val="24"/>
          <w:szCs w:val="24"/>
          <w:highlight w:val="none"/>
        </w:rPr>
        <w:t>自愿组成联合体，以一个供应商的身份参加</w:t>
      </w:r>
      <w:bookmarkStart w:id="105" w:name="_Hlk106698985"/>
      <w:r>
        <w:rPr>
          <w:rFonts w:hint="eastAsia" w:ascii="仿宋" w:hAnsi="仿宋" w:eastAsia="仿宋" w:cs="Arial"/>
          <w:b/>
          <w:color w:val="auto"/>
          <w:kern w:val="0"/>
          <w:sz w:val="24"/>
          <w:szCs w:val="24"/>
          <w:highlight w:val="none"/>
          <w:u w:val="single"/>
          <w:lang w:eastAsia="zh-CN"/>
        </w:rPr>
        <w:t>浙江工业大学2024年学生校区布局调整相关用房装修工程</w:t>
      </w:r>
      <w:r>
        <w:rPr>
          <w:rFonts w:hint="eastAsia" w:ascii="仿宋" w:hAnsi="仿宋" w:eastAsia="仿宋" w:cs="Arial"/>
          <w:b/>
          <w:color w:val="auto"/>
          <w:kern w:val="0"/>
          <w:sz w:val="24"/>
          <w:szCs w:val="24"/>
          <w:highlight w:val="none"/>
          <w:u w:val="single"/>
        </w:rPr>
        <w:t>（项目编号：</w:t>
      </w:r>
      <w:r>
        <w:rPr>
          <w:rFonts w:hint="eastAsia" w:ascii="仿宋" w:hAnsi="仿宋" w:eastAsia="仿宋" w:cs="Arial"/>
          <w:b/>
          <w:color w:val="auto"/>
          <w:kern w:val="0"/>
          <w:sz w:val="24"/>
          <w:szCs w:val="24"/>
          <w:highlight w:val="none"/>
          <w:u w:val="single"/>
          <w:lang w:eastAsia="zh-CN"/>
        </w:rPr>
        <w:t>HSZB-2024-598</w:t>
      </w:r>
      <w:r>
        <w:rPr>
          <w:rFonts w:hint="eastAsia" w:ascii="仿宋" w:hAnsi="仿宋" w:eastAsia="仿宋" w:cs="Arial"/>
          <w:b/>
          <w:color w:val="auto"/>
          <w:kern w:val="0"/>
          <w:sz w:val="24"/>
          <w:szCs w:val="24"/>
          <w:highlight w:val="none"/>
          <w:u w:val="single"/>
        </w:rPr>
        <w:t>）</w:t>
      </w:r>
      <w:bookmarkEnd w:id="105"/>
      <w:r>
        <w:rPr>
          <w:rFonts w:hint="eastAsia" w:ascii="仿宋" w:hAnsi="仿宋" w:eastAsia="仿宋" w:cs="Arial"/>
          <w:color w:val="auto"/>
          <w:kern w:val="0"/>
          <w:sz w:val="24"/>
          <w:szCs w:val="24"/>
          <w:highlight w:val="none"/>
        </w:rPr>
        <w:t>的</w:t>
      </w:r>
      <w:r>
        <w:rPr>
          <w:rFonts w:hint="eastAsia" w:ascii="仿宋" w:hAnsi="仿宋" w:eastAsia="仿宋" w:cs="Arial"/>
          <w:color w:val="auto"/>
          <w:sz w:val="24"/>
          <w:szCs w:val="24"/>
          <w:highlight w:val="none"/>
        </w:rPr>
        <w:t>政府采购活动。现就有关联合投标（响应）事宜订立协议如下：</w:t>
      </w:r>
    </w:p>
    <w:p w14:paraId="29646FE5">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1、</w:t>
      </w:r>
      <w:r>
        <w:rPr>
          <w:rFonts w:hint="eastAsia" w:ascii="仿宋" w:hAnsi="仿宋" w:eastAsia="仿宋" w:cs="Arial"/>
          <w:color w:val="auto"/>
          <w:kern w:val="0"/>
          <w:sz w:val="24"/>
          <w:szCs w:val="24"/>
          <w:highlight w:val="none"/>
        </w:rPr>
        <w:t>_________</w:t>
      </w:r>
      <w:r>
        <w:rPr>
          <w:rFonts w:hint="eastAsia" w:ascii="仿宋" w:hAnsi="仿宋" w:eastAsia="仿宋" w:cs="Arial"/>
          <w:color w:val="auto"/>
          <w:sz w:val="24"/>
          <w:szCs w:val="24"/>
          <w:highlight w:val="none"/>
          <w:u w:val="single"/>
        </w:rPr>
        <w:t>（联合体牵头方全称）</w:t>
      </w:r>
      <w:r>
        <w:rPr>
          <w:rFonts w:hint="eastAsia" w:ascii="仿宋" w:hAnsi="仿宋" w:eastAsia="仿宋" w:cs="Arial"/>
          <w:color w:val="auto"/>
          <w:kern w:val="0"/>
          <w:sz w:val="24"/>
          <w:szCs w:val="24"/>
          <w:highlight w:val="none"/>
        </w:rPr>
        <w:t>_____________</w:t>
      </w:r>
      <w:r>
        <w:rPr>
          <w:rFonts w:hint="eastAsia" w:ascii="仿宋" w:hAnsi="仿宋" w:eastAsia="仿宋" w:cs="Arial"/>
          <w:color w:val="auto"/>
          <w:sz w:val="24"/>
          <w:szCs w:val="24"/>
          <w:highlight w:val="none"/>
        </w:rPr>
        <w:t>为联合体的牵头方，</w:t>
      </w:r>
      <w:r>
        <w:rPr>
          <w:rFonts w:hint="eastAsia" w:ascii="仿宋" w:hAnsi="仿宋" w:eastAsia="仿宋" w:cs="Arial"/>
          <w:color w:val="auto"/>
          <w:kern w:val="0"/>
          <w:sz w:val="24"/>
          <w:szCs w:val="24"/>
          <w:highlight w:val="none"/>
        </w:rPr>
        <w:t>_________</w:t>
      </w:r>
      <w:r>
        <w:rPr>
          <w:rFonts w:hint="eastAsia" w:ascii="仿宋" w:hAnsi="仿宋" w:eastAsia="仿宋" w:cs="Arial"/>
          <w:color w:val="auto"/>
          <w:sz w:val="24"/>
          <w:szCs w:val="24"/>
          <w:highlight w:val="none"/>
          <w:u w:val="single"/>
        </w:rPr>
        <w:t>（联合体成员放全称）</w:t>
      </w:r>
      <w:r>
        <w:rPr>
          <w:rFonts w:hint="eastAsia" w:ascii="仿宋" w:hAnsi="仿宋" w:eastAsia="仿宋" w:cs="Arial"/>
          <w:color w:val="auto"/>
          <w:kern w:val="0"/>
          <w:sz w:val="24"/>
          <w:szCs w:val="24"/>
          <w:highlight w:val="none"/>
        </w:rPr>
        <w:t>_______________</w:t>
      </w:r>
      <w:r>
        <w:rPr>
          <w:rFonts w:hint="eastAsia" w:ascii="仿宋" w:hAnsi="仿宋" w:eastAsia="仿宋" w:cs="Arial"/>
          <w:color w:val="auto"/>
          <w:sz w:val="24"/>
          <w:szCs w:val="24"/>
          <w:highlight w:val="none"/>
        </w:rPr>
        <w:t>为联合体的成员方；</w:t>
      </w:r>
    </w:p>
    <w:p w14:paraId="49A1B90B">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2、联合体内部有关事项规定如下：</w:t>
      </w:r>
    </w:p>
    <w:p w14:paraId="40A1541F">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（1）由牵头方代表本联合体与采购人联系，负责协调工作。</w:t>
      </w:r>
    </w:p>
    <w:p w14:paraId="18BCACE8">
      <w:pPr>
        <w:autoSpaceDN w:val="0"/>
        <w:spacing w:line="360" w:lineRule="auto"/>
        <w:ind w:firstLine="465" w:firstLineChars="193"/>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2）磋商响应工作由联合体中的牵头方负责，由各方组成的磋商响应小组具体实施；联合体中的牵头方代表联合体办理磋商响应事宜，联合体牵头方在响应文件及磋商过程中的所有承诺均代表了联合体各成员的真实意愿。</w:t>
      </w:r>
    </w:p>
    <w:p w14:paraId="1A8E4364">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（3）联合体将严格按照磋商文件的各项要求，递交响应文件，切实执行一切合同文件，共同承担合同规定的一切义务和责任，同时按照内部职责的划分，承担自身所负的责任和风险，在法律上承担连带责任。</w:t>
      </w:r>
    </w:p>
    <w:p w14:paraId="639C5A92">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（4）如中标（成交），联合体内部将遵守以下规定：</w:t>
      </w:r>
    </w:p>
    <w:p w14:paraId="53E7BB67">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a．联合体牵头方和成员方共同与采购人签订采购合同，并就中标成交项目向采购人负责有连带的和各自的法律责任；</w:t>
      </w:r>
    </w:p>
    <w:p w14:paraId="55A85B98">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b．联合体牵头方代表联合体成员接收采购人的指令、指示和通知，并且在整个合同实施过程中的全部事宜（包括合同款支付）均由联合体牵头方负责；</w:t>
      </w:r>
    </w:p>
    <w:p w14:paraId="0E7F3AAD">
      <w:pPr>
        <w:autoSpaceDN w:val="0"/>
        <w:spacing w:line="360" w:lineRule="auto"/>
        <w:ind w:firstLine="465" w:firstLineChars="193"/>
        <w:jc w:val="left"/>
        <w:rPr>
          <w:rFonts w:ascii="仿宋" w:hAnsi="仿宋" w:eastAsia="仿宋" w:cs="Arial"/>
          <w:color w:val="auto"/>
          <w:sz w:val="24"/>
          <w:szCs w:val="24"/>
          <w:highlight w:val="none"/>
        </w:rPr>
      </w:pPr>
      <w:r>
        <w:rPr>
          <w:rFonts w:hint="eastAsia" w:ascii="仿宋" w:hAnsi="仿宋" w:eastAsia="仿宋" w:cs="Arial"/>
          <w:b/>
          <w:color w:val="auto"/>
          <w:sz w:val="24"/>
          <w:szCs w:val="24"/>
          <w:highlight w:val="none"/>
        </w:rPr>
        <w:t>c．联合体各方承担的工作和义务详细安排如下：</w:t>
      </w:r>
    </w:p>
    <w:p w14:paraId="14812A1E">
      <w:pPr>
        <w:autoSpaceDN w:val="0"/>
        <w:spacing w:line="360" w:lineRule="auto"/>
        <w:jc w:val="left"/>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____________________________________________________________________________________________________________________________________________________</w:t>
      </w:r>
    </w:p>
    <w:p w14:paraId="309F1695">
      <w:pPr>
        <w:autoSpaceDN w:val="0"/>
        <w:spacing w:line="360" w:lineRule="auto"/>
        <w:ind w:firstLine="465" w:firstLineChars="193"/>
        <w:jc w:val="left"/>
        <w:rPr>
          <w:rFonts w:ascii="仿宋" w:hAnsi="仿宋" w:eastAsia="仿宋" w:cs="Arial"/>
          <w:color w:val="auto"/>
          <w:sz w:val="24"/>
          <w:szCs w:val="24"/>
          <w:highlight w:val="none"/>
        </w:rPr>
      </w:pPr>
      <w:r>
        <w:rPr>
          <w:rFonts w:hint="eastAsia" w:ascii="仿宋" w:hAnsi="仿宋" w:eastAsia="仿宋" w:cs="Arial"/>
          <w:b/>
          <w:color w:val="auto"/>
          <w:sz w:val="24"/>
          <w:szCs w:val="24"/>
          <w:highlight w:val="none"/>
        </w:rPr>
        <w:t>（5）投标（响应）工作和联合体在中标（成交）后工程实施过程中的有关费用按各自承担的工作量分摊，具体说明如下：</w:t>
      </w:r>
      <w:r>
        <w:rPr>
          <w:rFonts w:hint="eastAsia" w:ascii="仿宋" w:hAnsi="仿宋" w:eastAsia="仿宋" w:cs="Arial"/>
          <w:color w:val="auto"/>
          <w:sz w:val="24"/>
          <w:szCs w:val="24"/>
          <w:highlight w:val="none"/>
        </w:rPr>
        <w:t>_______________________________________________________________</w:t>
      </w:r>
    </w:p>
    <w:p w14:paraId="03CD7AAA">
      <w:pPr>
        <w:autoSpaceDN w:val="0"/>
        <w:spacing w:line="360" w:lineRule="auto"/>
        <w:ind w:firstLine="465" w:firstLineChars="193"/>
        <w:jc w:val="left"/>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（6）如中标（成交），采购代理服务费支付承诺如下：</w:t>
      </w:r>
      <w:r>
        <w:rPr>
          <w:rFonts w:hint="eastAsia" w:ascii="仿宋" w:hAnsi="仿宋" w:eastAsia="仿宋" w:cs="Arial"/>
          <w:color w:val="auto"/>
          <w:sz w:val="24"/>
          <w:szCs w:val="24"/>
          <w:highlight w:val="none"/>
        </w:rPr>
        <w:t>_______________________________________________________________</w:t>
      </w:r>
    </w:p>
    <w:p w14:paraId="4891EAF0">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3、我们承诺各成员不再以自己的名义单独投标（响应），也不再与其他供应商组成联合体参加本项目的投标（响应）。</w:t>
      </w:r>
    </w:p>
    <w:p w14:paraId="6B01C4B0">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4、本协议书自签署之日起生效，在上述（4）a所述的合同书规定的期限之后自行失效；如中标（成交）后，联合体内部另有协议的，联合体牵头方应将该协议书送交业主。</w:t>
      </w:r>
    </w:p>
    <w:p w14:paraId="31922515">
      <w:pPr>
        <w:autoSpaceDN w:val="0"/>
        <w:spacing w:line="360" w:lineRule="auto"/>
        <w:ind w:firstLine="463" w:firstLineChars="193"/>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5、本协议书正本一式△份，投标时使用△份，联合体成员各△份，如中标（成交）送采购人△份；副本一式△份，联合体成员各执△份。</w:t>
      </w:r>
    </w:p>
    <w:p w14:paraId="1AEA6D61">
      <w:pPr>
        <w:autoSpaceDN w:val="0"/>
        <w:spacing w:line="360" w:lineRule="auto"/>
        <w:ind w:firstLine="463" w:firstLineChars="193"/>
        <w:rPr>
          <w:rFonts w:ascii="仿宋" w:hAnsi="仿宋" w:eastAsia="仿宋" w:cs="Arial"/>
          <w:color w:val="auto"/>
          <w:sz w:val="24"/>
          <w:szCs w:val="24"/>
          <w:highlight w:val="none"/>
        </w:rPr>
      </w:pPr>
    </w:p>
    <w:p w14:paraId="0193983B">
      <w:pPr>
        <w:widowControl/>
        <w:autoSpaceDN w:val="0"/>
        <w:spacing w:line="360" w:lineRule="auto"/>
        <w:rPr>
          <w:rFonts w:ascii="仿宋" w:hAnsi="仿宋" w:eastAsia="仿宋" w:cs="Arial"/>
          <w:color w:val="auto"/>
          <w:sz w:val="24"/>
          <w:szCs w:val="24"/>
          <w:highlight w:val="none"/>
        </w:rPr>
      </w:pPr>
    </w:p>
    <w:p w14:paraId="7A59EE23">
      <w:pPr>
        <w:widowControl/>
        <w:autoSpaceDN w:val="0"/>
        <w:spacing w:line="360"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单位名称（盖章）：                     单位名称（盖章）：</w:t>
      </w:r>
    </w:p>
    <w:p w14:paraId="0E88DC53">
      <w:pPr>
        <w:widowControl/>
        <w:autoSpaceDN w:val="0"/>
        <w:spacing w:line="360" w:lineRule="auto"/>
        <w:rPr>
          <w:rFonts w:ascii="仿宋" w:hAnsi="仿宋" w:eastAsia="仿宋" w:cs="Arial"/>
          <w:color w:val="auto"/>
          <w:sz w:val="22"/>
          <w:szCs w:val="24"/>
          <w:highlight w:val="none"/>
        </w:rPr>
      </w:pPr>
      <w:r>
        <w:rPr>
          <w:rFonts w:hint="eastAsia" w:ascii="仿宋" w:hAnsi="仿宋" w:eastAsia="仿宋" w:cs="Arial"/>
          <w:color w:val="auto"/>
          <w:sz w:val="22"/>
          <w:szCs w:val="24"/>
          <w:highlight w:val="none"/>
        </w:rPr>
        <w:t>地址：                                     地址：</w:t>
      </w:r>
    </w:p>
    <w:p w14:paraId="41BF15BB">
      <w:pPr>
        <w:widowControl/>
        <w:autoSpaceDN w:val="0"/>
        <w:spacing w:line="360"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法定代表人或授权代表（签字或盖章）：   法定代表人或授权代表（签字或盖章）：</w:t>
      </w:r>
    </w:p>
    <w:p w14:paraId="72F69008">
      <w:pPr>
        <w:widowControl/>
        <w:autoSpaceDN w:val="0"/>
        <w:spacing w:line="360"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 xml:space="preserve">联系方式：                             联系方式：                          </w:t>
      </w:r>
    </w:p>
    <w:p w14:paraId="162E85C4">
      <w:pPr>
        <w:widowControl/>
        <w:autoSpaceDN w:val="0"/>
        <w:spacing w:line="360" w:lineRule="auto"/>
        <w:rPr>
          <w:rFonts w:ascii="仿宋" w:hAnsi="仿宋" w:eastAsia="仿宋" w:cs="Arial"/>
          <w:color w:val="auto"/>
          <w:sz w:val="24"/>
          <w:szCs w:val="24"/>
          <w:highlight w:val="none"/>
        </w:rPr>
      </w:pPr>
      <w:r>
        <w:rPr>
          <w:rFonts w:hint="eastAsia" w:ascii="仿宋" w:hAnsi="仿宋" w:eastAsia="仿宋" w:cs="Arial"/>
          <w:color w:val="auto"/>
          <w:sz w:val="24"/>
          <w:szCs w:val="24"/>
          <w:highlight w:val="none"/>
        </w:rPr>
        <w:t>协议签订时间：                         协议签订时间：</w:t>
      </w:r>
    </w:p>
    <w:p w14:paraId="2F310C19">
      <w:pPr>
        <w:autoSpaceDN w:val="0"/>
        <w:spacing w:line="360" w:lineRule="auto"/>
        <w:ind w:firstLine="463" w:firstLineChars="193"/>
        <w:rPr>
          <w:rFonts w:ascii="仿宋" w:hAnsi="仿宋" w:eastAsia="仿宋" w:cs="Arial"/>
          <w:color w:val="auto"/>
          <w:sz w:val="24"/>
          <w:szCs w:val="24"/>
          <w:highlight w:val="none"/>
        </w:rPr>
      </w:pPr>
    </w:p>
    <w:p w14:paraId="11767069">
      <w:pPr>
        <w:autoSpaceDN w:val="0"/>
        <w:spacing w:line="360" w:lineRule="auto"/>
        <w:ind w:firstLine="463" w:firstLineChars="193"/>
        <w:rPr>
          <w:rFonts w:ascii="仿宋" w:hAnsi="仿宋" w:eastAsia="仿宋" w:cs="Arial"/>
          <w:color w:val="auto"/>
          <w:sz w:val="24"/>
          <w:szCs w:val="24"/>
          <w:highlight w:val="none"/>
        </w:rPr>
      </w:pPr>
    </w:p>
    <w:p w14:paraId="3F39BABA">
      <w:pPr>
        <w:autoSpaceDN w:val="0"/>
        <w:spacing w:line="360" w:lineRule="auto"/>
        <w:ind w:firstLine="463" w:firstLineChars="193"/>
        <w:rPr>
          <w:rFonts w:ascii="仿宋" w:hAnsi="仿宋" w:eastAsia="仿宋" w:cs="Arial"/>
          <w:color w:val="auto"/>
          <w:sz w:val="24"/>
          <w:szCs w:val="24"/>
          <w:highlight w:val="none"/>
        </w:rPr>
      </w:pPr>
    </w:p>
    <w:p w14:paraId="19EC11D6">
      <w:pPr>
        <w:autoSpaceDN w:val="0"/>
        <w:spacing w:line="360" w:lineRule="auto"/>
        <w:ind w:firstLine="463" w:firstLineChars="193"/>
        <w:rPr>
          <w:rFonts w:ascii="仿宋" w:hAnsi="仿宋" w:eastAsia="仿宋" w:cs="Arial"/>
          <w:color w:val="auto"/>
          <w:sz w:val="24"/>
          <w:szCs w:val="24"/>
          <w:highlight w:val="none"/>
        </w:rPr>
      </w:pPr>
    </w:p>
    <w:p w14:paraId="17B77546">
      <w:pPr>
        <w:autoSpaceDN w:val="0"/>
        <w:spacing w:line="360" w:lineRule="auto"/>
        <w:ind w:firstLine="463" w:firstLineChars="193"/>
        <w:rPr>
          <w:rFonts w:ascii="仿宋" w:hAnsi="仿宋" w:eastAsia="仿宋" w:cs="Arial"/>
          <w:color w:val="auto"/>
          <w:sz w:val="24"/>
          <w:szCs w:val="24"/>
          <w:highlight w:val="none"/>
        </w:rPr>
      </w:pPr>
    </w:p>
    <w:p w14:paraId="2DE41DF0">
      <w:pPr>
        <w:autoSpaceDN w:val="0"/>
        <w:spacing w:line="360" w:lineRule="auto"/>
        <w:ind w:firstLine="463" w:firstLineChars="193"/>
        <w:rPr>
          <w:rFonts w:ascii="仿宋" w:hAnsi="仿宋" w:eastAsia="仿宋" w:cs="Arial"/>
          <w:color w:val="auto"/>
          <w:sz w:val="24"/>
          <w:szCs w:val="24"/>
          <w:highlight w:val="none"/>
        </w:rPr>
      </w:pPr>
    </w:p>
    <w:p w14:paraId="2DE1F663">
      <w:pPr>
        <w:autoSpaceDN w:val="0"/>
        <w:spacing w:line="360" w:lineRule="auto"/>
        <w:ind w:firstLine="463" w:firstLineChars="193"/>
        <w:rPr>
          <w:rFonts w:ascii="仿宋" w:hAnsi="仿宋" w:eastAsia="仿宋" w:cs="Arial"/>
          <w:color w:val="auto"/>
          <w:sz w:val="24"/>
          <w:szCs w:val="24"/>
          <w:highlight w:val="none"/>
        </w:rPr>
      </w:pPr>
    </w:p>
    <w:p w14:paraId="7C616D76">
      <w:pPr>
        <w:autoSpaceDN w:val="0"/>
        <w:spacing w:line="360" w:lineRule="auto"/>
        <w:ind w:firstLine="463" w:firstLineChars="193"/>
        <w:rPr>
          <w:rFonts w:ascii="仿宋" w:hAnsi="仿宋" w:eastAsia="仿宋" w:cs="Arial"/>
          <w:color w:val="auto"/>
          <w:sz w:val="24"/>
          <w:szCs w:val="24"/>
          <w:highlight w:val="none"/>
        </w:rPr>
      </w:pPr>
    </w:p>
    <w:p w14:paraId="53BE49AC">
      <w:pPr>
        <w:autoSpaceDN w:val="0"/>
        <w:spacing w:line="360" w:lineRule="auto"/>
        <w:ind w:firstLine="463" w:firstLineChars="193"/>
        <w:rPr>
          <w:rFonts w:ascii="仿宋" w:hAnsi="仿宋" w:eastAsia="仿宋" w:cs="Arial"/>
          <w:color w:val="auto"/>
          <w:sz w:val="24"/>
          <w:szCs w:val="24"/>
          <w:highlight w:val="none"/>
        </w:rPr>
      </w:pPr>
    </w:p>
    <w:p w14:paraId="3EC31B08">
      <w:pPr>
        <w:autoSpaceDN w:val="0"/>
        <w:spacing w:line="360" w:lineRule="auto"/>
        <w:ind w:firstLine="463" w:firstLineChars="193"/>
        <w:rPr>
          <w:rFonts w:ascii="仿宋" w:hAnsi="仿宋" w:eastAsia="仿宋" w:cs="Arial"/>
          <w:color w:val="auto"/>
          <w:sz w:val="24"/>
          <w:szCs w:val="24"/>
          <w:highlight w:val="none"/>
        </w:rPr>
      </w:pPr>
    </w:p>
    <w:p w14:paraId="5D261276">
      <w:pPr>
        <w:autoSpaceDN w:val="0"/>
        <w:spacing w:line="360" w:lineRule="auto"/>
        <w:ind w:firstLine="463" w:firstLineChars="193"/>
        <w:rPr>
          <w:rFonts w:ascii="仿宋" w:hAnsi="仿宋" w:eastAsia="仿宋" w:cs="Arial"/>
          <w:color w:val="auto"/>
          <w:sz w:val="24"/>
          <w:szCs w:val="24"/>
          <w:highlight w:val="none"/>
        </w:rPr>
      </w:pPr>
    </w:p>
    <w:p w14:paraId="0569A26D">
      <w:pPr>
        <w:autoSpaceDN w:val="0"/>
        <w:spacing w:line="200" w:lineRule="exact"/>
        <w:ind w:firstLine="301"/>
        <w:rPr>
          <w:rFonts w:ascii="宋体" w:hAnsi="Courier New" w:eastAsia="宋体" w:cs="Times New Roman"/>
          <w:color w:val="auto"/>
          <w:spacing w:val="-4"/>
          <w:kern w:val="0"/>
          <w:sz w:val="18"/>
          <w:szCs w:val="20"/>
          <w:highlight w:val="none"/>
        </w:rPr>
      </w:pPr>
    </w:p>
    <w:p w14:paraId="1A1CE2FB">
      <w:pPr>
        <w:autoSpaceDN w:val="0"/>
        <w:spacing w:line="200" w:lineRule="exact"/>
        <w:ind w:firstLine="301"/>
        <w:rPr>
          <w:rFonts w:ascii="宋体" w:hAnsi="Courier New" w:eastAsia="宋体" w:cs="Times New Roman"/>
          <w:color w:val="auto"/>
          <w:spacing w:val="-4"/>
          <w:kern w:val="0"/>
          <w:sz w:val="18"/>
          <w:szCs w:val="20"/>
          <w:highlight w:val="none"/>
        </w:rPr>
      </w:pPr>
    </w:p>
    <w:p w14:paraId="3493ECFF">
      <w:pPr>
        <w:autoSpaceDN w:val="0"/>
        <w:spacing w:line="200" w:lineRule="exact"/>
        <w:ind w:firstLine="301"/>
        <w:rPr>
          <w:rFonts w:ascii="宋体" w:hAnsi="Courier New" w:eastAsia="宋体" w:cs="Times New Roman"/>
          <w:color w:val="auto"/>
          <w:spacing w:val="-4"/>
          <w:kern w:val="0"/>
          <w:sz w:val="18"/>
          <w:szCs w:val="20"/>
          <w:highlight w:val="none"/>
        </w:rPr>
      </w:pPr>
    </w:p>
    <w:p w14:paraId="5828CBFF">
      <w:pPr>
        <w:autoSpaceDN w:val="0"/>
        <w:spacing w:line="200" w:lineRule="exact"/>
        <w:ind w:firstLine="301"/>
        <w:rPr>
          <w:rFonts w:ascii="宋体" w:hAnsi="Courier New" w:eastAsia="宋体" w:cs="Times New Roman"/>
          <w:color w:val="auto"/>
          <w:spacing w:val="-4"/>
          <w:kern w:val="0"/>
          <w:sz w:val="18"/>
          <w:szCs w:val="20"/>
          <w:highlight w:val="none"/>
        </w:rPr>
      </w:pPr>
    </w:p>
    <w:p w14:paraId="57E09AC1">
      <w:pPr>
        <w:autoSpaceDN w:val="0"/>
        <w:spacing w:line="200" w:lineRule="exact"/>
        <w:ind w:firstLine="301"/>
        <w:rPr>
          <w:rFonts w:ascii="宋体" w:hAnsi="Courier New" w:eastAsia="宋体" w:cs="Times New Roman"/>
          <w:color w:val="auto"/>
          <w:spacing w:val="-4"/>
          <w:kern w:val="0"/>
          <w:sz w:val="18"/>
          <w:szCs w:val="20"/>
          <w:highlight w:val="none"/>
        </w:rPr>
      </w:pPr>
    </w:p>
    <w:p w14:paraId="166AAAEC">
      <w:pPr>
        <w:autoSpaceDN w:val="0"/>
        <w:spacing w:line="200" w:lineRule="exact"/>
        <w:ind w:firstLine="301"/>
        <w:rPr>
          <w:rFonts w:ascii="宋体" w:hAnsi="Courier New" w:eastAsia="宋体" w:cs="Times New Roman"/>
          <w:color w:val="auto"/>
          <w:spacing w:val="-4"/>
          <w:kern w:val="0"/>
          <w:sz w:val="18"/>
          <w:szCs w:val="20"/>
          <w:highlight w:val="none"/>
        </w:rPr>
      </w:pPr>
    </w:p>
    <w:p w14:paraId="4512CCEE">
      <w:pPr>
        <w:autoSpaceDN w:val="0"/>
        <w:spacing w:line="360" w:lineRule="auto"/>
        <w:ind w:firstLine="463" w:firstLineChars="193"/>
        <w:rPr>
          <w:rFonts w:ascii="仿宋" w:hAnsi="仿宋" w:eastAsia="仿宋" w:cs="Arial"/>
          <w:color w:val="auto"/>
          <w:sz w:val="24"/>
          <w:szCs w:val="24"/>
          <w:highlight w:val="none"/>
        </w:rPr>
      </w:pPr>
    </w:p>
    <w:p w14:paraId="0B4B64A8">
      <w:pPr>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br w:type="page"/>
      </w:r>
    </w:p>
    <w:p w14:paraId="4EEDE2B5">
      <w:pPr>
        <w:pStyle w:val="75"/>
        <w:rPr>
          <w:color w:val="auto"/>
          <w:highlight w:val="none"/>
        </w:rPr>
      </w:pPr>
    </w:p>
    <w:p w14:paraId="6530AB98">
      <w:pPr>
        <w:keepNext/>
        <w:keepLines/>
        <w:autoSpaceDN w:val="0"/>
        <w:spacing w:line="360" w:lineRule="auto"/>
        <w:jc w:val="left"/>
        <w:outlineLvl w:val="3"/>
        <w:rPr>
          <w:rFonts w:ascii="仿宋" w:hAnsi="仿宋" w:eastAsia="仿宋" w:cs="Times New Roman"/>
          <w:b/>
          <w:bCs/>
          <w:color w:val="auto"/>
          <w:sz w:val="28"/>
          <w:szCs w:val="28"/>
          <w:highlight w:val="none"/>
        </w:rPr>
      </w:pPr>
      <w:r>
        <w:rPr>
          <w:rFonts w:hint="eastAsia" w:ascii="仿宋" w:hAnsi="仿宋" w:eastAsia="仿宋" w:cs="Times New Roman"/>
          <w:b/>
          <w:bCs/>
          <w:color w:val="auto"/>
          <w:sz w:val="28"/>
          <w:szCs w:val="28"/>
          <w:highlight w:val="none"/>
        </w:rPr>
        <w:t>▲1-5分包意向协议</w:t>
      </w:r>
    </w:p>
    <w:p w14:paraId="2529A557">
      <w:pPr>
        <w:widowControl/>
        <w:autoSpaceDN w:val="0"/>
        <w:spacing w:line="360" w:lineRule="auto"/>
        <w:jc w:val="center"/>
        <w:rPr>
          <w:rFonts w:ascii="仿宋" w:hAnsi="仿宋" w:eastAsia="仿宋" w:cs="Arial"/>
          <w:b/>
          <w:color w:val="auto"/>
          <w:w w:val="80"/>
          <w:kern w:val="0"/>
          <w:sz w:val="32"/>
          <w:szCs w:val="32"/>
          <w:highlight w:val="none"/>
        </w:rPr>
      </w:pPr>
      <w:r>
        <w:rPr>
          <w:rFonts w:hint="eastAsia" w:ascii="仿宋" w:hAnsi="仿宋" w:eastAsia="仿宋" w:cs="Times New Roman"/>
          <w:b/>
          <w:color w:val="auto"/>
          <w:sz w:val="32"/>
          <w:szCs w:val="32"/>
          <w:highlight w:val="none"/>
        </w:rPr>
        <w:t>▲分包意向协议（仅分包适用）</w:t>
      </w:r>
    </w:p>
    <w:p w14:paraId="43BEFB7C">
      <w:pPr>
        <w:autoSpaceDN w:val="0"/>
        <w:spacing w:line="360" w:lineRule="auto"/>
        <w:ind w:firstLine="465" w:firstLineChars="193"/>
        <w:jc w:val="left"/>
        <w:rPr>
          <w:rFonts w:ascii="仿宋" w:hAnsi="仿宋" w:eastAsia="仿宋" w:cs="Arial"/>
          <w:b/>
          <w:color w:val="auto"/>
          <w:sz w:val="24"/>
          <w:szCs w:val="24"/>
          <w:highlight w:val="none"/>
        </w:rPr>
      </w:pPr>
      <w:r>
        <w:rPr>
          <w:rFonts w:hint="eastAsia" w:ascii="仿宋" w:hAnsi="仿宋" w:eastAsia="仿宋" w:cs="Arial"/>
          <w:b/>
          <w:color w:val="auto"/>
          <w:sz w:val="24"/>
          <w:szCs w:val="24"/>
          <w:highlight w:val="none"/>
        </w:rPr>
        <w:t>（成交后以分包方式履行合同的，提供分包意向协议；采购人不同意分包或者磋商响应公寓成交后不以分包方式履行合同的，则不需要提供。）</w:t>
      </w:r>
    </w:p>
    <w:p w14:paraId="747D1E71">
      <w:pPr>
        <w:autoSpaceDN w:val="0"/>
        <w:spacing w:line="360" w:lineRule="auto"/>
        <w:ind w:firstLine="463" w:firstLineChars="193"/>
        <w:rPr>
          <w:rFonts w:ascii="仿宋" w:hAnsi="仿宋" w:eastAsia="仿宋" w:cs="Arial"/>
          <w:color w:val="auto"/>
          <w:sz w:val="24"/>
          <w:szCs w:val="24"/>
          <w:highlight w:val="none"/>
          <w:lang w:val="zh-CN"/>
        </w:rPr>
      </w:pPr>
      <w:r>
        <w:rPr>
          <w:rFonts w:hint="eastAsia" w:ascii="仿宋" w:hAnsi="仿宋" w:eastAsia="仿宋" w:cs="Arial"/>
          <w:color w:val="auto"/>
          <w:sz w:val="24"/>
          <w:szCs w:val="24"/>
          <w:highlight w:val="none"/>
          <w:u w:val="single"/>
        </w:rPr>
        <w:t>（磋商响应供应商名称）</w:t>
      </w:r>
      <w:r>
        <w:rPr>
          <w:rFonts w:hint="eastAsia" w:ascii="仿宋" w:hAnsi="仿宋" w:eastAsia="仿宋" w:cs="Arial"/>
          <w:color w:val="auto"/>
          <w:sz w:val="24"/>
          <w:szCs w:val="24"/>
          <w:highlight w:val="none"/>
          <w:lang w:val="zh-CN"/>
        </w:rPr>
        <w:t>若成为</w:t>
      </w:r>
      <w:r>
        <w:rPr>
          <w:rFonts w:hint="eastAsia" w:ascii="仿宋" w:hAnsi="仿宋" w:eastAsia="仿宋" w:cs="Arial"/>
          <w:b/>
          <w:color w:val="auto"/>
          <w:kern w:val="0"/>
          <w:sz w:val="24"/>
          <w:szCs w:val="24"/>
          <w:highlight w:val="none"/>
          <w:u w:val="single"/>
          <w:lang w:eastAsia="zh-CN"/>
        </w:rPr>
        <w:t>浙江工业大学2024年学生校区布局调整相关用房装修工程</w:t>
      </w:r>
      <w:r>
        <w:rPr>
          <w:rFonts w:hint="eastAsia" w:ascii="仿宋" w:hAnsi="仿宋" w:eastAsia="仿宋" w:cs="Arial"/>
          <w:b/>
          <w:color w:val="auto"/>
          <w:kern w:val="0"/>
          <w:sz w:val="24"/>
          <w:szCs w:val="24"/>
          <w:highlight w:val="none"/>
          <w:u w:val="single"/>
        </w:rPr>
        <w:t>（项目编号：</w:t>
      </w:r>
      <w:r>
        <w:rPr>
          <w:rFonts w:hint="eastAsia" w:ascii="仿宋" w:hAnsi="仿宋" w:eastAsia="仿宋" w:cs="Arial"/>
          <w:b/>
          <w:color w:val="auto"/>
          <w:kern w:val="0"/>
          <w:sz w:val="24"/>
          <w:szCs w:val="24"/>
          <w:highlight w:val="none"/>
          <w:u w:val="single"/>
          <w:lang w:eastAsia="zh-CN"/>
        </w:rPr>
        <w:t>HSZB-2024-598</w:t>
      </w:r>
      <w:r>
        <w:rPr>
          <w:rFonts w:hint="eastAsia" w:ascii="仿宋" w:hAnsi="仿宋" w:eastAsia="仿宋" w:cs="Arial"/>
          <w:b/>
          <w:color w:val="auto"/>
          <w:kern w:val="0"/>
          <w:sz w:val="24"/>
          <w:szCs w:val="24"/>
          <w:highlight w:val="none"/>
          <w:u w:val="single"/>
        </w:rPr>
        <w:t>）</w:t>
      </w:r>
      <w:r>
        <w:rPr>
          <w:rFonts w:hint="eastAsia" w:ascii="仿宋" w:hAnsi="仿宋" w:eastAsia="仿宋" w:cs="Arial"/>
          <w:color w:val="auto"/>
          <w:sz w:val="24"/>
          <w:szCs w:val="24"/>
          <w:highlight w:val="none"/>
          <w:lang w:val="zh-CN"/>
        </w:rPr>
        <w:t>的</w:t>
      </w:r>
      <w:r>
        <w:rPr>
          <w:rFonts w:hint="eastAsia" w:ascii="仿宋" w:hAnsi="仿宋" w:eastAsia="仿宋" w:cs="Arial"/>
          <w:color w:val="auto"/>
          <w:sz w:val="24"/>
          <w:szCs w:val="24"/>
          <w:highlight w:val="none"/>
        </w:rPr>
        <w:t>成交</w:t>
      </w:r>
      <w:r>
        <w:rPr>
          <w:rFonts w:hint="eastAsia" w:ascii="仿宋" w:hAnsi="仿宋" w:eastAsia="仿宋" w:cs="Arial"/>
          <w:color w:val="auto"/>
          <w:sz w:val="24"/>
          <w:szCs w:val="24"/>
          <w:highlight w:val="none"/>
          <w:lang w:val="zh-CN"/>
        </w:rPr>
        <w:t>供应商，将依法采取分包方式履行合同。</w:t>
      </w:r>
      <w:r>
        <w:rPr>
          <w:rFonts w:hint="eastAsia" w:ascii="仿宋" w:hAnsi="仿宋" w:eastAsia="仿宋" w:cs="Arial"/>
          <w:b/>
          <w:bCs/>
          <w:color w:val="auto"/>
          <w:sz w:val="24"/>
          <w:szCs w:val="24"/>
          <w:highlight w:val="none"/>
          <w:u w:val="single"/>
        </w:rPr>
        <w:t>（磋商响应供应商名称）</w:t>
      </w:r>
      <w:r>
        <w:rPr>
          <w:rFonts w:hint="eastAsia" w:ascii="仿宋" w:hAnsi="仿宋" w:eastAsia="仿宋" w:cs="Arial"/>
          <w:color w:val="auto"/>
          <w:sz w:val="24"/>
          <w:szCs w:val="24"/>
          <w:highlight w:val="none"/>
        </w:rPr>
        <w:t>与</w:t>
      </w:r>
      <w:r>
        <w:rPr>
          <w:rFonts w:hint="eastAsia" w:ascii="仿宋" w:hAnsi="仿宋" w:eastAsia="仿宋" w:cs="Arial"/>
          <w:b/>
          <w:bCs/>
          <w:color w:val="auto"/>
          <w:sz w:val="24"/>
          <w:szCs w:val="24"/>
          <w:highlight w:val="none"/>
          <w:u w:val="single"/>
        </w:rPr>
        <w:t>（所有分包供应商名称）</w:t>
      </w:r>
      <w:r>
        <w:rPr>
          <w:rFonts w:hint="eastAsia" w:ascii="仿宋" w:hAnsi="仿宋" w:eastAsia="仿宋" w:cs="Arial"/>
          <w:color w:val="auto"/>
          <w:sz w:val="24"/>
          <w:szCs w:val="24"/>
          <w:highlight w:val="none"/>
        </w:rPr>
        <w:t>达成分包意向协议</w:t>
      </w:r>
      <w:r>
        <w:rPr>
          <w:rFonts w:hint="eastAsia" w:ascii="仿宋" w:hAnsi="仿宋" w:eastAsia="仿宋" w:cs="Arial"/>
          <w:color w:val="auto"/>
          <w:sz w:val="24"/>
          <w:szCs w:val="24"/>
          <w:highlight w:val="none"/>
          <w:lang w:val="zh-CN"/>
        </w:rPr>
        <w:t xml:space="preserve">。 </w:t>
      </w:r>
    </w:p>
    <w:p w14:paraId="685CAAF6">
      <w:pPr>
        <w:autoSpaceDN w:val="0"/>
        <w:spacing w:line="360" w:lineRule="auto"/>
        <w:ind w:firstLine="463" w:firstLineChars="193"/>
        <w:rPr>
          <w:rFonts w:ascii="仿宋" w:hAnsi="仿宋" w:eastAsia="仿宋" w:cs="Arial"/>
          <w:color w:val="auto"/>
          <w:sz w:val="24"/>
          <w:szCs w:val="24"/>
          <w:highlight w:val="none"/>
          <w:lang w:val="zh-CN"/>
        </w:rPr>
      </w:pPr>
      <w:r>
        <w:rPr>
          <w:rFonts w:hint="eastAsia" w:ascii="仿宋" w:hAnsi="仿宋" w:eastAsia="仿宋" w:cs="Arial"/>
          <w:color w:val="auto"/>
          <w:sz w:val="24"/>
          <w:szCs w:val="24"/>
          <w:highlight w:val="none"/>
          <w:lang w:val="zh-CN"/>
        </w:rPr>
        <w:t>一、分包标的及数量</w:t>
      </w:r>
    </w:p>
    <w:p w14:paraId="1614093F">
      <w:pPr>
        <w:autoSpaceDN w:val="0"/>
        <w:spacing w:line="360" w:lineRule="auto"/>
        <w:ind w:firstLine="465" w:firstLineChars="193"/>
        <w:rPr>
          <w:rFonts w:ascii="仿宋" w:hAnsi="仿宋" w:eastAsia="仿宋" w:cs="Arial"/>
          <w:color w:val="auto"/>
          <w:sz w:val="24"/>
          <w:szCs w:val="24"/>
          <w:highlight w:val="none"/>
          <w:lang w:val="zh-CN"/>
        </w:rPr>
      </w:pPr>
      <w:r>
        <w:rPr>
          <w:rFonts w:hint="eastAsia" w:ascii="仿宋" w:hAnsi="仿宋" w:eastAsia="仿宋" w:cs="Arial"/>
          <w:b/>
          <w:bCs/>
          <w:color w:val="auto"/>
          <w:sz w:val="24"/>
          <w:szCs w:val="24"/>
          <w:highlight w:val="none"/>
          <w:u w:val="single"/>
        </w:rPr>
        <w:t>（磋商响应供应商名称）</w:t>
      </w:r>
      <w:r>
        <w:rPr>
          <w:rFonts w:hint="eastAsia" w:ascii="仿宋" w:hAnsi="仿宋" w:eastAsia="仿宋" w:cs="Arial"/>
          <w:color w:val="auto"/>
          <w:sz w:val="24"/>
          <w:szCs w:val="24"/>
          <w:highlight w:val="none"/>
          <w:lang w:val="zh-CN"/>
        </w:rPr>
        <w:t>将</w:t>
      </w:r>
      <w:r>
        <w:rPr>
          <w:rFonts w:hint="eastAsia" w:ascii="仿宋" w:hAnsi="仿宋" w:eastAsia="仿宋" w:cs="Arial"/>
          <w:b/>
          <w:bCs/>
          <w:color w:val="auto"/>
          <w:sz w:val="24"/>
          <w:szCs w:val="24"/>
          <w:highlight w:val="none"/>
          <w:u w:val="single"/>
        </w:rPr>
        <w:t xml:space="preserve">   XX工作内容   </w:t>
      </w:r>
      <w:r>
        <w:rPr>
          <w:rFonts w:hint="eastAsia" w:ascii="仿宋" w:hAnsi="仿宋" w:eastAsia="仿宋" w:cs="Arial"/>
          <w:color w:val="auto"/>
          <w:sz w:val="24"/>
          <w:szCs w:val="24"/>
          <w:highlight w:val="none"/>
        </w:rPr>
        <w:t>分包给</w:t>
      </w:r>
      <w:r>
        <w:rPr>
          <w:rFonts w:hint="eastAsia" w:ascii="仿宋" w:hAnsi="仿宋" w:eastAsia="仿宋" w:cs="Arial"/>
          <w:b/>
          <w:bCs/>
          <w:color w:val="auto"/>
          <w:sz w:val="24"/>
          <w:szCs w:val="24"/>
          <w:highlight w:val="none"/>
          <w:u w:val="single"/>
        </w:rPr>
        <w:t>（某分包供应商名称）</w:t>
      </w:r>
      <w:r>
        <w:rPr>
          <w:rFonts w:hint="eastAsia" w:ascii="仿宋" w:hAnsi="仿宋" w:eastAsia="仿宋" w:cs="Arial"/>
          <w:color w:val="auto"/>
          <w:sz w:val="24"/>
          <w:szCs w:val="24"/>
          <w:highlight w:val="none"/>
          <w:lang w:val="zh-CN"/>
        </w:rPr>
        <w:t>，</w:t>
      </w:r>
      <w:r>
        <w:rPr>
          <w:rFonts w:hint="eastAsia" w:ascii="仿宋" w:hAnsi="仿宋" w:eastAsia="仿宋" w:cs="Arial"/>
          <w:b/>
          <w:bCs/>
          <w:color w:val="auto"/>
          <w:sz w:val="24"/>
          <w:szCs w:val="24"/>
          <w:highlight w:val="none"/>
          <w:u w:val="single"/>
        </w:rPr>
        <w:t>（某分包供应商名称）</w:t>
      </w:r>
      <w:r>
        <w:rPr>
          <w:rFonts w:hint="eastAsia" w:ascii="仿宋" w:hAnsi="仿宋" w:eastAsia="仿宋" w:cs="Arial"/>
          <w:color w:val="auto"/>
          <w:sz w:val="24"/>
          <w:szCs w:val="24"/>
          <w:highlight w:val="none"/>
        </w:rPr>
        <w:t>，</w:t>
      </w:r>
      <w:r>
        <w:rPr>
          <w:rFonts w:hint="eastAsia" w:ascii="仿宋" w:hAnsi="仿宋" w:eastAsia="仿宋" w:cs="Arial"/>
          <w:color w:val="auto"/>
          <w:sz w:val="24"/>
          <w:szCs w:val="24"/>
          <w:highlight w:val="none"/>
          <w:lang w:val="zh-CN"/>
        </w:rPr>
        <w:t>具备承</w:t>
      </w:r>
      <w:r>
        <w:rPr>
          <w:rFonts w:hint="eastAsia" w:ascii="仿宋" w:hAnsi="仿宋" w:eastAsia="仿宋" w:cs="Arial"/>
          <w:color w:val="auto"/>
          <w:sz w:val="24"/>
          <w:szCs w:val="24"/>
          <w:highlight w:val="none"/>
        </w:rPr>
        <w:t>担</w:t>
      </w:r>
      <w:r>
        <w:rPr>
          <w:rFonts w:hint="eastAsia" w:ascii="仿宋" w:hAnsi="仿宋" w:eastAsia="仿宋" w:cs="Arial"/>
          <w:b/>
          <w:bCs/>
          <w:color w:val="auto"/>
          <w:sz w:val="24"/>
          <w:szCs w:val="24"/>
          <w:highlight w:val="none"/>
          <w:u w:val="single"/>
          <w:lang w:val="zh-CN"/>
        </w:rPr>
        <w:t>XX工作内容</w:t>
      </w:r>
      <w:r>
        <w:rPr>
          <w:rFonts w:hint="eastAsia" w:ascii="仿宋" w:hAnsi="仿宋" w:eastAsia="仿宋" w:cs="Arial"/>
          <w:color w:val="auto"/>
          <w:sz w:val="24"/>
          <w:szCs w:val="24"/>
          <w:highlight w:val="none"/>
          <w:lang w:val="zh-CN"/>
        </w:rPr>
        <w:t>相应资质条件且不得再次分包；</w:t>
      </w:r>
    </w:p>
    <w:p w14:paraId="134FF4ED">
      <w:pPr>
        <w:autoSpaceDN w:val="0"/>
        <w:spacing w:line="360" w:lineRule="auto"/>
        <w:ind w:firstLine="463" w:firstLineChars="193"/>
        <w:rPr>
          <w:rFonts w:ascii="仿宋" w:hAnsi="仿宋" w:eastAsia="仿宋" w:cs="Arial"/>
          <w:color w:val="auto"/>
          <w:sz w:val="24"/>
          <w:szCs w:val="24"/>
          <w:highlight w:val="none"/>
          <w:lang w:val="zh-CN"/>
        </w:rPr>
      </w:pPr>
      <w:r>
        <w:rPr>
          <w:rFonts w:hint="eastAsia" w:ascii="仿宋" w:hAnsi="仿宋" w:eastAsia="仿宋" w:cs="Arial"/>
          <w:color w:val="auto"/>
          <w:sz w:val="24"/>
          <w:szCs w:val="24"/>
          <w:highlight w:val="none"/>
        </w:rPr>
        <w:t>二、</w:t>
      </w:r>
      <w:r>
        <w:rPr>
          <w:rFonts w:hint="eastAsia" w:ascii="仿宋" w:hAnsi="仿宋" w:eastAsia="仿宋" w:cs="Arial"/>
          <w:color w:val="auto"/>
          <w:sz w:val="24"/>
          <w:szCs w:val="24"/>
          <w:highlight w:val="none"/>
          <w:lang w:val="zh-CN"/>
        </w:rPr>
        <w:t>分包工作履行期限、地点、方式</w:t>
      </w:r>
    </w:p>
    <w:p w14:paraId="2D3DB314">
      <w:pPr>
        <w:autoSpaceDN w:val="0"/>
        <w:spacing w:line="360" w:lineRule="auto"/>
        <w:rPr>
          <w:rFonts w:ascii="Times New Roman" w:hAnsi="Times New Roman" w:eastAsia="仿宋" w:cs="Times New Roman"/>
          <w:color w:val="auto"/>
          <w:szCs w:val="24"/>
          <w:highlight w:val="none"/>
        </w:rPr>
      </w:pPr>
      <w:r>
        <w:rPr>
          <w:rFonts w:hint="eastAsia" w:ascii="仿宋" w:hAnsi="仿宋" w:eastAsia="仿宋" w:cs="Arial"/>
          <w:color w:val="auto"/>
          <w:sz w:val="24"/>
          <w:szCs w:val="24"/>
          <w:highlight w:val="none"/>
        </w:rPr>
        <w:t xml:space="preserve">___________________________________________________________________    </w:t>
      </w:r>
    </w:p>
    <w:p w14:paraId="40367CEB">
      <w:pPr>
        <w:autoSpaceDN w:val="0"/>
        <w:spacing w:line="360" w:lineRule="auto"/>
        <w:ind w:firstLine="463" w:firstLineChars="193"/>
        <w:rPr>
          <w:rFonts w:ascii="Times New Roman" w:hAnsi="Times New Roman" w:eastAsia="宋体" w:cs="Times New Roman"/>
          <w:color w:val="auto"/>
          <w:szCs w:val="24"/>
          <w:highlight w:val="none"/>
          <w:lang w:val="zh-CN"/>
        </w:rPr>
      </w:pPr>
      <w:r>
        <w:rPr>
          <w:rFonts w:hint="eastAsia" w:ascii="仿宋_GB2312" w:hAnsi="仿宋" w:eastAsia="仿宋_GB2312" w:cs="仿宋_GB2312"/>
          <w:color w:val="auto"/>
          <w:kern w:val="0"/>
          <w:sz w:val="24"/>
          <w:szCs w:val="24"/>
          <w:highlight w:val="none"/>
        </w:rPr>
        <w:t>三、</w:t>
      </w:r>
      <w:r>
        <w:rPr>
          <w:rFonts w:hint="eastAsia" w:ascii="仿宋_GB2312" w:hAnsi="仿宋" w:eastAsia="仿宋_GB2312" w:cs="仿宋_GB2312"/>
          <w:color w:val="auto"/>
          <w:kern w:val="0"/>
          <w:sz w:val="24"/>
          <w:szCs w:val="24"/>
          <w:highlight w:val="none"/>
          <w:lang w:val="zh-CN"/>
        </w:rPr>
        <w:t>质量</w:t>
      </w:r>
    </w:p>
    <w:p w14:paraId="29919D45">
      <w:pPr>
        <w:autoSpaceDN w:val="0"/>
        <w:snapToGrid w:val="0"/>
        <w:spacing w:line="360" w:lineRule="auto"/>
        <w:rPr>
          <w:rFonts w:ascii="Times New Roman" w:hAnsi="Times New Roman" w:eastAsia="宋体" w:cs="Times New Roman"/>
          <w:color w:val="auto"/>
          <w:szCs w:val="24"/>
          <w:highlight w:val="none"/>
          <w:lang w:val="zh-CN"/>
        </w:rPr>
      </w:pPr>
      <w:r>
        <w:rPr>
          <w:rFonts w:hint="eastAsia" w:ascii="仿宋" w:hAnsi="仿宋" w:eastAsia="仿宋" w:cs="Arial"/>
          <w:color w:val="auto"/>
          <w:sz w:val="24"/>
          <w:szCs w:val="24"/>
          <w:highlight w:val="none"/>
        </w:rPr>
        <w:t>___________________________________________________________________</w:t>
      </w:r>
    </w:p>
    <w:p w14:paraId="747F8980">
      <w:pPr>
        <w:autoSpaceDN w:val="0"/>
        <w:spacing w:line="360" w:lineRule="auto"/>
        <w:ind w:firstLine="463" w:firstLineChars="193"/>
        <w:rPr>
          <w:rFonts w:ascii="Times New Roman" w:hAnsi="Times New Roman" w:eastAsia="宋体" w:cs="Times New Roman"/>
          <w:color w:val="auto"/>
          <w:szCs w:val="24"/>
          <w:highlight w:val="none"/>
          <w:lang w:val="zh-CN"/>
        </w:rPr>
      </w:pPr>
      <w:r>
        <w:rPr>
          <w:rFonts w:hint="eastAsia" w:ascii="仿宋_GB2312" w:hAnsi="仿宋" w:eastAsia="仿宋_GB2312" w:cs="仿宋_GB2312"/>
          <w:color w:val="auto"/>
          <w:kern w:val="0"/>
          <w:sz w:val="24"/>
          <w:szCs w:val="24"/>
          <w:highlight w:val="none"/>
        </w:rPr>
        <w:t>四、</w:t>
      </w:r>
      <w:r>
        <w:rPr>
          <w:rFonts w:hint="eastAsia" w:ascii="仿宋_GB2312" w:hAnsi="仿宋" w:eastAsia="仿宋_GB2312" w:cs="仿宋_GB2312"/>
          <w:color w:val="auto"/>
          <w:kern w:val="0"/>
          <w:sz w:val="24"/>
          <w:szCs w:val="24"/>
          <w:highlight w:val="none"/>
          <w:lang w:val="zh-CN"/>
        </w:rPr>
        <w:t>价款或者报酬</w:t>
      </w:r>
    </w:p>
    <w:p w14:paraId="26E82A0D">
      <w:pPr>
        <w:autoSpaceDN w:val="0"/>
        <w:snapToGrid w:val="0"/>
        <w:spacing w:line="360" w:lineRule="auto"/>
        <w:rPr>
          <w:rFonts w:ascii="Times New Roman" w:hAnsi="Times New Roman" w:eastAsia="宋体" w:cs="Times New Roman"/>
          <w:color w:val="auto"/>
          <w:szCs w:val="24"/>
          <w:highlight w:val="none"/>
          <w:lang w:val="zh-CN"/>
        </w:rPr>
      </w:pPr>
      <w:r>
        <w:rPr>
          <w:rFonts w:hint="eastAsia" w:ascii="仿宋" w:hAnsi="仿宋" w:eastAsia="仿宋" w:cs="Arial"/>
          <w:color w:val="auto"/>
          <w:sz w:val="24"/>
          <w:szCs w:val="24"/>
          <w:highlight w:val="none"/>
        </w:rPr>
        <w:t>____________________________________________________________________</w:t>
      </w:r>
    </w:p>
    <w:p w14:paraId="4B962DAD">
      <w:pPr>
        <w:autoSpaceDN w:val="0"/>
        <w:spacing w:line="360" w:lineRule="auto"/>
        <w:ind w:firstLine="463" w:firstLineChars="193"/>
        <w:rPr>
          <w:rFonts w:ascii="Times New Roman" w:hAnsi="Times New Roman" w:eastAsia="宋体" w:cs="Times New Roman"/>
          <w:color w:val="auto"/>
          <w:szCs w:val="24"/>
          <w:highlight w:val="none"/>
          <w:lang w:val="zh-CN"/>
        </w:rPr>
      </w:pPr>
      <w:r>
        <w:rPr>
          <w:rFonts w:hint="eastAsia" w:ascii="仿宋_GB2312" w:hAnsi="仿宋" w:eastAsia="仿宋_GB2312" w:cs="仿宋_GB2312"/>
          <w:color w:val="auto"/>
          <w:kern w:val="0"/>
          <w:sz w:val="24"/>
          <w:szCs w:val="24"/>
          <w:highlight w:val="none"/>
        </w:rPr>
        <w:t>五、</w:t>
      </w:r>
      <w:r>
        <w:rPr>
          <w:rFonts w:hint="eastAsia" w:ascii="仿宋_GB2312" w:hAnsi="仿宋" w:eastAsia="仿宋_GB2312" w:cs="仿宋_GB2312"/>
          <w:color w:val="auto"/>
          <w:kern w:val="0"/>
          <w:sz w:val="24"/>
          <w:szCs w:val="24"/>
          <w:highlight w:val="none"/>
          <w:lang w:val="zh-CN"/>
        </w:rPr>
        <w:t>违约责任</w:t>
      </w:r>
    </w:p>
    <w:p w14:paraId="795C7D9F">
      <w:pPr>
        <w:autoSpaceDN w:val="0"/>
        <w:snapToGrid w:val="0"/>
        <w:spacing w:line="360" w:lineRule="auto"/>
        <w:rPr>
          <w:rFonts w:ascii="Times New Roman" w:hAnsi="Times New Roman" w:eastAsia="宋体" w:cs="Times New Roman"/>
          <w:color w:val="auto"/>
          <w:szCs w:val="24"/>
          <w:highlight w:val="none"/>
          <w:lang w:val="zh-CN"/>
        </w:rPr>
      </w:pPr>
      <w:r>
        <w:rPr>
          <w:rFonts w:hint="eastAsia" w:ascii="仿宋" w:hAnsi="仿宋" w:eastAsia="仿宋" w:cs="Arial"/>
          <w:color w:val="auto"/>
          <w:sz w:val="24"/>
          <w:szCs w:val="24"/>
          <w:highlight w:val="none"/>
        </w:rPr>
        <w:t>_____________________________________________________________________</w:t>
      </w:r>
    </w:p>
    <w:p w14:paraId="4E704933">
      <w:pPr>
        <w:autoSpaceDN w:val="0"/>
        <w:spacing w:line="360" w:lineRule="auto"/>
        <w:ind w:firstLine="463" w:firstLineChars="193"/>
        <w:rPr>
          <w:rFonts w:ascii="仿宋_GB2312" w:hAnsi="仿宋" w:eastAsia="仿宋_GB2312" w:cs="仿宋_GB2312"/>
          <w:color w:val="auto"/>
          <w:kern w:val="0"/>
          <w:sz w:val="24"/>
          <w:szCs w:val="24"/>
          <w:highlight w:val="none"/>
          <w:lang w:val="zh-CN"/>
        </w:rPr>
      </w:pPr>
      <w:r>
        <w:rPr>
          <w:rFonts w:hint="eastAsia" w:ascii="仿宋_GB2312" w:hAnsi="仿宋" w:eastAsia="仿宋_GB2312" w:cs="仿宋_GB2312"/>
          <w:color w:val="auto"/>
          <w:kern w:val="0"/>
          <w:sz w:val="24"/>
          <w:szCs w:val="24"/>
          <w:highlight w:val="none"/>
        </w:rPr>
        <w:t>六、</w:t>
      </w:r>
      <w:r>
        <w:rPr>
          <w:rFonts w:hint="eastAsia" w:ascii="仿宋_GB2312" w:hAnsi="仿宋" w:eastAsia="仿宋_GB2312" w:cs="仿宋_GB2312"/>
          <w:color w:val="auto"/>
          <w:kern w:val="0"/>
          <w:sz w:val="24"/>
          <w:szCs w:val="24"/>
          <w:highlight w:val="none"/>
          <w:lang w:val="zh-CN"/>
        </w:rPr>
        <w:t>争议解决的办法</w:t>
      </w:r>
    </w:p>
    <w:p w14:paraId="49C3B69A">
      <w:pPr>
        <w:autoSpaceDN w:val="0"/>
        <w:snapToGrid w:val="0"/>
        <w:spacing w:line="360" w:lineRule="auto"/>
        <w:rPr>
          <w:rFonts w:ascii="仿宋_GB2312" w:hAnsi="仿宋" w:eastAsia="仿宋_GB2312" w:cs="仿宋_GB2312"/>
          <w:color w:val="auto"/>
          <w:kern w:val="0"/>
          <w:sz w:val="24"/>
          <w:szCs w:val="24"/>
          <w:highlight w:val="none"/>
          <w:lang w:val="zh-CN"/>
        </w:rPr>
      </w:pPr>
      <w:r>
        <w:rPr>
          <w:rFonts w:hint="eastAsia" w:ascii="仿宋" w:hAnsi="仿宋" w:eastAsia="仿宋" w:cs="Arial"/>
          <w:color w:val="auto"/>
          <w:sz w:val="24"/>
          <w:szCs w:val="24"/>
          <w:highlight w:val="none"/>
        </w:rPr>
        <w:t xml:space="preserve">____________________________________________________________________                                                                            </w:t>
      </w:r>
      <w:r>
        <w:rPr>
          <w:rFonts w:hint="eastAsia" w:ascii="仿宋_GB2312" w:hAnsi="仿宋" w:eastAsia="仿宋_GB2312" w:cs="Times New Roman"/>
          <w:color w:val="auto"/>
          <w:szCs w:val="24"/>
          <w:highlight w:val="none"/>
          <w:u w:val="single"/>
        </w:rPr>
        <w:t xml:space="preserve">  </w:t>
      </w:r>
    </w:p>
    <w:p w14:paraId="4F793B23">
      <w:pPr>
        <w:autoSpaceDN w:val="0"/>
        <w:spacing w:line="360" w:lineRule="auto"/>
        <w:ind w:firstLine="463" w:firstLineChars="193"/>
        <w:rPr>
          <w:rFonts w:ascii="仿宋_GB2312" w:hAnsi="仿宋" w:eastAsia="仿宋_GB2312" w:cs="仿宋_GB2312"/>
          <w:color w:val="auto"/>
          <w:kern w:val="0"/>
          <w:sz w:val="24"/>
          <w:szCs w:val="24"/>
          <w:highlight w:val="none"/>
          <w:lang w:val="zh-CN"/>
        </w:rPr>
      </w:pPr>
      <w:r>
        <w:rPr>
          <w:rFonts w:hint="eastAsia" w:ascii="仿宋_GB2312" w:hAnsi="仿宋" w:eastAsia="仿宋_GB2312" w:cs="仿宋_GB2312"/>
          <w:color w:val="auto"/>
          <w:kern w:val="0"/>
          <w:sz w:val="24"/>
          <w:szCs w:val="24"/>
          <w:highlight w:val="none"/>
        </w:rPr>
        <w:t>七、</w:t>
      </w:r>
      <w:r>
        <w:rPr>
          <w:rFonts w:hint="eastAsia" w:ascii="仿宋_GB2312" w:hAnsi="仿宋" w:eastAsia="仿宋_GB2312" w:cs="仿宋_GB2312"/>
          <w:color w:val="auto"/>
          <w:kern w:val="0"/>
          <w:sz w:val="24"/>
          <w:szCs w:val="24"/>
          <w:highlight w:val="none"/>
          <w:lang w:val="zh-CN"/>
        </w:rPr>
        <w:t>其他</w:t>
      </w:r>
    </w:p>
    <w:p w14:paraId="46B33245">
      <w:pPr>
        <w:autoSpaceDN w:val="0"/>
        <w:snapToGrid w:val="0"/>
        <w:spacing w:line="360" w:lineRule="auto"/>
        <w:ind w:left="5760" w:hanging="5760" w:hangingChars="2400"/>
        <w:rPr>
          <w:rFonts w:ascii="仿宋_GB2312" w:hAnsi="仿宋" w:eastAsia="仿宋_GB2312" w:cs="仿宋_GB2312"/>
          <w:color w:val="auto"/>
          <w:kern w:val="0"/>
          <w:sz w:val="24"/>
          <w:szCs w:val="24"/>
          <w:highlight w:val="none"/>
          <w:lang w:val="zh-CN"/>
        </w:rPr>
      </w:pPr>
      <w:r>
        <w:rPr>
          <w:rFonts w:hint="eastAsia" w:ascii="仿宋" w:hAnsi="仿宋" w:eastAsia="仿宋" w:cs="Arial"/>
          <w:color w:val="auto"/>
          <w:sz w:val="24"/>
          <w:szCs w:val="24"/>
          <w:highlight w:val="none"/>
        </w:rPr>
        <w:t>____________________________________________________________________</w:t>
      </w:r>
      <w:r>
        <w:rPr>
          <w:rFonts w:hint="eastAsia" w:ascii="仿宋_GB2312" w:hAnsi="仿宋" w:eastAsia="仿宋_GB2312" w:cs="仿宋_GB2312"/>
          <w:color w:val="auto"/>
          <w:kern w:val="0"/>
          <w:sz w:val="24"/>
          <w:szCs w:val="24"/>
          <w:highlight w:val="none"/>
          <w:lang w:val="zh-CN"/>
        </w:rPr>
        <w:t xml:space="preserve">                        </w:t>
      </w:r>
      <w:r>
        <w:rPr>
          <w:rFonts w:hint="eastAsia" w:ascii="仿宋_GB2312" w:hAnsi="仿宋" w:eastAsia="仿宋_GB2312" w:cs="仿宋_GB2312"/>
          <w:color w:val="auto"/>
          <w:kern w:val="0"/>
          <w:sz w:val="24"/>
          <w:szCs w:val="24"/>
          <w:highlight w:val="none"/>
        </w:rPr>
        <w:t>磋商响应供应商</w:t>
      </w:r>
      <w:r>
        <w:rPr>
          <w:rFonts w:hint="eastAsia" w:ascii="仿宋_GB2312" w:hAnsi="仿宋" w:eastAsia="仿宋_GB2312" w:cs="仿宋_GB2312"/>
          <w:color w:val="auto"/>
          <w:kern w:val="0"/>
          <w:sz w:val="24"/>
          <w:szCs w:val="24"/>
          <w:highlight w:val="none"/>
          <w:lang w:val="zh-CN"/>
        </w:rPr>
        <w:t>(</w:t>
      </w:r>
      <w:r>
        <w:rPr>
          <w:rFonts w:hint="eastAsia" w:ascii="仿宋_GB2312" w:hAnsi="仿宋" w:eastAsia="仿宋_GB2312" w:cs="仿宋_GB2312"/>
          <w:color w:val="auto"/>
          <w:kern w:val="0"/>
          <w:sz w:val="24"/>
          <w:szCs w:val="24"/>
          <w:highlight w:val="none"/>
        </w:rPr>
        <w:t>盖章</w:t>
      </w:r>
      <w:r>
        <w:rPr>
          <w:rFonts w:hint="eastAsia" w:ascii="仿宋_GB2312" w:hAnsi="仿宋" w:eastAsia="仿宋_GB2312" w:cs="仿宋_GB2312"/>
          <w:color w:val="auto"/>
          <w:kern w:val="0"/>
          <w:sz w:val="24"/>
          <w:szCs w:val="24"/>
          <w:highlight w:val="none"/>
          <w:lang w:val="zh-CN"/>
        </w:rPr>
        <w:t>)：</w:t>
      </w:r>
    </w:p>
    <w:p w14:paraId="0AD39863">
      <w:pPr>
        <w:autoSpaceDN w:val="0"/>
        <w:snapToGrid w:val="0"/>
        <w:spacing w:line="360" w:lineRule="auto"/>
        <w:ind w:firstLine="5640" w:firstLineChars="2350"/>
        <w:rPr>
          <w:rFonts w:ascii="仿宋_GB2312" w:hAnsi="仿宋" w:eastAsia="仿宋_GB2312" w:cs="仿宋_GB2312"/>
          <w:color w:val="auto"/>
          <w:kern w:val="0"/>
          <w:sz w:val="24"/>
          <w:szCs w:val="24"/>
          <w:highlight w:val="none"/>
          <w:lang w:val="zh-CN"/>
        </w:rPr>
      </w:pPr>
      <w:r>
        <w:rPr>
          <w:rFonts w:hint="eastAsia" w:ascii="仿宋_GB2312" w:hAnsi="仿宋" w:eastAsia="仿宋_GB2312" w:cs="仿宋_GB2312"/>
          <w:color w:val="auto"/>
          <w:kern w:val="0"/>
          <w:sz w:val="24"/>
          <w:szCs w:val="24"/>
          <w:highlight w:val="none"/>
          <w:lang w:val="zh-CN"/>
        </w:rPr>
        <w:t>分包供应商名称（</w:t>
      </w:r>
      <w:r>
        <w:rPr>
          <w:rFonts w:hint="eastAsia" w:ascii="仿宋_GB2312" w:hAnsi="仿宋" w:eastAsia="仿宋_GB2312" w:cs="仿宋_GB2312"/>
          <w:color w:val="auto"/>
          <w:kern w:val="0"/>
          <w:sz w:val="24"/>
          <w:szCs w:val="24"/>
          <w:highlight w:val="none"/>
        </w:rPr>
        <w:t>盖章</w:t>
      </w:r>
      <w:r>
        <w:rPr>
          <w:rFonts w:hint="eastAsia" w:ascii="仿宋_GB2312" w:hAnsi="仿宋" w:eastAsia="仿宋_GB2312" w:cs="仿宋_GB2312"/>
          <w:color w:val="auto"/>
          <w:kern w:val="0"/>
          <w:sz w:val="24"/>
          <w:szCs w:val="24"/>
          <w:highlight w:val="none"/>
          <w:lang w:val="zh-CN"/>
        </w:rPr>
        <w:t>）：</w:t>
      </w:r>
    </w:p>
    <w:p w14:paraId="5CBC734B">
      <w:pPr>
        <w:autoSpaceDN w:val="0"/>
        <w:spacing w:line="360" w:lineRule="auto"/>
        <w:jc w:val="center"/>
        <w:rPr>
          <w:rFonts w:ascii="仿宋_GB2312" w:hAnsi="仿宋" w:eastAsia="仿宋_GB2312" w:cs="仿宋_GB2312"/>
          <w:color w:val="auto"/>
          <w:kern w:val="0"/>
          <w:sz w:val="24"/>
          <w:szCs w:val="24"/>
          <w:highlight w:val="none"/>
          <w:lang w:val="zh-CN"/>
        </w:rPr>
      </w:pPr>
      <w:r>
        <w:rPr>
          <w:rFonts w:hint="eastAsia" w:ascii="仿宋_GB2312" w:hAnsi="仿宋" w:eastAsia="仿宋_GB2312" w:cs="仿宋_GB2312"/>
          <w:color w:val="auto"/>
          <w:kern w:val="0"/>
          <w:sz w:val="24"/>
          <w:szCs w:val="24"/>
          <w:highlight w:val="none"/>
          <w:lang w:val="zh-CN"/>
        </w:rPr>
        <w:t xml:space="preserve">                                        日期：  年  月   日</w:t>
      </w:r>
    </w:p>
    <w:p w14:paraId="71B3628A">
      <w:pPr>
        <w:autoSpaceDN w:val="0"/>
        <w:spacing w:line="360" w:lineRule="auto"/>
        <w:ind w:firstLine="463" w:firstLineChars="193"/>
        <w:rPr>
          <w:rFonts w:ascii="仿宋" w:hAnsi="仿宋" w:eastAsia="仿宋" w:cs="Arial"/>
          <w:color w:val="auto"/>
          <w:sz w:val="24"/>
          <w:szCs w:val="24"/>
          <w:highlight w:val="none"/>
        </w:rPr>
      </w:pPr>
    </w:p>
    <w:p w14:paraId="7E3C40B4">
      <w:pPr>
        <w:autoSpaceDN w:val="0"/>
        <w:spacing w:line="200" w:lineRule="exact"/>
        <w:ind w:firstLine="301"/>
        <w:rPr>
          <w:rFonts w:ascii="宋体" w:hAnsi="Courier New" w:eastAsia="宋体" w:cs="Times New Roman"/>
          <w:color w:val="auto"/>
          <w:spacing w:val="-4"/>
          <w:kern w:val="0"/>
          <w:sz w:val="18"/>
          <w:szCs w:val="20"/>
          <w:highlight w:val="none"/>
        </w:rPr>
      </w:pPr>
    </w:p>
    <w:p w14:paraId="12C30786">
      <w:pPr>
        <w:autoSpaceDN w:val="0"/>
        <w:spacing w:line="200" w:lineRule="exact"/>
        <w:ind w:firstLine="301"/>
        <w:rPr>
          <w:rFonts w:ascii="宋体" w:hAnsi="Courier New" w:eastAsia="宋体" w:cs="Times New Roman"/>
          <w:color w:val="auto"/>
          <w:spacing w:val="-4"/>
          <w:kern w:val="0"/>
          <w:sz w:val="18"/>
          <w:szCs w:val="20"/>
          <w:highlight w:val="none"/>
        </w:rPr>
      </w:pPr>
    </w:p>
    <w:p w14:paraId="19F63058">
      <w:pPr>
        <w:autoSpaceDN w:val="0"/>
        <w:spacing w:line="200" w:lineRule="exact"/>
        <w:ind w:firstLine="301"/>
        <w:rPr>
          <w:rFonts w:ascii="宋体" w:hAnsi="Courier New" w:eastAsia="宋体" w:cs="Times New Roman"/>
          <w:color w:val="auto"/>
          <w:spacing w:val="-4"/>
          <w:kern w:val="0"/>
          <w:sz w:val="18"/>
          <w:szCs w:val="20"/>
          <w:highlight w:val="none"/>
        </w:rPr>
      </w:pPr>
    </w:p>
    <w:p w14:paraId="609FEDA7">
      <w:pPr>
        <w:rPr>
          <w:rFonts w:ascii="仿宋" w:hAnsi="仿宋" w:eastAsia="仿宋" w:cs="Times New Roman"/>
          <w:b/>
          <w:bCs/>
          <w:color w:val="auto"/>
          <w:sz w:val="32"/>
          <w:szCs w:val="32"/>
          <w:highlight w:val="none"/>
        </w:rPr>
      </w:pPr>
      <w:bookmarkStart w:id="106" w:name="_Toc96947080"/>
      <w:r>
        <w:rPr>
          <w:rFonts w:hint="eastAsia" w:ascii="仿宋" w:hAnsi="仿宋" w:eastAsia="仿宋" w:cs="Times New Roman"/>
          <w:b/>
          <w:bCs/>
          <w:color w:val="auto"/>
          <w:sz w:val="32"/>
          <w:szCs w:val="32"/>
          <w:highlight w:val="none"/>
        </w:rPr>
        <w:br w:type="page"/>
      </w:r>
    </w:p>
    <w:p w14:paraId="04E1649A">
      <w:pPr>
        <w:keepNext/>
        <w:keepLines/>
        <w:autoSpaceDN w:val="0"/>
        <w:spacing w:before="260" w:after="260" w:line="415" w:lineRule="auto"/>
        <w:outlineLvl w:val="1"/>
        <w:rPr>
          <w:rFonts w:ascii="仿宋" w:hAnsi="仿宋" w:eastAsia="仿宋" w:cs="Times New Roman"/>
          <w:b/>
          <w:bCs/>
          <w:color w:val="auto"/>
          <w:sz w:val="32"/>
          <w:szCs w:val="32"/>
          <w:highlight w:val="none"/>
        </w:rPr>
      </w:pPr>
      <w:bookmarkStart w:id="107" w:name="_Toc16209"/>
      <w:r>
        <w:rPr>
          <w:rFonts w:hint="eastAsia" w:ascii="仿宋" w:hAnsi="仿宋" w:eastAsia="仿宋" w:cs="Times New Roman"/>
          <w:b/>
          <w:bCs/>
          <w:color w:val="auto"/>
          <w:sz w:val="32"/>
          <w:szCs w:val="32"/>
          <w:highlight w:val="none"/>
        </w:rPr>
        <w:t>二、商务技术文件部分格式</w:t>
      </w:r>
      <w:bookmarkEnd w:id="106"/>
      <w:bookmarkEnd w:id="107"/>
    </w:p>
    <w:p w14:paraId="51FFAA6C">
      <w:pPr>
        <w:tabs>
          <w:tab w:val="left" w:pos="2580"/>
          <w:tab w:val="left" w:pos="5940"/>
        </w:tabs>
        <w:autoSpaceDE w:val="0"/>
        <w:autoSpaceDN w:val="0"/>
        <w:adjustRightInd w:val="0"/>
        <w:spacing w:line="360" w:lineRule="auto"/>
        <w:ind w:right="-20"/>
        <w:rPr>
          <w:rFonts w:ascii="仿宋" w:hAnsi="仿宋" w:eastAsia="仿宋" w:cs="Times New Roman"/>
          <w:color w:val="auto"/>
          <w:kern w:val="0"/>
          <w:sz w:val="28"/>
          <w:szCs w:val="24"/>
          <w:highlight w:val="none"/>
        </w:rPr>
      </w:pPr>
    </w:p>
    <w:p w14:paraId="5CCDBFB2">
      <w:pPr>
        <w:tabs>
          <w:tab w:val="left" w:pos="2580"/>
          <w:tab w:val="left" w:pos="5940"/>
        </w:tabs>
        <w:autoSpaceDE w:val="0"/>
        <w:autoSpaceDN w:val="0"/>
        <w:adjustRightInd w:val="0"/>
        <w:snapToGrid w:val="0"/>
        <w:spacing w:line="360" w:lineRule="auto"/>
        <w:rPr>
          <w:rFonts w:ascii="仿宋" w:hAnsi="仿宋" w:eastAsia="仿宋" w:cs="Times New Roman"/>
          <w:color w:val="auto"/>
          <w:kern w:val="0"/>
          <w:sz w:val="28"/>
          <w:szCs w:val="24"/>
          <w:highlight w:val="none"/>
        </w:rPr>
      </w:pPr>
    </w:p>
    <w:p w14:paraId="0F9B63F3">
      <w:pPr>
        <w:tabs>
          <w:tab w:val="left" w:pos="2580"/>
          <w:tab w:val="left" w:pos="5940"/>
        </w:tabs>
        <w:autoSpaceDE w:val="0"/>
        <w:autoSpaceDN w:val="0"/>
        <w:adjustRightInd w:val="0"/>
        <w:snapToGrid w:val="0"/>
        <w:spacing w:line="360" w:lineRule="auto"/>
        <w:ind w:left="945" w:leftChars="450"/>
        <w:rPr>
          <w:rFonts w:ascii="仿宋" w:hAnsi="仿宋" w:eastAsia="仿宋" w:cs="Times New Roman"/>
          <w:color w:val="auto"/>
          <w:kern w:val="0"/>
          <w:sz w:val="28"/>
          <w:szCs w:val="24"/>
          <w:highlight w:val="none"/>
          <w:u w:val="single"/>
        </w:rPr>
      </w:pPr>
      <w:r>
        <w:rPr>
          <w:rFonts w:hint="eastAsia" w:ascii="仿宋" w:hAnsi="仿宋" w:eastAsia="仿宋" w:cs="Times New Roman"/>
          <w:color w:val="auto"/>
          <w:kern w:val="0"/>
          <w:sz w:val="28"/>
          <w:szCs w:val="24"/>
          <w:highlight w:val="none"/>
        </w:rPr>
        <w:t xml:space="preserve">项目名称： </w:t>
      </w:r>
    </w:p>
    <w:p w14:paraId="3F2E315D">
      <w:pPr>
        <w:tabs>
          <w:tab w:val="left" w:pos="2580"/>
          <w:tab w:val="left" w:pos="5940"/>
        </w:tabs>
        <w:autoSpaceDE w:val="0"/>
        <w:autoSpaceDN w:val="0"/>
        <w:adjustRightInd w:val="0"/>
        <w:snapToGrid w:val="0"/>
        <w:spacing w:line="360" w:lineRule="auto"/>
        <w:ind w:right="-20" w:firstLine="980" w:firstLineChars="350"/>
        <w:rPr>
          <w:rFonts w:ascii="仿宋" w:hAnsi="仿宋" w:eastAsia="仿宋" w:cs="Times New Roman"/>
          <w:color w:val="auto"/>
          <w:kern w:val="0"/>
          <w:sz w:val="28"/>
          <w:szCs w:val="24"/>
          <w:highlight w:val="none"/>
        </w:rPr>
      </w:pPr>
    </w:p>
    <w:p w14:paraId="55C84B5C">
      <w:pPr>
        <w:tabs>
          <w:tab w:val="left" w:pos="2580"/>
          <w:tab w:val="left" w:pos="5940"/>
        </w:tabs>
        <w:autoSpaceDE w:val="0"/>
        <w:autoSpaceDN w:val="0"/>
        <w:adjustRightInd w:val="0"/>
        <w:snapToGrid w:val="0"/>
        <w:spacing w:line="360" w:lineRule="auto"/>
        <w:ind w:right="-20" w:firstLine="980" w:firstLineChars="350"/>
        <w:rPr>
          <w:rFonts w:ascii="仿宋" w:hAnsi="仿宋" w:eastAsia="仿宋" w:cs="Times New Roman"/>
          <w:b/>
          <w:bCs/>
          <w:color w:val="auto"/>
          <w:kern w:val="0"/>
          <w:sz w:val="32"/>
          <w:szCs w:val="32"/>
          <w:highlight w:val="none"/>
          <w:u w:val="single"/>
        </w:rPr>
      </w:pPr>
      <w:r>
        <w:rPr>
          <w:rFonts w:hint="eastAsia" w:ascii="仿宋" w:hAnsi="仿宋" w:eastAsia="仿宋" w:cs="Times New Roman"/>
          <w:color w:val="auto"/>
          <w:kern w:val="0"/>
          <w:sz w:val="28"/>
          <w:szCs w:val="24"/>
          <w:highlight w:val="none"/>
        </w:rPr>
        <w:t xml:space="preserve">项目编号： </w:t>
      </w:r>
    </w:p>
    <w:p w14:paraId="1A3785FC">
      <w:pPr>
        <w:autoSpaceDE w:val="0"/>
        <w:autoSpaceDN w:val="0"/>
        <w:adjustRightInd w:val="0"/>
        <w:snapToGrid w:val="0"/>
        <w:spacing w:line="360" w:lineRule="auto"/>
        <w:jc w:val="left"/>
        <w:rPr>
          <w:rFonts w:ascii="仿宋" w:hAnsi="仿宋" w:eastAsia="仿宋" w:cs="Times New Roman"/>
          <w:color w:val="auto"/>
          <w:kern w:val="0"/>
          <w:sz w:val="24"/>
          <w:szCs w:val="24"/>
          <w:highlight w:val="none"/>
        </w:rPr>
      </w:pPr>
    </w:p>
    <w:p w14:paraId="0C5D066B">
      <w:pPr>
        <w:autoSpaceDE w:val="0"/>
        <w:autoSpaceDN w:val="0"/>
        <w:adjustRightInd w:val="0"/>
        <w:snapToGrid w:val="0"/>
        <w:spacing w:line="360" w:lineRule="auto"/>
        <w:jc w:val="left"/>
        <w:rPr>
          <w:rFonts w:ascii="仿宋" w:hAnsi="仿宋" w:eastAsia="仿宋" w:cs="Times New Roman"/>
          <w:color w:val="auto"/>
          <w:kern w:val="0"/>
          <w:sz w:val="24"/>
          <w:szCs w:val="24"/>
          <w:highlight w:val="none"/>
        </w:rPr>
      </w:pPr>
    </w:p>
    <w:p w14:paraId="0EA80D86">
      <w:pPr>
        <w:tabs>
          <w:tab w:val="left" w:pos="1805"/>
          <w:tab w:val="left" w:pos="5360"/>
        </w:tabs>
        <w:autoSpaceDE w:val="0"/>
        <w:autoSpaceDN w:val="0"/>
        <w:adjustRightInd w:val="0"/>
        <w:snapToGrid w:val="0"/>
        <w:spacing w:line="360" w:lineRule="auto"/>
        <w:ind w:right="-20"/>
        <w:jc w:val="center"/>
        <w:rPr>
          <w:rFonts w:ascii="仿宋" w:hAnsi="仿宋" w:eastAsia="仿宋" w:cs="Times New Roman"/>
          <w:color w:val="auto"/>
          <w:kern w:val="0"/>
          <w:sz w:val="72"/>
          <w:szCs w:val="24"/>
          <w:highlight w:val="none"/>
        </w:rPr>
      </w:pPr>
      <w:r>
        <w:rPr>
          <w:rFonts w:hint="eastAsia" w:ascii="仿宋" w:hAnsi="仿宋" w:eastAsia="仿宋" w:cs="Times New Roman"/>
          <w:color w:val="auto"/>
          <w:kern w:val="0"/>
          <w:sz w:val="72"/>
          <w:szCs w:val="24"/>
          <w:highlight w:val="none"/>
        </w:rPr>
        <w:t>响应文件</w:t>
      </w:r>
    </w:p>
    <w:p w14:paraId="6676645D">
      <w:pPr>
        <w:tabs>
          <w:tab w:val="left" w:pos="1805"/>
          <w:tab w:val="left" w:pos="5360"/>
        </w:tabs>
        <w:autoSpaceDE w:val="0"/>
        <w:autoSpaceDN w:val="0"/>
        <w:adjustRightInd w:val="0"/>
        <w:snapToGrid w:val="0"/>
        <w:spacing w:line="360" w:lineRule="auto"/>
        <w:ind w:right="-20"/>
        <w:jc w:val="center"/>
        <w:rPr>
          <w:rFonts w:ascii="仿宋" w:hAnsi="仿宋" w:eastAsia="仿宋" w:cs="Times New Roman"/>
          <w:color w:val="auto"/>
          <w:kern w:val="0"/>
          <w:sz w:val="16"/>
          <w:szCs w:val="24"/>
          <w:highlight w:val="none"/>
        </w:rPr>
      </w:pPr>
      <w:r>
        <w:rPr>
          <w:rFonts w:hint="eastAsia" w:ascii="仿宋" w:hAnsi="仿宋" w:eastAsia="仿宋" w:cs="Times New Roman"/>
          <w:color w:val="auto"/>
          <w:kern w:val="0"/>
          <w:sz w:val="72"/>
          <w:szCs w:val="24"/>
          <w:highlight w:val="none"/>
        </w:rPr>
        <w:t>（商务技术文件）</w:t>
      </w:r>
    </w:p>
    <w:p w14:paraId="3656CBE7">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44AF02D0">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07F47A00">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3BE054FA">
      <w:pPr>
        <w:autoSpaceDE w:val="0"/>
        <w:autoSpaceDN w:val="0"/>
        <w:adjustRightInd w:val="0"/>
        <w:spacing w:line="360" w:lineRule="auto"/>
        <w:ind w:firstLine="840" w:firstLineChars="300"/>
        <w:jc w:val="left"/>
        <w:rPr>
          <w:rFonts w:ascii="仿宋" w:hAnsi="仿宋" w:eastAsia="仿宋" w:cs="..ì."/>
          <w:color w:val="auto"/>
          <w:kern w:val="0"/>
          <w:sz w:val="28"/>
          <w:szCs w:val="24"/>
          <w:highlight w:val="none"/>
        </w:rPr>
      </w:pPr>
      <w:r>
        <w:rPr>
          <w:rFonts w:hint="eastAsia" w:ascii="仿宋" w:hAnsi="仿宋" w:eastAsia="仿宋" w:cs="..ì."/>
          <w:color w:val="auto"/>
          <w:sz w:val="28"/>
          <w:szCs w:val="24"/>
          <w:highlight w:val="none"/>
        </w:rPr>
        <w:t>磋商响应供应商（盖章）：</w:t>
      </w:r>
    </w:p>
    <w:p w14:paraId="6B164B64">
      <w:pPr>
        <w:autoSpaceDE w:val="0"/>
        <w:autoSpaceDN w:val="0"/>
        <w:adjustRightInd w:val="0"/>
        <w:spacing w:line="360" w:lineRule="auto"/>
        <w:ind w:firstLine="840" w:firstLineChars="300"/>
        <w:jc w:val="left"/>
        <w:rPr>
          <w:rFonts w:ascii="仿宋" w:hAnsi="仿宋" w:eastAsia="仿宋" w:cs="..ì."/>
          <w:color w:val="auto"/>
          <w:sz w:val="28"/>
          <w:szCs w:val="24"/>
          <w:highlight w:val="none"/>
        </w:rPr>
      </w:pPr>
      <w:r>
        <w:rPr>
          <w:rFonts w:hint="eastAsia" w:ascii="仿宋" w:hAnsi="仿宋" w:eastAsia="仿宋" w:cs="..ì."/>
          <w:color w:val="auto"/>
          <w:sz w:val="28"/>
          <w:szCs w:val="24"/>
          <w:highlight w:val="none"/>
        </w:rPr>
        <w:t>磋商响应供应商地址：</w:t>
      </w:r>
    </w:p>
    <w:p w14:paraId="1D36D289">
      <w:pPr>
        <w:autoSpaceDE w:val="0"/>
        <w:autoSpaceDN w:val="0"/>
        <w:adjustRightInd w:val="0"/>
        <w:spacing w:line="360" w:lineRule="auto"/>
        <w:ind w:firstLine="840" w:firstLineChars="300"/>
        <w:jc w:val="left"/>
        <w:rPr>
          <w:rFonts w:ascii="仿宋" w:hAnsi="仿宋" w:eastAsia="仿宋" w:cs="..ì."/>
          <w:color w:val="auto"/>
          <w:sz w:val="28"/>
          <w:szCs w:val="24"/>
          <w:highlight w:val="none"/>
          <w:u w:val="single"/>
        </w:rPr>
      </w:pPr>
      <w:r>
        <w:rPr>
          <w:rFonts w:hint="eastAsia" w:ascii="仿宋" w:hAnsi="仿宋" w:eastAsia="仿宋" w:cs="..ì."/>
          <w:color w:val="auto"/>
          <w:sz w:val="28"/>
          <w:szCs w:val="24"/>
          <w:highlight w:val="none"/>
        </w:rPr>
        <w:t>磋商响应供应商联系电话：</w:t>
      </w:r>
    </w:p>
    <w:p w14:paraId="1AAAD6B1">
      <w:pPr>
        <w:tabs>
          <w:tab w:val="left" w:pos="6080"/>
          <w:tab w:val="left" w:pos="6640"/>
        </w:tabs>
        <w:autoSpaceDE w:val="0"/>
        <w:autoSpaceDN w:val="0"/>
        <w:adjustRightInd w:val="0"/>
        <w:snapToGrid w:val="0"/>
        <w:spacing w:line="360" w:lineRule="auto"/>
        <w:ind w:left="774" w:right="403"/>
        <w:jc w:val="left"/>
        <w:rPr>
          <w:rFonts w:ascii="仿宋" w:hAnsi="仿宋" w:eastAsia="仿宋" w:cs="Times New Roman"/>
          <w:color w:val="auto"/>
          <w:kern w:val="0"/>
          <w:sz w:val="28"/>
          <w:szCs w:val="24"/>
          <w:highlight w:val="none"/>
        </w:rPr>
      </w:pPr>
    </w:p>
    <w:p w14:paraId="0AA575D7">
      <w:pPr>
        <w:tabs>
          <w:tab w:val="left" w:pos="3280"/>
          <w:tab w:val="left" w:pos="4680"/>
          <w:tab w:val="left" w:pos="6080"/>
        </w:tabs>
        <w:autoSpaceDE w:val="0"/>
        <w:autoSpaceDN w:val="0"/>
        <w:adjustRightInd w:val="0"/>
        <w:snapToGrid w:val="0"/>
        <w:spacing w:line="360" w:lineRule="auto"/>
        <w:ind w:right="-20"/>
        <w:jc w:val="center"/>
        <w:rPr>
          <w:rFonts w:ascii="仿宋" w:hAnsi="仿宋" w:eastAsia="仿宋" w:cs="Times New Roman"/>
          <w:color w:val="auto"/>
          <w:kern w:val="0"/>
          <w:sz w:val="28"/>
          <w:szCs w:val="24"/>
          <w:highlight w:val="none"/>
        </w:rPr>
      </w:pPr>
      <w:r>
        <w:rPr>
          <w:rFonts w:hint="eastAsia" w:ascii="仿宋" w:hAnsi="仿宋" w:eastAsia="仿宋" w:cs="Times New Roman"/>
          <w:color w:val="auto"/>
          <w:kern w:val="0"/>
          <w:sz w:val="28"/>
          <w:szCs w:val="24"/>
          <w:highlight w:val="none"/>
        </w:rPr>
        <w:t>年 月 日</w:t>
      </w:r>
    </w:p>
    <w:p w14:paraId="0B1C3155">
      <w:pPr>
        <w:autoSpaceDN w:val="0"/>
        <w:spacing w:line="360" w:lineRule="auto"/>
        <w:rPr>
          <w:rFonts w:ascii="仿宋" w:hAnsi="仿宋" w:eastAsia="仿宋" w:cs="Times New Roman"/>
          <w:color w:val="auto"/>
          <w:szCs w:val="24"/>
          <w:highlight w:val="none"/>
        </w:rPr>
      </w:pPr>
      <w:r>
        <w:rPr>
          <w:rFonts w:hint="eastAsia" w:ascii="仿宋" w:hAnsi="仿宋" w:eastAsia="仿宋" w:cs="Times New Roman"/>
          <w:color w:val="auto"/>
          <w:szCs w:val="24"/>
          <w:highlight w:val="none"/>
        </w:rPr>
        <w:br w:type="page"/>
      </w:r>
    </w:p>
    <w:p w14:paraId="2C7EB8BB">
      <w:pPr>
        <w:keepNext/>
        <w:keepLines/>
        <w:autoSpaceDN w:val="0"/>
        <w:spacing w:before="120" w:beforeLines="50" w:after="120" w:afterLines="50" w:line="360" w:lineRule="auto"/>
        <w:ind w:firstLine="281" w:firstLineChars="100"/>
        <w:jc w:val="left"/>
        <w:outlineLvl w:val="2"/>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2-1 ▲关于投标文件所有内容真实有效的承诺函</w:t>
      </w:r>
    </w:p>
    <w:p w14:paraId="0A3DF690">
      <w:pPr>
        <w:autoSpaceDN w:val="0"/>
        <w:spacing w:line="360" w:lineRule="auto"/>
        <w:jc w:val="center"/>
        <w:rPr>
          <w:rFonts w:ascii="华文中宋" w:hAnsi="华文中宋" w:eastAsia="华文中宋" w:cs="Arial"/>
          <w:b/>
          <w:color w:val="auto"/>
          <w:kern w:val="0"/>
          <w:sz w:val="36"/>
          <w:szCs w:val="32"/>
          <w:highlight w:val="none"/>
        </w:rPr>
      </w:pPr>
    </w:p>
    <w:p w14:paraId="356357EC">
      <w:pPr>
        <w:autoSpaceDN w:val="0"/>
        <w:spacing w:line="360" w:lineRule="auto"/>
        <w:jc w:val="center"/>
        <w:rPr>
          <w:rFonts w:ascii="微软雅黑" w:hAnsi="微软雅黑" w:eastAsia="微软雅黑" w:cs="Times New Roman"/>
          <w:b/>
          <w:color w:val="auto"/>
          <w:sz w:val="32"/>
          <w:szCs w:val="32"/>
          <w:highlight w:val="none"/>
        </w:rPr>
      </w:pPr>
      <w:r>
        <w:rPr>
          <w:rFonts w:hint="eastAsia" w:ascii="仿宋" w:hAnsi="仿宋" w:eastAsia="仿宋" w:cs="Times New Roman"/>
          <w:b/>
          <w:color w:val="auto"/>
          <w:sz w:val="32"/>
          <w:szCs w:val="32"/>
          <w:highlight w:val="none"/>
        </w:rPr>
        <w:t>关于投标文件所有内容真实、有效的承诺函</w:t>
      </w:r>
    </w:p>
    <w:p w14:paraId="246288AF">
      <w:pPr>
        <w:autoSpaceDN w:val="0"/>
        <w:spacing w:line="360" w:lineRule="auto"/>
        <w:rPr>
          <w:rFonts w:ascii="Arial" w:hAnsi="新宋体" w:eastAsia="新宋体" w:cs="Arial"/>
          <w:b/>
          <w:color w:val="auto"/>
          <w:kern w:val="0"/>
          <w:sz w:val="28"/>
          <w:szCs w:val="28"/>
          <w:highlight w:val="none"/>
          <w:u w:val="single"/>
        </w:rPr>
      </w:pPr>
    </w:p>
    <w:p w14:paraId="31EF4324">
      <w:pPr>
        <w:autoSpaceDN w:val="0"/>
        <w:spacing w:line="360" w:lineRule="auto"/>
        <w:rPr>
          <w:rFonts w:ascii="仿宋" w:hAnsi="仿宋" w:eastAsia="仿宋" w:cs="Arial"/>
          <w:b/>
          <w:color w:val="auto"/>
          <w:kern w:val="0"/>
          <w:sz w:val="32"/>
          <w:szCs w:val="28"/>
          <w:highlight w:val="none"/>
          <w:u w:val="single"/>
        </w:rPr>
      </w:pPr>
      <w:bookmarkStart w:id="108" w:name="_Hlk96945497"/>
      <w:r>
        <w:rPr>
          <w:rFonts w:hint="eastAsia" w:ascii="仿宋" w:hAnsi="仿宋" w:eastAsia="仿宋" w:cs="Arial"/>
          <w:b/>
          <w:color w:val="auto"/>
          <w:w w:val="90"/>
          <w:kern w:val="0"/>
          <w:sz w:val="28"/>
          <w:highlight w:val="none"/>
          <w:u w:val="single"/>
        </w:rPr>
        <w:t>浙江工业大学、浙江豪圣建设项目管理有限公司</w:t>
      </w:r>
      <w:r>
        <w:rPr>
          <w:rFonts w:hint="eastAsia" w:ascii="仿宋" w:hAnsi="仿宋" w:eastAsia="仿宋" w:cs="Arial"/>
          <w:b/>
          <w:color w:val="auto"/>
          <w:w w:val="90"/>
          <w:kern w:val="0"/>
          <w:sz w:val="28"/>
          <w:highlight w:val="none"/>
        </w:rPr>
        <w:t>：</w:t>
      </w:r>
    </w:p>
    <w:bookmarkEnd w:id="108"/>
    <w:p w14:paraId="25816B6F">
      <w:pPr>
        <w:autoSpaceDN w:val="0"/>
        <w:spacing w:line="360" w:lineRule="auto"/>
        <w:rPr>
          <w:rFonts w:ascii="仿宋" w:hAnsi="仿宋" w:eastAsia="仿宋" w:cs="Arial"/>
          <w:color w:val="auto"/>
          <w:kern w:val="0"/>
          <w:sz w:val="32"/>
          <w:szCs w:val="28"/>
          <w:highlight w:val="none"/>
        </w:rPr>
      </w:pPr>
    </w:p>
    <w:p w14:paraId="08A7DC9E">
      <w:pPr>
        <w:autoSpaceDN w:val="0"/>
        <w:spacing w:line="360" w:lineRule="auto"/>
        <w:ind w:firstLine="560" w:firstLineChars="200"/>
        <w:rPr>
          <w:rFonts w:ascii="仿宋" w:hAnsi="仿宋" w:eastAsia="仿宋" w:cs="Arial"/>
          <w:color w:val="auto"/>
          <w:kern w:val="0"/>
          <w:sz w:val="28"/>
          <w:highlight w:val="none"/>
        </w:rPr>
      </w:pPr>
      <w:r>
        <w:rPr>
          <w:rFonts w:hint="eastAsia" w:ascii="仿宋" w:hAnsi="仿宋" w:eastAsia="仿宋" w:cs="Arial"/>
          <w:color w:val="auto"/>
          <w:kern w:val="0"/>
          <w:sz w:val="28"/>
          <w:highlight w:val="none"/>
        </w:rPr>
        <w:t>我</w:t>
      </w:r>
      <w:r>
        <w:rPr>
          <w:rFonts w:hint="eastAsia" w:ascii="仿宋" w:hAnsi="仿宋" w:eastAsia="仿宋" w:cs="Arial"/>
          <w:color w:val="auto"/>
          <w:kern w:val="0"/>
          <w:sz w:val="28"/>
          <w:szCs w:val="28"/>
          <w:highlight w:val="none"/>
        </w:rPr>
        <w:t>方</w:t>
      </w:r>
      <w:r>
        <w:rPr>
          <w:rFonts w:hint="eastAsia" w:ascii="仿宋" w:hAnsi="仿宋" w:eastAsia="仿宋" w:cs="Arial"/>
          <w:color w:val="auto"/>
          <w:kern w:val="0"/>
          <w:sz w:val="28"/>
          <w:highlight w:val="none"/>
        </w:rPr>
        <w:t>参加</w:t>
      </w:r>
      <w:r>
        <w:rPr>
          <w:rFonts w:hint="eastAsia" w:ascii="仿宋" w:hAnsi="仿宋" w:eastAsia="仿宋" w:cs="Arial"/>
          <w:b/>
          <w:color w:val="auto"/>
          <w:kern w:val="0"/>
          <w:sz w:val="28"/>
          <w:highlight w:val="none"/>
          <w:u w:val="single"/>
          <w:lang w:eastAsia="zh-CN"/>
        </w:rPr>
        <w:t>浙江工业大学2024年学生校区布局调整相关用房装修工程</w:t>
      </w:r>
      <w:r>
        <w:rPr>
          <w:rFonts w:hint="eastAsia" w:ascii="仿宋" w:hAnsi="仿宋" w:eastAsia="仿宋" w:cs="Arial"/>
          <w:b/>
          <w:color w:val="auto"/>
          <w:kern w:val="0"/>
          <w:sz w:val="28"/>
          <w:highlight w:val="none"/>
          <w:u w:val="single"/>
        </w:rPr>
        <w:t>（项目编号：</w:t>
      </w:r>
      <w:r>
        <w:rPr>
          <w:rFonts w:hint="eastAsia" w:ascii="仿宋" w:hAnsi="仿宋" w:eastAsia="仿宋" w:cs="Arial"/>
          <w:b/>
          <w:color w:val="auto"/>
          <w:kern w:val="0"/>
          <w:sz w:val="28"/>
          <w:highlight w:val="none"/>
          <w:u w:val="single"/>
          <w:lang w:eastAsia="zh-CN"/>
        </w:rPr>
        <w:t>HSZB-2024-598</w:t>
      </w:r>
      <w:r>
        <w:rPr>
          <w:rFonts w:hint="eastAsia" w:ascii="仿宋" w:hAnsi="仿宋" w:eastAsia="仿宋" w:cs="Arial"/>
          <w:b/>
          <w:color w:val="auto"/>
          <w:kern w:val="0"/>
          <w:sz w:val="28"/>
          <w:highlight w:val="none"/>
          <w:u w:val="single"/>
        </w:rPr>
        <w:t>）</w:t>
      </w:r>
      <w:r>
        <w:rPr>
          <w:rFonts w:hint="eastAsia" w:ascii="仿宋" w:hAnsi="仿宋" w:eastAsia="仿宋" w:cs="Arial"/>
          <w:color w:val="auto"/>
          <w:kern w:val="0"/>
          <w:sz w:val="28"/>
          <w:highlight w:val="none"/>
        </w:rPr>
        <w:t>的政府采购活动中所提交的投标文件（包括资格文件、商务技术文件、报价文件）所有内容真实、有效，不存在虚假响应、资料造假等行为。如有虚假，采购人可取消我方任何资格（投标/谈判/中标（成交）/签订合同），我方对此无任何异议，并愿意承担一切后果和责任。</w:t>
      </w:r>
    </w:p>
    <w:p w14:paraId="4F769BE4">
      <w:pPr>
        <w:autoSpaceDN w:val="0"/>
        <w:spacing w:line="360" w:lineRule="auto"/>
        <w:ind w:firstLine="560" w:firstLineChars="200"/>
        <w:rPr>
          <w:rFonts w:ascii="仿宋" w:hAnsi="仿宋" w:eastAsia="仿宋" w:cs="Arial"/>
          <w:color w:val="auto"/>
          <w:kern w:val="0"/>
          <w:sz w:val="28"/>
          <w:highlight w:val="none"/>
        </w:rPr>
      </w:pPr>
    </w:p>
    <w:p w14:paraId="27E91C87">
      <w:pPr>
        <w:autoSpaceDN w:val="0"/>
        <w:spacing w:line="360" w:lineRule="auto"/>
        <w:ind w:firstLine="560" w:firstLineChars="200"/>
        <w:rPr>
          <w:rFonts w:ascii="仿宋" w:hAnsi="仿宋" w:eastAsia="仿宋" w:cs="Arial"/>
          <w:color w:val="auto"/>
          <w:kern w:val="0"/>
          <w:sz w:val="22"/>
          <w:highlight w:val="none"/>
        </w:rPr>
      </w:pPr>
      <w:r>
        <w:rPr>
          <w:rFonts w:hint="eastAsia" w:ascii="仿宋" w:hAnsi="仿宋" w:eastAsia="仿宋" w:cs="Arial"/>
          <w:color w:val="auto"/>
          <w:kern w:val="0"/>
          <w:sz w:val="28"/>
          <w:highlight w:val="none"/>
        </w:rPr>
        <w:t>特此</w:t>
      </w:r>
      <w:r>
        <w:rPr>
          <w:rFonts w:hint="eastAsia" w:ascii="仿宋" w:hAnsi="仿宋" w:eastAsia="仿宋" w:cs="Arial"/>
          <w:color w:val="auto"/>
          <w:kern w:val="0"/>
          <w:sz w:val="28"/>
          <w:szCs w:val="28"/>
          <w:highlight w:val="none"/>
        </w:rPr>
        <w:t>承诺</w:t>
      </w:r>
      <w:r>
        <w:rPr>
          <w:rFonts w:hint="eastAsia" w:ascii="仿宋" w:hAnsi="仿宋" w:eastAsia="仿宋" w:cs="Arial"/>
          <w:color w:val="auto"/>
          <w:kern w:val="0"/>
          <w:sz w:val="28"/>
          <w:highlight w:val="none"/>
        </w:rPr>
        <w:t>！</w:t>
      </w:r>
    </w:p>
    <w:p w14:paraId="40D10993">
      <w:pPr>
        <w:autoSpaceDN w:val="0"/>
        <w:spacing w:line="360" w:lineRule="auto"/>
        <w:ind w:firstLine="420" w:firstLineChars="200"/>
        <w:rPr>
          <w:rFonts w:ascii="仿宋" w:hAnsi="仿宋" w:eastAsia="仿宋" w:cs="Arial"/>
          <w:color w:val="auto"/>
          <w:kern w:val="0"/>
          <w:highlight w:val="none"/>
        </w:rPr>
      </w:pPr>
    </w:p>
    <w:p w14:paraId="38707805">
      <w:pPr>
        <w:autoSpaceDN w:val="0"/>
        <w:snapToGrid w:val="0"/>
        <w:spacing w:line="360" w:lineRule="auto"/>
        <w:ind w:left="567" w:leftChars="270"/>
        <w:rPr>
          <w:rFonts w:ascii="仿宋" w:hAnsi="仿宋" w:eastAsia="仿宋" w:cs="Arial"/>
          <w:color w:val="auto"/>
          <w:w w:val="90"/>
          <w:kern w:val="0"/>
          <w:sz w:val="28"/>
          <w:szCs w:val="28"/>
          <w:highlight w:val="none"/>
        </w:rPr>
      </w:pPr>
      <w:r>
        <w:rPr>
          <w:rFonts w:hint="eastAsia" w:ascii="仿宋" w:hAnsi="仿宋" w:eastAsia="仿宋" w:cs="Arial"/>
          <w:color w:val="auto"/>
          <w:sz w:val="28"/>
          <w:szCs w:val="28"/>
          <w:highlight w:val="none"/>
        </w:rPr>
        <w:t>投标供应商名称（盖章）：</w:t>
      </w:r>
      <w:r>
        <w:rPr>
          <w:rFonts w:hint="eastAsia" w:ascii="仿宋" w:hAnsi="仿宋" w:eastAsia="仿宋" w:cs="Arial"/>
          <w:color w:val="auto"/>
          <w:w w:val="90"/>
          <w:kern w:val="0"/>
          <w:sz w:val="28"/>
          <w:szCs w:val="28"/>
          <w:highlight w:val="none"/>
        </w:rPr>
        <w:t>__________________________________</w:t>
      </w:r>
    </w:p>
    <w:p w14:paraId="50404F05">
      <w:pPr>
        <w:autoSpaceDN w:val="0"/>
        <w:snapToGrid w:val="0"/>
        <w:spacing w:line="360" w:lineRule="auto"/>
        <w:ind w:left="567" w:leftChars="270"/>
        <w:rPr>
          <w:rFonts w:ascii="仿宋" w:hAnsi="仿宋" w:eastAsia="仿宋" w:cs="Arial"/>
          <w:color w:val="auto"/>
          <w:sz w:val="28"/>
          <w:szCs w:val="28"/>
          <w:highlight w:val="none"/>
        </w:rPr>
      </w:pPr>
    </w:p>
    <w:p w14:paraId="59D5BDB2">
      <w:pPr>
        <w:autoSpaceDN w:val="0"/>
        <w:snapToGrid w:val="0"/>
        <w:spacing w:line="360" w:lineRule="auto"/>
        <w:ind w:left="567" w:leftChars="270"/>
        <w:rPr>
          <w:rFonts w:ascii="仿宋" w:hAnsi="仿宋" w:eastAsia="仿宋" w:cs="Arial"/>
          <w:color w:val="auto"/>
          <w:sz w:val="28"/>
          <w:szCs w:val="28"/>
          <w:highlight w:val="none"/>
        </w:rPr>
      </w:pPr>
      <w:r>
        <w:rPr>
          <w:rFonts w:hint="eastAsia" w:ascii="仿宋" w:hAnsi="仿宋" w:eastAsia="仿宋" w:cs="Arial"/>
          <w:color w:val="auto"/>
          <w:sz w:val="28"/>
          <w:szCs w:val="28"/>
          <w:highlight w:val="none"/>
        </w:rPr>
        <w:t>日期：________年____月____日</w:t>
      </w:r>
    </w:p>
    <w:p w14:paraId="7A48B0E8">
      <w:pPr>
        <w:autoSpaceDN w:val="0"/>
        <w:snapToGrid w:val="0"/>
        <w:spacing w:line="360" w:lineRule="auto"/>
        <w:ind w:left="567" w:leftChars="270"/>
        <w:rPr>
          <w:rFonts w:ascii="仿宋" w:hAnsi="仿宋" w:eastAsia="仿宋" w:cs="Times New Roman"/>
          <w:color w:val="auto"/>
          <w:szCs w:val="24"/>
          <w:highlight w:val="none"/>
        </w:rPr>
      </w:pPr>
    </w:p>
    <w:p w14:paraId="486DA405">
      <w:pPr>
        <w:autoSpaceDN w:val="0"/>
        <w:spacing w:line="200" w:lineRule="exact"/>
        <w:ind w:firstLine="301"/>
        <w:rPr>
          <w:rFonts w:ascii="宋体" w:hAnsi="Courier New" w:eastAsia="宋体" w:cs="Times New Roman"/>
          <w:color w:val="auto"/>
          <w:spacing w:val="-4"/>
          <w:kern w:val="0"/>
          <w:sz w:val="18"/>
          <w:szCs w:val="20"/>
          <w:highlight w:val="none"/>
        </w:rPr>
      </w:pPr>
    </w:p>
    <w:p w14:paraId="6E59B8D5">
      <w:pPr>
        <w:autoSpaceDN w:val="0"/>
        <w:spacing w:line="200" w:lineRule="exact"/>
        <w:ind w:firstLine="301"/>
        <w:rPr>
          <w:rFonts w:ascii="宋体" w:hAnsi="Courier New" w:eastAsia="宋体" w:cs="Times New Roman"/>
          <w:color w:val="auto"/>
          <w:spacing w:val="-4"/>
          <w:kern w:val="0"/>
          <w:sz w:val="18"/>
          <w:szCs w:val="20"/>
          <w:highlight w:val="none"/>
        </w:rPr>
      </w:pPr>
    </w:p>
    <w:p w14:paraId="3030E2A7">
      <w:pPr>
        <w:autoSpaceDN w:val="0"/>
        <w:spacing w:line="200" w:lineRule="exact"/>
        <w:ind w:firstLine="301"/>
        <w:rPr>
          <w:rFonts w:ascii="宋体" w:hAnsi="Courier New" w:eastAsia="宋体" w:cs="Times New Roman"/>
          <w:color w:val="auto"/>
          <w:spacing w:val="-4"/>
          <w:kern w:val="0"/>
          <w:sz w:val="18"/>
          <w:szCs w:val="20"/>
          <w:highlight w:val="none"/>
        </w:rPr>
      </w:pPr>
    </w:p>
    <w:p w14:paraId="2C0599DC">
      <w:pPr>
        <w:autoSpaceDN w:val="0"/>
        <w:spacing w:line="200" w:lineRule="exact"/>
        <w:ind w:firstLine="301"/>
        <w:rPr>
          <w:rFonts w:ascii="宋体" w:hAnsi="Courier New" w:eastAsia="宋体" w:cs="Times New Roman"/>
          <w:color w:val="auto"/>
          <w:spacing w:val="-4"/>
          <w:kern w:val="0"/>
          <w:sz w:val="18"/>
          <w:szCs w:val="20"/>
          <w:highlight w:val="none"/>
        </w:rPr>
      </w:pPr>
    </w:p>
    <w:p w14:paraId="12209F75">
      <w:pPr>
        <w:autoSpaceDN w:val="0"/>
        <w:spacing w:line="200" w:lineRule="exact"/>
        <w:ind w:firstLine="301"/>
        <w:rPr>
          <w:rFonts w:ascii="宋体" w:hAnsi="Courier New" w:eastAsia="宋体" w:cs="Times New Roman"/>
          <w:color w:val="auto"/>
          <w:spacing w:val="-4"/>
          <w:kern w:val="0"/>
          <w:sz w:val="18"/>
          <w:szCs w:val="20"/>
          <w:highlight w:val="none"/>
        </w:rPr>
      </w:pPr>
    </w:p>
    <w:p w14:paraId="3F50EBB6">
      <w:pPr>
        <w:autoSpaceDN w:val="0"/>
        <w:spacing w:line="200" w:lineRule="exact"/>
        <w:ind w:firstLine="301"/>
        <w:rPr>
          <w:rFonts w:ascii="宋体" w:hAnsi="Courier New" w:eastAsia="宋体" w:cs="Times New Roman"/>
          <w:color w:val="auto"/>
          <w:spacing w:val="-4"/>
          <w:kern w:val="0"/>
          <w:sz w:val="18"/>
          <w:szCs w:val="20"/>
          <w:highlight w:val="none"/>
        </w:rPr>
      </w:pPr>
    </w:p>
    <w:p w14:paraId="25411A80">
      <w:pPr>
        <w:autoSpaceDN w:val="0"/>
        <w:spacing w:line="200" w:lineRule="exact"/>
        <w:ind w:firstLine="301"/>
        <w:rPr>
          <w:rFonts w:ascii="宋体" w:hAnsi="Courier New" w:eastAsia="宋体" w:cs="Times New Roman"/>
          <w:color w:val="auto"/>
          <w:spacing w:val="-4"/>
          <w:kern w:val="0"/>
          <w:sz w:val="18"/>
          <w:szCs w:val="20"/>
          <w:highlight w:val="none"/>
        </w:rPr>
      </w:pPr>
    </w:p>
    <w:p w14:paraId="19668C83">
      <w:pPr>
        <w:autoSpaceDN w:val="0"/>
        <w:spacing w:line="200" w:lineRule="exact"/>
        <w:ind w:firstLine="301"/>
        <w:rPr>
          <w:rFonts w:ascii="宋体" w:hAnsi="Courier New" w:eastAsia="宋体" w:cs="Times New Roman"/>
          <w:color w:val="auto"/>
          <w:spacing w:val="-4"/>
          <w:kern w:val="0"/>
          <w:sz w:val="18"/>
          <w:szCs w:val="20"/>
          <w:highlight w:val="none"/>
        </w:rPr>
      </w:pPr>
    </w:p>
    <w:p w14:paraId="6CDECADB">
      <w:pPr>
        <w:autoSpaceDN w:val="0"/>
        <w:spacing w:line="200" w:lineRule="exact"/>
        <w:ind w:firstLine="301"/>
        <w:rPr>
          <w:rFonts w:ascii="宋体" w:hAnsi="Courier New" w:eastAsia="宋体" w:cs="Times New Roman"/>
          <w:color w:val="auto"/>
          <w:spacing w:val="-4"/>
          <w:kern w:val="0"/>
          <w:sz w:val="18"/>
          <w:szCs w:val="20"/>
          <w:highlight w:val="none"/>
        </w:rPr>
      </w:pPr>
    </w:p>
    <w:p w14:paraId="137038CD">
      <w:pPr>
        <w:autoSpaceDN w:val="0"/>
        <w:spacing w:line="200" w:lineRule="exact"/>
        <w:ind w:firstLine="301"/>
        <w:rPr>
          <w:rFonts w:ascii="宋体" w:hAnsi="Courier New" w:eastAsia="宋体" w:cs="Times New Roman"/>
          <w:color w:val="auto"/>
          <w:spacing w:val="-4"/>
          <w:kern w:val="0"/>
          <w:sz w:val="18"/>
          <w:szCs w:val="20"/>
          <w:highlight w:val="none"/>
        </w:rPr>
      </w:pPr>
    </w:p>
    <w:p w14:paraId="41FD8341">
      <w:pPr>
        <w:autoSpaceDN w:val="0"/>
        <w:spacing w:line="200" w:lineRule="exact"/>
        <w:ind w:firstLine="301"/>
        <w:rPr>
          <w:rFonts w:ascii="宋体" w:hAnsi="Courier New" w:eastAsia="宋体" w:cs="Times New Roman"/>
          <w:color w:val="auto"/>
          <w:spacing w:val="-4"/>
          <w:kern w:val="0"/>
          <w:sz w:val="18"/>
          <w:szCs w:val="20"/>
          <w:highlight w:val="none"/>
        </w:rPr>
      </w:pPr>
    </w:p>
    <w:p w14:paraId="5F12EDFC">
      <w:pPr>
        <w:autoSpaceDN w:val="0"/>
        <w:spacing w:line="200" w:lineRule="exact"/>
        <w:ind w:firstLine="301"/>
        <w:rPr>
          <w:rFonts w:ascii="宋体" w:hAnsi="Courier New" w:eastAsia="宋体" w:cs="Times New Roman"/>
          <w:color w:val="auto"/>
          <w:spacing w:val="-4"/>
          <w:kern w:val="0"/>
          <w:sz w:val="18"/>
          <w:szCs w:val="20"/>
          <w:highlight w:val="none"/>
        </w:rPr>
      </w:pPr>
    </w:p>
    <w:p w14:paraId="4704249A">
      <w:pPr>
        <w:autoSpaceDN w:val="0"/>
        <w:spacing w:line="200" w:lineRule="exact"/>
        <w:ind w:firstLine="301"/>
        <w:rPr>
          <w:rFonts w:ascii="宋体" w:hAnsi="Courier New" w:eastAsia="宋体" w:cs="Times New Roman"/>
          <w:color w:val="auto"/>
          <w:spacing w:val="-4"/>
          <w:kern w:val="0"/>
          <w:sz w:val="18"/>
          <w:szCs w:val="20"/>
          <w:highlight w:val="none"/>
        </w:rPr>
      </w:pPr>
    </w:p>
    <w:p w14:paraId="32302A40">
      <w:pPr>
        <w:autoSpaceDN w:val="0"/>
        <w:spacing w:line="200" w:lineRule="exact"/>
        <w:ind w:firstLine="301"/>
        <w:rPr>
          <w:rFonts w:ascii="宋体" w:hAnsi="Courier New" w:eastAsia="宋体" w:cs="Times New Roman"/>
          <w:color w:val="auto"/>
          <w:spacing w:val="-4"/>
          <w:kern w:val="0"/>
          <w:sz w:val="18"/>
          <w:szCs w:val="20"/>
          <w:highlight w:val="none"/>
        </w:rPr>
      </w:pPr>
    </w:p>
    <w:p w14:paraId="7DEC31C8">
      <w:pPr>
        <w:autoSpaceDN w:val="0"/>
        <w:spacing w:line="200" w:lineRule="exact"/>
        <w:ind w:firstLine="301"/>
        <w:rPr>
          <w:rFonts w:ascii="宋体" w:hAnsi="Courier New" w:eastAsia="宋体" w:cs="Times New Roman"/>
          <w:color w:val="auto"/>
          <w:spacing w:val="-4"/>
          <w:kern w:val="0"/>
          <w:sz w:val="18"/>
          <w:szCs w:val="20"/>
          <w:highlight w:val="none"/>
        </w:rPr>
      </w:pPr>
    </w:p>
    <w:p w14:paraId="462A43F9">
      <w:pPr>
        <w:keepNext/>
        <w:keepLines/>
        <w:autoSpaceDN w:val="0"/>
        <w:spacing w:before="260" w:after="260" w:line="415" w:lineRule="auto"/>
        <w:ind w:firstLine="280"/>
        <w:jc w:val="center"/>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 2-2.法定代表人资格证明书</w:t>
      </w:r>
    </w:p>
    <w:p w14:paraId="2DE05E38">
      <w:pPr>
        <w:autoSpaceDN w:val="0"/>
        <w:adjustRightInd w:val="0"/>
        <w:spacing w:before="120" w:beforeLines="50" w:after="120" w:afterLines="50" w:line="360" w:lineRule="auto"/>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u w:val="single"/>
        </w:rPr>
        <w:t>浙江工业大学、浙江豪圣建设项目管理有限公司</w:t>
      </w:r>
      <w:r>
        <w:rPr>
          <w:rFonts w:hint="eastAsia" w:ascii="仿宋" w:hAnsi="仿宋" w:eastAsia="仿宋" w:cs="Times New Roman"/>
          <w:color w:val="auto"/>
          <w:kern w:val="0"/>
          <w:sz w:val="24"/>
          <w:szCs w:val="24"/>
          <w:highlight w:val="none"/>
        </w:rPr>
        <w:t>：</w:t>
      </w:r>
    </w:p>
    <w:p w14:paraId="42034696">
      <w:pPr>
        <w:autoSpaceDN w:val="0"/>
        <w:adjustRightInd w:val="0"/>
        <w:spacing w:line="360" w:lineRule="auto"/>
        <w:ind w:firstLine="549" w:firstLineChars="237"/>
        <w:rPr>
          <w:rFonts w:ascii="仿宋" w:hAnsi="仿宋" w:eastAsia="仿宋" w:cs="Times New Roman"/>
          <w:snapToGrid w:val="0"/>
          <w:color w:val="auto"/>
          <w:spacing w:val="-4"/>
          <w:kern w:val="0"/>
          <w:sz w:val="24"/>
          <w:szCs w:val="24"/>
          <w:highlight w:val="none"/>
        </w:rPr>
      </w:pPr>
      <w:r>
        <w:rPr>
          <w:rFonts w:hint="eastAsia" w:ascii="仿宋" w:hAnsi="仿宋" w:eastAsia="仿宋" w:cs="Times New Roman"/>
          <w:snapToGrid w:val="0"/>
          <w:color w:val="auto"/>
          <w:spacing w:val="-4"/>
          <w:kern w:val="0"/>
          <w:sz w:val="24"/>
          <w:szCs w:val="24"/>
          <w:highlight w:val="none"/>
          <w:u w:val="single"/>
        </w:rPr>
        <w:t>（姓名）</w:t>
      </w:r>
      <w:r>
        <w:rPr>
          <w:rFonts w:hint="eastAsia" w:ascii="仿宋" w:hAnsi="仿宋" w:eastAsia="仿宋" w:cs="Times New Roman"/>
          <w:snapToGrid w:val="0"/>
          <w:color w:val="auto"/>
          <w:spacing w:val="-4"/>
          <w:kern w:val="0"/>
          <w:sz w:val="24"/>
          <w:szCs w:val="24"/>
          <w:highlight w:val="none"/>
        </w:rPr>
        <w:t>系</w:t>
      </w:r>
      <w:r>
        <w:rPr>
          <w:rFonts w:hint="eastAsia" w:ascii="仿宋" w:hAnsi="仿宋" w:eastAsia="仿宋" w:cs="Times New Roman"/>
          <w:snapToGrid w:val="0"/>
          <w:color w:val="auto"/>
          <w:spacing w:val="-4"/>
          <w:kern w:val="0"/>
          <w:sz w:val="24"/>
          <w:szCs w:val="24"/>
          <w:highlight w:val="none"/>
          <w:u w:val="single"/>
        </w:rPr>
        <w:t>（单位名称）</w:t>
      </w:r>
      <w:r>
        <w:rPr>
          <w:rFonts w:hint="eastAsia" w:ascii="仿宋" w:hAnsi="仿宋" w:eastAsia="仿宋" w:cs="Times New Roman"/>
          <w:snapToGrid w:val="0"/>
          <w:color w:val="auto"/>
          <w:spacing w:val="-4"/>
          <w:kern w:val="0"/>
          <w:sz w:val="24"/>
          <w:szCs w:val="24"/>
          <w:highlight w:val="none"/>
        </w:rPr>
        <w:t>的法定代表人，</w:t>
      </w:r>
      <w:r>
        <w:rPr>
          <w:rFonts w:hint="eastAsia" w:ascii="仿宋" w:hAnsi="仿宋" w:eastAsia="仿宋" w:cs="Times New Roman"/>
          <w:snapToGrid w:val="0"/>
          <w:color w:val="auto"/>
          <w:spacing w:val="-4"/>
          <w:kern w:val="0"/>
          <w:sz w:val="24"/>
          <w:szCs w:val="24"/>
          <w:highlight w:val="none"/>
          <w:u w:val="single"/>
        </w:rPr>
        <w:t>（身份证号）</w:t>
      </w:r>
      <w:r>
        <w:rPr>
          <w:rFonts w:hint="eastAsia" w:ascii="仿宋" w:hAnsi="仿宋" w:eastAsia="仿宋" w:cs="Times New Roman"/>
          <w:snapToGrid w:val="0"/>
          <w:color w:val="auto"/>
          <w:spacing w:val="-4"/>
          <w:kern w:val="0"/>
          <w:sz w:val="24"/>
          <w:szCs w:val="24"/>
          <w:highlight w:val="none"/>
        </w:rPr>
        <w:t>。</w:t>
      </w:r>
    </w:p>
    <w:p w14:paraId="657A5A35">
      <w:pPr>
        <w:autoSpaceDN w:val="0"/>
        <w:adjustRightInd w:val="0"/>
        <w:spacing w:line="360" w:lineRule="auto"/>
        <w:ind w:firstLine="464" w:firstLineChars="200"/>
        <w:rPr>
          <w:rFonts w:ascii="仿宋" w:hAnsi="仿宋" w:eastAsia="仿宋" w:cs="Times New Roman"/>
          <w:snapToGrid w:val="0"/>
          <w:color w:val="auto"/>
          <w:spacing w:val="-4"/>
          <w:kern w:val="0"/>
          <w:sz w:val="24"/>
          <w:szCs w:val="24"/>
          <w:highlight w:val="none"/>
        </w:rPr>
      </w:pPr>
      <w:r>
        <w:rPr>
          <w:rFonts w:hint="eastAsia" w:ascii="仿宋" w:hAnsi="仿宋" w:eastAsia="仿宋" w:cs="Times New Roman"/>
          <w:snapToGrid w:val="0"/>
          <w:color w:val="auto"/>
          <w:spacing w:val="-4"/>
          <w:kern w:val="0"/>
          <w:sz w:val="24"/>
          <w:szCs w:val="24"/>
          <w:highlight w:val="none"/>
        </w:rPr>
        <w:t>特此证明。</w:t>
      </w:r>
    </w:p>
    <w:p w14:paraId="3DFFE8CE">
      <w:pPr>
        <w:autoSpaceDN w:val="0"/>
        <w:adjustRightInd w:val="0"/>
        <w:spacing w:line="360" w:lineRule="auto"/>
        <w:ind w:firstLine="464" w:firstLineChars="200"/>
        <w:rPr>
          <w:rFonts w:ascii="仿宋" w:hAnsi="仿宋" w:eastAsia="仿宋" w:cs="Times New Roman"/>
          <w:snapToGrid w:val="0"/>
          <w:color w:val="auto"/>
          <w:spacing w:val="-4"/>
          <w:kern w:val="0"/>
          <w:sz w:val="24"/>
          <w:szCs w:val="24"/>
          <w:highlight w:val="none"/>
        </w:rPr>
      </w:pPr>
      <w:r>
        <w:rPr>
          <w:rFonts w:hint="eastAsia" w:ascii="仿宋" w:hAnsi="仿宋" w:eastAsia="仿宋" w:cs="Times New Roman"/>
          <w:snapToGrid w:val="0"/>
          <w:color w:val="auto"/>
          <w:spacing w:val="-4"/>
          <w:kern w:val="0"/>
          <w:sz w:val="24"/>
          <w:szCs w:val="24"/>
          <w:highlight w:val="none"/>
        </w:rPr>
        <w:t>磋商响应供应商（盖章）：</w:t>
      </w:r>
    </w:p>
    <w:p w14:paraId="38C9D790">
      <w:pPr>
        <w:autoSpaceDN w:val="0"/>
        <w:adjustRightInd w:val="0"/>
        <w:snapToGrid w:val="0"/>
        <w:spacing w:line="360" w:lineRule="auto"/>
        <w:ind w:firstLine="480" w:firstLineChars="200"/>
        <w:rPr>
          <w:rFonts w:ascii="仿宋" w:hAnsi="仿宋" w:eastAsia="仿宋" w:cs="Times New Roman"/>
          <w:snapToGrid w:val="0"/>
          <w:color w:val="auto"/>
          <w:kern w:val="0"/>
          <w:sz w:val="24"/>
          <w:szCs w:val="24"/>
          <w:highlight w:val="none"/>
        </w:rPr>
      </w:pPr>
      <w:r>
        <w:rPr>
          <w:rFonts w:hint="eastAsia" w:ascii="仿宋" w:hAnsi="仿宋" w:eastAsia="仿宋" w:cs="Times New Roman"/>
          <w:snapToGrid w:val="0"/>
          <w:color w:val="auto"/>
          <w:kern w:val="0"/>
          <w:sz w:val="24"/>
          <w:szCs w:val="24"/>
          <w:highlight w:val="none"/>
        </w:rPr>
        <w:t>日期：</w:t>
      </w:r>
    </w:p>
    <w:p w14:paraId="6A89F59E">
      <w:pPr>
        <w:autoSpaceDN w:val="0"/>
        <w:adjustRightInd w:val="0"/>
        <w:snapToGrid w:val="0"/>
        <w:spacing w:line="360" w:lineRule="auto"/>
        <w:ind w:firstLine="480" w:firstLineChars="200"/>
        <w:rPr>
          <w:rFonts w:ascii="仿宋" w:hAnsi="仿宋" w:eastAsia="仿宋" w:cs="Times New Roman"/>
          <w:snapToGrid w:val="0"/>
          <w:color w:val="auto"/>
          <w:kern w:val="0"/>
          <w:sz w:val="24"/>
          <w:szCs w:val="24"/>
          <w:highlight w:val="none"/>
        </w:rPr>
      </w:pPr>
      <w:r>
        <w:rPr>
          <w:rFonts w:hint="eastAsia" w:ascii="仿宋" w:hAnsi="仿宋" w:eastAsia="仿宋" w:cs="Times New Roman"/>
          <w:snapToGrid w:val="0"/>
          <w:color w:val="auto"/>
          <w:kern w:val="0"/>
          <w:sz w:val="24"/>
          <w:szCs w:val="24"/>
          <w:highlight w:val="none"/>
        </w:rPr>
        <w:t>附：法定代表人联系方式及身份证扫描件</w:t>
      </w:r>
    </w:p>
    <w:p w14:paraId="6684D987">
      <w:pPr>
        <w:autoSpaceDN w:val="0"/>
        <w:adjustRightInd w:val="0"/>
        <w:snapToGrid w:val="0"/>
        <w:spacing w:line="360" w:lineRule="auto"/>
        <w:ind w:firstLine="482" w:firstLineChars="200"/>
        <w:rPr>
          <w:rFonts w:ascii="仿宋" w:hAnsi="仿宋" w:eastAsia="仿宋" w:cs="Times New Roman"/>
          <w:color w:val="auto"/>
          <w:sz w:val="24"/>
          <w:szCs w:val="24"/>
          <w:highlight w:val="none"/>
        </w:rPr>
      </w:pPr>
      <w:r>
        <w:rPr>
          <w:rFonts w:hint="eastAsia" w:ascii="仿宋" w:hAnsi="仿宋" w:eastAsia="仿宋" w:cs="Times New Roman"/>
          <w:b/>
          <w:snapToGrid w:val="0"/>
          <w:color w:val="auto"/>
          <w:kern w:val="0"/>
          <w:sz w:val="24"/>
          <w:szCs w:val="24"/>
          <w:highlight w:val="none"/>
        </w:rPr>
        <w:t>注：法定代表人直接签署磋商响应文件并参加投标的，在磋商响应文件中出具此资格证明书及身份证扫描件。</w:t>
      </w:r>
    </w:p>
    <w:p w14:paraId="3AFE843F">
      <w:pPr>
        <w:keepNext/>
        <w:keepLines/>
        <w:autoSpaceDN w:val="0"/>
        <w:spacing w:before="260" w:after="260" w:line="415" w:lineRule="auto"/>
        <w:ind w:firstLine="240"/>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 2-3.法定代表人授权委托书</w:t>
      </w:r>
    </w:p>
    <w:p w14:paraId="4340F78C">
      <w:pPr>
        <w:autoSpaceDN w:val="0"/>
        <w:adjustRightInd w:val="0"/>
        <w:spacing w:before="120" w:beforeLines="50" w:after="120" w:afterLines="50" w:line="360" w:lineRule="auto"/>
        <w:ind w:firstLine="480" w:firstLineChars="200"/>
        <w:rPr>
          <w:rFonts w:ascii="仿宋" w:hAnsi="仿宋" w:eastAsia="仿宋" w:cs="Times New Roman"/>
          <w:color w:val="auto"/>
          <w:kern w:val="0"/>
          <w:sz w:val="24"/>
          <w:szCs w:val="24"/>
          <w:highlight w:val="none"/>
          <w:u w:val="single"/>
        </w:rPr>
      </w:pPr>
      <w:r>
        <w:rPr>
          <w:rFonts w:hint="eastAsia" w:ascii="仿宋" w:hAnsi="仿宋" w:eastAsia="仿宋" w:cs="Times New Roman"/>
          <w:color w:val="auto"/>
          <w:kern w:val="0"/>
          <w:sz w:val="24"/>
          <w:szCs w:val="24"/>
          <w:highlight w:val="none"/>
          <w:u w:val="single"/>
        </w:rPr>
        <w:t>浙江工业大学：</w:t>
      </w:r>
    </w:p>
    <w:p w14:paraId="3ACEE673">
      <w:pPr>
        <w:autoSpaceDN w:val="0"/>
        <w:adjustRightInd w:val="0"/>
        <w:spacing w:before="120" w:beforeLines="50" w:after="120" w:afterLines="50" w:line="360" w:lineRule="auto"/>
        <w:ind w:firstLine="480" w:firstLineChars="20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u w:val="single"/>
        </w:rPr>
        <w:t xml:space="preserve">                                      </w:t>
      </w:r>
      <w:r>
        <w:rPr>
          <w:rFonts w:hint="eastAsia" w:ascii="仿宋" w:hAnsi="仿宋" w:eastAsia="仿宋" w:cs="Times New Roman"/>
          <w:color w:val="auto"/>
          <w:kern w:val="0"/>
          <w:sz w:val="24"/>
          <w:szCs w:val="24"/>
          <w:highlight w:val="none"/>
        </w:rPr>
        <w:t>：</w:t>
      </w:r>
    </w:p>
    <w:p w14:paraId="7BDCD7C2">
      <w:pPr>
        <w:autoSpaceDN w:val="0"/>
        <w:spacing w:before="120" w:beforeLines="50" w:after="120" w:afterLines="50" w:line="360" w:lineRule="auto"/>
        <w:ind w:firstLine="480" w:firstLineChars="20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我以</w:t>
      </w:r>
      <w:r>
        <w:rPr>
          <w:rFonts w:hint="eastAsia" w:ascii="仿宋" w:hAnsi="仿宋" w:eastAsia="仿宋" w:cs="Times New Roman"/>
          <w:color w:val="auto"/>
          <w:kern w:val="0"/>
          <w:sz w:val="24"/>
          <w:szCs w:val="24"/>
          <w:highlight w:val="none"/>
          <w:u w:val="single"/>
        </w:rPr>
        <w:t>（磋商响应供应商全称）</w:t>
      </w:r>
      <w:r>
        <w:rPr>
          <w:rFonts w:hint="eastAsia" w:ascii="仿宋" w:hAnsi="仿宋" w:eastAsia="仿宋" w:cs="Times New Roman"/>
          <w:color w:val="auto"/>
          <w:kern w:val="0"/>
          <w:sz w:val="24"/>
          <w:szCs w:val="24"/>
          <w:highlight w:val="none"/>
        </w:rPr>
        <w:t>法定代表人的身份授权</w:t>
      </w:r>
      <w:r>
        <w:rPr>
          <w:rFonts w:hint="eastAsia" w:ascii="仿宋" w:hAnsi="仿宋" w:eastAsia="仿宋" w:cs="Times New Roman"/>
          <w:color w:val="auto"/>
          <w:kern w:val="0"/>
          <w:sz w:val="24"/>
          <w:szCs w:val="24"/>
          <w:highlight w:val="none"/>
          <w:u w:val="single"/>
        </w:rPr>
        <w:t>（全权代表姓名）</w:t>
      </w:r>
      <w:r>
        <w:rPr>
          <w:rFonts w:hint="eastAsia" w:ascii="仿宋" w:hAnsi="仿宋" w:eastAsia="仿宋" w:cs="Times New Roman"/>
          <w:color w:val="auto"/>
          <w:kern w:val="0"/>
          <w:sz w:val="24"/>
          <w:szCs w:val="24"/>
          <w:highlight w:val="none"/>
        </w:rPr>
        <w:t>，为我单位的全权代表，参加贵单位组织的                                    的采购，签署本项目相关磋商响应文件并全权处理磋商活动中的一切事宜。我单位承认全权代表做出的与本项目采购活动有关的全部行为。</w:t>
      </w:r>
    </w:p>
    <w:p w14:paraId="3C66D27D">
      <w:pPr>
        <w:autoSpaceDN w:val="0"/>
        <w:spacing w:before="120" w:beforeLines="50" w:after="120" w:afterLines="50" w:line="360" w:lineRule="auto"/>
        <w:ind w:firstLine="480" w:firstLineChars="20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磋商响应供应商全称（盖单位公章）：</w:t>
      </w:r>
    </w:p>
    <w:p w14:paraId="0ECBB2B1">
      <w:pPr>
        <w:autoSpaceDN w:val="0"/>
        <w:spacing w:before="120" w:beforeLines="50" w:after="120" w:afterLines="50" w:line="360" w:lineRule="auto"/>
        <w:ind w:firstLine="480" w:firstLineChars="20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法定代表人（签字或盖章）：</w:t>
      </w:r>
    </w:p>
    <w:p w14:paraId="60147C3B">
      <w:pPr>
        <w:autoSpaceDN w:val="0"/>
        <w:spacing w:before="120" w:beforeLines="50" w:after="120" w:afterLines="50" w:line="360" w:lineRule="auto"/>
        <w:ind w:firstLine="48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附：</w:t>
      </w:r>
    </w:p>
    <w:p w14:paraId="7EA088FE">
      <w:pPr>
        <w:autoSpaceDN w:val="0"/>
        <w:spacing w:before="120" w:beforeLines="50" w:after="120" w:afterLines="50" w:line="360" w:lineRule="auto"/>
        <w:ind w:firstLine="480"/>
        <w:rPr>
          <w:rFonts w:ascii="仿宋" w:hAnsi="仿宋" w:eastAsia="仿宋" w:cs="Times New Roman"/>
          <w:color w:val="auto"/>
          <w:kern w:val="0"/>
          <w:sz w:val="24"/>
          <w:szCs w:val="24"/>
          <w:highlight w:val="none"/>
        </w:rPr>
      </w:pPr>
      <w:r>
        <w:rPr>
          <w:rFonts w:hint="eastAsia" w:ascii="仿宋" w:hAnsi="仿宋" w:eastAsia="仿宋" w:cs="Times New Roman"/>
          <w:color w:val="auto"/>
          <w:kern w:val="0"/>
          <w:sz w:val="24"/>
          <w:szCs w:val="24"/>
          <w:highlight w:val="none"/>
        </w:rPr>
        <w:t>全权代表姓名：职务：电话：</w:t>
      </w:r>
    </w:p>
    <w:p w14:paraId="3F56E552">
      <w:pPr>
        <w:autoSpaceDN w:val="0"/>
        <w:spacing w:line="360" w:lineRule="auto"/>
        <w:ind w:firstLine="482" w:firstLineChars="200"/>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全权代表身份证扫描件：</w:t>
      </w:r>
    </w:p>
    <w:p w14:paraId="0185F8FB">
      <w:pPr>
        <w:autoSpaceDN w:val="0"/>
        <w:spacing w:line="360" w:lineRule="auto"/>
        <w:ind w:firstLine="482" w:firstLineChars="200"/>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注：法定代表人授权其公司员工签署及参加响应的，在磋商响应文件中同时出具法定代表人资格证明书及此授权书，并附身份证扫描件。</w:t>
      </w:r>
    </w:p>
    <w:p w14:paraId="6380F8FD">
      <w:pPr>
        <w:autoSpaceDN w:val="0"/>
        <w:spacing w:line="360" w:lineRule="auto"/>
        <w:ind w:firstLine="482" w:firstLineChars="200"/>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磋商响应文件格式中所提到的供应商代表是指以上两文件确定的签署人员。</w:t>
      </w:r>
    </w:p>
    <w:p w14:paraId="1F923CB8">
      <w:pPr>
        <w:autoSpaceDN w:val="0"/>
        <w:spacing w:line="360" w:lineRule="auto"/>
        <w:ind w:firstLine="482" w:firstLineChars="200"/>
        <w:rPr>
          <w:rFonts w:ascii="仿宋" w:hAnsi="仿宋" w:eastAsia="仿宋" w:cs="Times New Roman"/>
          <w:color w:val="auto"/>
          <w:sz w:val="24"/>
          <w:szCs w:val="24"/>
          <w:highlight w:val="none"/>
        </w:rPr>
      </w:pPr>
      <w:r>
        <w:rPr>
          <w:rFonts w:hint="eastAsia" w:ascii="仿宋" w:hAnsi="仿宋" w:eastAsia="仿宋" w:cs="Times New Roman"/>
          <w:b/>
          <w:color w:val="auto"/>
          <w:sz w:val="24"/>
          <w:szCs w:val="24"/>
          <w:highlight w:val="none"/>
        </w:rPr>
        <w:t>如参加磋商并在磋商过程中签署文件的人员与磋商响应供应商代表不一致，须另行提供授权书。</w:t>
      </w:r>
    </w:p>
    <w:p w14:paraId="304093BC">
      <w:pPr>
        <w:widowControl/>
        <w:spacing w:line="360" w:lineRule="auto"/>
        <w:jc w:val="left"/>
        <w:rPr>
          <w:rFonts w:ascii="仿宋" w:hAnsi="仿宋" w:eastAsia="仿宋" w:cs="Times New Roman"/>
          <w:color w:val="auto"/>
          <w:szCs w:val="21"/>
          <w:highlight w:val="none"/>
        </w:rPr>
        <w:sectPr>
          <w:pgSz w:w="11906" w:h="16838"/>
          <w:pgMar w:top="1247" w:right="1247" w:bottom="1247" w:left="1247" w:header="851" w:footer="1077" w:gutter="0"/>
          <w:cols w:space="720" w:num="1"/>
          <w:docGrid w:linePitch="286" w:charSpace="0"/>
        </w:sectPr>
      </w:pPr>
    </w:p>
    <w:p w14:paraId="4D095264">
      <w:pPr>
        <w:keepNext/>
        <w:keepLines/>
        <w:autoSpaceDN w:val="0"/>
        <w:spacing w:before="260" w:after="260" w:line="415" w:lineRule="auto"/>
        <w:outlineLvl w:val="2"/>
        <w:rPr>
          <w:rFonts w:ascii="仿宋" w:hAnsi="仿宋" w:eastAsia="仿宋" w:cs="Times New Roman"/>
          <w:b/>
          <w:bCs/>
          <w:color w:val="auto"/>
          <w:kern w:val="0"/>
          <w:sz w:val="28"/>
          <w:szCs w:val="28"/>
          <w:highlight w:val="none"/>
        </w:rPr>
      </w:pPr>
      <w:bookmarkStart w:id="109" w:name="_Toc358842834"/>
      <w:r>
        <w:rPr>
          <w:rFonts w:hint="eastAsia" w:ascii="仿宋" w:hAnsi="仿宋" w:eastAsia="仿宋" w:cs="Times New Roman"/>
          <w:b/>
          <w:bCs/>
          <w:color w:val="auto"/>
          <w:kern w:val="0"/>
          <w:sz w:val="28"/>
          <w:szCs w:val="28"/>
          <w:highlight w:val="none"/>
        </w:rPr>
        <w:t>2-4.磋商响应供应商履约能力评价证明材料</w:t>
      </w:r>
    </w:p>
    <w:p w14:paraId="59A9D158">
      <w:pPr>
        <w:autoSpaceDN w:val="0"/>
        <w:spacing w:line="360" w:lineRule="auto"/>
        <w:jc w:val="center"/>
        <w:rPr>
          <w:rFonts w:ascii="仿宋" w:hAnsi="仿宋" w:eastAsia="仿宋" w:cs="Times New Roman"/>
          <w:b/>
          <w:color w:val="auto"/>
          <w:kern w:val="0"/>
          <w:sz w:val="44"/>
          <w:szCs w:val="28"/>
          <w:highlight w:val="none"/>
        </w:rPr>
      </w:pPr>
      <w:r>
        <w:rPr>
          <w:rFonts w:hint="eastAsia" w:ascii="仿宋" w:hAnsi="仿宋" w:eastAsia="仿宋" w:cs="Times New Roman"/>
          <w:b/>
          <w:color w:val="auto"/>
          <w:kern w:val="0"/>
          <w:sz w:val="44"/>
          <w:szCs w:val="28"/>
          <w:highlight w:val="none"/>
        </w:rPr>
        <w:t>磋商响应供应商履约能力评价证明材料</w:t>
      </w:r>
    </w:p>
    <w:tbl>
      <w:tblPr>
        <w:tblStyle w:val="61"/>
        <w:tblW w:w="0" w:type="auto"/>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14:paraId="4BE3D707">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9775" w:hRule="atLeast"/>
        </w:trPr>
        <w:tc>
          <w:tcPr>
            <w:tcW w:w="9037" w:type="dxa"/>
            <w:tcBorders>
              <w:top w:val="dotDash" w:color="000000" w:sz="4" w:space="0"/>
              <w:left w:val="dotDash" w:color="000000" w:sz="4" w:space="0"/>
              <w:bottom w:val="dotDash" w:color="000000" w:sz="4" w:space="0"/>
              <w:right w:val="dotDash" w:color="000000" w:sz="4" w:space="0"/>
            </w:tcBorders>
            <w:vAlign w:val="center"/>
          </w:tcPr>
          <w:p w14:paraId="0FE174E7">
            <w:pPr>
              <w:autoSpaceDN w:val="0"/>
              <w:spacing w:line="360" w:lineRule="auto"/>
              <w:jc w:val="center"/>
              <w:rPr>
                <w:rFonts w:ascii="仿宋" w:hAnsi="仿宋" w:eastAsia="仿宋" w:cs="Arial"/>
                <w:i/>
                <w:color w:val="auto"/>
                <w:kern w:val="0"/>
                <w:sz w:val="36"/>
                <w:highlight w:val="none"/>
              </w:rPr>
            </w:pPr>
            <w:r>
              <w:rPr>
                <w:rFonts w:hint="eastAsia" w:ascii="仿宋" w:hAnsi="仿宋" w:eastAsia="仿宋" w:cs="Arial"/>
                <w:i/>
                <w:color w:val="auto"/>
                <w:kern w:val="0"/>
                <w:sz w:val="36"/>
                <w:highlight w:val="none"/>
              </w:rPr>
              <w:t>对照评分要求提供</w:t>
            </w:r>
          </w:p>
          <w:p w14:paraId="03A4395D">
            <w:pPr>
              <w:autoSpaceDN w:val="0"/>
              <w:spacing w:line="360" w:lineRule="auto"/>
              <w:jc w:val="center"/>
              <w:rPr>
                <w:rFonts w:ascii="Arial" w:hAnsi="新宋体" w:eastAsia="新宋体" w:cs="Arial"/>
                <w:i/>
                <w:color w:val="auto"/>
                <w:sz w:val="32"/>
                <w:szCs w:val="21"/>
                <w:highlight w:val="none"/>
              </w:rPr>
            </w:pPr>
            <w:r>
              <w:rPr>
                <w:rFonts w:hint="eastAsia" w:ascii="仿宋" w:hAnsi="仿宋" w:eastAsia="仿宋" w:cs="Arial"/>
                <w:i/>
                <w:color w:val="auto"/>
                <w:kern w:val="0"/>
                <w:sz w:val="36"/>
                <w:highlight w:val="none"/>
              </w:rPr>
              <w:t>（加盖磋商响应供应商公章，否则视为未提供）</w:t>
            </w:r>
          </w:p>
        </w:tc>
      </w:tr>
    </w:tbl>
    <w:p w14:paraId="07A7C582">
      <w:pPr>
        <w:tabs>
          <w:tab w:val="left" w:pos="720"/>
        </w:tabs>
        <w:autoSpaceDN w:val="0"/>
        <w:spacing w:line="440" w:lineRule="exact"/>
        <w:ind w:firstLine="420" w:firstLineChars="200"/>
        <w:rPr>
          <w:rFonts w:ascii="仿宋" w:hAnsi="仿宋" w:eastAsia="仿宋" w:cs="Times New Roman"/>
          <w:color w:val="auto"/>
          <w:szCs w:val="24"/>
          <w:highlight w:val="none"/>
        </w:rPr>
      </w:pPr>
    </w:p>
    <w:p w14:paraId="147195AE">
      <w:pPr>
        <w:autoSpaceDN w:val="0"/>
        <w:spacing w:line="200" w:lineRule="exact"/>
        <w:ind w:firstLine="301"/>
        <w:rPr>
          <w:rFonts w:ascii="宋体" w:hAnsi="Courier New" w:eastAsia="宋体" w:cs="Times New Roman"/>
          <w:color w:val="auto"/>
          <w:spacing w:val="-4"/>
          <w:kern w:val="0"/>
          <w:sz w:val="18"/>
          <w:szCs w:val="20"/>
          <w:highlight w:val="none"/>
        </w:rPr>
      </w:pPr>
    </w:p>
    <w:p w14:paraId="4843F378">
      <w:pPr>
        <w:keepNext/>
        <w:keepLines/>
        <w:autoSpaceDN w:val="0"/>
        <w:spacing w:before="260" w:after="260" w:line="415" w:lineRule="auto"/>
        <w:outlineLvl w:val="2"/>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2-5.磋商响应供应商类似项目业绩情况</w:t>
      </w:r>
    </w:p>
    <w:p w14:paraId="63B12138">
      <w:pPr>
        <w:autoSpaceDN w:val="0"/>
        <w:spacing w:line="360" w:lineRule="auto"/>
        <w:jc w:val="center"/>
        <w:rPr>
          <w:rFonts w:ascii="仿宋" w:hAnsi="仿宋" w:eastAsia="仿宋" w:cs="Times New Roman"/>
          <w:b/>
          <w:color w:val="auto"/>
          <w:kern w:val="0"/>
          <w:sz w:val="32"/>
          <w:szCs w:val="32"/>
          <w:highlight w:val="none"/>
        </w:rPr>
      </w:pPr>
      <w:r>
        <w:rPr>
          <w:rFonts w:hint="eastAsia" w:ascii="仿宋" w:hAnsi="仿宋" w:eastAsia="仿宋" w:cs="Times New Roman"/>
          <w:b/>
          <w:color w:val="auto"/>
          <w:kern w:val="0"/>
          <w:sz w:val="32"/>
          <w:szCs w:val="32"/>
          <w:highlight w:val="none"/>
        </w:rPr>
        <w:t>磋商响应供应商类似业绩表及证明材料</w:t>
      </w:r>
    </w:p>
    <w:p w14:paraId="6FD2B4F0">
      <w:pPr>
        <w:autoSpaceDN w:val="0"/>
        <w:spacing w:line="360" w:lineRule="auto"/>
        <w:rPr>
          <w:rFonts w:ascii="仿宋" w:hAnsi="仿宋" w:eastAsia="仿宋" w:cs="Times New Roman"/>
          <w:b/>
          <w:color w:val="auto"/>
          <w:sz w:val="24"/>
          <w:szCs w:val="24"/>
          <w:highlight w:val="none"/>
          <w:u w:val="single"/>
        </w:rPr>
      </w:pPr>
      <w:r>
        <w:rPr>
          <w:rFonts w:hint="eastAsia" w:ascii="仿宋" w:hAnsi="仿宋" w:eastAsia="仿宋" w:cs="Times New Roman"/>
          <w:b/>
          <w:color w:val="auto"/>
          <w:sz w:val="24"/>
          <w:szCs w:val="24"/>
          <w:highlight w:val="none"/>
        </w:rPr>
        <w:t>项目名称：</w:t>
      </w:r>
      <w:r>
        <w:rPr>
          <w:rFonts w:hint="eastAsia" w:ascii="仿宋" w:hAnsi="仿宋" w:eastAsia="仿宋" w:cs="Times New Roman"/>
          <w:b/>
          <w:color w:val="auto"/>
          <w:sz w:val="24"/>
          <w:szCs w:val="24"/>
          <w:highlight w:val="none"/>
          <w:u w:val="single"/>
        </w:rPr>
        <w:t xml:space="preserve">                    </w:t>
      </w:r>
    </w:p>
    <w:p w14:paraId="03923CA4">
      <w:pPr>
        <w:autoSpaceDN w:val="0"/>
        <w:spacing w:line="360" w:lineRule="auto"/>
        <w:rPr>
          <w:rFonts w:ascii="仿宋" w:hAnsi="仿宋" w:eastAsia="仿宋" w:cs="Times New Roman"/>
          <w:color w:val="auto"/>
          <w:kern w:val="0"/>
          <w:sz w:val="24"/>
          <w:szCs w:val="24"/>
          <w:highlight w:val="none"/>
          <w:u w:val="single"/>
        </w:rPr>
      </w:pPr>
      <w:r>
        <w:rPr>
          <w:rFonts w:hint="eastAsia" w:ascii="仿宋" w:hAnsi="仿宋" w:eastAsia="仿宋" w:cs="Times New Roman"/>
          <w:b/>
          <w:color w:val="auto"/>
          <w:sz w:val="24"/>
          <w:szCs w:val="24"/>
          <w:highlight w:val="none"/>
        </w:rPr>
        <w:t>项目编号：</w:t>
      </w:r>
      <w:r>
        <w:rPr>
          <w:rFonts w:hint="eastAsia" w:ascii="仿宋" w:hAnsi="仿宋" w:eastAsia="仿宋" w:cs="Times New Roman"/>
          <w:b/>
          <w:color w:val="auto"/>
          <w:sz w:val="24"/>
          <w:szCs w:val="24"/>
          <w:highlight w:val="none"/>
          <w:u w:val="single"/>
        </w:rPr>
        <w:t xml:space="preserve">                   </w:t>
      </w:r>
    </w:p>
    <w:tbl>
      <w:tblPr>
        <w:tblStyle w:val="61"/>
        <w:tblW w:w="0" w:type="auto"/>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7"/>
        <w:gridCol w:w="1559"/>
        <w:gridCol w:w="1275"/>
        <w:gridCol w:w="1134"/>
        <w:gridCol w:w="1134"/>
        <w:gridCol w:w="993"/>
        <w:gridCol w:w="1134"/>
      </w:tblGrid>
      <w:tr w14:paraId="084D7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19ACEE4A">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序号</w:t>
            </w:r>
          </w:p>
        </w:tc>
        <w:tc>
          <w:tcPr>
            <w:tcW w:w="2127" w:type="dxa"/>
            <w:tcBorders>
              <w:top w:val="single" w:color="auto" w:sz="4" w:space="0"/>
              <w:left w:val="single" w:color="auto" w:sz="4" w:space="0"/>
              <w:bottom w:val="single" w:color="auto" w:sz="4" w:space="0"/>
              <w:right w:val="single" w:color="auto" w:sz="4" w:space="0"/>
            </w:tcBorders>
            <w:noWrap/>
            <w:vAlign w:val="center"/>
          </w:tcPr>
          <w:p w14:paraId="0CB96D7E">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甲方单位</w:t>
            </w:r>
          </w:p>
        </w:tc>
        <w:tc>
          <w:tcPr>
            <w:tcW w:w="1559" w:type="dxa"/>
            <w:tcBorders>
              <w:top w:val="single" w:color="auto" w:sz="4" w:space="0"/>
              <w:left w:val="single" w:color="auto" w:sz="4" w:space="0"/>
              <w:bottom w:val="single" w:color="auto" w:sz="4" w:space="0"/>
              <w:right w:val="single" w:color="auto" w:sz="4" w:space="0"/>
            </w:tcBorders>
            <w:noWrap/>
            <w:vAlign w:val="center"/>
          </w:tcPr>
          <w:p w14:paraId="5807F5A9">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项目名称</w:t>
            </w:r>
          </w:p>
        </w:tc>
        <w:tc>
          <w:tcPr>
            <w:tcW w:w="1275" w:type="dxa"/>
            <w:tcBorders>
              <w:top w:val="single" w:color="auto" w:sz="4" w:space="0"/>
              <w:left w:val="single" w:color="auto" w:sz="4" w:space="0"/>
              <w:bottom w:val="single" w:color="auto" w:sz="4" w:space="0"/>
              <w:right w:val="single" w:color="auto" w:sz="4" w:space="0"/>
            </w:tcBorders>
            <w:noWrap/>
            <w:vAlign w:val="center"/>
          </w:tcPr>
          <w:p w14:paraId="7C12F1BA">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合同金额</w:t>
            </w:r>
          </w:p>
        </w:tc>
        <w:tc>
          <w:tcPr>
            <w:tcW w:w="1134" w:type="dxa"/>
            <w:tcBorders>
              <w:top w:val="single" w:color="auto" w:sz="4" w:space="0"/>
              <w:left w:val="single" w:color="auto" w:sz="4" w:space="0"/>
              <w:bottom w:val="single" w:color="auto" w:sz="4" w:space="0"/>
              <w:right w:val="single" w:color="auto" w:sz="4" w:space="0"/>
            </w:tcBorders>
            <w:noWrap/>
            <w:vAlign w:val="center"/>
          </w:tcPr>
          <w:p w14:paraId="3B89E31E">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合同主要内容</w:t>
            </w:r>
          </w:p>
        </w:tc>
        <w:tc>
          <w:tcPr>
            <w:tcW w:w="1134" w:type="dxa"/>
            <w:tcBorders>
              <w:top w:val="single" w:color="auto" w:sz="4" w:space="0"/>
              <w:left w:val="single" w:color="auto" w:sz="4" w:space="0"/>
              <w:bottom w:val="single" w:color="auto" w:sz="4" w:space="0"/>
              <w:right w:val="single" w:color="auto" w:sz="4" w:space="0"/>
            </w:tcBorders>
            <w:noWrap/>
            <w:vAlign w:val="center"/>
          </w:tcPr>
          <w:p w14:paraId="35E5E8D0">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合同签订时间</w:t>
            </w:r>
          </w:p>
        </w:tc>
        <w:tc>
          <w:tcPr>
            <w:tcW w:w="993" w:type="dxa"/>
            <w:tcBorders>
              <w:top w:val="single" w:color="auto" w:sz="4" w:space="0"/>
              <w:left w:val="single" w:color="auto" w:sz="4" w:space="0"/>
              <w:bottom w:val="single" w:color="auto" w:sz="4" w:space="0"/>
              <w:right w:val="single" w:color="auto" w:sz="4" w:space="0"/>
            </w:tcBorders>
            <w:noWrap/>
            <w:vAlign w:val="center"/>
          </w:tcPr>
          <w:p w14:paraId="50DCA67A">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甲方联系人</w:t>
            </w:r>
          </w:p>
        </w:tc>
        <w:tc>
          <w:tcPr>
            <w:tcW w:w="1134" w:type="dxa"/>
            <w:tcBorders>
              <w:top w:val="single" w:color="auto" w:sz="4" w:space="0"/>
              <w:left w:val="single" w:color="auto" w:sz="4" w:space="0"/>
              <w:bottom w:val="single" w:color="auto" w:sz="4" w:space="0"/>
              <w:right w:val="single" w:color="auto" w:sz="4" w:space="0"/>
            </w:tcBorders>
            <w:noWrap/>
            <w:vAlign w:val="center"/>
          </w:tcPr>
          <w:p w14:paraId="7A733C61">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甲方联系电话</w:t>
            </w:r>
          </w:p>
        </w:tc>
      </w:tr>
      <w:tr w14:paraId="69F13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0B1E8CC5">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6E1DB303">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1E7A5132">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5C95D0E5">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AEBD1F2">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1B07AF4E">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4F9922E1">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2A9A6294">
            <w:pPr>
              <w:autoSpaceDN w:val="0"/>
              <w:rPr>
                <w:rFonts w:ascii="仿宋" w:hAnsi="仿宋" w:eastAsia="仿宋" w:cs="Times New Roman"/>
                <w:color w:val="auto"/>
                <w:sz w:val="24"/>
                <w:szCs w:val="24"/>
                <w:highlight w:val="none"/>
              </w:rPr>
            </w:pPr>
          </w:p>
        </w:tc>
      </w:tr>
      <w:tr w14:paraId="181B6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62899F60">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6B6F8240">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696E5090">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2E661947">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665F0963">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2B4FBA13">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0BC30A6A">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769ECD9F">
            <w:pPr>
              <w:autoSpaceDN w:val="0"/>
              <w:rPr>
                <w:rFonts w:ascii="仿宋" w:hAnsi="仿宋" w:eastAsia="仿宋" w:cs="Times New Roman"/>
                <w:color w:val="auto"/>
                <w:sz w:val="24"/>
                <w:szCs w:val="24"/>
                <w:highlight w:val="none"/>
              </w:rPr>
            </w:pPr>
          </w:p>
        </w:tc>
      </w:tr>
      <w:tr w14:paraId="1DE1F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19EA0D3C">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2693425D">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CAF167C">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1E6DBF93">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18B57B36">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09C1E36D">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093E81A2">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1649A5E2">
            <w:pPr>
              <w:autoSpaceDN w:val="0"/>
              <w:rPr>
                <w:rFonts w:ascii="仿宋" w:hAnsi="仿宋" w:eastAsia="仿宋" w:cs="Times New Roman"/>
                <w:color w:val="auto"/>
                <w:sz w:val="24"/>
                <w:szCs w:val="24"/>
                <w:highlight w:val="none"/>
              </w:rPr>
            </w:pPr>
          </w:p>
        </w:tc>
      </w:tr>
      <w:tr w14:paraId="06A48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2CB0BCA6">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6F9EDC55">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815071F">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740B91A7">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3EFBCB6">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6E452B30">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1240BFCA">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31F512EE">
            <w:pPr>
              <w:autoSpaceDN w:val="0"/>
              <w:rPr>
                <w:rFonts w:ascii="仿宋" w:hAnsi="仿宋" w:eastAsia="仿宋" w:cs="Times New Roman"/>
                <w:color w:val="auto"/>
                <w:sz w:val="24"/>
                <w:szCs w:val="24"/>
                <w:highlight w:val="none"/>
              </w:rPr>
            </w:pPr>
          </w:p>
        </w:tc>
      </w:tr>
      <w:tr w14:paraId="0B7B5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0B17692D">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53E2C967">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392EDBA5">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4F6C7532">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038ADAEB">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5E8A91F6">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60184F3">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20CC2E59">
            <w:pPr>
              <w:autoSpaceDN w:val="0"/>
              <w:rPr>
                <w:rFonts w:ascii="仿宋" w:hAnsi="仿宋" w:eastAsia="仿宋" w:cs="Times New Roman"/>
                <w:color w:val="auto"/>
                <w:sz w:val="24"/>
                <w:szCs w:val="24"/>
                <w:highlight w:val="none"/>
              </w:rPr>
            </w:pPr>
          </w:p>
        </w:tc>
      </w:tr>
      <w:tr w14:paraId="39C42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5D5A8D1F">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40A2FCBD">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7A79FF33">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5D10AED8">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09B807F0">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0F2DE854">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419B356B">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E769BF6">
            <w:pPr>
              <w:autoSpaceDN w:val="0"/>
              <w:rPr>
                <w:rFonts w:ascii="仿宋" w:hAnsi="仿宋" w:eastAsia="仿宋" w:cs="Times New Roman"/>
                <w:color w:val="auto"/>
                <w:sz w:val="24"/>
                <w:szCs w:val="24"/>
                <w:highlight w:val="none"/>
              </w:rPr>
            </w:pPr>
          </w:p>
        </w:tc>
      </w:tr>
      <w:tr w14:paraId="1278A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21FCAE40">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27D2312D">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3F54A1D">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560156FF">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576EF8CD">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39A8953D">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492291B2">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657C39EF">
            <w:pPr>
              <w:autoSpaceDN w:val="0"/>
              <w:rPr>
                <w:rFonts w:ascii="仿宋" w:hAnsi="仿宋" w:eastAsia="仿宋" w:cs="Times New Roman"/>
                <w:color w:val="auto"/>
                <w:sz w:val="24"/>
                <w:szCs w:val="24"/>
                <w:highlight w:val="none"/>
              </w:rPr>
            </w:pPr>
          </w:p>
        </w:tc>
      </w:tr>
    </w:tbl>
    <w:p w14:paraId="3741F3B4">
      <w:pPr>
        <w:autoSpaceDN w:val="0"/>
        <w:spacing w:line="360"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备注：</w:t>
      </w:r>
    </w:p>
    <w:p w14:paraId="34D8AEB5">
      <w:pPr>
        <w:autoSpaceDN w:val="0"/>
        <w:spacing w:line="360" w:lineRule="auto"/>
        <w:rPr>
          <w:rFonts w:ascii="仿宋" w:hAnsi="仿宋" w:eastAsia="仿宋" w:cs="Times New Roman"/>
          <w:b/>
          <w:color w:val="auto"/>
          <w:w w:val="90"/>
          <w:kern w:val="0"/>
          <w:sz w:val="24"/>
          <w:szCs w:val="24"/>
          <w:highlight w:val="none"/>
        </w:rPr>
      </w:pPr>
      <w:r>
        <w:rPr>
          <w:rFonts w:hint="eastAsia" w:ascii="仿宋" w:hAnsi="仿宋" w:eastAsia="仿宋" w:cs="Times New Roman"/>
          <w:b/>
          <w:color w:val="auto"/>
          <w:sz w:val="24"/>
          <w:szCs w:val="24"/>
          <w:highlight w:val="none"/>
        </w:rPr>
        <w:t>（1）后附证明材料，</w:t>
      </w:r>
      <w:r>
        <w:rPr>
          <w:rFonts w:hint="eastAsia" w:ascii="仿宋" w:hAnsi="仿宋" w:eastAsia="仿宋" w:cs="Times New Roman"/>
          <w:b/>
          <w:color w:val="auto"/>
          <w:w w:val="90"/>
          <w:kern w:val="0"/>
          <w:sz w:val="24"/>
          <w:szCs w:val="24"/>
          <w:highlight w:val="none"/>
        </w:rPr>
        <w:t>证明材料详见评审办法要求。</w:t>
      </w:r>
    </w:p>
    <w:p w14:paraId="0B8F9870">
      <w:pPr>
        <w:autoSpaceDN w:val="0"/>
        <w:spacing w:line="360" w:lineRule="auto"/>
        <w:rPr>
          <w:rFonts w:ascii="仿宋" w:hAnsi="仿宋" w:eastAsia="仿宋" w:cs="Times New Roman"/>
          <w:b/>
          <w:color w:val="auto"/>
          <w:sz w:val="24"/>
          <w:szCs w:val="24"/>
          <w:highlight w:val="none"/>
        </w:rPr>
      </w:pPr>
      <w:r>
        <w:rPr>
          <w:rFonts w:hint="eastAsia" w:ascii="仿宋" w:hAnsi="仿宋" w:eastAsia="仿宋" w:cs="Times New Roman"/>
          <w:b/>
          <w:color w:val="auto"/>
          <w:kern w:val="0"/>
          <w:sz w:val="24"/>
          <w:szCs w:val="24"/>
          <w:highlight w:val="none"/>
        </w:rPr>
        <w:t>（2）没有类似业绩的，此表可以不提供。</w:t>
      </w:r>
    </w:p>
    <w:p w14:paraId="4799FFDE">
      <w:pPr>
        <w:autoSpaceDN w:val="0"/>
        <w:spacing w:line="360" w:lineRule="auto"/>
        <w:rPr>
          <w:rFonts w:ascii="仿宋" w:hAnsi="仿宋" w:eastAsia="仿宋" w:cs="Times New Roman"/>
          <w:color w:val="auto"/>
          <w:sz w:val="24"/>
          <w:szCs w:val="24"/>
          <w:highlight w:val="none"/>
        </w:rPr>
      </w:pPr>
    </w:p>
    <w:p w14:paraId="07375FFF">
      <w:pPr>
        <w:autoSpaceDN w:val="0"/>
        <w:snapToGrid w:val="0"/>
        <w:spacing w:line="360" w:lineRule="auto"/>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磋商响应供应商名称（盖章）：</w:t>
      </w:r>
      <w:r>
        <w:rPr>
          <w:rFonts w:hint="eastAsia" w:ascii="仿宋" w:hAnsi="仿宋" w:eastAsia="仿宋" w:cs="Times New Roman"/>
          <w:color w:val="auto"/>
          <w:w w:val="90"/>
          <w:kern w:val="0"/>
          <w:sz w:val="22"/>
          <w:highlight w:val="none"/>
        </w:rPr>
        <w:t>_______________________________</w:t>
      </w:r>
    </w:p>
    <w:p w14:paraId="1C2DB4F7">
      <w:pPr>
        <w:autoSpaceDE w:val="0"/>
        <w:autoSpaceDN w:val="0"/>
        <w:adjustRightInd w:val="0"/>
        <w:spacing w:line="360" w:lineRule="auto"/>
        <w:jc w:val="left"/>
        <w:rPr>
          <w:rFonts w:ascii="仿宋" w:hAnsi="仿宋" w:eastAsia="仿宋" w:cs="Times New Roman"/>
          <w:color w:val="auto"/>
          <w:w w:val="90"/>
          <w:kern w:val="0"/>
          <w:sz w:val="22"/>
          <w:highlight w:val="none"/>
        </w:rPr>
      </w:pPr>
      <w:r>
        <w:rPr>
          <w:rFonts w:hint="eastAsia" w:ascii="仿宋" w:hAnsi="仿宋" w:eastAsia="仿宋" w:cs="Times New Roman"/>
          <w:color w:val="auto"/>
          <w:sz w:val="24"/>
          <w:szCs w:val="28"/>
          <w:highlight w:val="none"/>
        </w:rPr>
        <w:t>日期：</w:t>
      </w:r>
      <w:r>
        <w:rPr>
          <w:rFonts w:hint="eastAsia" w:ascii="仿宋" w:hAnsi="仿宋" w:eastAsia="仿宋" w:cs="Times New Roman"/>
          <w:color w:val="auto"/>
          <w:w w:val="90"/>
          <w:kern w:val="0"/>
          <w:sz w:val="22"/>
          <w:highlight w:val="none"/>
        </w:rPr>
        <w:t>_______________________________</w:t>
      </w:r>
    </w:p>
    <w:p w14:paraId="50DCF566">
      <w:pPr>
        <w:widowControl/>
        <w:spacing w:line="360" w:lineRule="auto"/>
        <w:jc w:val="left"/>
        <w:rPr>
          <w:rFonts w:ascii="仿宋" w:hAnsi="仿宋" w:eastAsia="仿宋" w:cs="Times New Roman"/>
          <w:color w:val="auto"/>
          <w:w w:val="90"/>
          <w:kern w:val="0"/>
          <w:sz w:val="22"/>
          <w:highlight w:val="none"/>
        </w:rPr>
        <w:sectPr>
          <w:pgSz w:w="11906" w:h="16838"/>
          <w:pgMar w:top="1440" w:right="1416" w:bottom="1440" w:left="1560" w:header="851" w:footer="1077" w:gutter="0"/>
          <w:cols w:space="720" w:num="1"/>
          <w:docGrid w:linePitch="286" w:charSpace="0"/>
        </w:sectPr>
      </w:pPr>
    </w:p>
    <w:p w14:paraId="1B659DFC">
      <w:pPr>
        <w:keepNext/>
        <w:keepLines/>
        <w:autoSpaceDN w:val="0"/>
        <w:spacing w:before="260" w:after="260" w:line="415" w:lineRule="auto"/>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2-6.拟派项目经理类似项目业绩情况</w:t>
      </w:r>
    </w:p>
    <w:p w14:paraId="0BA87087">
      <w:pPr>
        <w:autoSpaceDN w:val="0"/>
        <w:spacing w:line="360" w:lineRule="auto"/>
        <w:jc w:val="center"/>
        <w:rPr>
          <w:rFonts w:ascii="仿宋" w:hAnsi="仿宋" w:eastAsia="仿宋" w:cs="Times New Roman"/>
          <w:b/>
          <w:color w:val="auto"/>
          <w:kern w:val="0"/>
          <w:sz w:val="44"/>
          <w:szCs w:val="28"/>
          <w:highlight w:val="none"/>
        </w:rPr>
      </w:pPr>
      <w:r>
        <w:rPr>
          <w:rFonts w:hint="eastAsia" w:ascii="仿宋" w:hAnsi="仿宋" w:eastAsia="仿宋" w:cs="Times New Roman"/>
          <w:b/>
          <w:color w:val="auto"/>
          <w:kern w:val="0"/>
          <w:sz w:val="44"/>
          <w:szCs w:val="28"/>
          <w:highlight w:val="none"/>
        </w:rPr>
        <w:t>拟派项目经理类似业绩表及证明材料</w:t>
      </w:r>
    </w:p>
    <w:p w14:paraId="761E9EAB">
      <w:pPr>
        <w:autoSpaceDN w:val="0"/>
        <w:spacing w:line="360"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项目名称：</w:t>
      </w:r>
      <w:r>
        <w:rPr>
          <w:rFonts w:hint="eastAsia" w:ascii="仿宋" w:hAnsi="仿宋" w:eastAsia="仿宋" w:cs="Times New Roman"/>
          <w:b/>
          <w:color w:val="auto"/>
          <w:sz w:val="24"/>
          <w:szCs w:val="24"/>
          <w:highlight w:val="none"/>
          <w:u w:val="single"/>
        </w:rPr>
        <w:t xml:space="preserve">                                </w:t>
      </w:r>
    </w:p>
    <w:p w14:paraId="5C93C6DB">
      <w:pPr>
        <w:autoSpaceDN w:val="0"/>
        <w:spacing w:line="360"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项目编号：</w:t>
      </w:r>
      <w:r>
        <w:rPr>
          <w:rFonts w:hint="eastAsia" w:ascii="仿宋" w:hAnsi="仿宋" w:eastAsia="仿宋" w:cs="Times New Roman"/>
          <w:b/>
          <w:color w:val="auto"/>
          <w:sz w:val="24"/>
          <w:szCs w:val="24"/>
          <w:highlight w:val="none"/>
          <w:u w:val="single"/>
        </w:rPr>
        <w:t xml:space="preserve">                                  </w:t>
      </w:r>
    </w:p>
    <w:tbl>
      <w:tblPr>
        <w:tblStyle w:val="61"/>
        <w:tblW w:w="0" w:type="auto"/>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7"/>
        <w:gridCol w:w="1559"/>
        <w:gridCol w:w="1275"/>
        <w:gridCol w:w="1134"/>
        <w:gridCol w:w="1134"/>
        <w:gridCol w:w="993"/>
        <w:gridCol w:w="1134"/>
      </w:tblGrid>
      <w:tr w14:paraId="1D3DD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05480551">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序号</w:t>
            </w:r>
          </w:p>
        </w:tc>
        <w:tc>
          <w:tcPr>
            <w:tcW w:w="2127" w:type="dxa"/>
            <w:tcBorders>
              <w:top w:val="single" w:color="auto" w:sz="4" w:space="0"/>
              <w:left w:val="single" w:color="auto" w:sz="4" w:space="0"/>
              <w:bottom w:val="single" w:color="auto" w:sz="4" w:space="0"/>
              <w:right w:val="single" w:color="auto" w:sz="4" w:space="0"/>
            </w:tcBorders>
            <w:noWrap/>
            <w:vAlign w:val="center"/>
          </w:tcPr>
          <w:p w14:paraId="2F96E913">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甲方单位</w:t>
            </w:r>
          </w:p>
        </w:tc>
        <w:tc>
          <w:tcPr>
            <w:tcW w:w="1559" w:type="dxa"/>
            <w:tcBorders>
              <w:top w:val="single" w:color="auto" w:sz="4" w:space="0"/>
              <w:left w:val="single" w:color="auto" w:sz="4" w:space="0"/>
              <w:bottom w:val="single" w:color="auto" w:sz="4" w:space="0"/>
              <w:right w:val="single" w:color="auto" w:sz="4" w:space="0"/>
            </w:tcBorders>
            <w:noWrap/>
            <w:vAlign w:val="center"/>
          </w:tcPr>
          <w:p w14:paraId="6AF77487">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项目名称</w:t>
            </w:r>
          </w:p>
        </w:tc>
        <w:tc>
          <w:tcPr>
            <w:tcW w:w="1275" w:type="dxa"/>
            <w:tcBorders>
              <w:top w:val="single" w:color="auto" w:sz="4" w:space="0"/>
              <w:left w:val="single" w:color="auto" w:sz="4" w:space="0"/>
              <w:bottom w:val="single" w:color="auto" w:sz="4" w:space="0"/>
              <w:right w:val="single" w:color="auto" w:sz="4" w:space="0"/>
            </w:tcBorders>
            <w:noWrap/>
            <w:vAlign w:val="center"/>
          </w:tcPr>
          <w:p w14:paraId="0191AE7E">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合同金额</w:t>
            </w:r>
          </w:p>
        </w:tc>
        <w:tc>
          <w:tcPr>
            <w:tcW w:w="1134" w:type="dxa"/>
            <w:tcBorders>
              <w:top w:val="single" w:color="auto" w:sz="4" w:space="0"/>
              <w:left w:val="single" w:color="auto" w:sz="4" w:space="0"/>
              <w:bottom w:val="single" w:color="auto" w:sz="4" w:space="0"/>
              <w:right w:val="single" w:color="auto" w:sz="4" w:space="0"/>
            </w:tcBorders>
            <w:noWrap/>
            <w:vAlign w:val="center"/>
          </w:tcPr>
          <w:p w14:paraId="5C37B4C0">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合同主要内容</w:t>
            </w:r>
          </w:p>
        </w:tc>
        <w:tc>
          <w:tcPr>
            <w:tcW w:w="1134" w:type="dxa"/>
            <w:tcBorders>
              <w:top w:val="single" w:color="auto" w:sz="4" w:space="0"/>
              <w:left w:val="single" w:color="auto" w:sz="4" w:space="0"/>
              <w:bottom w:val="single" w:color="auto" w:sz="4" w:space="0"/>
              <w:right w:val="single" w:color="auto" w:sz="4" w:space="0"/>
            </w:tcBorders>
            <w:noWrap/>
            <w:vAlign w:val="center"/>
          </w:tcPr>
          <w:p w14:paraId="16B56A09">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合同签订时间</w:t>
            </w:r>
          </w:p>
        </w:tc>
        <w:tc>
          <w:tcPr>
            <w:tcW w:w="993" w:type="dxa"/>
            <w:tcBorders>
              <w:top w:val="single" w:color="auto" w:sz="4" w:space="0"/>
              <w:left w:val="single" w:color="auto" w:sz="4" w:space="0"/>
              <w:bottom w:val="single" w:color="auto" w:sz="4" w:space="0"/>
              <w:right w:val="single" w:color="auto" w:sz="4" w:space="0"/>
            </w:tcBorders>
            <w:noWrap/>
            <w:vAlign w:val="center"/>
          </w:tcPr>
          <w:p w14:paraId="3F5CDB65">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甲方联系人</w:t>
            </w:r>
          </w:p>
        </w:tc>
        <w:tc>
          <w:tcPr>
            <w:tcW w:w="1134" w:type="dxa"/>
            <w:tcBorders>
              <w:top w:val="single" w:color="auto" w:sz="4" w:space="0"/>
              <w:left w:val="single" w:color="auto" w:sz="4" w:space="0"/>
              <w:bottom w:val="single" w:color="auto" w:sz="4" w:space="0"/>
              <w:right w:val="single" w:color="auto" w:sz="4" w:space="0"/>
            </w:tcBorders>
            <w:noWrap/>
            <w:vAlign w:val="center"/>
          </w:tcPr>
          <w:p w14:paraId="60A27445">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甲方联系电话</w:t>
            </w:r>
          </w:p>
        </w:tc>
      </w:tr>
      <w:tr w14:paraId="09E98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3926C8BD">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58649B84">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5A742527">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50715580">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7122C96C">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2E856CC1">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D9577FB">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5588B2F5">
            <w:pPr>
              <w:autoSpaceDN w:val="0"/>
              <w:rPr>
                <w:rFonts w:ascii="仿宋" w:hAnsi="仿宋" w:eastAsia="仿宋" w:cs="Times New Roman"/>
                <w:color w:val="auto"/>
                <w:sz w:val="24"/>
                <w:szCs w:val="24"/>
                <w:highlight w:val="none"/>
              </w:rPr>
            </w:pPr>
          </w:p>
        </w:tc>
      </w:tr>
      <w:tr w14:paraId="71777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02C0CF83">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3081DF3E">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2284AF98">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21F21341">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50A5BADB">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680D3A9A">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6B4C0BD0">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F33F52B">
            <w:pPr>
              <w:autoSpaceDN w:val="0"/>
              <w:rPr>
                <w:rFonts w:ascii="仿宋" w:hAnsi="仿宋" w:eastAsia="仿宋" w:cs="Times New Roman"/>
                <w:color w:val="auto"/>
                <w:sz w:val="24"/>
                <w:szCs w:val="24"/>
                <w:highlight w:val="none"/>
              </w:rPr>
            </w:pPr>
          </w:p>
        </w:tc>
      </w:tr>
      <w:tr w14:paraId="6B5F5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231FC678">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621D5CAD">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763258CC">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505E3A2B">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3EAA1C9C">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0D8EF7C6">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5AF6D6B3">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7564E721">
            <w:pPr>
              <w:autoSpaceDN w:val="0"/>
              <w:rPr>
                <w:rFonts w:ascii="仿宋" w:hAnsi="仿宋" w:eastAsia="仿宋" w:cs="Times New Roman"/>
                <w:color w:val="auto"/>
                <w:sz w:val="24"/>
                <w:szCs w:val="24"/>
                <w:highlight w:val="none"/>
              </w:rPr>
            </w:pPr>
          </w:p>
        </w:tc>
      </w:tr>
      <w:tr w14:paraId="021E7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2ED5893B">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3B7CE0D2">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428E41A8">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6E3CC958">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3592F43D">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1EDDD38C">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51E064FA">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1097BB38">
            <w:pPr>
              <w:autoSpaceDN w:val="0"/>
              <w:rPr>
                <w:rFonts w:ascii="仿宋" w:hAnsi="仿宋" w:eastAsia="仿宋" w:cs="Times New Roman"/>
                <w:color w:val="auto"/>
                <w:sz w:val="24"/>
                <w:szCs w:val="24"/>
                <w:highlight w:val="none"/>
              </w:rPr>
            </w:pPr>
          </w:p>
        </w:tc>
      </w:tr>
      <w:tr w14:paraId="755FB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16EF7810">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3C3D6FB8">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233592B2">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34A5BD8D">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24D8EBDB">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3848C3BA">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787D6D47">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812727C">
            <w:pPr>
              <w:autoSpaceDN w:val="0"/>
              <w:rPr>
                <w:rFonts w:ascii="仿宋" w:hAnsi="仿宋" w:eastAsia="仿宋" w:cs="Times New Roman"/>
                <w:color w:val="auto"/>
                <w:sz w:val="24"/>
                <w:szCs w:val="24"/>
                <w:highlight w:val="none"/>
              </w:rPr>
            </w:pPr>
          </w:p>
        </w:tc>
      </w:tr>
      <w:tr w14:paraId="35833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2F0620F6">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0B636BE4">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790BE999">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35972A90">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0C7AB1E7">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1E0CB8B0">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18B021A9">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FBE65B9">
            <w:pPr>
              <w:autoSpaceDN w:val="0"/>
              <w:rPr>
                <w:rFonts w:ascii="仿宋" w:hAnsi="仿宋" w:eastAsia="仿宋" w:cs="Times New Roman"/>
                <w:color w:val="auto"/>
                <w:sz w:val="24"/>
                <w:szCs w:val="24"/>
                <w:highlight w:val="none"/>
              </w:rPr>
            </w:pPr>
          </w:p>
        </w:tc>
      </w:tr>
      <w:tr w14:paraId="3A5BF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385FF756">
            <w:pPr>
              <w:autoSpaceDN w:val="0"/>
              <w:jc w:val="center"/>
              <w:rPr>
                <w:rFonts w:ascii="仿宋" w:hAnsi="仿宋" w:eastAsia="仿宋" w:cs="Times New Roman"/>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3FBDBB51">
            <w:pPr>
              <w:autoSpaceDN w:val="0"/>
              <w:rPr>
                <w:rFonts w:ascii="仿宋" w:hAnsi="仿宋" w:eastAsia="仿宋" w:cs="Times New Roman"/>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4CE74A1A">
            <w:pPr>
              <w:autoSpaceDN w:val="0"/>
              <w:rPr>
                <w:rFonts w:ascii="仿宋" w:hAnsi="仿宋" w:eastAsia="仿宋" w:cs="Times New Roman"/>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49DD9414">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57C31FF9">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6E3F701">
            <w:pPr>
              <w:autoSpaceDN w:val="0"/>
              <w:rPr>
                <w:rFonts w:ascii="仿宋" w:hAnsi="仿宋" w:eastAsia="仿宋" w:cs="Times New Roman"/>
                <w:color w:val="auto"/>
                <w:sz w:val="24"/>
                <w:szCs w:val="24"/>
                <w:highlight w:val="none"/>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30A87B22">
            <w:pPr>
              <w:autoSpaceDN w:val="0"/>
              <w:rPr>
                <w:rFonts w:ascii="仿宋" w:hAnsi="仿宋" w:eastAsia="仿宋" w:cs="Times New Roman"/>
                <w:color w:val="auto"/>
                <w:sz w:val="24"/>
                <w:szCs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56E8731F">
            <w:pPr>
              <w:autoSpaceDN w:val="0"/>
              <w:rPr>
                <w:rFonts w:ascii="仿宋" w:hAnsi="仿宋" w:eastAsia="仿宋" w:cs="Times New Roman"/>
                <w:color w:val="auto"/>
                <w:sz w:val="24"/>
                <w:szCs w:val="24"/>
                <w:highlight w:val="none"/>
              </w:rPr>
            </w:pPr>
          </w:p>
        </w:tc>
      </w:tr>
    </w:tbl>
    <w:p w14:paraId="64DCACA5">
      <w:pPr>
        <w:autoSpaceDN w:val="0"/>
        <w:spacing w:line="360" w:lineRule="auto"/>
        <w:rPr>
          <w:rFonts w:ascii="仿宋" w:hAnsi="仿宋" w:eastAsia="仿宋" w:cs="Times New Roman"/>
          <w:b/>
          <w:color w:val="auto"/>
          <w:sz w:val="24"/>
          <w:szCs w:val="24"/>
          <w:highlight w:val="none"/>
        </w:rPr>
      </w:pPr>
      <w:r>
        <w:rPr>
          <w:rFonts w:hint="eastAsia" w:ascii="仿宋" w:hAnsi="仿宋" w:eastAsia="仿宋" w:cs="Times New Roman"/>
          <w:b/>
          <w:color w:val="auto"/>
          <w:sz w:val="24"/>
          <w:szCs w:val="24"/>
          <w:highlight w:val="none"/>
        </w:rPr>
        <w:t>备注：</w:t>
      </w:r>
    </w:p>
    <w:p w14:paraId="5874440B">
      <w:pPr>
        <w:autoSpaceDN w:val="0"/>
        <w:spacing w:line="360" w:lineRule="auto"/>
        <w:rPr>
          <w:rFonts w:ascii="仿宋" w:hAnsi="仿宋" w:eastAsia="仿宋" w:cs="Times New Roman"/>
          <w:b/>
          <w:color w:val="auto"/>
          <w:w w:val="90"/>
          <w:kern w:val="0"/>
          <w:sz w:val="24"/>
          <w:szCs w:val="24"/>
          <w:highlight w:val="none"/>
        </w:rPr>
      </w:pPr>
      <w:r>
        <w:rPr>
          <w:rFonts w:hint="eastAsia" w:ascii="仿宋" w:hAnsi="仿宋" w:eastAsia="仿宋" w:cs="Times New Roman"/>
          <w:b/>
          <w:color w:val="auto"/>
          <w:sz w:val="24"/>
          <w:szCs w:val="24"/>
          <w:highlight w:val="none"/>
        </w:rPr>
        <w:t>（1）后附证明材料，</w:t>
      </w:r>
      <w:r>
        <w:rPr>
          <w:rFonts w:hint="eastAsia" w:ascii="仿宋" w:hAnsi="仿宋" w:eastAsia="仿宋" w:cs="Times New Roman"/>
          <w:b/>
          <w:color w:val="auto"/>
          <w:w w:val="90"/>
          <w:kern w:val="0"/>
          <w:sz w:val="24"/>
          <w:szCs w:val="24"/>
          <w:highlight w:val="none"/>
        </w:rPr>
        <w:t>证明材料详见评审办法要求。</w:t>
      </w:r>
    </w:p>
    <w:p w14:paraId="3FDF682E">
      <w:pPr>
        <w:autoSpaceDN w:val="0"/>
        <w:spacing w:line="360" w:lineRule="auto"/>
        <w:rPr>
          <w:rFonts w:ascii="仿宋" w:hAnsi="仿宋" w:eastAsia="仿宋" w:cs="Times New Roman"/>
          <w:b/>
          <w:color w:val="auto"/>
          <w:sz w:val="24"/>
          <w:szCs w:val="24"/>
          <w:highlight w:val="none"/>
        </w:rPr>
      </w:pPr>
      <w:r>
        <w:rPr>
          <w:rFonts w:hint="eastAsia" w:ascii="仿宋" w:hAnsi="仿宋" w:eastAsia="仿宋" w:cs="Times New Roman"/>
          <w:b/>
          <w:color w:val="auto"/>
          <w:kern w:val="0"/>
          <w:sz w:val="24"/>
          <w:szCs w:val="24"/>
          <w:highlight w:val="none"/>
        </w:rPr>
        <w:t>（2）没有类似业绩的，此表可以不提供。</w:t>
      </w:r>
    </w:p>
    <w:p w14:paraId="1B511A62">
      <w:pPr>
        <w:autoSpaceDN w:val="0"/>
        <w:spacing w:line="360" w:lineRule="auto"/>
        <w:rPr>
          <w:rFonts w:ascii="仿宋" w:hAnsi="仿宋" w:eastAsia="仿宋" w:cs="Times New Roman"/>
          <w:color w:val="auto"/>
          <w:sz w:val="24"/>
          <w:szCs w:val="24"/>
          <w:highlight w:val="none"/>
        </w:rPr>
      </w:pPr>
    </w:p>
    <w:p w14:paraId="5F79D46F">
      <w:pPr>
        <w:autoSpaceDN w:val="0"/>
        <w:snapToGrid w:val="0"/>
        <w:spacing w:line="360" w:lineRule="auto"/>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磋商响应供应商名称（盖章）：</w:t>
      </w:r>
      <w:r>
        <w:rPr>
          <w:rFonts w:hint="eastAsia" w:ascii="仿宋" w:hAnsi="仿宋" w:eastAsia="仿宋" w:cs="Times New Roman"/>
          <w:color w:val="auto"/>
          <w:w w:val="90"/>
          <w:kern w:val="0"/>
          <w:sz w:val="22"/>
          <w:highlight w:val="none"/>
        </w:rPr>
        <w:t>_______________________________</w:t>
      </w:r>
    </w:p>
    <w:p w14:paraId="42A44CE6">
      <w:pPr>
        <w:autoSpaceDE w:val="0"/>
        <w:autoSpaceDN w:val="0"/>
        <w:adjustRightInd w:val="0"/>
        <w:spacing w:line="360" w:lineRule="auto"/>
        <w:jc w:val="left"/>
        <w:rPr>
          <w:rFonts w:ascii="仿宋" w:hAnsi="仿宋" w:eastAsia="仿宋" w:cs="Times New Roman"/>
          <w:color w:val="auto"/>
          <w:w w:val="90"/>
          <w:kern w:val="0"/>
          <w:sz w:val="22"/>
          <w:highlight w:val="none"/>
        </w:rPr>
      </w:pPr>
      <w:r>
        <w:rPr>
          <w:rFonts w:hint="eastAsia" w:ascii="仿宋" w:hAnsi="仿宋" w:eastAsia="仿宋" w:cs="Times New Roman"/>
          <w:color w:val="auto"/>
          <w:sz w:val="24"/>
          <w:szCs w:val="28"/>
          <w:highlight w:val="none"/>
        </w:rPr>
        <w:t>日期：</w:t>
      </w:r>
      <w:r>
        <w:rPr>
          <w:rFonts w:hint="eastAsia" w:ascii="仿宋" w:hAnsi="仿宋" w:eastAsia="仿宋" w:cs="Times New Roman"/>
          <w:color w:val="auto"/>
          <w:w w:val="90"/>
          <w:kern w:val="0"/>
          <w:sz w:val="22"/>
          <w:highlight w:val="none"/>
        </w:rPr>
        <w:t>_______________________________</w:t>
      </w:r>
    </w:p>
    <w:p w14:paraId="51D797F5">
      <w:pPr>
        <w:autoSpaceDE w:val="0"/>
        <w:autoSpaceDN w:val="0"/>
        <w:adjustRightInd w:val="0"/>
        <w:spacing w:line="360" w:lineRule="auto"/>
        <w:ind w:firstLine="420"/>
        <w:jc w:val="left"/>
        <w:rPr>
          <w:rFonts w:ascii="仿宋" w:hAnsi="仿宋" w:eastAsia="仿宋" w:cs="Times New Roman"/>
          <w:color w:val="auto"/>
          <w:w w:val="90"/>
          <w:kern w:val="0"/>
          <w:sz w:val="22"/>
          <w:highlight w:val="none"/>
        </w:rPr>
      </w:pPr>
    </w:p>
    <w:p w14:paraId="150D8846">
      <w:pPr>
        <w:widowControl/>
        <w:spacing w:line="360" w:lineRule="auto"/>
        <w:jc w:val="left"/>
        <w:rPr>
          <w:rFonts w:ascii="仿宋" w:hAnsi="仿宋" w:eastAsia="仿宋" w:cs="Times New Roman"/>
          <w:color w:val="auto"/>
          <w:w w:val="90"/>
          <w:kern w:val="0"/>
          <w:sz w:val="22"/>
          <w:highlight w:val="none"/>
        </w:rPr>
        <w:sectPr>
          <w:pgSz w:w="11906" w:h="16838"/>
          <w:pgMar w:top="1440" w:right="1416" w:bottom="1440" w:left="1560" w:header="851" w:footer="1077" w:gutter="0"/>
          <w:pgNumType w:chapStyle="1"/>
          <w:cols w:space="720" w:num="1"/>
          <w:docGrid w:linePitch="286" w:charSpace="0"/>
        </w:sectPr>
      </w:pPr>
    </w:p>
    <w:p w14:paraId="5D9E6424">
      <w:pPr>
        <w:keepNext/>
        <w:keepLines/>
        <w:autoSpaceDN w:val="0"/>
        <w:spacing w:before="260" w:after="260" w:line="415" w:lineRule="auto"/>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2-7.商务技术偏离表</w:t>
      </w:r>
    </w:p>
    <w:p w14:paraId="6BF0C58A">
      <w:pPr>
        <w:autoSpaceDN w:val="0"/>
        <w:spacing w:line="360" w:lineRule="auto"/>
        <w:jc w:val="center"/>
        <w:rPr>
          <w:rFonts w:ascii="仿宋" w:hAnsi="仿宋" w:eastAsia="仿宋" w:cs="Times New Roman"/>
          <w:color w:val="auto"/>
          <w:szCs w:val="24"/>
          <w:highlight w:val="none"/>
        </w:rPr>
      </w:pPr>
      <w:r>
        <w:rPr>
          <w:rFonts w:hint="eastAsia" w:ascii="仿宋" w:hAnsi="仿宋" w:eastAsia="仿宋" w:cs="Times New Roman"/>
          <w:b/>
          <w:color w:val="auto"/>
          <w:kern w:val="0"/>
          <w:sz w:val="44"/>
          <w:szCs w:val="28"/>
          <w:highlight w:val="none"/>
        </w:rPr>
        <w:t>商务技术偏离表</w:t>
      </w:r>
    </w:p>
    <w:tbl>
      <w:tblPr>
        <w:tblStyle w:val="61"/>
        <w:tblW w:w="0" w:type="auto"/>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821"/>
        <w:gridCol w:w="2565"/>
        <w:gridCol w:w="2606"/>
        <w:gridCol w:w="1437"/>
        <w:gridCol w:w="1857"/>
      </w:tblGrid>
      <w:tr w14:paraId="1D0B3DD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21" w:type="dxa"/>
            <w:tcBorders>
              <w:top w:val="single" w:color="auto" w:sz="2" w:space="0"/>
              <w:left w:val="single" w:color="auto" w:sz="2" w:space="0"/>
              <w:bottom w:val="single" w:color="auto" w:sz="4" w:space="0"/>
              <w:right w:val="single" w:color="auto" w:sz="4" w:space="0"/>
            </w:tcBorders>
            <w:noWrap/>
            <w:vAlign w:val="center"/>
          </w:tcPr>
          <w:p w14:paraId="638B8C2D">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序号</w:t>
            </w:r>
          </w:p>
        </w:tc>
        <w:tc>
          <w:tcPr>
            <w:tcW w:w="2565" w:type="dxa"/>
            <w:tcBorders>
              <w:top w:val="single" w:color="auto" w:sz="2" w:space="0"/>
              <w:left w:val="single" w:color="auto" w:sz="4" w:space="0"/>
              <w:bottom w:val="single" w:color="auto" w:sz="4" w:space="0"/>
              <w:right w:val="single" w:color="auto" w:sz="4" w:space="0"/>
            </w:tcBorders>
            <w:noWrap/>
            <w:vAlign w:val="center"/>
          </w:tcPr>
          <w:p w14:paraId="41855DF4">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磋商文件要求</w:t>
            </w:r>
          </w:p>
        </w:tc>
        <w:tc>
          <w:tcPr>
            <w:tcW w:w="2606" w:type="dxa"/>
            <w:tcBorders>
              <w:top w:val="single" w:color="auto" w:sz="2" w:space="0"/>
              <w:left w:val="single" w:color="auto" w:sz="4" w:space="0"/>
              <w:bottom w:val="single" w:color="auto" w:sz="4" w:space="0"/>
              <w:right w:val="single" w:color="auto" w:sz="4" w:space="0"/>
            </w:tcBorders>
            <w:noWrap/>
            <w:vAlign w:val="center"/>
          </w:tcPr>
          <w:p w14:paraId="6AC1627E">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响应情况</w:t>
            </w:r>
          </w:p>
        </w:tc>
        <w:tc>
          <w:tcPr>
            <w:tcW w:w="1437" w:type="dxa"/>
            <w:tcBorders>
              <w:top w:val="single" w:color="auto" w:sz="2" w:space="0"/>
              <w:left w:val="single" w:color="auto" w:sz="4" w:space="0"/>
              <w:bottom w:val="single" w:color="auto" w:sz="4" w:space="0"/>
              <w:right w:val="single" w:color="auto" w:sz="4" w:space="0"/>
            </w:tcBorders>
            <w:noWrap/>
            <w:vAlign w:val="center"/>
          </w:tcPr>
          <w:p w14:paraId="48BE03DD">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正/负偏离</w:t>
            </w:r>
          </w:p>
        </w:tc>
        <w:tc>
          <w:tcPr>
            <w:tcW w:w="1857" w:type="dxa"/>
            <w:tcBorders>
              <w:top w:val="single" w:color="auto" w:sz="2" w:space="0"/>
              <w:left w:val="single" w:color="auto" w:sz="4" w:space="0"/>
              <w:bottom w:val="single" w:color="auto" w:sz="4" w:space="0"/>
              <w:right w:val="single" w:color="auto" w:sz="2" w:space="0"/>
            </w:tcBorders>
            <w:noWrap/>
            <w:vAlign w:val="center"/>
          </w:tcPr>
          <w:p w14:paraId="42C98C08">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理由</w:t>
            </w:r>
          </w:p>
        </w:tc>
      </w:tr>
      <w:tr w14:paraId="26BD395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1AE0D355">
            <w:pPr>
              <w:autoSpaceDN w:val="0"/>
              <w:spacing w:line="400" w:lineRule="exact"/>
              <w:jc w:val="center"/>
              <w:rPr>
                <w:rFonts w:ascii="仿宋" w:hAnsi="仿宋" w:eastAsia="仿宋" w:cs="Times New Roman"/>
                <w:bCs/>
                <w:color w:val="auto"/>
                <w:kern w:val="0"/>
                <w:sz w:val="24"/>
                <w:szCs w:val="24"/>
                <w:highlight w:val="none"/>
              </w:rPr>
            </w:pPr>
            <w:r>
              <w:rPr>
                <w:rFonts w:hint="eastAsia" w:ascii="仿宋" w:hAnsi="仿宋" w:eastAsia="仿宋" w:cs="Times New Roman"/>
                <w:bCs/>
                <w:color w:val="auto"/>
                <w:kern w:val="0"/>
                <w:sz w:val="24"/>
                <w:szCs w:val="24"/>
                <w:highlight w:val="none"/>
              </w:rPr>
              <w:t>1</w:t>
            </w:r>
          </w:p>
        </w:tc>
        <w:tc>
          <w:tcPr>
            <w:tcW w:w="2565" w:type="dxa"/>
            <w:tcBorders>
              <w:top w:val="single" w:color="auto" w:sz="4" w:space="0"/>
              <w:left w:val="single" w:color="auto" w:sz="4" w:space="0"/>
              <w:bottom w:val="single" w:color="auto" w:sz="4" w:space="0"/>
              <w:right w:val="single" w:color="auto" w:sz="4" w:space="0"/>
            </w:tcBorders>
            <w:noWrap/>
            <w:vAlign w:val="center"/>
          </w:tcPr>
          <w:p w14:paraId="5A88A7A8">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6C219968">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3D4744B1">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2F6C0265">
            <w:pPr>
              <w:autoSpaceDN w:val="0"/>
              <w:spacing w:line="400" w:lineRule="exact"/>
              <w:jc w:val="center"/>
              <w:rPr>
                <w:rFonts w:ascii="仿宋" w:hAnsi="仿宋" w:eastAsia="仿宋" w:cs="Times New Roman"/>
                <w:b/>
                <w:color w:val="auto"/>
                <w:kern w:val="0"/>
                <w:sz w:val="24"/>
                <w:szCs w:val="24"/>
                <w:highlight w:val="none"/>
              </w:rPr>
            </w:pPr>
          </w:p>
        </w:tc>
      </w:tr>
      <w:tr w14:paraId="355BABA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72EAB250">
            <w:pPr>
              <w:autoSpaceDN w:val="0"/>
              <w:spacing w:line="400" w:lineRule="exact"/>
              <w:jc w:val="center"/>
              <w:rPr>
                <w:rFonts w:ascii="仿宋" w:hAnsi="仿宋" w:eastAsia="仿宋" w:cs="Times New Roman"/>
                <w:bCs/>
                <w:color w:val="auto"/>
                <w:kern w:val="0"/>
                <w:sz w:val="24"/>
                <w:szCs w:val="24"/>
                <w:highlight w:val="none"/>
              </w:rPr>
            </w:pPr>
            <w:r>
              <w:rPr>
                <w:rFonts w:hint="eastAsia" w:ascii="仿宋" w:hAnsi="仿宋" w:eastAsia="仿宋" w:cs="Times New Roman"/>
                <w:bCs/>
                <w:color w:val="auto"/>
                <w:kern w:val="0"/>
                <w:sz w:val="24"/>
                <w:szCs w:val="24"/>
                <w:highlight w:val="none"/>
              </w:rPr>
              <w:t>2</w:t>
            </w:r>
          </w:p>
        </w:tc>
        <w:tc>
          <w:tcPr>
            <w:tcW w:w="2565" w:type="dxa"/>
            <w:tcBorders>
              <w:top w:val="single" w:color="auto" w:sz="4" w:space="0"/>
              <w:left w:val="single" w:color="auto" w:sz="4" w:space="0"/>
              <w:bottom w:val="single" w:color="auto" w:sz="4" w:space="0"/>
              <w:right w:val="single" w:color="auto" w:sz="4" w:space="0"/>
            </w:tcBorders>
            <w:noWrap/>
            <w:vAlign w:val="center"/>
          </w:tcPr>
          <w:p w14:paraId="24EBCABD">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71395C38">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022DA6C0">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7679C9F3">
            <w:pPr>
              <w:autoSpaceDN w:val="0"/>
              <w:spacing w:line="400" w:lineRule="exact"/>
              <w:jc w:val="center"/>
              <w:rPr>
                <w:rFonts w:ascii="仿宋" w:hAnsi="仿宋" w:eastAsia="仿宋" w:cs="Times New Roman"/>
                <w:b/>
                <w:color w:val="auto"/>
                <w:kern w:val="0"/>
                <w:sz w:val="24"/>
                <w:szCs w:val="24"/>
                <w:highlight w:val="none"/>
              </w:rPr>
            </w:pPr>
          </w:p>
        </w:tc>
      </w:tr>
      <w:tr w14:paraId="2FB0AB5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6F6EAFDB">
            <w:pPr>
              <w:autoSpaceDN w:val="0"/>
              <w:spacing w:line="400" w:lineRule="exact"/>
              <w:jc w:val="center"/>
              <w:rPr>
                <w:rFonts w:ascii="仿宋" w:hAnsi="仿宋" w:eastAsia="仿宋" w:cs="Times New Roman"/>
                <w:bCs/>
                <w:color w:val="auto"/>
                <w:kern w:val="0"/>
                <w:sz w:val="24"/>
                <w:szCs w:val="24"/>
                <w:highlight w:val="none"/>
              </w:rPr>
            </w:pPr>
            <w:r>
              <w:rPr>
                <w:rFonts w:hint="eastAsia" w:ascii="仿宋" w:hAnsi="仿宋" w:eastAsia="仿宋" w:cs="Times New Roman"/>
                <w:bCs/>
                <w:color w:val="auto"/>
                <w:kern w:val="0"/>
                <w:sz w:val="24"/>
                <w:szCs w:val="24"/>
                <w:highlight w:val="none"/>
              </w:rPr>
              <w:t>3</w:t>
            </w:r>
          </w:p>
        </w:tc>
        <w:tc>
          <w:tcPr>
            <w:tcW w:w="2565" w:type="dxa"/>
            <w:tcBorders>
              <w:top w:val="single" w:color="auto" w:sz="4" w:space="0"/>
              <w:left w:val="single" w:color="auto" w:sz="4" w:space="0"/>
              <w:bottom w:val="single" w:color="auto" w:sz="4" w:space="0"/>
              <w:right w:val="single" w:color="auto" w:sz="4" w:space="0"/>
            </w:tcBorders>
            <w:noWrap/>
            <w:vAlign w:val="center"/>
          </w:tcPr>
          <w:p w14:paraId="5D7B38AB">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32964BD6">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525A049D">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5BC7B3FB">
            <w:pPr>
              <w:autoSpaceDN w:val="0"/>
              <w:spacing w:line="400" w:lineRule="exact"/>
              <w:jc w:val="center"/>
              <w:rPr>
                <w:rFonts w:ascii="仿宋" w:hAnsi="仿宋" w:eastAsia="仿宋" w:cs="Times New Roman"/>
                <w:b/>
                <w:color w:val="auto"/>
                <w:kern w:val="0"/>
                <w:sz w:val="24"/>
                <w:szCs w:val="24"/>
                <w:highlight w:val="none"/>
              </w:rPr>
            </w:pPr>
          </w:p>
        </w:tc>
      </w:tr>
      <w:tr w14:paraId="2BA385D5">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3CA3234B">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w:t>
            </w:r>
          </w:p>
        </w:tc>
        <w:tc>
          <w:tcPr>
            <w:tcW w:w="2565" w:type="dxa"/>
            <w:tcBorders>
              <w:top w:val="single" w:color="auto" w:sz="4" w:space="0"/>
              <w:left w:val="single" w:color="auto" w:sz="4" w:space="0"/>
              <w:bottom w:val="single" w:color="auto" w:sz="4" w:space="0"/>
              <w:right w:val="single" w:color="auto" w:sz="4" w:space="0"/>
            </w:tcBorders>
            <w:noWrap/>
            <w:vAlign w:val="center"/>
          </w:tcPr>
          <w:p w14:paraId="442C124E">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4122AB09">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12654E3F">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2A42AB67">
            <w:pPr>
              <w:autoSpaceDN w:val="0"/>
              <w:spacing w:line="400" w:lineRule="exact"/>
              <w:jc w:val="center"/>
              <w:rPr>
                <w:rFonts w:ascii="仿宋" w:hAnsi="仿宋" w:eastAsia="仿宋" w:cs="Times New Roman"/>
                <w:b/>
                <w:color w:val="auto"/>
                <w:kern w:val="0"/>
                <w:sz w:val="24"/>
                <w:szCs w:val="24"/>
                <w:highlight w:val="none"/>
              </w:rPr>
            </w:pPr>
          </w:p>
        </w:tc>
      </w:tr>
      <w:tr w14:paraId="7AE27CC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229756BD">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w:t>
            </w:r>
          </w:p>
        </w:tc>
        <w:tc>
          <w:tcPr>
            <w:tcW w:w="2565" w:type="dxa"/>
            <w:tcBorders>
              <w:top w:val="single" w:color="auto" w:sz="4" w:space="0"/>
              <w:left w:val="single" w:color="auto" w:sz="4" w:space="0"/>
              <w:bottom w:val="single" w:color="auto" w:sz="4" w:space="0"/>
              <w:right w:val="single" w:color="auto" w:sz="4" w:space="0"/>
            </w:tcBorders>
            <w:noWrap/>
            <w:vAlign w:val="center"/>
          </w:tcPr>
          <w:p w14:paraId="079FD77C">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575B038E">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07A7F1AC">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0517675E">
            <w:pPr>
              <w:autoSpaceDN w:val="0"/>
              <w:spacing w:line="400" w:lineRule="exact"/>
              <w:jc w:val="center"/>
              <w:rPr>
                <w:rFonts w:ascii="仿宋" w:hAnsi="仿宋" w:eastAsia="仿宋" w:cs="Times New Roman"/>
                <w:b/>
                <w:color w:val="auto"/>
                <w:kern w:val="0"/>
                <w:sz w:val="24"/>
                <w:szCs w:val="24"/>
                <w:highlight w:val="none"/>
              </w:rPr>
            </w:pPr>
          </w:p>
        </w:tc>
      </w:tr>
      <w:tr w14:paraId="640F4459">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1AD0E1F3">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w:t>
            </w:r>
          </w:p>
        </w:tc>
        <w:tc>
          <w:tcPr>
            <w:tcW w:w="2565" w:type="dxa"/>
            <w:tcBorders>
              <w:top w:val="single" w:color="auto" w:sz="4" w:space="0"/>
              <w:left w:val="single" w:color="auto" w:sz="4" w:space="0"/>
              <w:bottom w:val="single" w:color="auto" w:sz="4" w:space="0"/>
              <w:right w:val="single" w:color="auto" w:sz="4" w:space="0"/>
            </w:tcBorders>
            <w:noWrap/>
            <w:vAlign w:val="center"/>
          </w:tcPr>
          <w:p w14:paraId="52DC04BE">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57EDB75D">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51D770EA">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75258298">
            <w:pPr>
              <w:autoSpaceDN w:val="0"/>
              <w:spacing w:line="400" w:lineRule="exact"/>
              <w:jc w:val="center"/>
              <w:rPr>
                <w:rFonts w:ascii="仿宋" w:hAnsi="仿宋" w:eastAsia="仿宋" w:cs="Times New Roman"/>
                <w:b/>
                <w:color w:val="auto"/>
                <w:kern w:val="0"/>
                <w:sz w:val="24"/>
                <w:szCs w:val="24"/>
                <w:highlight w:val="none"/>
              </w:rPr>
            </w:pPr>
          </w:p>
        </w:tc>
      </w:tr>
      <w:tr w14:paraId="546B9D93">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7B8239E6">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w:t>
            </w:r>
          </w:p>
        </w:tc>
        <w:tc>
          <w:tcPr>
            <w:tcW w:w="2565" w:type="dxa"/>
            <w:tcBorders>
              <w:top w:val="single" w:color="auto" w:sz="4" w:space="0"/>
              <w:left w:val="single" w:color="auto" w:sz="4" w:space="0"/>
              <w:bottom w:val="single" w:color="auto" w:sz="4" w:space="0"/>
              <w:right w:val="single" w:color="auto" w:sz="4" w:space="0"/>
            </w:tcBorders>
            <w:noWrap/>
            <w:vAlign w:val="center"/>
          </w:tcPr>
          <w:p w14:paraId="3174CB55">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76378128">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6BAB9F52">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6C2EC36A">
            <w:pPr>
              <w:autoSpaceDN w:val="0"/>
              <w:spacing w:line="400" w:lineRule="exact"/>
              <w:jc w:val="center"/>
              <w:rPr>
                <w:rFonts w:ascii="仿宋" w:hAnsi="仿宋" w:eastAsia="仿宋" w:cs="Times New Roman"/>
                <w:b/>
                <w:color w:val="auto"/>
                <w:kern w:val="0"/>
                <w:sz w:val="24"/>
                <w:szCs w:val="24"/>
                <w:highlight w:val="none"/>
              </w:rPr>
            </w:pPr>
          </w:p>
        </w:tc>
      </w:tr>
      <w:tr w14:paraId="7ECB8FE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0C6BC1FD">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w:t>
            </w:r>
          </w:p>
        </w:tc>
        <w:tc>
          <w:tcPr>
            <w:tcW w:w="2565" w:type="dxa"/>
            <w:tcBorders>
              <w:top w:val="single" w:color="auto" w:sz="4" w:space="0"/>
              <w:left w:val="single" w:color="auto" w:sz="4" w:space="0"/>
              <w:bottom w:val="single" w:color="auto" w:sz="4" w:space="0"/>
              <w:right w:val="single" w:color="auto" w:sz="4" w:space="0"/>
            </w:tcBorders>
            <w:noWrap/>
            <w:vAlign w:val="center"/>
          </w:tcPr>
          <w:p w14:paraId="37B59488">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03B70131">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29D5C29D">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0124BF83">
            <w:pPr>
              <w:autoSpaceDN w:val="0"/>
              <w:spacing w:line="400" w:lineRule="exact"/>
              <w:jc w:val="center"/>
              <w:rPr>
                <w:rFonts w:ascii="仿宋" w:hAnsi="仿宋" w:eastAsia="仿宋" w:cs="Times New Roman"/>
                <w:b/>
                <w:color w:val="auto"/>
                <w:kern w:val="0"/>
                <w:sz w:val="24"/>
                <w:szCs w:val="24"/>
                <w:highlight w:val="none"/>
              </w:rPr>
            </w:pPr>
          </w:p>
        </w:tc>
      </w:tr>
      <w:tr w14:paraId="464CB76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4" w:space="0"/>
              <w:right w:val="single" w:color="auto" w:sz="4" w:space="0"/>
            </w:tcBorders>
            <w:noWrap/>
            <w:vAlign w:val="center"/>
          </w:tcPr>
          <w:p w14:paraId="737680B7">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w:t>
            </w:r>
          </w:p>
        </w:tc>
        <w:tc>
          <w:tcPr>
            <w:tcW w:w="2565" w:type="dxa"/>
            <w:tcBorders>
              <w:top w:val="single" w:color="auto" w:sz="4" w:space="0"/>
              <w:left w:val="single" w:color="auto" w:sz="4" w:space="0"/>
              <w:bottom w:val="single" w:color="auto" w:sz="4" w:space="0"/>
              <w:right w:val="single" w:color="auto" w:sz="4" w:space="0"/>
            </w:tcBorders>
            <w:noWrap/>
            <w:vAlign w:val="center"/>
          </w:tcPr>
          <w:p w14:paraId="5ACA3CD1">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4" w:space="0"/>
              <w:right w:val="single" w:color="auto" w:sz="4" w:space="0"/>
            </w:tcBorders>
            <w:noWrap/>
            <w:vAlign w:val="center"/>
          </w:tcPr>
          <w:p w14:paraId="025D7A8D">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4" w:space="0"/>
              <w:right w:val="single" w:color="auto" w:sz="4" w:space="0"/>
            </w:tcBorders>
            <w:noWrap/>
            <w:vAlign w:val="center"/>
          </w:tcPr>
          <w:p w14:paraId="01B9E8AE">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4" w:space="0"/>
              <w:right w:val="single" w:color="auto" w:sz="2" w:space="0"/>
            </w:tcBorders>
            <w:noWrap/>
            <w:vAlign w:val="center"/>
          </w:tcPr>
          <w:p w14:paraId="3950F64E">
            <w:pPr>
              <w:autoSpaceDN w:val="0"/>
              <w:spacing w:line="400" w:lineRule="exact"/>
              <w:jc w:val="center"/>
              <w:rPr>
                <w:rFonts w:ascii="仿宋" w:hAnsi="仿宋" w:eastAsia="仿宋" w:cs="Times New Roman"/>
                <w:b/>
                <w:color w:val="auto"/>
                <w:kern w:val="0"/>
                <w:sz w:val="24"/>
                <w:szCs w:val="24"/>
                <w:highlight w:val="none"/>
              </w:rPr>
            </w:pPr>
          </w:p>
        </w:tc>
      </w:tr>
      <w:tr w14:paraId="3C512DDE">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1" w:type="dxa"/>
            <w:tcBorders>
              <w:top w:val="single" w:color="auto" w:sz="4" w:space="0"/>
              <w:left w:val="single" w:color="auto" w:sz="2" w:space="0"/>
              <w:bottom w:val="single" w:color="auto" w:sz="2" w:space="0"/>
              <w:right w:val="single" w:color="auto" w:sz="4" w:space="0"/>
            </w:tcBorders>
            <w:noWrap/>
            <w:vAlign w:val="center"/>
          </w:tcPr>
          <w:p w14:paraId="1A5F0A0C">
            <w:pPr>
              <w:autoSpaceDN w:val="0"/>
              <w:spacing w:line="400" w:lineRule="exact"/>
              <w:jc w:val="center"/>
              <w:rPr>
                <w:rFonts w:ascii="仿宋" w:hAnsi="仿宋" w:eastAsia="仿宋" w:cs="Times New Roman"/>
                <w:b/>
                <w:color w:val="auto"/>
                <w:kern w:val="0"/>
                <w:sz w:val="24"/>
                <w:szCs w:val="24"/>
                <w:highlight w:val="none"/>
              </w:rPr>
            </w:pPr>
            <w:r>
              <w:rPr>
                <w:rFonts w:hint="eastAsia" w:ascii="仿宋" w:hAnsi="仿宋" w:eastAsia="仿宋" w:cs="Times New Roman"/>
                <w:b/>
                <w:color w:val="auto"/>
                <w:kern w:val="0"/>
                <w:sz w:val="24"/>
                <w:szCs w:val="24"/>
                <w:highlight w:val="none"/>
              </w:rPr>
              <w:t>…</w:t>
            </w:r>
          </w:p>
        </w:tc>
        <w:tc>
          <w:tcPr>
            <w:tcW w:w="2565" w:type="dxa"/>
            <w:tcBorders>
              <w:top w:val="single" w:color="auto" w:sz="4" w:space="0"/>
              <w:left w:val="single" w:color="auto" w:sz="4" w:space="0"/>
              <w:bottom w:val="single" w:color="auto" w:sz="2" w:space="0"/>
              <w:right w:val="single" w:color="auto" w:sz="4" w:space="0"/>
            </w:tcBorders>
            <w:noWrap/>
            <w:vAlign w:val="center"/>
          </w:tcPr>
          <w:p w14:paraId="3F76CA46">
            <w:pPr>
              <w:autoSpaceDN w:val="0"/>
              <w:spacing w:line="400" w:lineRule="exact"/>
              <w:jc w:val="center"/>
              <w:rPr>
                <w:rFonts w:ascii="仿宋" w:hAnsi="仿宋" w:eastAsia="仿宋" w:cs="Times New Roman"/>
                <w:b/>
                <w:color w:val="auto"/>
                <w:kern w:val="0"/>
                <w:sz w:val="24"/>
                <w:szCs w:val="24"/>
                <w:highlight w:val="none"/>
              </w:rPr>
            </w:pPr>
          </w:p>
        </w:tc>
        <w:tc>
          <w:tcPr>
            <w:tcW w:w="2606" w:type="dxa"/>
            <w:tcBorders>
              <w:top w:val="single" w:color="auto" w:sz="4" w:space="0"/>
              <w:left w:val="single" w:color="auto" w:sz="4" w:space="0"/>
              <w:bottom w:val="single" w:color="auto" w:sz="2" w:space="0"/>
              <w:right w:val="single" w:color="auto" w:sz="4" w:space="0"/>
            </w:tcBorders>
            <w:noWrap/>
            <w:vAlign w:val="center"/>
          </w:tcPr>
          <w:p w14:paraId="66EE6F47">
            <w:pPr>
              <w:autoSpaceDN w:val="0"/>
              <w:spacing w:line="400" w:lineRule="exact"/>
              <w:jc w:val="center"/>
              <w:rPr>
                <w:rFonts w:ascii="仿宋" w:hAnsi="仿宋" w:eastAsia="仿宋" w:cs="Times New Roman"/>
                <w:b/>
                <w:color w:val="auto"/>
                <w:kern w:val="0"/>
                <w:sz w:val="24"/>
                <w:szCs w:val="24"/>
                <w:highlight w:val="none"/>
              </w:rPr>
            </w:pPr>
          </w:p>
        </w:tc>
        <w:tc>
          <w:tcPr>
            <w:tcW w:w="1437" w:type="dxa"/>
            <w:tcBorders>
              <w:top w:val="single" w:color="auto" w:sz="4" w:space="0"/>
              <w:left w:val="single" w:color="auto" w:sz="4" w:space="0"/>
              <w:bottom w:val="single" w:color="auto" w:sz="2" w:space="0"/>
              <w:right w:val="single" w:color="auto" w:sz="4" w:space="0"/>
            </w:tcBorders>
            <w:noWrap/>
            <w:vAlign w:val="center"/>
          </w:tcPr>
          <w:p w14:paraId="313BC54D">
            <w:pPr>
              <w:autoSpaceDN w:val="0"/>
              <w:spacing w:line="400" w:lineRule="exact"/>
              <w:jc w:val="center"/>
              <w:rPr>
                <w:rFonts w:ascii="仿宋" w:hAnsi="仿宋" w:eastAsia="仿宋" w:cs="Times New Roman"/>
                <w:b/>
                <w:color w:val="auto"/>
                <w:kern w:val="0"/>
                <w:sz w:val="24"/>
                <w:szCs w:val="24"/>
                <w:highlight w:val="none"/>
              </w:rPr>
            </w:pPr>
          </w:p>
        </w:tc>
        <w:tc>
          <w:tcPr>
            <w:tcW w:w="1857" w:type="dxa"/>
            <w:tcBorders>
              <w:top w:val="single" w:color="auto" w:sz="4" w:space="0"/>
              <w:left w:val="single" w:color="auto" w:sz="4" w:space="0"/>
              <w:bottom w:val="single" w:color="auto" w:sz="2" w:space="0"/>
              <w:right w:val="single" w:color="auto" w:sz="2" w:space="0"/>
            </w:tcBorders>
            <w:noWrap/>
            <w:vAlign w:val="center"/>
          </w:tcPr>
          <w:p w14:paraId="01D52FD3">
            <w:pPr>
              <w:autoSpaceDN w:val="0"/>
              <w:spacing w:line="400" w:lineRule="exact"/>
              <w:jc w:val="center"/>
              <w:rPr>
                <w:rFonts w:ascii="仿宋" w:hAnsi="仿宋" w:eastAsia="仿宋" w:cs="Times New Roman"/>
                <w:b/>
                <w:color w:val="auto"/>
                <w:kern w:val="0"/>
                <w:sz w:val="24"/>
                <w:szCs w:val="24"/>
                <w:highlight w:val="none"/>
              </w:rPr>
            </w:pPr>
          </w:p>
        </w:tc>
      </w:tr>
    </w:tbl>
    <w:p w14:paraId="2088E212">
      <w:pPr>
        <w:autoSpaceDN w:val="0"/>
        <w:spacing w:line="360" w:lineRule="auto"/>
        <w:rPr>
          <w:rFonts w:ascii="仿宋" w:hAnsi="仿宋" w:eastAsia="仿宋" w:cs="Times New Roman"/>
          <w:b/>
          <w:color w:val="auto"/>
          <w:w w:val="90"/>
          <w:kern w:val="0"/>
          <w:sz w:val="24"/>
          <w:szCs w:val="24"/>
          <w:highlight w:val="none"/>
          <w:lang w:val="zh-CN"/>
        </w:rPr>
      </w:pPr>
      <w:r>
        <w:rPr>
          <w:rFonts w:hint="eastAsia" w:ascii="仿宋" w:hAnsi="仿宋" w:eastAsia="仿宋" w:cs="Times New Roman"/>
          <w:b/>
          <w:color w:val="auto"/>
          <w:w w:val="90"/>
          <w:kern w:val="0"/>
          <w:sz w:val="24"/>
          <w:szCs w:val="24"/>
          <w:highlight w:val="none"/>
          <w:lang w:val="zh-CN"/>
        </w:rPr>
        <w:t>备注：根据磋商文件要求，如有偏离均应填写偏离表，不填写或未提供偏离表均视为无偏离且完全响应磋商文件要求。</w:t>
      </w:r>
    </w:p>
    <w:p w14:paraId="65B751EB">
      <w:pPr>
        <w:autoSpaceDN w:val="0"/>
        <w:rPr>
          <w:rFonts w:ascii="仿宋" w:hAnsi="仿宋" w:eastAsia="仿宋" w:cs="Times New Roman"/>
          <w:color w:val="auto"/>
          <w:szCs w:val="24"/>
          <w:highlight w:val="none"/>
        </w:rPr>
      </w:pPr>
    </w:p>
    <w:p w14:paraId="0BDF20F3">
      <w:pPr>
        <w:autoSpaceDE w:val="0"/>
        <w:autoSpaceDN w:val="0"/>
        <w:adjustRightInd w:val="0"/>
        <w:jc w:val="left"/>
        <w:rPr>
          <w:rFonts w:ascii="仿宋" w:hAnsi="仿宋" w:eastAsia="仿宋" w:cs="..ì."/>
          <w:color w:val="auto"/>
          <w:sz w:val="24"/>
          <w:szCs w:val="24"/>
          <w:highlight w:val="none"/>
        </w:rPr>
      </w:pPr>
    </w:p>
    <w:p w14:paraId="1C00ED67">
      <w:pPr>
        <w:autoSpaceDN w:val="0"/>
        <w:snapToGrid w:val="0"/>
        <w:spacing w:line="360" w:lineRule="auto"/>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磋商响应供应商名称（盖章）：</w:t>
      </w:r>
      <w:r>
        <w:rPr>
          <w:rFonts w:hint="eastAsia" w:ascii="仿宋" w:hAnsi="仿宋" w:eastAsia="仿宋" w:cs="Times New Roman"/>
          <w:color w:val="auto"/>
          <w:w w:val="90"/>
          <w:kern w:val="0"/>
          <w:sz w:val="22"/>
          <w:highlight w:val="none"/>
        </w:rPr>
        <w:t>_______________________________</w:t>
      </w:r>
    </w:p>
    <w:p w14:paraId="0BFBFB5E">
      <w:pPr>
        <w:autoSpaceDE w:val="0"/>
        <w:autoSpaceDN w:val="0"/>
        <w:adjustRightInd w:val="0"/>
        <w:spacing w:line="360" w:lineRule="auto"/>
        <w:jc w:val="left"/>
        <w:rPr>
          <w:rFonts w:ascii="仿宋" w:hAnsi="仿宋" w:eastAsia="仿宋" w:cs="Times New Roman"/>
          <w:color w:val="auto"/>
          <w:w w:val="90"/>
          <w:kern w:val="0"/>
          <w:sz w:val="22"/>
          <w:highlight w:val="none"/>
        </w:rPr>
      </w:pPr>
      <w:r>
        <w:rPr>
          <w:rFonts w:hint="eastAsia" w:ascii="仿宋" w:hAnsi="仿宋" w:eastAsia="仿宋" w:cs="Times New Roman"/>
          <w:color w:val="auto"/>
          <w:sz w:val="24"/>
          <w:szCs w:val="28"/>
          <w:highlight w:val="none"/>
        </w:rPr>
        <w:t>日期：</w:t>
      </w:r>
      <w:r>
        <w:rPr>
          <w:rFonts w:hint="eastAsia" w:ascii="仿宋" w:hAnsi="仿宋" w:eastAsia="仿宋" w:cs="Times New Roman"/>
          <w:color w:val="auto"/>
          <w:w w:val="90"/>
          <w:kern w:val="0"/>
          <w:sz w:val="22"/>
          <w:highlight w:val="none"/>
        </w:rPr>
        <w:t>_______________________________</w:t>
      </w:r>
    </w:p>
    <w:p w14:paraId="31582047">
      <w:pPr>
        <w:widowControl/>
        <w:jc w:val="left"/>
        <w:rPr>
          <w:rFonts w:ascii="仿宋" w:hAnsi="仿宋" w:eastAsia="仿宋" w:cs="Times New Roman"/>
          <w:color w:val="auto"/>
          <w:kern w:val="0"/>
          <w:highlight w:val="none"/>
        </w:rPr>
        <w:sectPr>
          <w:pgSz w:w="11906" w:h="16838"/>
          <w:pgMar w:top="1440" w:right="1416" w:bottom="1440" w:left="1560" w:header="851" w:footer="1077" w:gutter="0"/>
          <w:cols w:space="720" w:num="1"/>
          <w:docGrid w:linePitch="286" w:charSpace="0"/>
        </w:sectPr>
      </w:pPr>
    </w:p>
    <w:p w14:paraId="459DE31C">
      <w:pPr>
        <w:keepNext/>
        <w:keepLines/>
        <w:autoSpaceDN w:val="0"/>
        <w:spacing w:before="260" w:after="260" w:line="415" w:lineRule="auto"/>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2-8.施工组织设计</w:t>
      </w:r>
    </w:p>
    <w:p w14:paraId="3473AE00">
      <w:pPr>
        <w:tabs>
          <w:tab w:val="left" w:pos="720"/>
        </w:tabs>
        <w:autoSpaceDN w:val="0"/>
        <w:spacing w:line="440" w:lineRule="exact"/>
        <w:ind w:firstLine="440" w:firstLineChars="200"/>
        <w:rPr>
          <w:rFonts w:ascii="仿宋" w:hAnsi="仿宋" w:eastAsia="仿宋" w:cs="Times New Roman"/>
          <w:color w:val="auto"/>
          <w:sz w:val="22"/>
          <w:highlight w:val="none"/>
        </w:rPr>
      </w:pPr>
      <w:r>
        <w:rPr>
          <w:rFonts w:hint="eastAsia" w:ascii="仿宋" w:hAnsi="仿宋" w:eastAsia="仿宋" w:cs="Times New Roman"/>
          <w:color w:val="auto"/>
          <w:sz w:val="22"/>
          <w:highlight w:val="none"/>
        </w:rPr>
        <w:t xml:space="preserve">1. </w:t>
      </w:r>
      <w:r>
        <w:rPr>
          <w:rFonts w:hint="eastAsia" w:ascii="仿宋" w:hAnsi="仿宋" w:eastAsia="仿宋" w:cs="Times New Roman"/>
          <w:color w:val="auto"/>
          <w:sz w:val="22"/>
          <w:highlight w:val="none"/>
        </w:rPr>
        <w:tab/>
      </w:r>
      <w:r>
        <w:rPr>
          <w:rFonts w:hint="eastAsia" w:ascii="仿宋" w:hAnsi="仿宋" w:eastAsia="仿宋" w:cs="Times New Roman"/>
          <w:color w:val="auto"/>
          <w:sz w:val="22"/>
          <w:highlight w:val="none"/>
        </w:rPr>
        <w:t>磋商响应供应商编制施工组织设计的要求：编制时应采用文字并结合图表形式说明施工方法；拟投入的主要施工设备情况、拟配备的试验和检测仪器设备情况、劳动力计划等；结合工程特点提出切实可行的工程质量、安全生产、文明施工、工程进度、技术组织措施、成品保护方案（防尘、防潮措施等），同时应对关键工序、复杂环节重点提出相应技术措施，如冬雨季施工技术、减少噪音、降低环境污染、地下管线及其他地上地下设施的保护加固措施等。</w:t>
      </w:r>
    </w:p>
    <w:p w14:paraId="6DF1E1F0">
      <w:pPr>
        <w:tabs>
          <w:tab w:val="left" w:pos="720"/>
        </w:tabs>
        <w:autoSpaceDN w:val="0"/>
        <w:spacing w:line="440" w:lineRule="exact"/>
        <w:ind w:firstLine="440" w:firstLineChars="200"/>
        <w:rPr>
          <w:rFonts w:ascii="仿宋" w:hAnsi="仿宋" w:eastAsia="仿宋" w:cs="Times New Roman"/>
          <w:color w:val="auto"/>
          <w:sz w:val="22"/>
          <w:highlight w:val="none"/>
        </w:rPr>
      </w:pPr>
      <w:r>
        <w:rPr>
          <w:rFonts w:hint="eastAsia" w:ascii="仿宋" w:hAnsi="仿宋" w:eastAsia="仿宋" w:cs="Times New Roman"/>
          <w:color w:val="auto"/>
          <w:sz w:val="22"/>
          <w:highlight w:val="none"/>
        </w:rPr>
        <w:t xml:space="preserve">2. </w:t>
      </w:r>
      <w:r>
        <w:rPr>
          <w:rFonts w:hint="eastAsia" w:ascii="仿宋" w:hAnsi="仿宋" w:eastAsia="仿宋" w:cs="Times New Roman"/>
          <w:color w:val="auto"/>
          <w:sz w:val="22"/>
          <w:highlight w:val="none"/>
        </w:rPr>
        <w:tab/>
      </w:r>
      <w:r>
        <w:rPr>
          <w:rFonts w:hint="eastAsia" w:ascii="仿宋" w:hAnsi="仿宋" w:eastAsia="仿宋" w:cs="Times New Roman"/>
          <w:color w:val="auto"/>
          <w:sz w:val="22"/>
          <w:highlight w:val="none"/>
        </w:rPr>
        <w:t>施工组织设计除采用文字表述外可附下列图表，图表及格式要求附后。</w:t>
      </w:r>
    </w:p>
    <w:p w14:paraId="7D672E89">
      <w:pPr>
        <w:tabs>
          <w:tab w:val="left" w:pos="720"/>
        </w:tabs>
        <w:autoSpaceDN w:val="0"/>
        <w:spacing w:line="440" w:lineRule="exact"/>
        <w:ind w:firstLine="792" w:firstLineChars="360"/>
        <w:rPr>
          <w:rFonts w:ascii="仿宋" w:hAnsi="仿宋" w:eastAsia="仿宋" w:cs="Times New Roman"/>
          <w:color w:val="auto"/>
          <w:sz w:val="22"/>
          <w:highlight w:val="none"/>
        </w:rPr>
      </w:pPr>
      <w:r>
        <w:rPr>
          <w:rFonts w:hint="eastAsia" w:ascii="仿宋" w:hAnsi="仿宋" w:eastAsia="仿宋" w:cs="Times New Roman"/>
          <w:color w:val="auto"/>
          <w:sz w:val="22"/>
          <w:highlight w:val="none"/>
        </w:rPr>
        <w:t>附表一  拟投入的主要施工设备表</w:t>
      </w:r>
    </w:p>
    <w:p w14:paraId="78DA26BC">
      <w:pPr>
        <w:tabs>
          <w:tab w:val="left" w:pos="720"/>
        </w:tabs>
        <w:autoSpaceDN w:val="0"/>
        <w:spacing w:line="440" w:lineRule="exact"/>
        <w:ind w:firstLine="792" w:firstLineChars="360"/>
        <w:rPr>
          <w:rFonts w:ascii="仿宋" w:hAnsi="仿宋" w:eastAsia="仿宋" w:cs="Times New Roman"/>
          <w:color w:val="auto"/>
          <w:sz w:val="22"/>
          <w:highlight w:val="none"/>
        </w:rPr>
      </w:pPr>
      <w:r>
        <w:rPr>
          <w:rFonts w:hint="eastAsia" w:ascii="仿宋" w:hAnsi="仿宋" w:eastAsia="仿宋" w:cs="Times New Roman"/>
          <w:color w:val="auto"/>
          <w:sz w:val="22"/>
          <w:highlight w:val="none"/>
        </w:rPr>
        <w:t>附表二  拟配备的试验和检测仪器设备表</w:t>
      </w:r>
    </w:p>
    <w:p w14:paraId="65F3CDC2">
      <w:pPr>
        <w:tabs>
          <w:tab w:val="left" w:pos="720"/>
        </w:tabs>
        <w:autoSpaceDN w:val="0"/>
        <w:spacing w:line="440" w:lineRule="exact"/>
        <w:ind w:firstLine="792" w:firstLineChars="360"/>
        <w:rPr>
          <w:rFonts w:ascii="仿宋" w:hAnsi="仿宋" w:eastAsia="仿宋" w:cs="Times New Roman"/>
          <w:color w:val="auto"/>
          <w:sz w:val="22"/>
          <w:highlight w:val="none"/>
        </w:rPr>
      </w:pPr>
      <w:r>
        <w:rPr>
          <w:rFonts w:hint="eastAsia" w:ascii="仿宋" w:hAnsi="仿宋" w:eastAsia="仿宋" w:cs="Times New Roman"/>
          <w:color w:val="auto"/>
          <w:sz w:val="22"/>
          <w:highlight w:val="none"/>
        </w:rPr>
        <w:t>附表三  项目管理班子配备情况表</w:t>
      </w:r>
    </w:p>
    <w:p w14:paraId="367370C6">
      <w:pPr>
        <w:tabs>
          <w:tab w:val="left" w:pos="720"/>
        </w:tabs>
        <w:autoSpaceDN w:val="0"/>
        <w:spacing w:line="440" w:lineRule="exact"/>
        <w:ind w:firstLine="792" w:firstLineChars="360"/>
        <w:rPr>
          <w:rFonts w:ascii="仿宋" w:hAnsi="仿宋" w:eastAsia="仿宋" w:cs="Times New Roman"/>
          <w:color w:val="auto"/>
          <w:sz w:val="22"/>
          <w:highlight w:val="none"/>
        </w:rPr>
      </w:pPr>
      <w:r>
        <w:rPr>
          <w:rFonts w:hint="eastAsia" w:ascii="仿宋" w:hAnsi="仿宋" w:eastAsia="仿宋" w:cs="Times New Roman"/>
          <w:color w:val="auto"/>
          <w:sz w:val="22"/>
          <w:highlight w:val="none"/>
        </w:rPr>
        <w:t>附表四、项目经理简历表</w:t>
      </w:r>
    </w:p>
    <w:p w14:paraId="6038F527">
      <w:pPr>
        <w:tabs>
          <w:tab w:val="left" w:pos="720"/>
        </w:tabs>
        <w:autoSpaceDN w:val="0"/>
        <w:spacing w:line="440" w:lineRule="exact"/>
        <w:ind w:firstLine="792" w:firstLineChars="360"/>
        <w:rPr>
          <w:rFonts w:ascii="仿宋" w:hAnsi="仿宋" w:eastAsia="仿宋" w:cs="Times New Roman"/>
          <w:color w:val="auto"/>
          <w:sz w:val="22"/>
          <w:highlight w:val="none"/>
        </w:rPr>
      </w:pPr>
      <w:r>
        <w:rPr>
          <w:rFonts w:hint="eastAsia" w:ascii="仿宋" w:hAnsi="仿宋" w:eastAsia="仿宋" w:cs="Times New Roman"/>
          <w:color w:val="auto"/>
          <w:sz w:val="22"/>
          <w:highlight w:val="none"/>
        </w:rPr>
        <w:t>附表五、技术负责人简历表</w:t>
      </w:r>
    </w:p>
    <w:p w14:paraId="4E2BF212">
      <w:pPr>
        <w:tabs>
          <w:tab w:val="left" w:pos="720"/>
        </w:tabs>
        <w:autoSpaceDN w:val="0"/>
        <w:spacing w:line="440" w:lineRule="exact"/>
        <w:ind w:firstLine="792" w:firstLineChars="360"/>
        <w:rPr>
          <w:rFonts w:ascii="仿宋" w:hAnsi="仿宋" w:eastAsia="仿宋" w:cs="Times New Roman"/>
          <w:color w:val="auto"/>
          <w:sz w:val="22"/>
          <w:highlight w:val="none"/>
        </w:rPr>
      </w:pPr>
      <w:r>
        <w:rPr>
          <w:rFonts w:hint="eastAsia" w:ascii="仿宋" w:hAnsi="仿宋" w:eastAsia="仿宋" w:cs="Times New Roman"/>
          <w:color w:val="auto"/>
          <w:sz w:val="22"/>
          <w:highlight w:val="none"/>
        </w:rPr>
        <w:t>附表六：计划开、竣工日期和施工进度网络图</w:t>
      </w:r>
    </w:p>
    <w:p w14:paraId="6BCC0ACC">
      <w:pPr>
        <w:tabs>
          <w:tab w:val="left" w:pos="720"/>
        </w:tabs>
        <w:autoSpaceDN w:val="0"/>
        <w:spacing w:line="440" w:lineRule="exact"/>
        <w:jc w:val="left"/>
        <w:rPr>
          <w:rFonts w:ascii="仿宋" w:hAnsi="仿宋" w:eastAsia="仿宋" w:cs="Times New Roman"/>
          <w:color w:val="auto"/>
          <w:sz w:val="22"/>
          <w:highlight w:val="none"/>
        </w:rPr>
      </w:pPr>
      <w:bookmarkStart w:id="110" w:name="_Toc144974865"/>
      <w:bookmarkStart w:id="111" w:name="_Toc152045797"/>
      <w:bookmarkStart w:id="112" w:name="_Toc152042586"/>
      <w:bookmarkStart w:id="113" w:name="_Toc246392155"/>
      <w:bookmarkStart w:id="114" w:name="_Toc179632817"/>
      <w:r>
        <w:rPr>
          <w:rFonts w:hint="eastAsia" w:ascii="仿宋" w:hAnsi="仿宋" w:eastAsia="仿宋" w:cs="Times New Roman"/>
          <w:b/>
          <w:bCs/>
          <w:color w:val="auto"/>
          <w:sz w:val="22"/>
          <w:highlight w:val="none"/>
        </w:rPr>
        <w:t>附表一：拟投入的主要施工设备表</w:t>
      </w:r>
      <w:bookmarkEnd w:id="110"/>
      <w:bookmarkEnd w:id="111"/>
      <w:bookmarkEnd w:id="112"/>
      <w:bookmarkEnd w:id="113"/>
      <w:bookmarkEnd w:id="114"/>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1107"/>
        <w:gridCol w:w="776"/>
        <w:gridCol w:w="802"/>
        <w:gridCol w:w="684"/>
        <w:gridCol w:w="754"/>
        <w:gridCol w:w="1098"/>
        <w:gridCol w:w="892"/>
        <w:gridCol w:w="1035"/>
        <w:gridCol w:w="699"/>
      </w:tblGrid>
      <w:tr w14:paraId="28203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681" w:type="dxa"/>
            <w:tcBorders>
              <w:top w:val="single" w:color="auto" w:sz="4" w:space="0"/>
              <w:left w:val="single" w:color="auto" w:sz="4" w:space="0"/>
              <w:bottom w:val="single" w:color="auto" w:sz="4" w:space="0"/>
              <w:right w:val="single" w:color="auto" w:sz="4" w:space="0"/>
            </w:tcBorders>
            <w:noWrap/>
            <w:vAlign w:val="center"/>
          </w:tcPr>
          <w:p w14:paraId="1E00D06F">
            <w:pPr>
              <w:autoSpaceDN w:val="0"/>
              <w:spacing w:line="440" w:lineRule="exact"/>
              <w:rPr>
                <w:rFonts w:ascii="仿宋" w:hAnsi="仿宋" w:eastAsia="仿宋" w:cs="Times New Roman"/>
                <w:color w:val="auto"/>
                <w:sz w:val="22"/>
                <w:highlight w:val="none"/>
              </w:rPr>
            </w:pPr>
            <w:r>
              <w:rPr>
                <w:rFonts w:hint="eastAsia" w:ascii="仿宋" w:hAnsi="仿宋" w:eastAsia="仿宋" w:cs="Times New Roman"/>
                <w:color w:val="auto"/>
                <w:sz w:val="22"/>
                <w:highlight w:val="none"/>
              </w:rPr>
              <w:t>序号</w:t>
            </w:r>
          </w:p>
        </w:tc>
        <w:tc>
          <w:tcPr>
            <w:tcW w:w="1107" w:type="dxa"/>
            <w:tcBorders>
              <w:top w:val="single" w:color="auto" w:sz="4" w:space="0"/>
              <w:left w:val="single" w:color="auto" w:sz="4" w:space="0"/>
              <w:bottom w:val="single" w:color="auto" w:sz="4" w:space="0"/>
              <w:right w:val="single" w:color="auto" w:sz="4" w:space="0"/>
            </w:tcBorders>
            <w:noWrap/>
            <w:vAlign w:val="center"/>
          </w:tcPr>
          <w:p w14:paraId="1660B1E7">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设备名称</w:t>
            </w:r>
          </w:p>
        </w:tc>
        <w:tc>
          <w:tcPr>
            <w:tcW w:w="776" w:type="dxa"/>
            <w:tcBorders>
              <w:top w:val="single" w:color="auto" w:sz="4" w:space="0"/>
              <w:left w:val="single" w:color="auto" w:sz="4" w:space="0"/>
              <w:bottom w:val="single" w:color="auto" w:sz="4" w:space="0"/>
              <w:right w:val="single" w:color="auto" w:sz="4" w:space="0"/>
            </w:tcBorders>
            <w:noWrap/>
            <w:vAlign w:val="center"/>
          </w:tcPr>
          <w:p w14:paraId="658643C7">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型号</w:t>
            </w:r>
          </w:p>
          <w:p w14:paraId="39084C24">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规格</w:t>
            </w:r>
          </w:p>
        </w:tc>
        <w:tc>
          <w:tcPr>
            <w:tcW w:w="802" w:type="dxa"/>
            <w:tcBorders>
              <w:top w:val="single" w:color="auto" w:sz="4" w:space="0"/>
              <w:left w:val="single" w:color="auto" w:sz="4" w:space="0"/>
              <w:bottom w:val="single" w:color="auto" w:sz="4" w:space="0"/>
              <w:right w:val="single" w:color="auto" w:sz="4" w:space="0"/>
            </w:tcBorders>
            <w:noWrap/>
            <w:vAlign w:val="center"/>
          </w:tcPr>
          <w:p w14:paraId="2BECC41D">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数量</w:t>
            </w:r>
          </w:p>
        </w:tc>
        <w:tc>
          <w:tcPr>
            <w:tcW w:w="684" w:type="dxa"/>
            <w:tcBorders>
              <w:top w:val="single" w:color="auto" w:sz="4" w:space="0"/>
              <w:left w:val="single" w:color="auto" w:sz="4" w:space="0"/>
              <w:bottom w:val="single" w:color="auto" w:sz="4" w:space="0"/>
              <w:right w:val="single" w:color="auto" w:sz="4" w:space="0"/>
            </w:tcBorders>
            <w:noWrap/>
            <w:vAlign w:val="center"/>
          </w:tcPr>
          <w:p w14:paraId="19353B7C">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国别</w:t>
            </w:r>
          </w:p>
          <w:p w14:paraId="6003F988">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产地</w:t>
            </w:r>
          </w:p>
        </w:tc>
        <w:tc>
          <w:tcPr>
            <w:tcW w:w="754" w:type="dxa"/>
            <w:tcBorders>
              <w:top w:val="single" w:color="auto" w:sz="4" w:space="0"/>
              <w:left w:val="single" w:color="auto" w:sz="4" w:space="0"/>
              <w:bottom w:val="single" w:color="auto" w:sz="4" w:space="0"/>
              <w:right w:val="single" w:color="auto" w:sz="4" w:space="0"/>
            </w:tcBorders>
            <w:noWrap/>
            <w:vAlign w:val="center"/>
          </w:tcPr>
          <w:p w14:paraId="00F0E9A4">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制造</w:t>
            </w:r>
          </w:p>
          <w:p w14:paraId="6FD5EE4E">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年份</w:t>
            </w:r>
          </w:p>
        </w:tc>
        <w:tc>
          <w:tcPr>
            <w:tcW w:w="1098" w:type="dxa"/>
            <w:tcBorders>
              <w:top w:val="single" w:color="auto" w:sz="4" w:space="0"/>
              <w:left w:val="single" w:color="auto" w:sz="4" w:space="0"/>
              <w:bottom w:val="single" w:color="auto" w:sz="4" w:space="0"/>
              <w:right w:val="single" w:color="auto" w:sz="4" w:space="0"/>
            </w:tcBorders>
            <w:noWrap/>
            <w:vAlign w:val="center"/>
          </w:tcPr>
          <w:p w14:paraId="09D8B419">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额定功率（KW）</w:t>
            </w:r>
          </w:p>
        </w:tc>
        <w:tc>
          <w:tcPr>
            <w:tcW w:w="892" w:type="dxa"/>
            <w:tcBorders>
              <w:top w:val="single" w:color="auto" w:sz="4" w:space="0"/>
              <w:left w:val="single" w:color="auto" w:sz="4" w:space="0"/>
              <w:bottom w:val="single" w:color="auto" w:sz="4" w:space="0"/>
              <w:right w:val="single" w:color="auto" w:sz="4" w:space="0"/>
            </w:tcBorders>
            <w:noWrap/>
            <w:vAlign w:val="center"/>
          </w:tcPr>
          <w:p w14:paraId="05349F3F">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生产</w:t>
            </w:r>
          </w:p>
          <w:p w14:paraId="1E33DD9B">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能力</w:t>
            </w:r>
          </w:p>
        </w:tc>
        <w:tc>
          <w:tcPr>
            <w:tcW w:w="1035" w:type="dxa"/>
            <w:tcBorders>
              <w:top w:val="single" w:color="auto" w:sz="4" w:space="0"/>
              <w:left w:val="single" w:color="auto" w:sz="4" w:space="0"/>
              <w:bottom w:val="single" w:color="auto" w:sz="4" w:space="0"/>
              <w:right w:val="single" w:color="auto" w:sz="4" w:space="0"/>
            </w:tcBorders>
            <w:noWrap/>
            <w:vAlign w:val="center"/>
          </w:tcPr>
          <w:p w14:paraId="56221D9F">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用于施工部位</w:t>
            </w:r>
          </w:p>
        </w:tc>
        <w:tc>
          <w:tcPr>
            <w:tcW w:w="699" w:type="dxa"/>
            <w:tcBorders>
              <w:top w:val="single" w:color="auto" w:sz="4" w:space="0"/>
              <w:left w:val="single" w:color="auto" w:sz="4" w:space="0"/>
              <w:bottom w:val="single" w:color="auto" w:sz="4" w:space="0"/>
              <w:right w:val="single" w:color="auto" w:sz="4" w:space="0"/>
            </w:tcBorders>
            <w:noWrap/>
            <w:vAlign w:val="center"/>
          </w:tcPr>
          <w:p w14:paraId="271F85A5">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备注</w:t>
            </w:r>
          </w:p>
        </w:tc>
      </w:tr>
      <w:tr w14:paraId="4F726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81" w:type="dxa"/>
            <w:tcBorders>
              <w:top w:val="single" w:color="auto" w:sz="4" w:space="0"/>
              <w:left w:val="single" w:color="auto" w:sz="4" w:space="0"/>
              <w:bottom w:val="single" w:color="auto" w:sz="4" w:space="0"/>
              <w:right w:val="single" w:color="auto" w:sz="4" w:space="0"/>
            </w:tcBorders>
            <w:noWrap/>
            <w:vAlign w:val="center"/>
          </w:tcPr>
          <w:p w14:paraId="157891E3">
            <w:pPr>
              <w:autoSpaceDN w:val="0"/>
              <w:spacing w:line="440" w:lineRule="exact"/>
              <w:jc w:val="center"/>
              <w:rPr>
                <w:rFonts w:ascii="仿宋" w:hAnsi="仿宋" w:eastAsia="仿宋" w:cs="Times New Roman"/>
                <w:color w:val="auto"/>
                <w:sz w:val="22"/>
                <w:highlight w:val="none"/>
              </w:rPr>
            </w:pPr>
          </w:p>
        </w:tc>
        <w:tc>
          <w:tcPr>
            <w:tcW w:w="1107" w:type="dxa"/>
            <w:tcBorders>
              <w:top w:val="single" w:color="auto" w:sz="4" w:space="0"/>
              <w:left w:val="single" w:color="auto" w:sz="4" w:space="0"/>
              <w:bottom w:val="single" w:color="auto" w:sz="4" w:space="0"/>
              <w:right w:val="single" w:color="auto" w:sz="4" w:space="0"/>
            </w:tcBorders>
            <w:noWrap/>
            <w:vAlign w:val="center"/>
          </w:tcPr>
          <w:p w14:paraId="29ACAE5A">
            <w:pPr>
              <w:autoSpaceDN w:val="0"/>
              <w:spacing w:line="440" w:lineRule="exact"/>
              <w:jc w:val="center"/>
              <w:rPr>
                <w:rFonts w:ascii="仿宋" w:hAnsi="仿宋" w:eastAsia="仿宋" w:cs="Times New Roman"/>
                <w:color w:val="auto"/>
                <w:sz w:val="22"/>
                <w:highlight w:val="none"/>
              </w:rPr>
            </w:pPr>
          </w:p>
        </w:tc>
        <w:tc>
          <w:tcPr>
            <w:tcW w:w="776" w:type="dxa"/>
            <w:tcBorders>
              <w:top w:val="single" w:color="auto" w:sz="4" w:space="0"/>
              <w:left w:val="single" w:color="auto" w:sz="4" w:space="0"/>
              <w:bottom w:val="single" w:color="auto" w:sz="4" w:space="0"/>
              <w:right w:val="single" w:color="auto" w:sz="4" w:space="0"/>
            </w:tcBorders>
            <w:noWrap/>
            <w:vAlign w:val="center"/>
          </w:tcPr>
          <w:p w14:paraId="74EB6DA9">
            <w:pPr>
              <w:autoSpaceDN w:val="0"/>
              <w:spacing w:line="440" w:lineRule="exact"/>
              <w:jc w:val="center"/>
              <w:rPr>
                <w:rFonts w:ascii="仿宋" w:hAnsi="仿宋" w:eastAsia="仿宋" w:cs="Times New Roman"/>
                <w:color w:val="auto"/>
                <w:sz w:val="22"/>
                <w:highlight w:val="none"/>
              </w:rPr>
            </w:pPr>
          </w:p>
        </w:tc>
        <w:tc>
          <w:tcPr>
            <w:tcW w:w="802" w:type="dxa"/>
            <w:tcBorders>
              <w:top w:val="single" w:color="auto" w:sz="4" w:space="0"/>
              <w:left w:val="single" w:color="auto" w:sz="4" w:space="0"/>
              <w:bottom w:val="single" w:color="auto" w:sz="4" w:space="0"/>
              <w:right w:val="single" w:color="auto" w:sz="4" w:space="0"/>
            </w:tcBorders>
            <w:noWrap/>
            <w:vAlign w:val="center"/>
          </w:tcPr>
          <w:p w14:paraId="1D35638E">
            <w:pPr>
              <w:autoSpaceDN w:val="0"/>
              <w:spacing w:line="440" w:lineRule="exact"/>
              <w:jc w:val="center"/>
              <w:rPr>
                <w:rFonts w:ascii="仿宋" w:hAnsi="仿宋" w:eastAsia="仿宋" w:cs="Times New Roman"/>
                <w:color w:val="auto"/>
                <w:sz w:val="22"/>
                <w:highlight w:val="none"/>
              </w:rPr>
            </w:pPr>
          </w:p>
        </w:tc>
        <w:tc>
          <w:tcPr>
            <w:tcW w:w="684" w:type="dxa"/>
            <w:tcBorders>
              <w:top w:val="single" w:color="auto" w:sz="4" w:space="0"/>
              <w:left w:val="single" w:color="auto" w:sz="4" w:space="0"/>
              <w:bottom w:val="single" w:color="auto" w:sz="4" w:space="0"/>
              <w:right w:val="single" w:color="auto" w:sz="4" w:space="0"/>
            </w:tcBorders>
            <w:noWrap/>
            <w:vAlign w:val="center"/>
          </w:tcPr>
          <w:p w14:paraId="30470CC5">
            <w:pPr>
              <w:autoSpaceDN w:val="0"/>
              <w:spacing w:line="440" w:lineRule="exact"/>
              <w:jc w:val="center"/>
              <w:rPr>
                <w:rFonts w:ascii="仿宋" w:hAnsi="仿宋" w:eastAsia="仿宋" w:cs="Times New Roman"/>
                <w:color w:val="auto"/>
                <w:sz w:val="22"/>
                <w:highlight w:val="none"/>
              </w:rPr>
            </w:pPr>
          </w:p>
        </w:tc>
        <w:tc>
          <w:tcPr>
            <w:tcW w:w="754" w:type="dxa"/>
            <w:tcBorders>
              <w:top w:val="single" w:color="auto" w:sz="4" w:space="0"/>
              <w:left w:val="single" w:color="auto" w:sz="4" w:space="0"/>
              <w:bottom w:val="single" w:color="auto" w:sz="4" w:space="0"/>
              <w:right w:val="single" w:color="auto" w:sz="4" w:space="0"/>
            </w:tcBorders>
            <w:noWrap/>
            <w:vAlign w:val="center"/>
          </w:tcPr>
          <w:p w14:paraId="1946B793">
            <w:pPr>
              <w:autoSpaceDN w:val="0"/>
              <w:spacing w:line="440" w:lineRule="exact"/>
              <w:jc w:val="center"/>
              <w:rPr>
                <w:rFonts w:ascii="仿宋" w:hAnsi="仿宋" w:eastAsia="仿宋" w:cs="Times New Roman"/>
                <w:color w:val="auto"/>
                <w:sz w:val="22"/>
                <w:highlight w:val="none"/>
              </w:rPr>
            </w:pPr>
          </w:p>
        </w:tc>
        <w:tc>
          <w:tcPr>
            <w:tcW w:w="1098" w:type="dxa"/>
            <w:tcBorders>
              <w:top w:val="single" w:color="auto" w:sz="4" w:space="0"/>
              <w:left w:val="single" w:color="auto" w:sz="4" w:space="0"/>
              <w:bottom w:val="single" w:color="auto" w:sz="4" w:space="0"/>
              <w:right w:val="single" w:color="auto" w:sz="4" w:space="0"/>
            </w:tcBorders>
            <w:noWrap/>
            <w:vAlign w:val="center"/>
          </w:tcPr>
          <w:p w14:paraId="5F717329">
            <w:pPr>
              <w:autoSpaceDN w:val="0"/>
              <w:spacing w:line="440" w:lineRule="exact"/>
              <w:jc w:val="center"/>
              <w:rPr>
                <w:rFonts w:ascii="仿宋" w:hAnsi="仿宋" w:eastAsia="仿宋" w:cs="Times New Roman"/>
                <w:color w:val="auto"/>
                <w:sz w:val="22"/>
                <w:highlight w:val="none"/>
              </w:rPr>
            </w:pPr>
          </w:p>
        </w:tc>
        <w:tc>
          <w:tcPr>
            <w:tcW w:w="892" w:type="dxa"/>
            <w:tcBorders>
              <w:top w:val="single" w:color="auto" w:sz="4" w:space="0"/>
              <w:left w:val="single" w:color="auto" w:sz="4" w:space="0"/>
              <w:bottom w:val="single" w:color="auto" w:sz="4" w:space="0"/>
              <w:right w:val="single" w:color="auto" w:sz="4" w:space="0"/>
            </w:tcBorders>
            <w:noWrap/>
            <w:vAlign w:val="center"/>
          </w:tcPr>
          <w:p w14:paraId="22AA8D93">
            <w:pPr>
              <w:autoSpaceDN w:val="0"/>
              <w:spacing w:line="440" w:lineRule="exact"/>
              <w:jc w:val="center"/>
              <w:rPr>
                <w:rFonts w:ascii="仿宋" w:hAnsi="仿宋" w:eastAsia="仿宋" w:cs="Times New Roman"/>
                <w:color w:val="auto"/>
                <w:sz w:val="22"/>
                <w:highlight w:val="none"/>
              </w:rPr>
            </w:pPr>
          </w:p>
        </w:tc>
        <w:tc>
          <w:tcPr>
            <w:tcW w:w="1035" w:type="dxa"/>
            <w:tcBorders>
              <w:top w:val="single" w:color="auto" w:sz="4" w:space="0"/>
              <w:left w:val="single" w:color="auto" w:sz="4" w:space="0"/>
              <w:bottom w:val="single" w:color="auto" w:sz="4" w:space="0"/>
              <w:right w:val="single" w:color="auto" w:sz="4" w:space="0"/>
            </w:tcBorders>
            <w:noWrap/>
            <w:vAlign w:val="center"/>
          </w:tcPr>
          <w:p w14:paraId="144CF740">
            <w:pPr>
              <w:autoSpaceDN w:val="0"/>
              <w:spacing w:line="440" w:lineRule="exact"/>
              <w:jc w:val="center"/>
              <w:rPr>
                <w:rFonts w:ascii="仿宋" w:hAnsi="仿宋" w:eastAsia="仿宋" w:cs="Times New Roman"/>
                <w:color w:val="auto"/>
                <w:sz w:val="22"/>
                <w:highlight w:val="none"/>
              </w:rPr>
            </w:pPr>
          </w:p>
        </w:tc>
        <w:tc>
          <w:tcPr>
            <w:tcW w:w="699" w:type="dxa"/>
            <w:tcBorders>
              <w:top w:val="single" w:color="auto" w:sz="4" w:space="0"/>
              <w:left w:val="single" w:color="auto" w:sz="4" w:space="0"/>
              <w:bottom w:val="single" w:color="auto" w:sz="4" w:space="0"/>
              <w:right w:val="single" w:color="auto" w:sz="4" w:space="0"/>
            </w:tcBorders>
            <w:noWrap/>
            <w:vAlign w:val="center"/>
          </w:tcPr>
          <w:p w14:paraId="5ABF210C">
            <w:pPr>
              <w:autoSpaceDN w:val="0"/>
              <w:spacing w:line="440" w:lineRule="exact"/>
              <w:jc w:val="center"/>
              <w:rPr>
                <w:rFonts w:ascii="仿宋" w:hAnsi="仿宋" w:eastAsia="仿宋" w:cs="Times New Roman"/>
                <w:color w:val="auto"/>
                <w:sz w:val="22"/>
                <w:highlight w:val="none"/>
              </w:rPr>
            </w:pPr>
          </w:p>
        </w:tc>
      </w:tr>
      <w:tr w14:paraId="114D0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81" w:type="dxa"/>
            <w:tcBorders>
              <w:top w:val="single" w:color="auto" w:sz="4" w:space="0"/>
              <w:left w:val="single" w:color="auto" w:sz="4" w:space="0"/>
              <w:bottom w:val="single" w:color="auto" w:sz="4" w:space="0"/>
              <w:right w:val="single" w:color="auto" w:sz="4" w:space="0"/>
            </w:tcBorders>
            <w:noWrap/>
            <w:vAlign w:val="center"/>
          </w:tcPr>
          <w:p w14:paraId="5D36B631">
            <w:pPr>
              <w:autoSpaceDN w:val="0"/>
              <w:spacing w:line="440" w:lineRule="exact"/>
              <w:jc w:val="center"/>
              <w:rPr>
                <w:rFonts w:ascii="仿宋" w:hAnsi="仿宋" w:eastAsia="仿宋" w:cs="Times New Roman"/>
                <w:color w:val="auto"/>
                <w:sz w:val="22"/>
                <w:highlight w:val="none"/>
              </w:rPr>
            </w:pPr>
          </w:p>
        </w:tc>
        <w:tc>
          <w:tcPr>
            <w:tcW w:w="1107" w:type="dxa"/>
            <w:tcBorders>
              <w:top w:val="single" w:color="auto" w:sz="4" w:space="0"/>
              <w:left w:val="single" w:color="auto" w:sz="4" w:space="0"/>
              <w:bottom w:val="single" w:color="auto" w:sz="4" w:space="0"/>
              <w:right w:val="single" w:color="auto" w:sz="4" w:space="0"/>
            </w:tcBorders>
            <w:noWrap/>
            <w:vAlign w:val="center"/>
          </w:tcPr>
          <w:p w14:paraId="3096799C">
            <w:pPr>
              <w:autoSpaceDN w:val="0"/>
              <w:spacing w:line="440" w:lineRule="exact"/>
              <w:jc w:val="center"/>
              <w:rPr>
                <w:rFonts w:ascii="仿宋" w:hAnsi="仿宋" w:eastAsia="仿宋" w:cs="Times New Roman"/>
                <w:color w:val="auto"/>
                <w:sz w:val="22"/>
                <w:highlight w:val="none"/>
              </w:rPr>
            </w:pPr>
          </w:p>
        </w:tc>
        <w:tc>
          <w:tcPr>
            <w:tcW w:w="776" w:type="dxa"/>
            <w:tcBorders>
              <w:top w:val="single" w:color="auto" w:sz="4" w:space="0"/>
              <w:left w:val="single" w:color="auto" w:sz="4" w:space="0"/>
              <w:bottom w:val="single" w:color="auto" w:sz="4" w:space="0"/>
              <w:right w:val="single" w:color="auto" w:sz="4" w:space="0"/>
            </w:tcBorders>
            <w:noWrap/>
            <w:vAlign w:val="center"/>
          </w:tcPr>
          <w:p w14:paraId="6CC60609">
            <w:pPr>
              <w:autoSpaceDN w:val="0"/>
              <w:spacing w:line="440" w:lineRule="exact"/>
              <w:jc w:val="center"/>
              <w:rPr>
                <w:rFonts w:ascii="仿宋" w:hAnsi="仿宋" w:eastAsia="仿宋" w:cs="Times New Roman"/>
                <w:color w:val="auto"/>
                <w:sz w:val="22"/>
                <w:highlight w:val="none"/>
              </w:rPr>
            </w:pPr>
          </w:p>
        </w:tc>
        <w:tc>
          <w:tcPr>
            <w:tcW w:w="802" w:type="dxa"/>
            <w:tcBorders>
              <w:top w:val="single" w:color="auto" w:sz="4" w:space="0"/>
              <w:left w:val="single" w:color="auto" w:sz="4" w:space="0"/>
              <w:bottom w:val="single" w:color="auto" w:sz="4" w:space="0"/>
              <w:right w:val="single" w:color="auto" w:sz="4" w:space="0"/>
            </w:tcBorders>
            <w:noWrap/>
            <w:vAlign w:val="center"/>
          </w:tcPr>
          <w:p w14:paraId="0D4347E1">
            <w:pPr>
              <w:autoSpaceDN w:val="0"/>
              <w:spacing w:line="440" w:lineRule="exact"/>
              <w:jc w:val="center"/>
              <w:rPr>
                <w:rFonts w:ascii="仿宋" w:hAnsi="仿宋" w:eastAsia="仿宋" w:cs="Times New Roman"/>
                <w:color w:val="auto"/>
                <w:sz w:val="22"/>
                <w:highlight w:val="none"/>
              </w:rPr>
            </w:pPr>
          </w:p>
        </w:tc>
        <w:tc>
          <w:tcPr>
            <w:tcW w:w="684" w:type="dxa"/>
            <w:tcBorders>
              <w:top w:val="single" w:color="auto" w:sz="4" w:space="0"/>
              <w:left w:val="single" w:color="auto" w:sz="4" w:space="0"/>
              <w:bottom w:val="single" w:color="auto" w:sz="4" w:space="0"/>
              <w:right w:val="single" w:color="auto" w:sz="4" w:space="0"/>
            </w:tcBorders>
            <w:noWrap/>
            <w:vAlign w:val="center"/>
          </w:tcPr>
          <w:p w14:paraId="73C64C4A">
            <w:pPr>
              <w:autoSpaceDN w:val="0"/>
              <w:spacing w:line="440" w:lineRule="exact"/>
              <w:jc w:val="center"/>
              <w:rPr>
                <w:rFonts w:ascii="仿宋" w:hAnsi="仿宋" w:eastAsia="仿宋" w:cs="Times New Roman"/>
                <w:color w:val="auto"/>
                <w:sz w:val="22"/>
                <w:highlight w:val="none"/>
              </w:rPr>
            </w:pPr>
          </w:p>
        </w:tc>
        <w:tc>
          <w:tcPr>
            <w:tcW w:w="754" w:type="dxa"/>
            <w:tcBorders>
              <w:top w:val="single" w:color="auto" w:sz="4" w:space="0"/>
              <w:left w:val="single" w:color="auto" w:sz="4" w:space="0"/>
              <w:bottom w:val="single" w:color="auto" w:sz="4" w:space="0"/>
              <w:right w:val="single" w:color="auto" w:sz="4" w:space="0"/>
            </w:tcBorders>
            <w:noWrap/>
            <w:vAlign w:val="center"/>
          </w:tcPr>
          <w:p w14:paraId="15798C08">
            <w:pPr>
              <w:autoSpaceDN w:val="0"/>
              <w:spacing w:line="440" w:lineRule="exact"/>
              <w:jc w:val="center"/>
              <w:rPr>
                <w:rFonts w:ascii="仿宋" w:hAnsi="仿宋" w:eastAsia="仿宋" w:cs="Times New Roman"/>
                <w:color w:val="auto"/>
                <w:sz w:val="22"/>
                <w:highlight w:val="none"/>
              </w:rPr>
            </w:pPr>
          </w:p>
        </w:tc>
        <w:tc>
          <w:tcPr>
            <w:tcW w:w="1098" w:type="dxa"/>
            <w:tcBorders>
              <w:top w:val="single" w:color="auto" w:sz="4" w:space="0"/>
              <w:left w:val="single" w:color="auto" w:sz="4" w:space="0"/>
              <w:bottom w:val="single" w:color="auto" w:sz="4" w:space="0"/>
              <w:right w:val="single" w:color="auto" w:sz="4" w:space="0"/>
            </w:tcBorders>
            <w:noWrap/>
            <w:vAlign w:val="center"/>
          </w:tcPr>
          <w:p w14:paraId="6705F550">
            <w:pPr>
              <w:autoSpaceDN w:val="0"/>
              <w:spacing w:line="440" w:lineRule="exact"/>
              <w:jc w:val="center"/>
              <w:rPr>
                <w:rFonts w:ascii="仿宋" w:hAnsi="仿宋" w:eastAsia="仿宋" w:cs="Times New Roman"/>
                <w:color w:val="auto"/>
                <w:sz w:val="22"/>
                <w:highlight w:val="none"/>
              </w:rPr>
            </w:pPr>
          </w:p>
        </w:tc>
        <w:tc>
          <w:tcPr>
            <w:tcW w:w="892" w:type="dxa"/>
            <w:tcBorders>
              <w:top w:val="single" w:color="auto" w:sz="4" w:space="0"/>
              <w:left w:val="single" w:color="auto" w:sz="4" w:space="0"/>
              <w:bottom w:val="single" w:color="auto" w:sz="4" w:space="0"/>
              <w:right w:val="single" w:color="auto" w:sz="4" w:space="0"/>
            </w:tcBorders>
            <w:noWrap/>
            <w:vAlign w:val="center"/>
          </w:tcPr>
          <w:p w14:paraId="0BFCC7DF">
            <w:pPr>
              <w:autoSpaceDN w:val="0"/>
              <w:spacing w:line="440" w:lineRule="exact"/>
              <w:jc w:val="center"/>
              <w:rPr>
                <w:rFonts w:ascii="仿宋" w:hAnsi="仿宋" w:eastAsia="仿宋" w:cs="Times New Roman"/>
                <w:color w:val="auto"/>
                <w:sz w:val="22"/>
                <w:highlight w:val="none"/>
              </w:rPr>
            </w:pPr>
          </w:p>
        </w:tc>
        <w:tc>
          <w:tcPr>
            <w:tcW w:w="1035" w:type="dxa"/>
            <w:tcBorders>
              <w:top w:val="single" w:color="auto" w:sz="4" w:space="0"/>
              <w:left w:val="single" w:color="auto" w:sz="4" w:space="0"/>
              <w:bottom w:val="single" w:color="auto" w:sz="4" w:space="0"/>
              <w:right w:val="single" w:color="auto" w:sz="4" w:space="0"/>
            </w:tcBorders>
            <w:noWrap/>
            <w:vAlign w:val="center"/>
          </w:tcPr>
          <w:p w14:paraId="25ADA28D">
            <w:pPr>
              <w:autoSpaceDN w:val="0"/>
              <w:spacing w:line="440" w:lineRule="exact"/>
              <w:jc w:val="center"/>
              <w:rPr>
                <w:rFonts w:ascii="仿宋" w:hAnsi="仿宋" w:eastAsia="仿宋" w:cs="Times New Roman"/>
                <w:color w:val="auto"/>
                <w:sz w:val="22"/>
                <w:highlight w:val="none"/>
              </w:rPr>
            </w:pPr>
          </w:p>
        </w:tc>
        <w:tc>
          <w:tcPr>
            <w:tcW w:w="699" w:type="dxa"/>
            <w:tcBorders>
              <w:top w:val="single" w:color="auto" w:sz="4" w:space="0"/>
              <w:left w:val="single" w:color="auto" w:sz="4" w:space="0"/>
              <w:bottom w:val="single" w:color="auto" w:sz="4" w:space="0"/>
              <w:right w:val="single" w:color="auto" w:sz="4" w:space="0"/>
            </w:tcBorders>
            <w:noWrap/>
            <w:vAlign w:val="center"/>
          </w:tcPr>
          <w:p w14:paraId="417DBE30">
            <w:pPr>
              <w:autoSpaceDN w:val="0"/>
              <w:spacing w:line="440" w:lineRule="exact"/>
              <w:jc w:val="center"/>
              <w:rPr>
                <w:rFonts w:ascii="仿宋" w:hAnsi="仿宋" w:eastAsia="仿宋" w:cs="Times New Roman"/>
                <w:color w:val="auto"/>
                <w:sz w:val="22"/>
                <w:highlight w:val="none"/>
              </w:rPr>
            </w:pPr>
          </w:p>
        </w:tc>
      </w:tr>
      <w:tr w14:paraId="16648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81" w:type="dxa"/>
            <w:tcBorders>
              <w:top w:val="single" w:color="auto" w:sz="4" w:space="0"/>
              <w:left w:val="single" w:color="auto" w:sz="4" w:space="0"/>
              <w:bottom w:val="single" w:color="auto" w:sz="4" w:space="0"/>
              <w:right w:val="single" w:color="auto" w:sz="4" w:space="0"/>
            </w:tcBorders>
            <w:noWrap/>
          </w:tcPr>
          <w:p w14:paraId="2463D80F">
            <w:pPr>
              <w:autoSpaceDN w:val="0"/>
              <w:spacing w:line="440" w:lineRule="exact"/>
              <w:jc w:val="center"/>
              <w:rPr>
                <w:rFonts w:ascii="仿宋" w:hAnsi="仿宋" w:eastAsia="仿宋" w:cs="Times New Roman"/>
                <w:color w:val="auto"/>
                <w:sz w:val="22"/>
                <w:highlight w:val="none"/>
              </w:rPr>
            </w:pPr>
          </w:p>
        </w:tc>
        <w:tc>
          <w:tcPr>
            <w:tcW w:w="1107" w:type="dxa"/>
            <w:tcBorders>
              <w:top w:val="single" w:color="auto" w:sz="4" w:space="0"/>
              <w:left w:val="single" w:color="auto" w:sz="4" w:space="0"/>
              <w:bottom w:val="single" w:color="auto" w:sz="4" w:space="0"/>
              <w:right w:val="single" w:color="auto" w:sz="4" w:space="0"/>
            </w:tcBorders>
            <w:noWrap/>
          </w:tcPr>
          <w:p w14:paraId="425236B7">
            <w:pPr>
              <w:autoSpaceDN w:val="0"/>
              <w:spacing w:line="440" w:lineRule="exact"/>
              <w:jc w:val="center"/>
              <w:rPr>
                <w:rFonts w:ascii="仿宋" w:hAnsi="仿宋" w:eastAsia="仿宋" w:cs="Times New Roman"/>
                <w:color w:val="auto"/>
                <w:sz w:val="22"/>
                <w:highlight w:val="none"/>
              </w:rPr>
            </w:pPr>
          </w:p>
        </w:tc>
        <w:tc>
          <w:tcPr>
            <w:tcW w:w="776" w:type="dxa"/>
            <w:tcBorders>
              <w:top w:val="single" w:color="auto" w:sz="4" w:space="0"/>
              <w:left w:val="single" w:color="auto" w:sz="4" w:space="0"/>
              <w:bottom w:val="single" w:color="auto" w:sz="4" w:space="0"/>
              <w:right w:val="single" w:color="auto" w:sz="4" w:space="0"/>
            </w:tcBorders>
            <w:noWrap/>
          </w:tcPr>
          <w:p w14:paraId="61AF2963">
            <w:pPr>
              <w:autoSpaceDN w:val="0"/>
              <w:spacing w:line="440" w:lineRule="exact"/>
              <w:jc w:val="center"/>
              <w:rPr>
                <w:rFonts w:ascii="仿宋" w:hAnsi="仿宋" w:eastAsia="仿宋" w:cs="Times New Roman"/>
                <w:color w:val="auto"/>
                <w:sz w:val="22"/>
                <w:highlight w:val="none"/>
              </w:rPr>
            </w:pPr>
          </w:p>
        </w:tc>
        <w:tc>
          <w:tcPr>
            <w:tcW w:w="802" w:type="dxa"/>
            <w:tcBorders>
              <w:top w:val="single" w:color="auto" w:sz="4" w:space="0"/>
              <w:left w:val="single" w:color="auto" w:sz="4" w:space="0"/>
              <w:bottom w:val="single" w:color="auto" w:sz="4" w:space="0"/>
              <w:right w:val="single" w:color="auto" w:sz="4" w:space="0"/>
            </w:tcBorders>
            <w:noWrap/>
          </w:tcPr>
          <w:p w14:paraId="135B5A48">
            <w:pPr>
              <w:autoSpaceDN w:val="0"/>
              <w:spacing w:line="440" w:lineRule="exact"/>
              <w:jc w:val="center"/>
              <w:rPr>
                <w:rFonts w:ascii="仿宋" w:hAnsi="仿宋" w:eastAsia="仿宋" w:cs="Times New Roman"/>
                <w:color w:val="auto"/>
                <w:sz w:val="22"/>
                <w:highlight w:val="none"/>
              </w:rPr>
            </w:pPr>
          </w:p>
        </w:tc>
        <w:tc>
          <w:tcPr>
            <w:tcW w:w="684" w:type="dxa"/>
            <w:tcBorders>
              <w:top w:val="single" w:color="auto" w:sz="4" w:space="0"/>
              <w:left w:val="single" w:color="auto" w:sz="4" w:space="0"/>
              <w:bottom w:val="single" w:color="auto" w:sz="4" w:space="0"/>
              <w:right w:val="single" w:color="auto" w:sz="4" w:space="0"/>
            </w:tcBorders>
            <w:noWrap/>
          </w:tcPr>
          <w:p w14:paraId="6600AB3A">
            <w:pPr>
              <w:autoSpaceDN w:val="0"/>
              <w:spacing w:line="440" w:lineRule="exact"/>
              <w:jc w:val="center"/>
              <w:rPr>
                <w:rFonts w:ascii="仿宋" w:hAnsi="仿宋" w:eastAsia="仿宋" w:cs="Times New Roman"/>
                <w:color w:val="auto"/>
                <w:sz w:val="22"/>
                <w:highlight w:val="none"/>
              </w:rPr>
            </w:pPr>
          </w:p>
        </w:tc>
        <w:tc>
          <w:tcPr>
            <w:tcW w:w="754" w:type="dxa"/>
            <w:tcBorders>
              <w:top w:val="single" w:color="auto" w:sz="4" w:space="0"/>
              <w:left w:val="single" w:color="auto" w:sz="4" w:space="0"/>
              <w:bottom w:val="single" w:color="auto" w:sz="4" w:space="0"/>
              <w:right w:val="single" w:color="auto" w:sz="4" w:space="0"/>
            </w:tcBorders>
            <w:noWrap/>
          </w:tcPr>
          <w:p w14:paraId="5A2C4D3F">
            <w:pPr>
              <w:autoSpaceDN w:val="0"/>
              <w:spacing w:line="440" w:lineRule="exact"/>
              <w:jc w:val="center"/>
              <w:rPr>
                <w:rFonts w:ascii="仿宋" w:hAnsi="仿宋" w:eastAsia="仿宋" w:cs="Times New Roman"/>
                <w:color w:val="auto"/>
                <w:sz w:val="22"/>
                <w:highlight w:val="none"/>
              </w:rPr>
            </w:pPr>
          </w:p>
        </w:tc>
        <w:tc>
          <w:tcPr>
            <w:tcW w:w="1098" w:type="dxa"/>
            <w:tcBorders>
              <w:top w:val="single" w:color="auto" w:sz="4" w:space="0"/>
              <w:left w:val="single" w:color="auto" w:sz="4" w:space="0"/>
              <w:bottom w:val="single" w:color="auto" w:sz="4" w:space="0"/>
              <w:right w:val="single" w:color="auto" w:sz="4" w:space="0"/>
            </w:tcBorders>
            <w:noWrap/>
          </w:tcPr>
          <w:p w14:paraId="2034B540">
            <w:pPr>
              <w:autoSpaceDN w:val="0"/>
              <w:spacing w:line="440" w:lineRule="exact"/>
              <w:jc w:val="center"/>
              <w:rPr>
                <w:rFonts w:ascii="仿宋" w:hAnsi="仿宋" w:eastAsia="仿宋" w:cs="Times New Roman"/>
                <w:color w:val="auto"/>
                <w:sz w:val="22"/>
                <w:highlight w:val="none"/>
              </w:rPr>
            </w:pPr>
          </w:p>
        </w:tc>
        <w:tc>
          <w:tcPr>
            <w:tcW w:w="892" w:type="dxa"/>
            <w:tcBorders>
              <w:top w:val="single" w:color="auto" w:sz="4" w:space="0"/>
              <w:left w:val="single" w:color="auto" w:sz="4" w:space="0"/>
              <w:bottom w:val="single" w:color="auto" w:sz="4" w:space="0"/>
              <w:right w:val="single" w:color="auto" w:sz="4" w:space="0"/>
            </w:tcBorders>
            <w:noWrap/>
          </w:tcPr>
          <w:p w14:paraId="175E896A">
            <w:pPr>
              <w:autoSpaceDN w:val="0"/>
              <w:spacing w:line="440" w:lineRule="exact"/>
              <w:jc w:val="center"/>
              <w:rPr>
                <w:rFonts w:ascii="仿宋" w:hAnsi="仿宋" w:eastAsia="仿宋" w:cs="Times New Roman"/>
                <w:color w:val="auto"/>
                <w:sz w:val="22"/>
                <w:highlight w:val="none"/>
              </w:rPr>
            </w:pPr>
          </w:p>
        </w:tc>
        <w:tc>
          <w:tcPr>
            <w:tcW w:w="1035" w:type="dxa"/>
            <w:tcBorders>
              <w:top w:val="single" w:color="auto" w:sz="4" w:space="0"/>
              <w:left w:val="single" w:color="auto" w:sz="4" w:space="0"/>
              <w:bottom w:val="single" w:color="auto" w:sz="4" w:space="0"/>
              <w:right w:val="single" w:color="auto" w:sz="4" w:space="0"/>
            </w:tcBorders>
            <w:noWrap/>
          </w:tcPr>
          <w:p w14:paraId="085A86F6">
            <w:pPr>
              <w:autoSpaceDN w:val="0"/>
              <w:spacing w:line="440" w:lineRule="exact"/>
              <w:jc w:val="center"/>
              <w:rPr>
                <w:rFonts w:ascii="仿宋" w:hAnsi="仿宋" w:eastAsia="仿宋" w:cs="Times New Roman"/>
                <w:color w:val="auto"/>
                <w:sz w:val="22"/>
                <w:highlight w:val="none"/>
              </w:rPr>
            </w:pPr>
          </w:p>
        </w:tc>
        <w:tc>
          <w:tcPr>
            <w:tcW w:w="699" w:type="dxa"/>
            <w:tcBorders>
              <w:top w:val="single" w:color="auto" w:sz="4" w:space="0"/>
              <w:left w:val="single" w:color="auto" w:sz="4" w:space="0"/>
              <w:bottom w:val="single" w:color="auto" w:sz="4" w:space="0"/>
              <w:right w:val="single" w:color="auto" w:sz="4" w:space="0"/>
            </w:tcBorders>
            <w:noWrap/>
          </w:tcPr>
          <w:p w14:paraId="2FF6C206">
            <w:pPr>
              <w:autoSpaceDN w:val="0"/>
              <w:spacing w:line="440" w:lineRule="exact"/>
              <w:jc w:val="center"/>
              <w:rPr>
                <w:rFonts w:ascii="仿宋" w:hAnsi="仿宋" w:eastAsia="仿宋" w:cs="Times New Roman"/>
                <w:color w:val="auto"/>
                <w:sz w:val="22"/>
                <w:highlight w:val="none"/>
              </w:rPr>
            </w:pPr>
          </w:p>
        </w:tc>
      </w:tr>
    </w:tbl>
    <w:p w14:paraId="686648AE">
      <w:pPr>
        <w:autoSpaceDN w:val="0"/>
        <w:spacing w:line="440" w:lineRule="exact"/>
        <w:rPr>
          <w:rFonts w:ascii="仿宋" w:hAnsi="仿宋" w:eastAsia="仿宋" w:cs="Times New Roman"/>
          <w:color w:val="auto"/>
          <w:sz w:val="22"/>
          <w:highlight w:val="none"/>
        </w:rPr>
      </w:pPr>
    </w:p>
    <w:p w14:paraId="091AB770">
      <w:pPr>
        <w:tabs>
          <w:tab w:val="left" w:pos="720"/>
        </w:tabs>
        <w:autoSpaceDN w:val="0"/>
        <w:spacing w:line="440" w:lineRule="exact"/>
        <w:jc w:val="left"/>
        <w:rPr>
          <w:rFonts w:ascii="仿宋" w:hAnsi="仿宋" w:eastAsia="仿宋" w:cs="Times New Roman"/>
          <w:b/>
          <w:bCs/>
          <w:color w:val="auto"/>
          <w:sz w:val="22"/>
          <w:highlight w:val="none"/>
        </w:rPr>
      </w:pPr>
      <w:bookmarkStart w:id="115" w:name="_Toc179632818"/>
      <w:bookmarkStart w:id="116" w:name="_Toc144974866"/>
      <w:bookmarkStart w:id="117" w:name="_Toc152042587"/>
      <w:bookmarkStart w:id="118" w:name="_Toc246392156"/>
      <w:bookmarkStart w:id="119" w:name="_Toc152045798"/>
      <w:r>
        <w:rPr>
          <w:rFonts w:hint="eastAsia" w:ascii="仿宋" w:hAnsi="仿宋" w:eastAsia="仿宋" w:cs="Times New Roman"/>
          <w:b/>
          <w:bCs/>
          <w:color w:val="auto"/>
          <w:sz w:val="22"/>
          <w:highlight w:val="none"/>
        </w:rPr>
        <w:t>附表二：拟配备的试验和检测仪器设备表</w:t>
      </w:r>
      <w:bookmarkEnd w:id="115"/>
      <w:bookmarkEnd w:id="116"/>
      <w:bookmarkEnd w:id="117"/>
      <w:bookmarkEnd w:id="118"/>
      <w:bookmarkEnd w:id="119"/>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177"/>
        <w:gridCol w:w="822"/>
        <w:gridCol w:w="1073"/>
        <w:gridCol w:w="727"/>
        <w:gridCol w:w="800"/>
        <w:gridCol w:w="1312"/>
        <w:gridCol w:w="1151"/>
        <w:gridCol w:w="742"/>
      </w:tblGrid>
      <w:tr w14:paraId="310A7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24" w:type="dxa"/>
            <w:tcBorders>
              <w:top w:val="single" w:color="auto" w:sz="4" w:space="0"/>
              <w:left w:val="single" w:color="auto" w:sz="4" w:space="0"/>
              <w:bottom w:val="single" w:color="auto" w:sz="4" w:space="0"/>
              <w:right w:val="single" w:color="auto" w:sz="4" w:space="0"/>
            </w:tcBorders>
            <w:noWrap/>
            <w:vAlign w:val="center"/>
          </w:tcPr>
          <w:p w14:paraId="26447A32">
            <w:pPr>
              <w:autoSpaceDN w:val="0"/>
              <w:spacing w:line="440" w:lineRule="exact"/>
              <w:rPr>
                <w:rFonts w:ascii="仿宋" w:hAnsi="仿宋" w:eastAsia="仿宋" w:cs="Times New Roman"/>
                <w:color w:val="auto"/>
                <w:sz w:val="22"/>
                <w:highlight w:val="none"/>
              </w:rPr>
            </w:pPr>
            <w:r>
              <w:rPr>
                <w:rFonts w:hint="eastAsia" w:ascii="仿宋" w:hAnsi="仿宋" w:eastAsia="仿宋" w:cs="Times New Roman"/>
                <w:color w:val="auto"/>
                <w:sz w:val="22"/>
                <w:highlight w:val="none"/>
              </w:rPr>
              <w:t>序号</w:t>
            </w:r>
          </w:p>
        </w:tc>
        <w:tc>
          <w:tcPr>
            <w:tcW w:w="1177" w:type="dxa"/>
            <w:tcBorders>
              <w:top w:val="single" w:color="auto" w:sz="4" w:space="0"/>
              <w:left w:val="single" w:color="auto" w:sz="4" w:space="0"/>
              <w:bottom w:val="single" w:color="auto" w:sz="4" w:space="0"/>
              <w:right w:val="single" w:color="auto" w:sz="4" w:space="0"/>
            </w:tcBorders>
            <w:noWrap/>
            <w:vAlign w:val="center"/>
          </w:tcPr>
          <w:p w14:paraId="51F13672">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仪器设备名称</w:t>
            </w:r>
          </w:p>
        </w:tc>
        <w:tc>
          <w:tcPr>
            <w:tcW w:w="822" w:type="dxa"/>
            <w:tcBorders>
              <w:top w:val="single" w:color="auto" w:sz="4" w:space="0"/>
              <w:left w:val="single" w:color="auto" w:sz="4" w:space="0"/>
              <w:bottom w:val="single" w:color="auto" w:sz="4" w:space="0"/>
              <w:right w:val="single" w:color="auto" w:sz="4" w:space="0"/>
            </w:tcBorders>
            <w:noWrap/>
            <w:vAlign w:val="center"/>
          </w:tcPr>
          <w:p w14:paraId="42C3EB87">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型号</w:t>
            </w:r>
          </w:p>
          <w:p w14:paraId="3C1C3403">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规格</w:t>
            </w:r>
          </w:p>
        </w:tc>
        <w:tc>
          <w:tcPr>
            <w:tcW w:w="1073" w:type="dxa"/>
            <w:tcBorders>
              <w:top w:val="single" w:color="auto" w:sz="4" w:space="0"/>
              <w:left w:val="single" w:color="auto" w:sz="4" w:space="0"/>
              <w:bottom w:val="single" w:color="auto" w:sz="4" w:space="0"/>
              <w:right w:val="single" w:color="auto" w:sz="4" w:space="0"/>
            </w:tcBorders>
            <w:noWrap/>
            <w:vAlign w:val="center"/>
          </w:tcPr>
          <w:p w14:paraId="23059A5E">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数量</w:t>
            </w:r>
          </w:p>
        </w:tc>
        <w:tc>
          <w:tcPr>
            <w:tcW w:w="727" w:type="dxa"/>
            <w:tcBorders>
              <w:top w:val="single" w:color="auto" w:sz="4" w:space="0"/>
              <w:left w:val="single" w:color="auto" w:sz="4" w:space="0"/>
              <w:bottom w:val="single" w:color="auto" w:sz="4" w:space="0"/>
              <w:right w:val="single" w:color="auto" w:sz="4" w:space="0"/>
            </w:tcBorders>
            <w:noWrap/>
            <w:vAlign w:val="center"/>
          </w:tcPr>
          <w:p w14:paraId="30E3355B">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国别</w:t>
            </w:r>
          </w:p>
          <w:p w14:paraId="2DA93A63">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产地</w:t>
            </w:r>
          </w:p>
        </w:tc>
        <w:tc>
          <w:tcPr>
            <w:tcW w:w="800" w:type="dxa"/>
            <w:tcBorders>
              <w:top w:val="single" w:color="auto" w:sz="4" w:space="0"/>
              <w:left w:val="single" w:color="auto" w:sz="4" w:space="0"/>
              <w:bottom w:val="single" w:color="auto" w:sz="4" w:space="0"/>
              <w:right w:val="single" w:color="auto" w:sz="4" w:space="0"/>
            </w:tcBorders>
            <w:noWrap/>
            <w:vAlign w:val="center"/>
          </w:tcPr>
          <w:p w14:paraId="6215D839">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制造</w:t>
            </w:r>
          </w:p>
          <w:p w14:paraId="331D07DE">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年份</w:t>
            </w:r>
          </w:p>
        </w:tc>
        <w:tc>
          <w:tcPr>
            <w:tcW w:w="1312" w:type="dxa"/>
            <w:tcBorders>
              <w:top w:val="single" w:color="auto" w:sz="4" w:space="0"/>
              <w:left w:val="single" w:color="auto" w:sz="4" w:space="0"/>
              <w:bottom w:val="single" w:color="auto" w:sz="4" w:space="0"/>
              <w:right w:val="single" w:color="auto" w:sz="4" w:space="0"/>
            </w:tcBorders>
            <w:noWrap/>
            <w:vAlign w:val="center"/>
          </w:tcPr>
          <w:p w14:paraId="6B3A8865">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已使用台时数</w:t>
            </w:r>
          </w:p>
        </w:tc>
        <w:tc>
          <w:tcPr>
            <w:tcW w:w="1151" w:type="dxa"/>
            <w:tcBorders>
              <w:top w:val="single" w:color="auto" w:sz="4" w:space="0"/>
              <w:left w:val="single" w:color="auto" w:sz="4" w:space="0"/>
              <w:bottom w:val="single" w:color="auto" w:sz="4" w:space="0"/>
              <w:right w:val="single" w:color="auto" w:sz="4" w:space="0"/>
            </w:tcBorders>
            <w:noWrap/>
            <w:vAlign w:val="center"/>
          </w:tcPr>
          <w:p w14:paraId="3DF0422E">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用途</w:t>
            </w:r>
          </w:p>
        </w:tc>
        <w:tc>
          <w:tcPr>
            <w:tcW w:w="742" w:type="dxa"/>
            <w:tcBorders>
              <w:top w:val="single" w:color="auto" w:sz="4" w:space="0"/>
              <w:left w:val="single" w:color="auto" w:sz="4" w:space="0"/>
              <w:bottom w:val="single" w:color="auto" w:sz="4" w:space="0"/>
              <w:right w:val="single" w:color="auto" w:sz="4" w:space="0"/>
            </w:tcBorders>
            <w:noWrap/>
            <w:vAlign w:val="center"/>
          </w:tcPr>
          <w:p w14:paraId="37F7BE49">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备注</w:t>
            </w:r>
          </w:p>
        </w:tc>
      </w:tr>
      <w:tr w14:paraId="08C15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24" w:type="dxa"/>
            <w:tcBorders>
              <w:top w:val="single" w:color="auto" w:sz="4" w:space="0"/>
              <w:left w:val="single" w:color="auto" w:sz="4" w:space="0"/>
              <w:bottom w:val="single" w:color="auto" w:sz="4" w:space="0"/>
              <w:right w:val="single" w:color="auto" w:sz="4" w:space="0"/>
            </w:tcBorders>
            <w:noWrap/>
            <w:vAlign w:val="center"/>
          </w:tcPr>
          <w:p w14:paraId="0F917B3D">
            <w:pPr>
              <w:autoSpaceDN w:val="0"/>
              <w:spacing w:line="440" w:lineRule="exact"/>
              <w:jc w:val="center"/>
              <w:rPr>
                <w:rFonts w:ascii="仿宋" w:hAnsi="仿宋" w:eastAsia="仿宋" w:cs="Times New Roman"/>
                <w:color w:val="auto"/>
                <w:sz w:val="22"/>
                <w:highlight w:val="none"/>
              </w:rPr>
            </w:pPr>
          </w:p>
        </w:tc>
        <w:tc>
          <w:tcPr>
            <w:tcW w:w="1177" w:type="dxa"/>
            <w:tcBorders>
              <w:top w:val="single" w:color="auto" w:sz="4" w:space="0"/>
              <w:left w:val="single" w:color="auto" w:sz="4" w:space="0"/>
              <w:bottom w:val="single" w:color="auto" w:sz="4" w:space="0"/>
              <w:right w:val="single" w:color="auto" w:sz="4" w:space="0"/>
            </w:tcBorders>
            <w:noWrap/>
            <w:vAlign w:val="center"/>
          </w:tcPr>
          <w:p w14:paraId="1F64167F">
            <w:pPr>
              <w:autoSpaceDN w:val="0"/>
              <w:spacing w:line="440" w:lineRule="exact"/>
              <w:jc w:val="center"/>
              <w:rPr>
                <w:rFonts w:ascii="仿宋" w:hAnsi="仿宋" w:eastAsia="仿宋" w:cs="Times New Roman"/>
                <w:color w:val="auto"/>
                <w:sz w:val="22"/>
                <w:highlight w:val="none"/>
              </w:rPr>
            </w:pPr>
          </w:p>
        </w:tc>
        <w:tc>
          <w:tcPr>
            <w:tcW w:w="822" w:type="dxa"/>
            <w:tcBorders>
              <w:top w:val="single" w:color="auto" w:sz="4" w:space="0"/>
              <w:left w:val="single" w:color="auto" w:sz="4" w:space="0"/>
              <w:bottom w:val="single" w:color="auto" w:sz="4" w:space="0"/>
              <w:right w:val="single" w:color="auto" w:sz="4" w:space="0"/>
            </w:tcBorders>
            <w:noWrap/>
            <w:vAlign w:val="center"/>
          </w:tcPr>
          <w:p w14:paraId="5B3AF76C">
            <w:pPr>
              <w:autoSpaceDN w:val="0"/>
              <w:spacing w:line="440" w:lineRule="exact"/>
              <w:jc w:val="center"/>
              <w:rPr>
                <w:rFonts w:ascii="仿宋" w:hAnsi="仿宋" w:eastAsia="仿宋" w:cs="Times New Roman"/>
                <w:color w:val="auto"/>
                <w:sz w:val="22"/>
                <w:highlight w:val="none"/>
              </w:rPr>
            </w:pPr>
          </w:p>
        </w:tc>
        <w:tc>
          <w:tcPr>
            <w:tcW w:w="1073" w:type="dxa"/>
            <w:tcBorders>
              <w:top w:val="single" w:color="auto" w:sz="4" w:space="0"/>
              <w:left w:val="single" w:color="auto" w:sz="4" w:space="0"/>
              <w:bottom w:val="single" w:color="auto" w:sz="4" w:space="0"/>
              <w:right w:val="single" w:color="auto" w:sz="4" w:space="0"/>
            </w:tcBorders>
            <w:noWrap/>
            <w:vAlign w:val="center"/>
          </w:tcPr>
          <w:p w14:paraId="542B22E3">
            <w:pPr>
              <w:autoSpaceDN w:val="0"/>
              <w:spacing w:line="440" w:lineRule="exact"/>
              <w:jc w:val="center"/>
              <w:rPr>
                <w:rFonts w:ascii="仿宋" w:hAnsi="仿宋" w:eastAsia="仿宋" w:cs="Times New Roman"/>
                <w:color w:val="auto"/>
                <w:sz w:val="22"/>
                <w:highlight w:val="none"/>
              </w:rPr>
            </w:pPr>
          </w:p>
        </w:tc>
        <w:tc>
          <w:tcPr>
            <w:tcW w:w="727" w:type="dxa"/>
            <w:tcBorders>
              <w:top w:val="single" w:color="auto" w:sz="4" w:space="0"/>
              <w:left w:val="single" w:color="auto" w:sz="4" w:space="0"/>
              <w:bottom w:val="single" w:color="auto" w:sz="4" w:space="0"/>
              <w:right w:val="single" w:color="auto" w:sz="4" w:space="0"/>
            </w:tcBorders>
            <w:noWrap/>
            <w:vAlign w:val="center"/>
          </w:tcPr>
          <w:p w14:paraId="27B38BCC">
            <w:pPr>
              <w:autoSpaceDN w:val="0"/>
              <w:spacing w:line="440" w:lineRule="exact"/>
              <w:jc w:val="center"/>
              <w:rPr>
                <w:rFonts w:ascii="仿宋" w:hAnsi="仿宋" w:eastAsia="仿宋" w:cs="Times New Roman"/>
                <w:color w:val="auto"/>
                <w:sz w:val="22"/>
                <w:highlight w:val="none"/>
              </w:rPr>
            </w:pPr>
          </w:p>
        </w:tc>
        <w:tc>
          <w:tcPr>
            <w:tcW w:w="800" w:type="dxa"/>
            <w:tcBorders>
              <w:top w:val="single" w:color="auto" w:sz="4" w:space="0"/>
              <w:left w:val="single" w:color="auto" w:sz="4" w:space="0"/>
              <w:bottom w:val="single" w:color="auto" w:sz="4" w:space="0"/>
              <w:right w:val="single" w:color="auto" w:sz="4" w:space="0"/>
            </w:tcBorders>
            <w:noWrap/>
            <w:vAlign w:val="center"/>
          </w:tcPr>
          <w:p w14:paraId="075E17D2">
            <w:pPr>
              <w:autoSpaceDN w:val="0"/>
              <w:spacing w:line="440" w:lineRule="exact"/>
              <w:jc w:val="center"/>
              <w:rPr>
                <w:rFonts w:ascii="仿宋" w:hAnsi="仿宋" w:eastAsia="仿宋" w:cs="Times New Roman"/>
                <w:color w:val="auto"/>
                <w:sz w:val="22"/>
                <w:highlight w:val="none"/>
              </w:rPr>
            </w:pPr>
          </w:p>
        </w:tc>
        <w:tc>
          <w:tcPr>
            <w:tcW w:w="1312" w:type="dxa"/>
            <w:tcBorders>
              <w:top w:val="single" w:color="auto" w:sz="4" w:space="0"/>
              <w:left w:val="single" w:color="auto" w:sz="4" w:space="0"/>
              <w:bottom w:val="single" w:color="auto" w:sz="4" w:space="0"/>
              <w:right w:val="single" w:color="auto" w:sz="4" w:space="0"/>
            </w:tcBorders>
            <w:noWrap/>
            <w:vAlign w:val="center"/>
          </w:tcPr>
          <w:p w14:paraId="262E9859">
            <w:pPr>
              <w:autoSpaceDN w:val="0"/>
              <w:spacing w:line="440" w:lineRule="exact"/>
              <w:jc w:val="center"/>
              <w:rPr>
                <w:rFonts w:ascii="仿宋" w:hAnsi="仿宋" w:eastAsia="仿宋" w:cs="Times New Roman"/>
                <w:color w:val="auto"/>
                <w:sz w:val="22"/>
                <w:highlight w:val="none"/>
              </w:rPr>
            </w:pPr>
          </w:p>
        </w:tc>
        <w:tc>
          <w:tcPr>
            <w:tcW w:w="1151" w:type="dxa"/>
            <w:tcBorders>
              <w:top w:val="single" w:color="auto" w:sz="4" w:space="0"/>
              <w:left w:val="single" w:color="auto" w:sz="4" w:space="0"/>
              <w:bottom w:val="single" w:color="auto" w:sz="4" w:space="0"/>
              <w:right w:val="single" w:color="auto" w:sz="4" w:space="0"/>
            </w:tcBorders>
            <w:noWrap/>
            <w:vAlign w:val="center"/>
          </w:tcPr>
          <w:p w14:paraId="1C4E80EE">
            <w:pPr>
              <w:autoSpaceDN w:val="0"/>
              <w:spacing w:line="440" w:lineRule="exact"/>
              <w:jc w:val="center"/>
              <w:rPr>
                <w:rFonts w:ascii="仿宋" w:hAnsi="仿宋" w:eastAsia="仿宋" w:cs="Times New Roman"/>
                <w:color w:val="auto"/>
                <w:sz w:val="22"/>
                <w:highlight w:val="none"/>
              </w:rPr>
            </w:pPr>
          </w:p>
        </w:tc>
        <w:tc>
          <w:tcPr>
            <w:tcW w:w="742" w:type="dxa"/>
            <w:tcBorders>
              <w:top w:val="single" w:color="auto" w:sz="4" w:space="0"/>
              <w:left w:val="single" w:color="auto" w:sz="4" w:space="0"/>
              <w:bottom w:val="single" w:color="auto" w:sz="4" w:space="0"/>
              <w:right w:val="single" w:color="auto" w:sz="4" w:space="0"/>
            </w:tcBorders>
            <w:noWrap/>
            <w:vAlign w:val="center"/>
          </w:tcPr>
          <w:p w14:paraId="25C01F0D">
            <w:pPr>
              <w:autoSpaceDN w:val="0"/>
              <w:spacing w:line="440" w:lineRule="exact"/>
              <w:jc w:val="center"/>
              <w:rPr>
                <w:rFonts w:ascii="仿宋" w:hAnsi="仿宋" w:eastAsia="仿宋" w:cs="Times New Roman"/>
                <w:color w:val="auto"/>
                <w:sz w:val="22"/>
                <w:highlight w:val="none"/>
              </w:rPr>
            </w:pPr>
          </w:p>
        </w:tc>
      </w:tr>
      <w:tr w14:paraId="37E0F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24" w:type="dxa"/>
            <w:tcBorders>
              <w:top w:val="single" w:color="auto" w:sz="4" w:space="0"/>
              <w:left w:val="single" w:color="auto" w:sz="4" w:space="0"/>
              <w:bottom w:val="single" w:color="auto" w:sz="4" w:space="0"/>
              <w:right w:val="single" w:color="auto" w:sz="4" w:space="0"/>
            </w:tcBorders>
            <w:noWrap/>
            <w:vAlign w:val="center"/>
          </w:tcPr>
          <w:p w14:paraId="151D7A0A">
            <w:pPr>
              <w:autoSpaceDN w:val="0"/>
              <w:spacing w:line="440" w:lineRule="exact"/>
              <w:jc w:val="center"/>
              <w:rPr>
                <w:rFonts w:ascii="仿宋" w:hAnsi="仿宋" w:eastAsia="仿宋" w:cs="Times New Roman"/>
                <w:color w:val="auto"/>
                <w:sz w:val="22"/>
                <w:highlight w:val="none"/>
              </w:rPr>
            </w:pPr>
          </w:p>
        </w:tc>
        <w:tc>
          <w:tcPr>
            <w:tcW w:w="1177" w:type="dxa"/>
            <w:tcBorders>
              <w:top w:val="single" w:color="auto" w:sz="4" w:space="0"/>
              <w:left w:val="single" w:color="auto" w:sz="4" w:space="0"/>
              <w:bottom w:val="single" w:color="auto" w:sz="4" w:space="0"/>
              <w:right w:val="single" w:color="auto" w:sz="4" w:space="0"/>
            </w:tcBorders>
            <w:noWrap/>
            <w:vAlign w:val="center"/>
          </w:tcPr>
          <w:p w14:paraId="693CBF52">
            <w:pPr>
              <w:autoSpaceDN w:val="0"/>
              <w:spacing w:line="440" w:lineRule="exact"/>
              <w:jc w:val="center"/>
              <w:rPr>
                <w:rFonts w:ascii="仿宋" w:hAnsi="仿宋" w:eastAsia="仿宋" w:cs="Times New Roman"/>
                <w:color w:val="auto"/>
                <w:sz w:val="22"/>
                <w:highlight w:val="none"/>
              </w:rPr>
            </w:pPr>
          </w:p>
        </w:tc>
        <w:tc>
          <w:tcPr>
            <w:tcW w:w="822" w:type="dxa"/>
            <w:tcBorders>
              <w:top w:val="single" w:color="auto" w:sz="4" w:space="0"/>
              <w:left w:val="single" w:color="auto" w:sz="4" w:space="0"/>
              <w:bottom w:val="single" w:color="auto" w:sz="4" w:space="0"/>
              <w:right w:val="single" w:color="auto" w:sz="4" w:space="0"/>
            </w:tcBorders>
            <w:noWrap/>
            <w:vAlign w:val="center"/>
          </w:tcPr>
          <w:p w14:paraId="357FDADC">
            <w:pPr>
              <w:autoSpaceDN w:val="0"/>
              <w:spacing w:line="440" w:lineRule="exact"/>
              <w:jc w:val="center"/>
              <w:rPr>
                <w:rFonts w:ascii="仿宋" w:hAnsi="仿宋" w:eastAsia="仿宋" w:cs="Times New Roman"/>
                <w:color w:val="auto"/>
                <w:sz w:val="22"/>
                <w:highlight w:val="none"/>
              </w:rPr>
            </w:pPr>
          </w:p>
        </w:tc>
        <w:tc>
          <w:tcPr>
            <w:tcW w:w="1073" w:type="dxa"/>
            <w:tcBorders>
              <w:top w:val="single" w:color="auto" w:sz="4" w:space="0"/>
              <w:left w:val="single" w:color="auto" w:sz="4" w:space="0"/>
              <w:bottom w:val="single" w:color="auto" w:sz="4" w:space="0"/>
              <w:right w:val="single" w:color="auto" w:sz="4" w:space="0"/>
            </w:tcBorders>
            <w:noWrap/>
            <w:vAlign w:val="center"/>
          </w:tcPr>
          <w:p w14:paraId="4D086729">
            <w:pPr>
              <w:autoSpaceDN w:val="0"/>
              <w:spacing w:line="440" w:lineRule="exact"/>
              <w:jc w:val="center"/>
              <w:rPr>
                <w:rFonts w:ascii="仿宋" w:hAnsi="仿宋" w:eastAsia="仿宋" w:cs="Times New Roman"/>
                <w:color w:val="auto"/>
                <w:sz w:val="22"/>
                <w:highlight w:val="none"/>
              </w:rPr>
            </w:pPr>
          </w:p>
        </w:tc>
        <w:tc>
          <w:tcPr>
            <w:tcW w:w="727" w:type="dxa"/>
            <w:tcBorders>
              <w:top w:val="single" w:color="auto" w:sz="4" w:space="0"/>
              <w:left w:val="single" w:color="auto" w:sz="4" w:space="0"/>
              <w:bottom w:val="single" w:color="auto" w:sz="4" w:space="0"/>
              <w:right w:val="single" w:color="auto" w:sz="4" w:space="0"/>
            </w:tcBorders>
            <w:noWrap/>
            <w:vAlign w:val="center"/>
          </w:tcPr>
          <w:p w14:paraId="14C3E547">
            <w:pPr>
              <w:autoSpaceDN w:val="0"/>
              <w:spacing w:line="440" w:lineRule="exact"/>
              <w:jc w:val="center"/>
              <w:rPr>
                <w:rFonts w:ascii="仿宋" w:hAnsi="仿宋" w:eastAsia="仿宋" w:cs="Times New Roman"/>
                <w:color w:val="auto"/>
                <w:sz w:val="22"/>
                <w:highlight w:val="none"/>
              </w:rPr>
            </w:pPr>
          </w:p>
        </w:tc>
        <w:tc>
          <w:tcPr>
            <w:tcW w:w="800" w:type="dxa"/>
            <w:tcBorders>
              <w:top w:val="single" w:color="auto" w:sz="4" w:space="0"/>
              <w:left w:val="single" w:color="auto" w:sz="4" w:space="0"/>
              <w:bottom w:val="single" w:color="auto" w:sz="4" w:space="0"/>
              <w:right w:val="single" w:color="auto" w:sz="4" w:space="0"/>
            </w:tcBorders>
            <w:noWrap/>
            <w:vAlign w:val="center"/>
          </w:tcPr>
          <w:p w14:paraId="603E3412">
            <w:pPr>
              <w:autoSpaceDN w:val="0"/>
              <w:spacing w:line="440" w:lineRule="exact"/>
              <w:jc w:val="center"/>
              <w:rPr>
                <w:rFonts w:ascii="仿宋" w:hAnsi="仿宋" w:eastAsia="仿宋" w:cs="Times New Roman"/>
                <w:color w:val="auto"/>
                <w:sz w:val="22"/>
                <w:highlight w:val="none"/>
              </w:rPr>
            </w:pPr>
          </w:p>
        </w:tc>
        <w:tc>
          <w:tcPr>
            <w:tcW w:w="1312" w:type="dxa"/>
            <w:tcBorders>
              <w:top w:val="single" w:color="auto" w:sz="4" w:space="0"/>
              <w:left w:val="single" w:color="auto" w:sz="4" w:space="0"/>
              <w:bottom w:val="single" w:color="auto" w:sz="4" w:space="0"/>
              <w:right w:val="single" w:color="auto" w:sz="4" w:space="0"/>
            </w:tcBorders>
            <w:noWrap/>
            <w:vAlign w:val="center"/>
          </w:tcPr>
          <w:p w14:paraId="1C383842">
            <w:pPr>
              <w:autoSpaceDN w:val="0"/>
              <w:spacing w:line="440" w:lineRule="exact"/>
              <w:jc w:val="center"/>
              <w:rPr>
                <w:rFonts w:ascii="仿宋" w:hAnsi="仿宋" w:eastAsia="仿宋" w:cs="Times New Roman"/>
                <w:color w:val="auto"/>
                <w:sz w:val="22"/>
                <w:highlight w:val="none"/>
              </w:rPr>
            </w:pPr>
          </w:p>
        </w:tc>
        <w:tc>
          <w:tcPr>
            <w:tcW w:w="1151" w:type="dxa"/>
            <w:tcBorders>
              <w:top w:val="single" w:color="auto" w:sz="4" w:space="0"/>
              <w:left w:val="single" w:color="auto" w:sz="4" w:space="0"/>
              <w:bottom w:val="single" w:color="auto" w:sz="4" w:space="0"/>
              <w:right w:val="single" w:color="auto" w:sz="4" w:space="0"/>
            </w:tcBorders>
            <w:noWrap/>
            <w:vAlign w:val="center"/>
          </w:tcPr>
          <w:p w14:paraId="4DC1CF57">
            <w:pPr>
              <w:autoSpaceDN w:val="0"/>
              <w:spacing w:line="440" w:lineRule="exact"/>
              <w:jc w:val="center"/>
              <w:rPr>
                <w:rFonts w:ascii="仿宋" w:hAnsi="仿宋" w:eastAsia="仿宋" w:cs="Times New Roman"/>
                <w:color w:val="auto"/>
                <w:sz w:val="22"/>
                <w:highlight w:val="none"/>
              </w:rPr>
            </w:pPr>
          </w:p>
        </w:tc>
        <w:tc>
          <w:tcPr>
            <w:tcW w:w="742" w:type="dxa"/>
            <w:tcBorders>
              <w:top w:val="single" w:color="auto" w:sz="4" w:space="0"/>
              <w:left w:val="single" w:color="auto" w:sz="4" w:space="0"/>
              <w:bottom w:val="single" w:color="auto" w:sz="4" w:space="0"/>
              <w:right w:val="single" w:color="auto" w:sz="4" w:space="0"/>
            </w:tcBorders>
            <w:noWrap/>
            <w:vAlign w:val="center"/>
          </w:tcPr>
          <w:p w14:paraId="0CA8BBD5">
            <w:pPr>
              <w:autoSpaceDN w:val="0"/>
              <w:spacing w:line="440" w:lineRule="exact"/>
              <w:jc w:val="center"/>
              <w:rPr>
                <w:rFonts w:ascii="仿宋" w:hAnsi="仿宋" w:eastAsia="仿宋" w:cs="Times New Roman"/>
                <w:color w:val="auto"/>
                <w:sz w:val="22"/>
                <w:highlight w:val="none"/>
              </w:rPr>
            </w:pPr>
          </w:p>
        </w:tc>
      </w:tr>
      <w:tr w14:paraId="5317B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24" w:type="dxa"/>
            <w:tcBorders>
              <w:top w:val="single" w:color="auto" w:sz="4" w:space="0"/>
              <w:left w:val="single" w:color="auto" w:sz="4" w:space="0"/>
              <w:bottom w:val="single" w:color="auto" w:sz="4" w:space="0"/>
              <w:right w:val="single" w:color="auto" w:sz="4" w:space="0"/>
            </w:tcBorders>
            <w:noWrap/>
          </w:tcPr>
          <w:p w14:paraId="07638371">
            <w:pPr>
              <w:autoSpaceDN w:val="0"/>
              <w:spacing w:line="440" w:lineRule="exact"/>
              <w:jc w:val="center"/>
              <w:rPr>
                <w:rFonts w:ascii="仿宋" w:hAnsi="仿宋" w:eastAsia="仿宋" w:cs="Times New Roman"/>
                <w:color w:val="auto"/>
                <w:sz w:val="22"/>
                <w:highlight w:val="none"/>
              </w:rPr>
            </w:pPr>
          </w:p>
        </w:tc>
        <w:tc>
          <w:tcPr>
            <w:tcW w:w="1177" w:type="dxa"/>
            <w:tcBorders>
              <w:top w:val="single" w:color="auto" w:sz="4" w:space="0"/>
              <w:left w:val="single" w:color="auto" w:sz="4" w:space="0"/>
              <w:bottom w:val="single" w:color="auto" w:sz="4" w:space="0"/>
              <w:right w:val="single" w:color="auto" w:sz="4" w:space="0"/>
            </w:tcBorders>
            <w:noWrap/>
          </w:tcPr>
          <w:p w14:paraId="4818F1B2">
            <w:pPr>
              <w:autoSpaceDN w:val="0"/>
              <w:spacing w:line="440" w:lineRule="exact"/>
              <w:jc w:val="center"/>
              <w:rPr>
                <w:rFonts w:ascii="仿宋" w:hAnsi="仿宋" w:eastAsia="仿宋" w:cs="Times New Roman"/>
                <w:color w:val="auto"/>
                <w:sz w:val="22"/>
                <w:highlight w:val="none"/>
              </w:rPr>
            </w:pPr>
          </w:p>
        </w:tc>
        <w:tc>
          <w:tcPr>
            <w:tcW w:w="822" w:type="dxa"/>
            <w:tcBorders>
              <w:top w:val="single" w:color="auto" w:sz="4" w:space="0"/>
              <w:left w:val="single" w:color="auto" w:sz="4" w:space="0"/>
              <w:bottom w:val="single" w:color="auto" w:sz="4" w:space="0"/>
              <w:right w:val="single" w:color="auto" w:sz="4" w:space="0"/>
            </w:tcBorders>
            <w:noWrap/>
          </w:tcPr>
          <w:p w14:paraId="6633734F">
            <w:pPr>
              <w:autoSpaceDN w:val="0"/>
              <w:spacing w:line="440" w:lineRule="exact"/>
              <w:jc w:val="center"/>
              <w:rPr>
                <w:rFonts w:ascii="仿宋" w:hAnsi="仿宋" w:eastAsia="仿宋" w:cs="Times New Roman"/>
                <w:color w:val="auto"/>
                <w:sz w:val="22"/>
                <w:highlight w:val="none"/>
              </w:rPr>
            </w:pPr>
          </w:p>
        </w:tc>
        <w:tc>
          <w:tcPr>
            <w:tcW w:w="1073" w:type="dxa"/>
            <w:tcBorders>
              <w:top w:val="single" w:color="auto" w:sz="4" w:space="0"/>
              <w:left w:val="single" w:color="auto" w:sz="4" w:space="0"/>
              <w:bottom w:val="single" w:color="auto" w:sz="4" w:space="0"/>
              <w:right w:val="single" w:color="auto" w:sz="4" w:space="0"/>
            </w:tcBorders>
            <w:noWrap/>
          </w:tcPr>
          <w:p w14:paraId="766A72F6">
            <w:pPr>
              <w:autoSpaceDN w:val="0"/>
              <w:spacing w:line="440" w:lineRule="exact"/>
              <w:jc w:val="center"/>
              <w:rPr>
                <w:rFonts w:ascii="仿宋" w:hAnsi="仿宋" w:eastAsia="仿宋" w:cs="Times New Roman"/>
                <w:color w:val="auto"/>
                <w:sz w:val="22"/>
                <w:highlight w:val="none"/>
              </w:rPr>
            </w:pPr>
          </w:p>
        </w:tc>
        <w:tc>
          <w:tcPr>
            <w:tcW w:w="727" w:type="dxa"/>
            <w:tcBorders>
              <w:top w:val="single" w:color="auto" w:sz="4" w:space="0"/>
              <w:left w:val="single" w:color="auto" w:sz="4" w:space="0"/>
              <w:bottom w:val="single" w:color="auto" w:sz="4" w:space="0"/>
              <w:right w:val="single" w:color="auto" w:sz="4" w:space="0"/>
            </w:tcBorders>
            <w:noWrap/>
          </w:tcPr>
          <w:p w14:paraId="2DC5A457">
            <w:pPr>
              <w:autoSpaceDN w:val="0"/>
              <w:spacing w:line="440" w:lineRule="exact"/>
              <w:jc w:val="center"/>
              <w:rPr>
                <w:rFonts w:ascii="仿宋" w:hAnsi="仿宋" w:eastAsia="仿宋" w:cs="Times New Roman"/>
                <w:color w:val="auto"/>
                <w:sz w:val="22"/>
                <w:highlight w:val="none"/>
              </w:rPr>
            </w:pPr>
          </w:p>
        </w:tc>
        <w:tc>
          <w:tcPr>
            <w:tcW w:w="800" w:type="dxa"/>
            <w:tcBorders>
              <w:top w:val="single" w:color="auto" w:sz="4" w:space="0"/>
              <w:left w:val="single" w:color="auto" w:sz="4" w:space="0"/>
              <w:bottom w:val="single" w:color="auto" w:sz="4" w:space="0"/>
              <w:right w:val="single" w:color="auto" w:sz="4" w:space="0"/>
            </w:tcBorders>
            <w:noWrap/>
          </w:tcPr>
          <w:p w14:paraId="49652670">
            <w:pPr>
              <w:autoSpaceDN w:val="0"/>
              <w:spacing w:line="440" w:lineRule="exact"/>
              <w:jc w:val="center"/>
              <w:rPr>
                <w:rFonts w:ascii="仿宋" w:hAnsi="仿宋" w:eastAsia="仿宋" w:cs="Times New Roman"/>
                <w:color w:val="auto"/>
                <w:sz w:val="22"/>
                <w:highlight w:val="none"/>
              </w:rPr>
            </w:pPr>
          </w:p>
        </w:tc>
        <w:tc>
          <w:tcPr>
            <w:tcW w:w="1312" w:type="dxa"/>
            <w:tcBorders>
              <w:top w:val="single" w:color="auto" w:sz="4" w:space="0"/>
              <w:left w:val="single" w:color="auto" w:sz="4" w:space="0"/>
              <w:bottom w:val="single" w:color="auto" w:sz="4" w:space="0"/>
              <w:right w:val="single" w:color="auto" w:sz="4" w:space="0"/>
            </w:tcBorders>
            <w:noWrap/>
          </w:tcPr>
          <w:p w14:paraId="0E25218C">
            <w:pPr>
              <w:autoSpaceDN w:val="0"/>
              <w:spacing w:line="440" w:lineRule="exact"/>
              <w:jc w:val="center"/>
              <w:rPr>
                <w:rFonts w:ascii="仿宋" w:hAnsi="仿宋" w:eastAsia="仿宋" w:cs="Times New Roman"/>
                <w:color w:val="auto"/>
                <w:sz w:val="22"/>
                <w:highlight w:val="none"/>
              </w:rPr>
            </w:pPr>
          </w:p>
        </w:tc>
        <w:tc>
          <w:tcPr>
            <w:tcW w:w="1151" w:type="dxa"/>
            <w:tcBorders>
              <w:top w:val="single" w:color="auto" w:sz="4" w:space="0"/>
              <w:left w:val="single" w:color="auto" w:sz="4" w:space="0"/>
              <w:bottom w:val="single" w:color="auto" w:sz="4" w:space="0"/>
              <w:right w:val="single" w:color="auto" w:sz="4" w:space="0"/>
            </w:tcBorders>
            <w:noWrap/>
          </w:tcPr>
          <w:p w14:paraId="3DDB5187">
            <w:pPr>
              <w:autoSpaceDN w:val="0"/>
              <w:spacing w:line="440" w:lineRule="exact"/>
              <w:jc w:val="center"/>
              <w:rPr>
                <w:rFonts w:ascii="仿宋" w:hAnsi="仿宋" w:eastAsia="仿宋" w:cs="Times New Roman"/>
                <w:color w:val="auto"/>
                <w:sz w:val="22"/>
                <w:highlight w:val="none"/>
              </w:rPr>
            </w:pPr>
          </w:p>
        </w:tc>
        <w:tc>
          <w:tcPr>
            <w:tcW w:w="742" w:type="dxa"/>
            <w:tcBorders>
              <w:top w:val="single" w:color="auto" w:sz="4" w:space="0"/>
              <w:left w:val="single" w:color="auto" w:sz="4" w:space="0"/>
              <w:bottom w:val="single" w:color="auto" w:sz="4" w:space="0"/>
              <w:right w:val="single" w:color="auto" w:sz="4" w:space="0"/>
            </w:tcBorders>
            <w:noWrap/>
          </w:tcPr>
          <w:p w14:paraId="3D2F722B">
            <w:pPr>
              <w:autoSpaceDN w:val="0"/>
              <w:spacing w:line="440" w:lineRule="exact"/>
              <w:jc w:val="center"/>
              <w:rPr>
                <w:rFonts w:ascii="仿宋" w:hAnsi="仿宋" w:eastAsia="仿宋" w:cs="Times New Roman"/>
                <w:color w:val="auto"/>
                <w:sz w:val="22"/>
                <w:highlight w:val="none"/>
              </w:rPr>
            </w:pPr>
          </w:p>
        </w:tc>
      </w:tr>
      <w:tr w14:paraId="435FF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724" w:type="dxa"/>
            <w:tcBorders>
              <w:top w:val="single" w:color="auto" w:sz="4" w:space="0"/>
              <w:left w:val="single" w:color="auto" w:sz="4" w:space="0"/>
              <w:bottom w:val="single" w:color="auto" w:sz="4" w:space="0"/>
              <w:right w:val="single" w:color="auto" w:sz="4" w:space="0"/>
            </w:tcBorders>
            <w:noWrap/>
          </w:tcPr>
          <w:p w14:paraId="55A9DE2B">
            <w:pPr>
              <w:autoSpaceDN w:val="0"/>
              <w:spacing w:line="440" w:lineRule="exact"/>
              <w:jc w:val="center"/>
              <w:rPr>
                <w:rFonts w:ascii="仿宋" w:hAnsi="仿宋" w:eastAsia="仿宋" w:cs="Times New Roman"/>
                <w:color w:val="auto"/>
                <w:sz w:val="22"/>
                <w:highlight w:val="none"/>
              </w:rPr>
            </w:pPr>
          </w:p>
        </w:tc>
        <w:tc>
          <w:tcPr>
            <w:tcW w:w="1177" w:type="dxa"/>
            <w:tcBorders>
              <w:top w:val="single" w:color="auto" w:sz="4" w:space="0"/>
              <w:left w:val="single" w:color="auto" w:sz="4" w:space="0"/>
              <w:bottom w:val="single" w:color="auto" w:sz="4" w:space="0"/>
              <w:right w:val="single" w:color="auto" w:sz="4" w:space="0"/>
            </w:tcBorders>
            <w:noWrap/>
          </w:tcPr>
          <w:p w14:paraId="0DB5CC2F">
            <w:pPr>
              <w:autoSpaceDN w:val="0"/>
              <w:spacing w:line="440" w:lineRule="exact"/>
              <w:jc w:val="center"/>
              <w:rPr>
                <w:rFonts w:ascii="仿宋" w:hAnsi="仿宋" w:eastAsia="仿宋" w:cs="Times New Roman"/>
                <w:color w:val="auto"/>
                <w:sz w:val="22"/>
                <w:highlight w:val="none"/>
              </w:rPr>
            </w:pPr>
          </w:p>
        </w:tc>
        <w:tc>
          <w:tcPr>
            <w:tcW w:w="822" w:type="dxa"/>
            <w:tcBorders>
              <w:top w:val="single" w:color="auto" w:sz="4" w:space="0"/>
              <w:left w:val="single" w:color="auto" w:sz="4" w:space="0"/>
              <w:bottom w:val="single" w:color="auto" w:sz="4" w:space="0"/>
              <w:right w:val="single" w:color="auto" w:sz="4" w:space="0"/>
            </w:tcBorders>
            <w:noWrap/>
          </w:tcPr>
          <w:p w14:paraId="26B30BB1">
            <w:pPr>
              <w:autoSpaceDN w:val="0"/>
              <w:spacing w:line="440" w:lineRule="exact"/>
              <w:jc w:val="center"/>
              <w:rPr>
                <w:rFonts w:ascii="仿宋" w:hAnsi="仿宋" w:eastAsia="仿宋" w:cs="Times New Roman"/>
                <w:color w:val="auto"/>
                <w:sz w:val="22"/>
                <w:highlight w:val="none"/>
              </w:rPr>
            </w:pPr>
          </w:p>
        </w:tc>
        <w:tc>
          <w:tcPr>
            <w:tcW w:w="1073" w:type="dxa"/>
            <w:tcBorders>
              <w:top w:val="single" w:color="auto" w:sz="4" w:space="0"/>
              <w:left w:val="single" w:color="auto" w:sz="4" w:space="0"/>
              <w:bottom w:val="single" w:color="auto" w:sz="4" w:space="0"/>
              <w:right w:val="single" w:color="auto" w:sz="4" w:space="0"/>
            </w:tcBorders>
            <w:noWrap/>
          </w:tcPr>
          <w:p w14:paraId="09DD3097">
            <w:pPr>
              <w:autoSpaceDN w:val="0"/>
              <w:spacing w:line="440" w:lineRule="exact"/>
              <w:jc w:val="center"/>
              <w:rPr>
                <w:rFonts w:ascii="仿宋" w:hAnsi="仿宋" w:eastAsia="仿宋" w:cs="Times New Roman"/>
                <w:color w:val="auto"/>
                <w:sz w:val="22"/>
                <w:highlight w:val="none"/>
              </w:rPr>
            </w:pPr>
          </w:p>
        </w:tc>
        <w:tc>
          <w:tcPr>
            <w:tcW w:w="727" w:type="dxa"/>
            <w:tcBorders>
              <w:top w:val="single" w:color="auto" w:sz="4" w:space="0"/>
              <w:left w:val="single" w:color="auto" w:sz="4" w:space="0"/>
              <w:bottom w:val="single" w:color="auto" w:sz="4" w:space="0"/>
              <w:right w:val="single" w:color="auto" w:sz="4" w:space="0"/>
            </w:tcBorders>
            <w:noWrap/>
          </w:tcPr>
          <w:p w14:paraId="1DEC4BC0">
            <w:pPr>
              <w:autoSpaceDN w:val="0"/>
              <w:spacing w:line="440" w:lineRule="exact"/>
              <w:jc w:val="center"/>
              <w:rPr>
                <w:rFonts w:ascii="仿宋" w:hAnsi="仿宋" w:eastAsia="仿宋" w:cs="Times New Roman"/>
                <w:color w:val="auto"/>
                <w:sz w:val="22"/>
                <w:highlight w:val="none"/>
              </w:rPr>
            </w:pPr>
          </w:p>
        </w:tc>
        <w:tc>
          <w:tcPr>
            <w:tcW w:w="800" w:type="dxa"/>
            <w:tcBorders>
              <w:top w:val="single" w:color="auto" w:sz="4" w:space="0"/>
              <w:left w:val="single" w:color="auto" w:sz="4" w:space="0"/>
              <w:bottom w:val="single" w:color="auto" w:sz="4" w:space="0"/>
              <w:right w:val="single" w:color="auto" w:sz="4" w:space="0"/>
            </w:tcBorders>
            <w:noWrap/>
          </w:tcPr>
          <w:p w14:paraId="348C237C">
            <w:pPr>
              <w:autoSpaceDN w:val="0"/>
              <w:spacing w:line="440" w:lineRule="exact"/>
              <w:jc w:val="center"/>
              <w:rPr>
                <w:rFonts w:ascii="仿宋" w:hAnsi="仿宋" w:eastAsia="仿宋" w:cs="Times New Roman"/>
                <w:color w:val="auto"/>
                <w:sz w:val="22"/>
                <w:highlight w:val="none"/>
              </w:rPr>
            </w:pPr>
          </w:p>
        </w:tc>
        <w:tc>
          <w:tcPr>
            <w:tcW w:w="1312" w:type="dxa"/>
            <w:tcBorders>
              <w:top w:val="single" w:color="auto" w:sz="4" w:space="0"/>
              <w:left w:val="single" w:color="auto" w:sz="4" w:space="0"/>
              <w:bottom w:val="single" w:color="auto" w:sz="4" w:space="0"/>
              <w:right w:val="single" w:color="auto" w:sz="4" w:space="0"/>
            </w:tcBorders>
            <w:noWrap/>
          </w:tcPr>
          <w:p w14:paraId="791CC7A6">
            <w:pPr>
              <w:autoSpaceDN w:val="0"/>
              <w:spacing w:line="440" w:lineRule="exact"/>
              <w:jc w:val="center"/>
              <w:rPr>
                <w:rFonts w:ascii="仿宋" w:hAnsi="仿宋" w:eastAsia="仿宋" w:cs="Times New Roman"/>
                <w:color w:val="auto"/>
                <w:sz w:val="22"/>
                <w:highlight w:val="none"/>
              </w:rPr>
            </w:pPr>
          </w:p>
        </w:tc>
        <w:tc>
          <w:tcPr>
            <w:tcW w:w="1151" w:type="dxa"/>
            <w:tcBorders>
              <w:top w:val="single" w:color="auto" w:sz="4" w:space="0"/>
              <w:left w:val="single" w:color="auto" w:sz="4" w:space="0"/>
              <w:bottom w:val="single" w:color="auto" w:sz="4" w:space="0"/>
              <w:right w:val="single" w:color="auto" w:sz="4" w:space="0"/>
            </w:tcBorders>
            <w:noWrap/>
          </w:tcPr>
          <w:p w14:paraId="764707B1">
            <w:pPr>
              <w:autoSpaceDN w:val="0"/>
              <w:spacing w:line="440" w:lineRule="exact"/>
              <w:jc w:val="center"/>
              <w:rPr>
                <w:rFonts w:ascii="仿宋" w:hAnsi="仿宋" w:eastAsia="仿宋" w:cs="Times New Roman"/>
                <w:color w:val="auto"/>
                <w:sz w:val="22"/>
                <w:highlight w:val="none"/>
              </w:rPr>
            </w:pPr>
          </w:p>
        </w:tc>
        <w:tc>
          <w:tcPr>
            <w:tcW w:w="742" w:type="dxa"/>
            <w:tcBorders>
              <w:top w:val="single" w:color="auto" w:sz="4" w:space="0"/>
              <w:left w:val="single" w:color="auto" w:sz="4" w:space="0"/>
              <w:bottom w:val="single" w:color="auto" w:sz="4" w:space="0"/>
              <w:right w:val="single" w:color="auto" w:sz="4" w:space="0"/>
            </w:tcBorders>
            <w:noWrap/>
          </w:tcPr>
          <w:p w14:paraId="249D7BCE">
            <w:pPr>
              <w:autoSpaceDN w:val="0"/>
              <w:spacing w:line="440" w:lineRule="exact"/>
              <w:jc w:val="center"/>
              <w:rPr>
                <w:rFonts w:ascii="仿宋" w:hAnsi="仿宋" w:eastAsia="仿宋" w:cs="Times New Roman"/>
                <w:color w:val="auto"/>
                <w:sz w:val="22"/>
                <w:highlight w:val="none"/>
              </w:rPr>
            </w:pPr>
          </w:p>
        </w:tc>
      </w:tr>
    </w:tbl>
    <w:p w14:paraId="25CF701F">
      <w:pPr>
        <w:autoSpaceDN w:val="0"/>
        <w:spacing w:line="440" w:lineRule="exact"/>
        <w:rPr>
          <w:rFonts w:ascii="仿宋" w:hAnsi="仿宋" w:eastAsia="仿宋" w:cs="Times New Roman"/>
          <w:color w:val="auto"/>
          <w:sz w:val="22"/>
          <w:highlight w:val="none"/>
        </w:rPr>
      </w:pPr>
    </w:p>
    <w:p w14:paraId="158499CB">
      <w:pPr>
        <w:autoSpaceDN w:val="0"/>
        <w:spacing w:line="440" w:lineRule="exact"/>
        <w:rPr>
          <w:rFonts w:ascii="仿宋" w:hAnsi="仿宋" w:eastAsia="仿宋" w:cs="Times New Roman"/>
          <w:b/>
          <w:bCs/>
          <w:color w:val="auto"/>
          <w:sz w:val="22"/>
          <w:highlight w:val="none"/>
        </w:rPr>
      </w:pPr>
      <w:r>
        <w:rPr>
          <w:rFonts w:hint="eastAsia" w:ascii="仿宋" w:hAnsi="仿宋" w:eastAsia="仿宋" w:cs="Times New Roman"/>
          <w:b/>
          <w:bCs/>
          <w:color w:val="auto"/>
          <w:sz w:val="22"/>
          <w:highlight w:val="none"/>
        </w:rPr>
        <w:br w:type="page"/>
      </w:r>
      <w:r>
        <w:rPr>
          <w:rFonts w:hint="eastAsia" w:ascii="仿宋" w:hAnsi="仿宋" w:eastAsia="仿宋" w:cs="Times New Roman"/>
          <w:b/>
          <w:bCs/>
          <w:color w:val="auto"/>
          <w:sz w:val="22"/>
          <w:highlight w:val="none"/>
        </w:rPr>
        <w:t>附表三、</w:t>
      </w:r>
      <w:r>
        <w:rPr>
          <w:rFonts w:hint="eastAsia" w:ascii="仿宋" w:hAnsi="仿宋" w:eastAsia="仿宋" w:cs="Times New Roman"/>
          <w:b/>
          <w:bCs/>
          <w:color w:val="auto"/>
          <w:kern w:val="0"/>
          <w:sz w:val="22"/>
          <w:highlight w:val="none"/>
        </w:rPr>
        <w:t>项目管理班子配备情况表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720"/>
        <w:gridCol w:w="720"/>
        <w:gridCol w:w="888"/>
        <w:gridCol w:w="888"/>
        <w:gridCol w:w="888"/>
        <w:gridCol w:w="888"/>
        <w:gridCol w:w="1488"/>
        <w:gridCol w:w="889"/>
        <w:gridCol w:w="911"/>
      </w:tblGrid>
      <w:tr w14:paraId="797B2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vMerge w:val="restart"/>
            <w:tcBorders>
              <w:top w:val="single" w:color="auto" w:sz="4" w:space="0"/>
              <w:left w:val="single" w:color="auto" w:sz="4" w:space="0"/>
              <w:bottom w:val="single" w:color="auto" w:sz="4" w:space="0"/>
              <w:right w:val="single" w:color="auto" w:sz="4" w:space="0"/>
            </w:tcBorders>
            <w:noWrap/>
            <w:vAlign w:val="center"/>
          </w:tcPr>
          <w:p w14:paraId="042D3D7A">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职务</w:t>
            </w:r>
          </w:p>
        </w:tc>
        <w:tc>
          <w:tcPr>
            <w:tcW w:w="720" w:type="dxa"/>
            <w:vMerge w:val="restart"/>
            <w:tcBorders>
              <w:top w:val="single" w:color="auto" w:sz="4" w:space="0"/>
              <w:left w:val="single" w:color="auto" w:sz="4" w:space="0"/>
              <w:bottom w:val="single" w:color="auto" w:sz="4" w:space="0"/>
              <w:right w:val="single" w:color="auto" w:sz="4" w:space="0"/>
            </w:tcBorders>
            <w:noWrap/>
            <w:vAlign w:val="center"/>
          </w:tcPr>
          <w:p w14:paraId="1CBAFF4A">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姓名</w:t>
            </w:r>
          </w:p>
        </w:tc>
        <w:tc>
          <w:tcPr>
            <w:tcW w:w="720" w:type="dxa"/>
            <w:vMerge w:val="restart"/>
            <w:tcBorders>
              <w:top w:val="single" w:color="auto" w:sz="4" w:space="0"/>
              <w:left w:val="single" w:color="auto" w:sz="4" w:space="0"/>
              <w:bottom w:val="single" w:color="auto" w:sz="4" w:space="0"/>
              <w:right w:val="single" w:color="auto" w:sz="4" w:space="0"/>
            </w:tcBorders>
            <w:noWrap/>
            <w:vAlign w:val="center"/>
          </w:tcPr>
          <w:p w14:paraId="7E755B77">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职称</w:t>
            </w:r>
          </w:p>
        </w:tc>
        <w:tc>
          <w:tcPr>
            <w:tcW w:w="5040" w:type="dxa"/>
            <w:gridSpan w:val="5"/>
            <w:tcBorders>
              <w:top w:val="single" w:color="auto" w:sz="4" w:space="0"/>
              <w:left w:val="single" w:color="auto" w:sz="4" w:space="0"/>
              <w:bottom w:val="single" w:color="auto" w:sz="4" w:space="0"/>
              <w:right w:val="single" w:color="auto" w:sz="4" w:space="0"/>
            </w:tcBorders>
            <w:noWrap/>
            <w:vAlign w:val="center"/>
          </w:tcPr>
          <w:p w14:paraId="03374E3D">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上岗资格证明</w:t>
            </w:r>
          </w:p>
        </w:tc>
        <w:tc>
          <w:tcPr>
            <w:tcW w:w="1800" w:type="dxa"/>
            <w:gridSpan w:val="2"/>
            <w:tcBorders>
              <w:top w:val="single" w:color="auto" w:sz="4" w:space="0"/>
              <w:left w:val="single" w:color="auto" w:sz="4" w:space="0"/>
              <w:bottom w:val="single" w:color="auto" w:sz="4" w:space="0"/>
              <w:right w:val="single" w:color="auto" w:sz="4" w:space="0"/>
            </w:tcBorders>
            <w:noWrap/>
            <w:vAlign w:val="center"/>
          </w:tcPr>
          <w:p w14:paraId="75C20ED1">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已承担在建工程情况</w:t>
            </w:r>
          </w:p>
        </w:tc>
      </w:tr>
      <w:tr w14:paraId="0EC93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28" w:type="dxa"/>
            <w:vMerge w:val="continue"/>
            <w:tcBorders>
              <w:top w:val="single" w:color="auto" w:sz="4" w:space="0"/>
              <w:left w:val="single" w:color="auto" w:sz="4" w:space="0"/>
              <w:bottom w:val="single" w:color="auto" w:sz="4" w:space="0"/>
              <w:right w:val="single" w:color="auto" w:sz="4" w:space="0"/>
            </w:tcBorders>
            <w:vAlign w:val="center"/>
          </w:tcPr>
          <w:p w14:paraId="30B87377">
            <w:pPr>
              <w:widowControl/>
              <w:jc w:val="left"/>
              <w:rPr>
                <w:rFonts w:ascii="仿宋" w:hAnsi="仿宋" w:eastAsia="仿宋" w:cs="Times New Roman"/>
                <w:color w:val="auto"/>
                <w:kern w:val="0"/>
                <w:sz w:val="22"/>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081CE139">
            <w:pPr>
              <w:widowControl/>
              <w:jc w:val="left"/>
              <w:rPr>
                <w:rFonts w:ascii="仿宋" w:hAnsi="仿宋" w:eastAsia="仿宋" w:cs="Times New Roman"/>
                <w:color w:val="auto"/>
                <w:kern w:val="0"/>
                <w:sz w:val="22"/>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59CFF925">
            <w:pPr>
              <w:widowControl/>
              <w:jc w:val="left"/>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vAlign w:val="center"/>
          </w:tcPr>
          <w:p w14:paraId="043A9D87">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证书</w:t>
            </w:r>
          </w:p>
          <w:p w14:paraId="1389C971">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名称</w:t>
            </w:r>
          </w:p>
        </w:tc>
        <w:tc>
          <w:tcPr>
            <w:tcW w:w="888" w:type="dxa"/>
            <w:tcBorders>
              <w:top w:val="single" w:color="auto" w:sz="4" w:space="0"/>
              <w:left w:val="single" w:color="auto" w:sz="4" w:space="0"/>
              <w:bottom w:val="single" w:color="auto" w:sz="4" w:space="0"/>
              <w:right w:val="single" w:color="auto" w:sz="4" w:space="0"/>
            </w:tcBorders>
            <w:noWrap/>
            <w:vAlign w:val="center"/>
          </w:tcPr>
          <w:p w14:paraId="46C08522">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级别</w:t>
            </w:r>
          </w:p>
        </w:tc>
        <w:tc>
          <w:tcPr>
            <w:tcW w:w="888" w:type="dxa"/>
            <w:tcBorders>
              <w:top w:val="single" w:color="auto" w:sz="4" w:space="0"/>
              <w:left w:val="single" w:color="auto" w:sz="4" w:space="0"/>
              <w:bottom w:val="single" w:color="auto" w:sz="4" w:space="0"/>
              <w:right w:val="single" w:color="auto" w:sz="4" w:space="0"/>
            </w:tcBorders>
            <w:noWrap/>
            <w:vAlign w:val="center"/>
          </w:tcPr>
          <w:p w14:paraId="561EF674">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证号</w:t>
            </w:r>
          </w:p>
        </w:tc>
        <w:tc>
          <w:tcPr>
            <w:tcW w:w="888" w:type="dxa"/>
            <w:tcBorders>
              <w:top w:val="single" w:color="auto" w:sz="4" w:space="0"/>
              <w:left w:val="single" w:color="auto" w:sz="4" w:space="0"/>
              <w:bottom w:val="single" w:color="auto" w:sz="4" w:space="0"/>
              <w:right w:val="single" w:color="auto" w:sz="4" w:space="0"/>
            </w:tcBorders>
            <w:noWrap/>
            <w:vAlign w:val="center"/>
          </w:tcPr>
          <w:p w14:paraId="3131E278">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专业</w:t>
            </w:r>
          </w:p>
        </w:tc>
        <w:tc>
          <w:tcPr>
            <w:tcW w:w="1488" w:type="dxa"/>
            <w:tcBorders>
              <w:top w:val="single" w:color="auto" w:sz="4" w:space="0"/>
              <w:left w:val="single" w:color="auto" w:sz="4" w:space="0"/>
              <w:bottom w:val="single" w:color="auto" w:sz="4" w:space="0"/>
              <w:right w:val="single" w:color="auto" w:sz="4" w:space="0"/>
            </w:tcBorders>
            <w:noWrap/>
            <w:vAlign w:val="center"/>
          </w:tcPr>
          <w:p w14:paraId="38E06616">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原服务单位</w:t>
            </w:r>
          </w:p>
        </w:tc>
        <w:tc>
          <w:tcPr>
            <w:tcW w:w="889" w:type="dxa"/>
            <w:tcBorders>
              <w:top w:val="single" w:color="auto" w:sz="4" w:space="0"/>
              <w:left w:val="single" w:color="auto" w:sz="4" w:space="0"/>
              <w:bottom w:val="single" w:color="auto" w:sz="4" w:space="0"/>
              <w:right w:val="single" w:color="auto" w:sz="4" w:space="0"/>
            </w:tcBorders>
            <w:noWrap/>
            <w:vAlign w:val="center"/>
          </w:tcPr>
          <w:p w14:paraId="6502CEC2">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项目数</w:t>
            </w:r>
          </w:p>
        </w:tc>
        <w:tc>
          <w:tcPr>
            <w:tcW w:w="911" w:type="dxa"/>
            <w:tcBorders>
              <w:top w:val="single" w:color="auto" w:sz="4" w:space="0"/>
              <w:left w:val="single" w:color="auto" w:sz="4" w:space="0"/>
              <w:bottom w:val="single" w:color="auto" w:sz="4" w:space="0"/>
              <w:right w:val="single" w:color="auto" w:sz="4" w:space="0"/>
            </w:tcBorders>
            <w:noWrap/>
            <w:vAlign w:val="center"/>
          </w:tcPr>
          <w:p w14:paraId="7C15CCB2">
            <w:pPr>
              <w:autoSpaceDN w:val="0"/>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主要项目名称</w:t>
            </w:r>
          </w:p>
        </w:tc>
      </w:tr>
      <w:tr w14:paraId="37F27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14:paraId="12F9650B">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2EEC816A">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250371D0">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67B40366">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09344F1D">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75238A89">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6BF9034A">
            <w:pPr>
              <w:autoSpaceDN w:val="0"/>
              <w:spacing w:line="360" w:lineRule="auto"/>
              <w:rPr>
                <w:rFonts w:ascii="仿宋" w:hAnsi="仿宋" w:eastAsia="仿宋" w:cs="Times New Roman"/>
                <w:color w:val="auto"/>
                <w:kern w:val="0"/>
                <w:sz w:val="22"/>
                <w:highlight w:val="none"/>
              </w:rPr>
            </w:pPr>
          </w:p>
        </w:tc>
        <w:tc>
          <w:tcPr>
            <w:tcW w:w="1488" w:type="dxa"/>
            <w:tcBorders>
              <w:top w:val="single" w:color="auto" w:sz="4" w:space="0"/>
              <w:left w:val="single" w:color="auto" w:sz="4" w:space="0"/>
              <w:bottom w:val="single" w:color="auto" w:sz="4" w:space="0"/>
              <w:right w:val="single" w:color="auto" w:sz="4" w:space="0"/>
            </w:tcBorders>
            <w:noWrap/>
          </w:tcPr>
          <w:p w14:paraId="67DFF713">
            <w:pPr>
              <w:autoSpaceDN w:val="0"/>
              <w:spacing w:line="360" w:lineRule="auto"/>
              <w:rPr>
                <w:rFonts w:ascii="仿宋" w:hAnsi="仿宋" w:eastAsia="仿宋" w:cs="Times New Roman"/>
                <w:color w:val="auto"/>
                <w:kern w:val="0"/>
                <w:sz w:val="22"/>
                <w:highlight w:val="none"/>
              </w:rPr>
            </w:pPr>
          </w:p>
        </w:tc>
        <w:tc>
          <w:tcPr>
            <w:tcW w:w="889" w:type="dxa"/>
            <w:tcBorders>
              <w:top w:val="single" w:color="auto" w:sz="4" w:space="0"/>
              <w:left w:val="single" w:color="auto" w:sz="4" w:space="0"/>
              <w:bottom w:val="single" w:color="auto" w:sz="4" w:space="0"/>
              <w:right w:val="single" w:color="auto" w:sz="4" w:space="0"/>
            </w:tcBorders>
            <w:noWrap/>
          </w:tcPr>
          <w:p w14:paraId="62B97352">
            <w:pPr>
              <w:autoSpaceDN w:val="0"/>
              <w:spacing w:line="360" w:lineRule="auto"/>
              <w:rPr>
                <w:rFonts w:ascii="仿宋" w:hAnsi="仿宋" w:eastAsia="仿宋" w:cs="Times New Roman"/>
                <w:color w:val="auto"/>
                <w:kern w:val="0"/>
                <w:sz w:val="22"/>
                <w:highlight w:val="none"/>
              </w:rPr>
            </w:pPr>
          </w:p>
        </w:tc>
        <w:tc>
          <w:tcPr>
            <w:tcW w:w="911" w:type="dxa"/>
            <w:tcBorders>
              <w:top w:val="single" w:color="auto" w:sz="4" w:space="0"/>
              <w:left w:val="single" w:color="auto" w:sz="4" w:space="0"/>
              <w:bottom w:val="single" w:color="auto" w:sz="4" w:space="0"/>
              <w:right w:val="single" w:color="auto" w:sz="4" w:space="0"/>
            </w:tcBorders>
            <w:noWrap/>
          </w:tcPr>
          <w:p w14:paraId="2F403038">
            <w:pPr>
              <w:autoSpaceDN w:val="0"/>
              <w:spacing w:line="360" w:lineRule="auto"/>
              <w:rPr>
                <w:rFonts w:ascii="仿宋" w:hAnsi="仿宋" w:eastAsia="仿宋" w:cs="Times New Roman"/>
                <w:color w:val="auto"/>
                <w:kern w:val="0"/>
                <w:sz w:val="22"/>
                <w:highlight w:val="none"/>
              </w:rPr>
            </w:pPr>
          </w:p>
        </w:tc>
      </w:tr>
      <w:tr w14:paraId="284E7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14:paraId="539347A7">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5AC99F27">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5EBB584C">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66CEEBCB">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5C7A396A">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5C115A04">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60C847B2">
            <w:pPr>
              <w:autoSpaceDN w:val="0"/>
              <w:spacing w:line="360" w:lineRule="auto"/>
              <w:rPr>
                <w:rFonts w:ascii="仿宋" w:hAnsi="仿宋" w:eastAsia="仿宋" w:cs="Times New Roman"/>
                <w:color w:val="auto"/>
                <w:kern w:val="0"/>
                <w:sz w:val="22"/>
                <w:highlight w:val="none"/>
              </w:rPr>
            </w:pPr>
          </w:p>
        </w:tc>
        <w:tc>
          <w:tcPr>
            <w:tcW w:w="1488" w:type="dxa"/>
            <w:tcBorders>
              <w:top w:val="single" w:color="auto" w:sz="4" w:space="0"/>
              <w:left w:val="single" w:color="auto" w:sz="4" w:space="0"/>
              <w:bottom w:val="single" w:color="auto" w:sz="4" w:space="0"/>
              <w:right w:val="single" w:color="auto" w:sz="4" w:space="0"/>
            </w:tcBorders>
            <w:noWrap/>
          </w:tcPr>
          <w:p w14:paraId="6F0BD595">
            <w:pPr>
              <w:autoSpaceDN w:val="0"/>
              <w:spacing w:line="360" w:lineRule="auto"/>
              <w:rPr>
                <w:rFonts w:ascii="仿宋" w:hAnsi="仿宋" w:eastAsia="仿宋" w:cs="Times New Roman"/>
                <w:color w:val="auto"/>
                <w:kern w:val="0"/>
                <w:sz w:val="22"/>
                <w:highlight w:val="none"/>
              </w:rPr>
            </w:pPr>
          </w:p>
        </w:tc>
        <w:tc>
          <w:tcPr>
            <w:tcW w:w="889" w:type="dxa"/>
            <w:tcBorders>
              <w:top w:val="single" w:color="auto" w:sz="4" w:space="0"/>
              <w:left w:val="single" w:color="auto" w:sz="4" w:space="0"/>
              <w:bottom w:val="single" w:color="auto" w:sz="4" w:space="0"/>
              <w:right w:val="single" w:color="auto" w:sz="4" w:space="0"/>
            </w:tcBorders>
            <w:noWrap/>
          </w:tcPr>
          <w:p w14:paraId="71577CDB">
            <w:pPr>
              <w:autoSpaceDN w:val="0"/>
              <w:spacing w:line="360" w:lineRule="auto"/>
              <w:rPr>
                <w:rFonts w:ascii="仿宋" w:hAnsi="仿宋" w:eastAsia="仿宋" w:cs="Times New Roman"/>
                <w:color w:val="auto"/>
                <w:kern w:val="0"/>
                <w:sz w:val="22"/>
                <w:highlight w:val="none"/>
              </w:rPr>
            </w:pPr>
          </w:p>
        </w:tc>
        <w:tc>
          <w:tcPr>
            <w:tcW w:w="911" w:type="dxa"/>
            <w:tcBorders>
              <w:top w:val="single" w:color="auto" w:sz="4" w:space="0"/>
              <w:left w:val="single" w:color="auto" w:sz="4" w:space="0"/>
              <w:bottom w:val="single" w:color="auto" w:sz="4" w:space="0"/>
              <w:right w:val="single" w:color="auto" w:sz="4" w:space="0"/>
            </w:tcBorders>
            <w:noWrap/>
          </w:tcPr>
          <w:p w14:paraId="04C82F7F">
            <w:pPr>
              <w:autoSpaceDN w:val="0"/>
              <w:spacing w:line="360" w:lineRule="auto"/>
              <w:rPr>
                <w:rFonts w:ascii="仿宋" w:hAnsi="仿宋" w:eastAsia="仿宋" w:cs="Times New Roman"/>
                <w:color w:val="auto"/>
                <w:kern w:val="0"/>
                <w:sz w:val="22"/>
                <w:highlight w:val="none"/>
              </w:rPr>
            </w:pPr>
          </w:p>
        </w:tc>
      </w:tr>
      <w:tr w14:paraId="38D2B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14:paraId="11624282">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0F559074">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3AAF4DB0">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3B546DB1">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3A4DC5FC">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25F90613">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7211A518">
            <w:pPr>
              <w:autoSpaceDN w:val="0"/>
              <w:spacing w:line="360" w:lineRule="auto"/>
              <w:rPr>
                <w:rFonts w:ascii="仿宋" w:hAnsi="仿宋" w:eastAsia="仿宋" w:cs="Times New Roman"/>
                <w:color w:val="auto"/>
                <w:kern w:val="0"/>
                <w:sz w:val="22"/>
                <w:highlight w:val="none"/>
              </w:rPr>
            </w:pPr>
          </w:p>
        </w:tc>
        <w:tc>
          <w:tcPr>
            <w:tcW w:w="1488" w:type="dxa"/>
            <w:tcBorders>
              <w:top w:val="single" w:color="auto" w:sz="4" w:space="0"/>
              <w:left w:val="single" w:color="auto" w:sz="4" w:space="0"/>
              <w:bottom w:val="single" w:color="auto" w:sz="4" w:space="0"/>
              <w:right w:val="single" w:color="auto" w:sz="4" w:space="0"/>
            </w:tcBorders>
            <w:noWrap/>
          </w:tcPr>
          <w:p w14:paraId="39080A93">
            <w:pPr>
              <w:autoSpaceDN w:val="0"/>
              <w:spacing w:line="360" w:lineRule="auto"/>
              <w:rPr>
                <w:rFonts w:ascii="仿宋" w:hAnsi="仿宋" w:eastAsia="仿宋" w:cs="Times New Roman"/>
                <w:color w:val="auto"/>
                <w:kern w:val="0"/>
                <w:sz w:val="22"/>
                <w:highlight w:val="none"/>
              </w:rPr>
            </w:pPr>
          </w:p>
        </w:tc>
        <w:tc>
          <w:tcPr>
            <w:tcW w:w="889" w:type="dxa"/>
            <w:tcBorders>
              <w:top w:val="single" w:color="auto" w:sz="4" w:space="0"/>
              <w:left w:val="single" w:color="auto" w:sz="4" w:space="0"/>
              <w:bottom w:val="single" w:color="auto" w:sz="4" w:space="0"/>
              <w:right w:val="single" w:color="auto" w:sz="4" w:space="0"/>
            </w:tcBorders>
            <w:noWrap/>
          </w:tcPr>
          <w:p w14:paraId="3E4B026E">
            <w:pPr>
              <w:autoSpaceDN w:val="0"/>
              <w:spacing w:line="360" w:lineRule="auto"/>
              <w:rPr>
                <w:rFonts w:ascii="仿宋" w:hAnsi="仿宋" w:eastAsia="仿宋" w:cs="Times New Roman"/>
                <w:color w:val="auto"/>
                <w:kern w:val="0"/>
                <w:sz w:val="22"/>
                <w:highlight w:val="none"/>
              </w:rPr>
            </w:pPr>
          </w:p>
        </w:tc>
        <w:tc>
          <w:tcPr>
            <w:tcW w:w="911" w:type="dxa"/>
            <w:tcBorders>
              <w:top w:val="single" w:color="auto" w:sz="4" w:space="0"/>
              <w:left w:val="single" w:color="auto" w:sz="4" w:space="0"/>
              <w:bottom w:val="single" w:color="auto" w:sz="4" w:space="0"/>
              <w:right w:val="single" w:color="auto" w:sz="4" w:space="0"/>
            </w:tcBorders>
            <w:noWrap/>
          </w:tcPr>
          <w:p w14:paraId="3A354985">
            <w:pPr>
              <w:autoSpaceDN w:val="0"/>
              <w:spacing w:line="360" w:lineRule="auto"/>
              <w:rPr>
                <w:rFonts w:ascii="仿宋" w:hAnsi="仿宋" w:eastAsia="仿宋" w:cs="Times New Roman"/>
                <w:color w:val="auto"/>
                <w:kern w:val="0"/>
                <w:sz w:val="22"/>
                <w:highlight w:val="none"/>
              </w:rPr>
            </w:pPr>
          </w:p>
        </w:tc>
      </w:tr>
      <w:tr w14:paraId="45DAF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648" w:type="dxa"/>
            <w:tcBorders>
              <w:top w:val="single" w:color="auto" w:sz="4" w:space="0"/>
              <w:left w:val="single" w:color="auto" w:sz="4" w:space="0"/>
              <w:bottom w:val="single" w:color="auto" w:sz="4" w:space="0"/>
              <w:right w:val="single" w:color="auto" w:sz="4" w:space="0"/>
            </w:tcBorders>
            <w:noWrap/>
          </w:tcPr>
          <w:p w14:paraId="735F97D1">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7BF44A72">
            <w:pPr>
              <w:autoSpaceDN w:val="0"/>
              <w:spacing w:line="360" w:lineRule="auto"/>
              <w:rPr>
                <w:rFonts w:ascii="仿宋" w:hAnsi="仿宋" w:eastAsia="仿宋" w:cs="Times New Roman"/>
                <w:color w:val="auto"/>
                <w:kern w:val="0"/>
                <w:sz w:val="22"/>
                <w:highlight w:val="none"/>
              </w:rPr>
            </w:pPr>
          </w:p>
        </w:tc>
        <w:tc>
          <w:tcPr>
            <w:tcW w:w="720" w:type="dxa"/>
            <w:tcBorders>
              <w:top w:val="single" w:color="auto" w:sz="4" w:space="0"/>
              <w:left w:val="single" w:color="auto" w:sz="4" w:space="0"/>
              <w:bottom w:val="single" w:color="auto" w:sz="4" w:space="0"/>
              <w:right w:val="single" w:color="auto" w:sz="4" w:space="0"/>
            </w:tcBorders>
            <w:noWrap/>
          </w:tcPr>
          <w:p w14:paraId="273BC860">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61A02BE0">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60DB8FCE">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3DCC8D7F">
            <w:pPr>
              <w:autoSpaceDN w:val="0"/>
              <w:spacing w:line="360" w:lineRule="auto"/>
              <w:rPr>
                <w:rFonts w:ascii="仿宋" w:hAnsi="仿宋" w:eastAsia="仿宋" w:cs="Times New Roman"/>
                <w:color w:val="auto"/>
                <w:kern w:val="0"/>
                <w:sz w:val="22"/>
                <w:highlight w:val="none"/>
              </w:rPr>
            </w:pPr>
          </w:p>
        </w:tc>
        <w:tc>
          <w:tcPr>
            <w:tcW w:w="888" w:type="dxa"/>
            <w:tcBorders>
              <w:top w:val="single" w:color="auto" w:sz="4" w:space="0"/>
              <w:left w:val="single" w:color="auto" w:sz="4" w:space="0"/>
              <w:bottom w:val="single" w:color="auto" w:sz="4" w:space="0"/>
              <w:right w:val="single" w:color="auto" w:sz="4" w:space="0"/>
            </w:tcBorders>
            <w:noWrap/>
          </w:tcPr>
          <w:p w14:paraId="28FA0741">
            <w:pPr>
              <w:autoSpaceDN w:val="0"/>
              <w:spacing w:line="360" w:lineRule="auto"/>
              <w:rPr>
                <w:rFonts w:ascii="仿宋" w:hAnsi="仿宋" w:eastAsia="仿宋" w:cs="Times New Roman"/>
                <w:color w:val="auto"/>
                <w:kern w:val="0"/>
                <w:sz w:val="22"/>
                <w:highlight w:val="none"/>
              </w:rPr>
            </w:pPr>
          </w:p>
        </w:tc>
        <w:tc>
          <w:tcPr>
            <w:tcW w:w="1488" w:type="dxa"/>
            <w:tcBorders>
              <w:top w:val="single" w:color="auto" w:sz="4" w:space="0"/>
              <w:left w:val="single" w:color="auto" w:sz="4" w:space="0"/>
              <w:bottom w:val="single" w:color="auto" w:sz="4" w:space="0"/>
              <w:right w:val="single" w:color="auto" w:sz="4" w:space="0"/>
            </w:tcBorders>
            <w:noWrap/>
          </w:tcPr>
          <w:p w14:paraId="2AE9D14E">
            <w:pPr>
              <w:autoSpaceDN w:val="0"/>
              <w:spacing w:line="360" w:lineRule="auto"/>
              <w:rPr>
                <w:rFonts w:ascii="仿宋" w:hAnsi="仿宋" w:eastAsia="仿宋" w:cs="Times New Roman"/>
                <w:color w:val="auto"/>
                <w:kern w:val="0"/>
                <w:sz w:val="22"/>
                <w:highlight w:val="none"/>
              </w:rPr>
            </w:pPr>
          </w:p>
        </w:tc>
        <w:tc>
          <w:tcPr>
            <w:tcW w:w="889" w:type="dxa"/>
            <w:tcBorders>
              <w:top w:val="single" w:color="auto" w:sz="4" w:space="0"/>
              <w:left w:val="single" w:color="auto" w:sz="4" w:space="0"/>
              <w:bottom w:val="single" w:color="auto" w:sz="4" w:space="0"/>
              <w:right w:val="single" w:color="auto" w:sz="4" w:space="0"/>
            </w:tcBorders>
            <w:noWrap/>
          </w:tcPr>
          <w:p w14:paraId="0947A3C8">
            <w:pPr>
              <w:autoSpaceDN w:val="0"/>
              <w:spacing w:line="360" w:lineRule="auto"/>
              <w:rPr>
                <w:rFonts w:ascii="仿宋" w:hAnsi="仿宋" w:eastAsia="仿宋" w:cs="Times New Roman"/>
                <w:color w:val="auto"/>
                <w:kern w:val="0"/>
                <w:sz w:val="22"/>
                <w:highlight w:val="none"/>
              </w:rPr>
            </w:pPr>
          </w:p>
        </w:tc>
        <w:tc>
          <w:tcPr>
            <w:tcW w:w="911" w:type="dxa"/>
            <w:tcBorders>
              <w:top w:val="single" w:color="auto" w:sz="4" w:space="0"/>
              <w:left w:val="single" w:color="auto" w:sz="4" w:space="0"/>
              <w:bottom w:val="single" w:color="auto" w:sz="4" w:space="0"/>
              <w:right w:val="single" w:color="auto" w:sz="4" w:space="0"/>
            </w:tcBorders>
            <w:noWrap/>
          </w:tcPr>
          <w:p w14:paraId="13A1BE9A">
            <w:pPr>
              <w:autoSpaceDN w:val="0"/>
              <w:spacing w:line="360" w:lineRule="auto"/>
              <w:rPr>
                <w:rFonts w:ascii="仿宋" w:hAnsi="仿宋" w:eastAsia="仿宋" w:cs="Times New Roman"/>
                <w:color w:val="auto"/>
                <w:kern w:val="0"/>
                <w:sz w:val="22"/>
                <w:highlight w:val="none"/>
              </w:rPr>
            </w:pPr>
          </w:p>
        </w:tc>
      </w:tr>
      <w:tr w14:paraId="2208E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6" w:hRule="atLeast"/>
        </w:trPr>
        <w:tc>
          <w:tcPr>
            <w:tcW w:w="8928" w:type="dxa"/>
            <w:gridSpan w:val="10"/>
            <w:tcBorders>
              <w:top w:val="single" w:color="auto" w:sz="4" w:space="0"/>
              <w:left w:val="single" w:color="auto" w:sz="4" w:space="0"/>
              <w:bottom w:val="single" w:color="auto" w:sz="4" w:space="0"/>
              <w:right w:val="single" w:color="auto" w:sz="4" w:space="0"/>
            </w:tcBorders>
            <w:noWrap/>
          </w:tcPr>
          <w:p w14:paraId="6C7A51A7">
            <w:pPr>
              <w:autoSpaceDN w:val="0"/>
              <w:spacing w:line="360" w:lineRule="auto"/>
              <w:ind w:firstLine="495" w:firstLineChars="225"/>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本工程一旦我单位成交，将实行项目经理负责制，并配备上述项目管理班子。上述填报内容真实，若不真实，愿按有关规定接受处理。项目管理班子机构设置、职责分工等情况另附资料说明。</w:t>
            </w:r>
          </w:p>
        </w:tc>
      </w:tr>
    </w:tbl>
    <w:p w14:paraId="733E036B">
      <w:pPr>
        <w:autoSpaceDN w:val="0"/>
        <w:spacing w:line="440" w:lineRule="exact"/>
        <w:rPr>
          <w:rFonts w:ascii="仿宋" w:hAnsi="仿宋" w:eastAsia="仿宋" w:cs="Times New Roman"/>
          <w:b/>
          <w:bCs/>
          <w:color w:val="auto"/>
          <w:sz w:val="22"/>
          <w:highlight w:val="none"/>
        </w:rPr>
      </w:pPr>
    </w:p>
    <w:p w14:paraId="6814FD96">
      <w:pPr>
        <w:autoSpaceDN w:val="0"/>
        <w:spacing w:line="440" w:lineRule="exact"/>
        <w:rPr>
          <w:rFonts w:ascii="仿宋" w:hAnsi="仿宋" w:eastAsia="仿宋" w:cs="Times New Roman"/>
          <w:b/>
          <w:bCs/>
          <w:color w:val="auto"/>
          <w:sz w:val="22"/>
          <w:highlight w:val="none"/>
        </w:rPr>
      </w:pPr>
      <w:r>
        <w:rPr>
          <w:rFonts w:hint="eastAsia" w:ascii="仿宋" w:hAnsi="仿宋" w:eastAsia="仿宋" w:cs="Times New Roman"/>
          <w:b/>
          <w:bCs/>
          <w:color w:val="auto"/>
          <w:sz w:val="22"/>
          <w:highlight w:val="none"/>
        </w:rPr>
        <w:t>附表四、</w:t>
      </w:r>
      <w:r>
        <w:rPr>
          <w:rFonts w:hint="eastAsia" w:ascii="仿宋" w:hAnsi="仿宋" w:eastAsia="仿宋" w:cs="Times New Roman"/>
          <w:b/>
          <w:bCs/>
          <w:color w:val="auto"/>
          <w:kern w:val="0"/>
          <w:sz w:val="22"/>
          <w:highlight w:val="none"/>
        </w:rPr>
        <w:t>项目经理简历表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0"/>
        <w:gridCol w:w="1480"/>
        <w:gridCol w:w="1480"/>
        <w:gridCol w:w="1608"/>
        <w:gridCol w:w="1481"/>
        <w:gridCol w:w="1481"/>
      </w:tblGrid>
      <w:tr w14:paraId="379C9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14:paraId="23DFA2CE">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姓名</w:t>
            </w:r>
          </w:p>
        </w:tc>
        <w:tc>
          <w:tcPr>
            <w:tcW w:w="1480" w:type="dxa"/>
            <w:tcBorders>
              <w:top w:val="single" w:color="auto" w:sz="4" w:space="0"/>
              <w:left w:val="single" w:color="auto" w:sz="4" w:space="0"/>
              <w:bottom w:val="single" w:color="auto" w:sz="4" w:space="0"/>
              <w:right w:val="single" w:color="auto" w:sz="4" w:space="0"/>
            </w:tcBorders>
            <w:noWrap/>
          </w:tcPr>
          <w:p w14:paraId="27E62227">
            <w:pPr>
              <w:autoSpaceDN w:val="0"/>
              <w:spacing w:line="360" w:lineRule="auto"/>
              <w:jc w:val="center"/>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485FCEC3">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性别</w:t>
            </w:r>
          </w:p>
        </w:tc>
        <w:tc>
          <w:tcPr>
            <w:tcW w:w="1608" w:type="dxa"/>
            <w:tcBorders>
              <w:top w:val="single" w:color="auto" w:sz="4" w:space="0"/>
              <w:left w:val="single" w:color="auto" w:sz="4" w:space="0"/>
              <w:bottom w:val="single" w:color="auto" w:sz="4" w:space="0"/>
              <w:right w:val="single" w:color="auto" w:sz="4" w:space="0"/>
            </w:tcBorders>
            <w:noWrap/>
          </w:tcPr>
          <w:p w14:paraId="2AEAC828">
            <w:pPr>
              <w:autoSpaceDN w:val="0"/>
              <w:spacing w:line="360" w:lineRule="auto"/>
              <w:jc w:val="center"/>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230FFA61">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年龄</w:t>
            </w:r>
          </w:p>
        </w:tc>
        <w:tc>
          <w:tcPr>
            <w:tcW w:w="1481" w:type="dxa"/>
            <w:tcBorders>
              <w:top w:val="single" w:color="auto" w:sz="4" w:space="0"/>
              <w:left w:val="single" w:color="auto" w:sz="4" w:space="0"/>
              <w:bottom w:val="single" w:color="auto" w:sz="4" w:space="0"/>
              <w:right w:val="single" w:color="auto" w:sz="4" w:space="0"/>
            </w:tcBorders>
            <w:noWrap/>
          </w:tcPr>
          <w:p w14:paraId="29F6207E">
            <w:pPr>
              <w:autoSpaceDN w:val="0"/>
              <w:spacing w:line="360" w:lineRule="auto"/>
              <w:jc w:val="center"/>
              <w:rPr>
                <w:rFonts w:ascii="仿宋" w:hAnsi="仿宋" w:eastAsia="仿宋" w:cs="Times New Roman"/>
                <w:color w:val="auto"/>
                <w:kern w:val="0"/>
                <w:sz w:val="22"/>
                <w:highlight w:val="none"/>
              </w:rPr>
            </w:pPr>
          </w:p>
        </w:tc>
      </w:tr>
      <w:tr w14:paraId="25BE6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14:paraId="31BFC7B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职务</w:t>
            </w:r>
          </w:p>
        </w:tc>
        <w:tc>
          <w:tcPr>
            <w:tcW w:w="1480" w:type="dxa"/>
            <w:tcBorders>
              <w:top w:val="single" w:color="auto" w:sz="4" w:space="0"/>
              <w:left w:val="single" w:color="auto" w:sz="4" w:space="0"/>
              <w:bottom w:val="single" w:color="auto" w:sz="4" w:space="0"/>
              <w:right w:val="single" w:color="auto" w:sz="4" w:space="0"/>
            </w:tcBorders>
            <w:noWrap/>
          </w:tcPr>
          <w:p w14:paraId="5041DF0C">
            <w:pPr>
              <w:autoSpaceDN w:val="0"/>
              <w:spacing w:line="360" w:lineRule="auto"/>
              <w:jc w:val="center"/>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7276F28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职称</w:t>
            </w:r>
          </w:p>
        </w:tc>
        <w:tc>
          <w:tcPr>
            <w:tcW w:w="1608" w:type="dxa"/>
            <w:tcBorders>
              <w:top w:val="single" w:color="auto" w:sz="4" w:space="0"/>
              <w:left w:val="single" w:color="auto" w:sz="4" w:space="0"/>
              <w:bottom w:val="single" w:color="auto" w:sz="4" w:space="0"/>
              <w:right w:val="single" w:color="auto" w:sz="4" w:space="0"/>
            </w:tcBorders>
            <w:noWrap/>
          </w:tcPr>
          <w:p w14:paraId="60664831">
            <w:pPr>
              <w:autoSpaceDN w:val="0"/>
              <w:spacing w:line="360" w:lineRule="auto"/>
              <w:jc w:val="center"/>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63CC076B">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学历</w:t>
            </w:r>
          </w:p>
        </w:tc>
        <w:tc>
          <w:tcPr>
            <w:tcW w:w="1481" w:type="dxa"/>
            <w:tcBorders>
              <w:top w:val="single" w:color="auto" w:sz="4" w:space="0"/>
              <w:left w:val="single" w:color="auto" w:sz="4" w:space="0"/>
              <w:bottom w:val="single" w:color="auto" w:sz="4" w:space="0"/>
              <w:right w:val="single" w:color="auto" w:sz="4" w:space="0"/>
            </w:tcBorders>
            <w:noWrap/>
          </w:tcPr>
          <w:p w14:paraId="48A00380">
            <w:pPr>
              <w:autoSpaceDN w:val="0"/>
              <w:spacing w:line="360" w:lineRule="auto"/>
              <w:jc w:val="center"/>
              <w:rPr>
                <w:rFonts w:ascii="仿宋" w:hAnsi="仿宋" w:eastAsia="仿宋" w:cs="Times New Roman"/>
                <w:color w:val="auto"/>
                <w:kern w:val="0"/>
                <w:sz w:val="22"/>
                <w:highlight w:val="none"/>
              </w:rPr>
            </w:pPr>
          </w:p>
        </w:tc>
      </w:tr>
      <w:tr w14:paraId="222F7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14:paraId="0B221F8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参加工作时间</w:t>
            </w:r>
          </w:p>
        </w:tc>
        <w:tc>
          <w:tcPr>
            <w:tcW w:w="1480" w:type="dxa"/>
            <w:tcBorders>
              <w:top w:val="single" w:color="auto" w:sz="4" w:space="0"/>
              <w:left w:val="single" w:color="auto" w:sz="4" w:space="0"/>
              <w:bottom w:val="single" w:color="auto" w:sz="4" w:space="0"/>
              <w:right w:val="single" w:color="auto" w:sz="4" w:space="0"/>
            </w:tcBorders>
            <w:noWrap/>
          </w:tcPr>
          <w:p w14:paraId="70C088A2">
            <w:pPr>
              <w:autoSpaceDN w:val="0"/>
              <w:spacing w:line="360" w:lineRule="auto"/>
              <w:jc w:val="center"/>
              <w:rPr>
                <w:rFonts w:ascii="仿宋" w:hAnsi="仿宋" w:eastAsia="仿宋" w:cs="Times New Roman"/>
                <w:color w:val="auto"/>
                <w:kern w:val="0"/>
                <w:sz w:val="22"/>
                <w:highlight w:val="none"/>
              </w:rPr>
            </w:pPr>
          </w:p>
        </w:tc>
        <w:tc>
          <w:tcPr>
            <w:tcW w:w="3089" w:type="dxa"/>
            <w:gridSpan w:val="2"/>
            <w:tcBorders>
              <w:top w:val="single" w:color="auto" w:sz="4" w:space="0"/>
              <w:left w:val="single" w:color="auto" w:sz="4" w:space="0"/>
              <w:bottom w:val="single" w:color="auto" w:sz="4" w:space="0"/>
              <w:right w:val="single" w:color="auto" w:sz="4" w:space="0"/>
            </w:tcBorders>
            <w:noWrap/>
          </w:tcPr>
          <w:p w14:paraId="2D756143">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从事项目经理年限</w:t>
            </w:r>
          </w:p>
        </w:tc>
        <w:tc>
          <w:tcPr>
            <w:tcW w:w="1481" w:type="dxa"/>
            <w:tcBorders>
              <w:top w:val="single" w:color="auto" w:sz="4" w:space="0"/>
              <w:left w:val="single" w:color="auto" w:sz="4" w:space="0"/>
              <w:bottom w:val="single" w:color="auto" w:sz="4" w:space="0"/>
              <w:right w:val="single" w:color="auto" w:sz="4" w:space="0"/>
            </w:tcBorders>
            <w:noWrap/>
          </w:tcPr>
          <w:p w14:paraId="6C756C59">
            <w:pPr>
              <w:autoSpaceDN w:val="0"/>
              <w:spacing w:line="360" w:lineRule="auto"/>
              <w:jc w:val="center"/>
              <w:rPr>
                <w:rFonts w:ascii="仿宋" w:hAnsi="仿宋" w:eastAsia="仿宋" w:cs="Times New Roman"/>
                <w:color w:val="auto"/>
                <w:kern w:val="0"/>
                <w:sz w:val="22"/>
                <w:highlight w:val="none"/>
              </w:rPr>
            </w:pPr>
          </w:p>
        </w:tc>
      </w:tr>
      <w:tr w14:paraId="48A35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14:paraId="7D5455ED">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项目经理资格证书编号</w:t>
            </w:r>
          </w:p>
        </w:tc>
        <w:tc>
          <w:tcPr>
            <w:tcW w:w="6050" w:type="dxa"/>
            <w:gridSpan w:val="4"/>
            <w:tcBorders>
              <w:top w:val="single" w:color="auto" w:sz="4" w:space="0"/>
              <w:left w:val="single" w:color="auto" w:sz="4" w:space="0"/>
              <w:bottom w:val="single" w:color="auto" w:sz="4" w:space="0"/>
              <w:right w:val="single" w:color="auto" w:sz="4" w:space="0"/>
            </w:tcBorders>
            <w:noWrap/>
          </w:tcPr>
          <w:p w14:paraId="0FAC9DD5">
            <w:pPr>
              <w:autoSpaceDN w:val="0"/>
              <w:spacing w:line="360" w:lineRule="auto"/>
              <w:jc w:val="center"/>
              <w:rPr>
                <w:rFonts w:ascii="仿宋" w:hAnsi="仿宋" w:eastAsia="仿宋" w:cs="Times New Roman"/>
                <w:color w:val="auto"/>
                <w:kern w:val="0"/>
                <w:sz w:val="22"/>
                <w:highlight w:val="none"/>
              </w:rPr>
            </w:pPr>
          </w:p>
        </w:tc>
      </w:tr>
      <w:tr w14:paraId="78F9C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10" w:type="dxa"/>
            <w:gridSpan w:val="6"/>
            <w:tcBorders>
              <w:top w:val="single" w:color="auto" w:sz="4" w:space="0"/>
              <w:left w:val="single" w:color="auto" w:sz="4" w:space="0"/>
              <w:bottom w:val="single" w:color="auto" w:sz="4" w:space="0"/>
              <w:right w:val="single" w:color="auto" w:sz="4" w:space="0"/>
            </w:tcBorders>
            <w:noWrap/>
          </w:tcPr>
          <w:p w14:paraId="267BE3E5">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在建和已完工程项目情况</w:t>
            </w:r>
          </w:p>
        </w:tc>
      </w:tr>
      <w:tr w14:paraId="2B58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14:paraId="7510701E">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建设单位</w:t>
            </w:r>
          </w:p>
        </w:tc>
        <w:tc>
          <w:tcPr>
            <w:tcW w:w="1480" w:type="dxa"/>
            <w:tcBorders>
              <w:top w:val="single" w:color="auto" w:sz="4" w:space="0"/>
              <w:left w:val="single" w:color="auto" w:sz="4" w:space="0"/>
              <w:bottom w:val="single" w:color="auto" w:sz="4" w:space="0"/>
              <w:right w:val="single" w:color="auto" w:sz="4" w:space="0"/>
            </w:tcBorders>
            <w:noWrap/>
          </w:tcPr>
          <w:p w14:paraId="2B904666">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项目名称</w:t>
            </w:r>
          </w:p>
        </w:tc>
        <w:tc>
          <w:tcPr>
            <w:tcW w:w="1480" w:type="dxa"/>
            <w:tcBorders>
              <w:top w:val="single" w:color="auto" w:sz="4" w:space="0"/>
              <w:left w:val="single" w:color="auto" w:sz="4" w:space="0"/>
              <w:bottom w:val="single" w:color="auto" w:sz="4" w:space="0"/>
              <w:right w:val="single" w:color="auto" w:sz="4" w:space="0"/>
            </w:tcBorders>
            <w:noWrap/>
          </w:tcPr>
          <w:p w14:paraId="675AAA1E">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建设规模</w:t>
            </w:r>
          </w:p>
        </w:tc>
        <w:tc>
          <w:tcPr>
            <w:tcW w:w="1608" w:type="dxa"/>
            <w:tcBorders>
              <w:top w:val="single" w:color="auto" w:sz="4" w:space="0"/>
              <w:left w:val="single" w:color="auto" w:sz="4" w:space="0"/>
              <w:bottom w:val="single" w:color="auto" w:sz="4" w:space="0"/>
              <w:right w:val="single" w:color="auto" w:sz="4" w:space="0"/>
            </w:tcBorders>
            <w:noWrap/>
          </w:tcPr>
          <w:p w14:paraId="29272E8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开、竣工日期</w:t>
            </w:r>
          </w:p>
        </w:tc>
        <w:tc>
          <w:tcPr>
            <w:tcW w:w="1481" w:type="dxa"/>
            <w:tcBorders>
              <w:top w:val="single" w:color="auto" w:sz="4" w:space="0"/>
              <w:left w:val="single" w:color="auto" w:sz="4" w:space="0"/>
              <w:bottom w:val="single" w:color="auto" w:sz="4" w:space="0"/>
              <w:right w:val="single" w:color="auto" w:sz="4" w:space="0"/>
            </w:tcBorders>
            <w:noWrap/>
          </w:tcPr>
          <w:p w14:paraId="62B5E632">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在建或已完</w:t>
            </w:r>
          </w:p>
        </w:tc>
        <w:tc>
          <w:tcPr>
            <w:tcW w:w="1481" w:type="dxa"/>
            <w:tcBorders>
              <w:top w:val="single" w:color="auto" w:sz="4" w:space="0"/>
              <w:left w:val="single" w:color="auto" w:sz="4" w:space="0"/>
              <w:bottom w:val="single" w:color="auto" w:sz="4" w:space="0"/>
              <w:right w:val="single" w:color="auto" w:sz="4" w:space="0"/>
            </w:tcBorders>
            <w:noWrap/>
          </w:tcPr>
          <w:p w14:paraId="10777576">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工程质量</w:t>
            </w:r>
          </w:p>
        </w:tc>
      </w:tr>
      <w:tr w14:paraId="067BC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14:paraId="0629DB16">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21E21678">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5D8D9C0B">
            <w:pPr>
              <w:autoSpaceDN w:val="0"/>
              <w:spacing w:line="360" w:lineRule="auto"/>
              <w:rPr>
                <w:rFonts w:ascii="仿宋" w:hAnsi="仿宋" w:eastAsia="仿宋" w:cs="Times New Roman"/>
                <w:color w:val="auto"/>
                <w:kern w:val="0"/>
                <w:sz w:val="22"/>
                <w:highlight w:val="none"/>
              </w:rPr>
            </w:pPr>
          </w:p>
        </w:tc>
        <w:tc>
          <w:tcPr>
            <w:tcW w:w="1608" w:type="dxa"/>
            <w:tcBorders>
              <w:top w:val="single" w:color="auto" w:sz="4" w:space="0"/>
              <w:left w:val="single" w:color="auto" w:sz="4" w:space="0"/>
              <w:bottom w:val="single" w:color="auto" w:sz="4" w:space="0"/>
              <w:right w:val="single" w:color="auto" w:sz="4" w:space="0"/>
            </w:tcBorders>
            <w:noWrap/>
          </w:tcPr>
          <w:p w14:paraId="3974789F">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2A2E2739">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31287521">
            <w:pPr>
              <w:autoSpaceDN w:val="0"/>
              <w:spacing w:line="360" w:lineRule="auto"/>
              <w:rPr>
                <w:rFonts w:ascii="仿宋" w:hAnsi="仿宋" w:eastAsia="仿宋" w:cs="Times New Roman"/>
                <w:color w:val="auto"/>
                <w:kern w:val="0"/>
                <w:sz w:val="22"/>
                <w:highlight w:val="none"/>
              </w:rPr>
            </w:pPr>
          </w:p>
        </w:tc>
      </w:tr>
      <w:tr w14:paraId="1CE4E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14:paraId="52994846">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68926511">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2DDA01DB">
            <w:pPr>
              <w:autoSpaceDN w:val="0"/>
              <w:spacing w:line="360" w:lineRule="auto"/>
              <w:rPr>
                <w:rFonts w:ascii="仿宋" w:hAnsi="仿宋" w:eastAsia="仿宋" w:cs="Times New Roman"/>
                <w:color w:val="auto"/>
                <w:kern w:val="0"/>
                <w:sz w:val="22"/>
                <w:highlight w:val="none"/>
              </w:rPr>
            </w:pPr>
          </w:p>
        </w:tc>
        <w:tc>
          <w:tcPr>
            <w:tcW w:w="1608" w:type="dxa"/>
            <w:tcBorders>
              <w:top w:val="single" w:color="auto" w:sz="4" w:space="0"/>
              <w:left w:val="single" w:color="auto" w:sz="4" w:space="0"/>
              <w:bottom w:val="single" w:color="auto" w:sz="4" w:space="0"/>
              <w:right w:val="single" w:color="auto" w:sz="4" w:space="0"/>
            </w:tcBorders>
            <w:noWrap/>
          </w:tcPr>
          <w:p w14:paraId="5F6A3CB6">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2358460A">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297D426D">
            <w:pPr>
              <w:autoSpaceDN w:val="0"/>
              <w:spacing w:line="360" w:lineRule="auto"/>
              <w:rPr>
                <w:rFonts w:ascii="仿宋" w:hAnsi="仿宋" w:eastAsia="仿宋" w:cs="Times New Roman"/>
                <w:color w:val="auto"/>
                <w:kern w:val="0"/>
                <w:sz w:val="22"/>
                <w:highlight w:val="none"/>
              </w:rPr>
            </w:pPr>
          </w:p>
        </w:tc>
      </w:tr>
      <w:tr w14:paraId="626C9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14:paraId="7A951840">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6E875C64">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220BDCB0">
            <w:pPr>
              <w:autoSpaceDN w:val="0"/>
              <w:spacing w:line="360" w:lineRule="auto"/>
              <w:rPr>
                <w:rFonts w:ascii="仿宋" w:hAnsi="仿宋" w:eastAsia="仿宋" w:cs="Times New Roman"/>
                <w:color w:val="auto"/>
                <w:kern w:val="0"/>
                <w:sz w:val="22"/>
                <w:highlight w:val="none"/>
              </w:rPr>
            </w:pPr>
          </w:p>
        </w:tc>
        <w:tc>
          <w:tcPr>
            <w:tcW w:w="1608" w:type="dxa"/>
            <w:tcBorders>
              <w:top w:val="single" w:color="auto" w:sz="4" w:space="0"/>
              <w:left w:val="single" w:color="auto" w:sz="4" w:space="0"/>
              <w:bottom w:val="single" w:color="auto" w:sz="4" w:space="0"/>
              <w:right w:val="single" w:color="auto" w:sz="4" w:space="0"/>
            </w:tcBorders>
            <w:noWrap/>
          </w:tcPr>
          <w:p w14:paraId="2441B5A8">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64370BCB">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27FDBF69">
            <w:pPr>
              <w:autoSpaceDN w:val="0"/>
              <w:spacing w:line="360" w:lineRule="auto"/>
              <w:rPr>
                <w:rFonts w:ascii="仿宋" w:hAnsi="仿宋" w:eastAsia="仿宋" w:cs="Times New Roman"/>
                <w:color w:val="auto"/>
                <w:kern w:val="0"/>
                <w:sz w:val="22"/>
                <w:highlight w:val="none"/>
              </w:rPr>
            </w:pPr>
          </w:p>
        </w:tc>
      </w:tr>
    </w:tbl>
    <w:p w14:paraId="205C18DA">
      <w:pPr>
        <w:autoSpaceDN w:val="0"/>
        <w:spacing w:line="360" w:lineRule="auto"/>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备注：后附项目经理注册证书、B证、职称证等</w:t>
      </w:r>
    </w:p>
    <w:p w14:paraId="5D6C27AA">
      <w:pPr>
        <w:autoSpaceDN w:val="0"/>
        <w:spacing w:line="360" w:lineRule="auto"/>
        <w:jc w:val="left"/>
        <w:rPr>
          <w:rFonts w:ascii="仿宋" w:hAnsi="仿宋" w:eastAsia="仿宋" w:cs="Times New Roman"/>
          <w:b/>
          <w:bCs/>
          <w:color w:val="auto"/>
          <w:kern w:val="0"/>
          <w:sz w:val="22"/>
          <w:highlight w:val="none"/>
        </w:rPr>
      </w:pPr>
      <w:r>
        <w:rPr>
          <w:rFonts w:hint="eastAsia" w:ascii="仿宋" w:hAnsi="仿宋" w:eastAsia="仿宋" w:cs="Times New Roman"/>
          <w:color w:val="auto"/>
          <w:sz w:val="22"/>
          <w:highlight w:val="none"/>
        </w:rPr>
        <w:br w:type="page"/>
      </w:r>
      <w:r>
        <w:rPr>
          <w:rFonts w:hint="eastAsia" w:ascii="仿宋" w:hAnsi="仿宋" w:eastAsia="仿宋" w:cs="Times New Roman"/>
          <w:b/>
          <w:bCs/>
          <w:color w:val="auto"/>
          <w:sz w:val="22"/>
          <w:highlight w:val="none"/>
        </w:rPr>
        <w:t>附表五、</w:t>
      </w:r>
      <w:r>
        <w:rPr>
          <w:rFonts w:hint="eastAsia" w:ascii="仿宋" w:hAnsi="仿宋" w:eastAsia="仿宋" w:cs="Times New Roman"/>
          <w:b/>
          <w:bCs/>
          <w:color w:val="auto"/>
          <w:kern w:val="0"/>
          <w:sz w:val="22"/>
          <w:highlight w:val="none"/>
        </w:rPr>
        <w:t>技术负责人简历表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0"/>
        <w:gridCol w:w="1480"/>
        <w:gridCol w:w="1480"/>
        <w:gridCol w:w="1608"/>
        <w:gridCol w:w="1481"/>
        <w:gridCol w:w="1481"/>
      </w:tblGrid>
      <w:tr w14:paraId="6182C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14:paraId="0819B6E2">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姓名</w:t>
            </w:r>
          </w:p>
        </w:tc>
        <w:tc>
          <w:tcPr>
            <w:tcW w:w="1480" w:type="dxa"/>
            <w:tcBorders>
              <w:top w:val="single" w:color="auto" w:sz="4" w:space="0"/>
              <w:left w:val="single" w:color="auto" w:sz="4" w:space="0"/>
              <w:bottom w:val="single" w:color="auto" w:sz="4" w:space="0"/>
              <w:right w:val="single" w:color="auto" w:sz="4" w:space="0"/>
            </w:tcBorders>
            <w:noWrap/>
          </w:tcPr>
          <w:p w14:paraId="0DD840DD">
            <w:pPr>
              <w:autoSpaceDN w:val="0"/>
              <w:spacing w:line="360" w:lineRule="auto"/>
              <w:jc w:val="center"/>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2CC5920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性别</w:t>
            </w:r>
          </w:p>
        </w:tc>
        <w:tc>
          <w:tcPr>
            <w:tcW w:w="1608" w:type="dxa"/>
            <w:tcBorders>
              <w:top w:val="single" w:color="auto" w:sz="4" w:space="0"/>
              <w:left w:val="single" w:color="auto" w:sz="4" w:space="0"/>
              <w:bottom w:val="single" w:color="auto" w:sz="4" w:space="0"/>
              <w:right w:val="single" w:color="auto" w:sz="4" w:space="0"/>
            </w:tcBorders>
            <w:noWrap/>
          </w:tcPr>
          <w:p w14:paraId="57E3023C">
            <w:pPr>
              <w:autoSpaceDN w:val="0"/>
              <w:spacing w:line="360" w:lineRule="auto"/>
              <w:jc w:val="center"/>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139CBD72">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年龄</w:t>
            </w:r>
          </w:p>
        </w:tc>
        <w:tc>
          <w:tcPr>
            <w:tcW w:w="1481" w:type="dxa"/>
            <w:tcBorders>
              <w:top w:val="single" w:color="auto" w:sz="4" w:space="0"/>
              <w:left w:val="single" w:color="auto" w:sz="4" w:space="0"/>
              <w:bottom w:val="single" w:color="auto" w:sz="4" w:space="0"/>
              <w:right w:val="single" w:color="auto" w:sz="4" w:space="0"/>
            </w:tcBorders>
            <w:noWrap/>
          </w:tcPr>
          <w:p w14:paraId="17973AA4">
            <w:pPr>
              <w:autoSpaceDN w:val="0"/>
              <w:spacing w:line="360" w:lineRule="auto"/>
              <w:jc w:val="center"/>
              <w:rPr>
                <w:rFonts w:ascii="仿宋" w:hAnsi="仿宋" w:eastAsia="仿宋" w:cs="Times New Roman"/>
                <w:color w:val="auto"/>
                <w:kern w:val="0"/>
                <w:sz w:val="22"/>
                <w:highlight w:val="none"/>
              </w:rPr>
            </w:pPr>
          </w:p>
        </w:tc>
      </w:tr>
      <w:tr w14:paraId="76A52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14:paraId="06EA637B">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职务</w:t>
            </w:r>
          </w:p>
        </w:tc>
        <w:tc>
          <w:tcPr>
            <w:tcW w:w="1480" w:type="dxa"/>
            <w:tcBorders>
              <w:top w:val="single" w:color="auto" w:sz="4" w:space="0"/>
              <w:left w:val="single" w:color="auto" w:sz="4" w:space="0"/>
              <w:bottom w:val="single" w:color="auto" w:sz="4" w:space="0"/>
              <w:right w:val="single" w:color="auto" w:sz="4" w:space="0"/>
            </w:tcBorders>
            <w:noWrap/>
          </w:tcPr>
          <w:p w14:paraId="4D44B0E3">
            <w:pPr>
              <w:autoSpaceDN w:val="0"/>
              <w:spacing w:line="360" w:lineRule="auto"/>
              <w:jc w:val="center"/>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19DB904D">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职称</w:t>
            </w:r>
          </w:p>
        </w:tc>
        <w:tc>
          <w:tcPr>
            <w:tcW w:w="1608" w:type="dxa"/>
            <w:tcBorders>
              <w:top w:val="single" w:color="auto" w:sz="4" w:space="0"/>
              <w:left w:val="single" w:color="auto" w:sz="4" w:space="0"/>
              <w:bottom w:val="single" w:color="auto" w:sz="4" w:space="0"/>
              <w:right w:val="single" w:color="auto" w:sz="4" w:space="0"/>
            </w:tcBorders>
            <w:noWrap/>
          </w:tcPr>
          <w:p w14:paraId="7C7FE94F">
            <w:pPr>
              <w:autoSpaceDN w:val="0"/>
              <w:spacing w:line="360" w:lineRule="auto"/>
              <w:jc w:val="center"/>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445A1E61">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学历</w:t>
            </w:r>
          </w:p>
        </w:tc>
        <w:tc>
          <w:tcPr>
            <w:tcW w:w="1481" w:type="dxa"/>
            <w:tcBorders>
              <w:top w:val="single" w:color="auto" w:sz="4" w:space="0"/>
              <w:left w:val="single" w:color="auto" w:sz="4" w:space="0"/>
              <w:bottom w:val="single" w:color="auto" w:sz="4" w:space="0"/>
              <w:right w:val="single" w:color="auto" w:sz="4" w:space="0"/>
            </w:tcBorders>
            <w:noWrap/>
          </w:tcPr>
          <w:p w14:paraId="737E913B">
            <w:pPr>
              <w:autoSpaceDN w:val="0"/>
              <w:spacing w:line="360" w:lineRule="auto"/>
              <w:jc w:val="center"/>
              <w:rPr>
                <w:rFonts w:ascii="仿宋" w:hAnsi="仿宋" w:eastAsia="仿宋" w:cs="Times New Roman"/>
                <w:color w:val="auto"/>
                <w:kern w:val="0"/>
                <w:sz w:val="22"/>
                <w:highlight w:val="none"/>
              </w:rPr>
            </w:pPr>
          </w:p>
        </w:tc>
      </w:tr>
      <w:tr w14:paraId="3DA0C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14:paraId="4F54C520">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参加工作时间</w:t>
            </w:r>
          </w:p>
        </w:tc>
        <w:tc>
          <w:tcPr>
            <w:tcW w:w="1480" w:type="dxa"/>
            <w:tcBorders>
              <w:top w:val="single" w:color="auto" w:sz="4" w:space="0"/>
              <w:left w:val="single" w:color="auto" w:sz="4" w:space="0"/>
              <w:bottom w:val="single" w:color="auto" w:sz="4" w:space="0"/>
              <w:right w:val="single" w:color="auto" w:sz="4" w:space="0"/>
            </w:tcBorders>
            <w:noWrap/>
          </w:tcPr>
          <w:p w14:paraId="4480643F">
            <w:pPr>
              <w:autoSpaceDN w:val="0"/>
              <w:spacing w:line="360" w:lineRule="auto"/>
              <w:jc w:val="center"/>
              <w:rPr>
                <w:rFonts w:ascii="仿宋" w:hAnsi="仿宋" w:eastAsia="仿宋" w:cs="Times New Roman"/>
                <w:color w:val="auto"/>
                <w:kern w:val="0"/>
                <w:sz w:val="22"/>
                <w:highlight w:val="none"/>
              </w:rPr>
            </w:pPr>
          </w:p>
        </w:tc>
        <w:tc>
          <w:tcPr>
            <w:tcW w:w="3089" w:type="dxa"/>
            <w:gridSpan w:val="2"/>
            <w:tcBorders>
              <w:top w:val="single" w:color="auto" w:sz="4" w:space="0"/>
              <w:left w:val="single" w:color="auto" w:sz="4" w:space="0"/>
              <w:bottom w:val="single" w:color="auto" w:sz="4" w:space="0"/>
              <w:right w:val="single" w:color="auto" w:sz="4" w:space="0"/>
            </w:tcBorders>
            <w:noWrap/>
          </w:tcPr>
          <w:p w14:paraId="1DB79341">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从事技术负责人年限</w:t>
            </w:r>
          </w:p>
        </w:tc>
        <w:tc>
          <w:tcPr>
            <w:tcW w:w="1481" w:type="dxa"/>
            <w:tcBorders>
              <w:top w:val="single" w:color="auto" w:sz="4" w:space="0"/>
              <w:left w:val="single" w:color="auto" w:sz="4" w:space="0"/>
              <w:bottom w:val="single" w:color="auto" w:sz="4" w:space="0"/>
              <w:right w:val="single" w:color="auto" w:sz="4" w:space="0"/>
            </w:tcBorders>
            <w:noWrap/>
          </w:tcPr>
          <w:p w14:paraId="2FDFCEE1">
            <w:pPr>
              <w:autoSpaceDN w:val="0"/>
              <w:spacing w:line="360" w:lineRule="auto"/>
              <w:jc w:val="center"/>
              <w:rPr>
                <w:rFonts w:ascii="仿宋" w:hAnsi="仿宋" w:eastAsia="仿宋" w:cs="Times New Roman"/>
                <w:color w:val="auto"/>
                <w:kern w:val="0"/>
                <w:sz w:val="22"/>
                <w:highlight w:val="none"/>
              </w:rPr>
            </w:pPr>
          </w:p>
        </w:tc>
      </w:tr>
      <w:tr w14:paraId="55C0D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60" w:type="dxa"/>
            <w:gridSpan w:val="2"/>
            <w:tcBorders>
              <w:top w:val="single" w:color="auto" w:sz="4" w:space="0"/>
              <w:left w:val="single" w:color="auto" w:sz="4" w:space="0"/>
              <w:bottom w:val="single" w:color="auto" w:sz="4" w:space="0"/>
              <w:right w:val="single" w:color="auto" w:sz="4" w:space="0"/>
            </w:tcBorders>
            <w:noWrap/>
          </w:tcPr>
          <w:p w14:paraId="727C407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资格证书名称及编号</w:t>
            </w:r>
          </w:p>
        </w:tc>
        <w:tc>
          <w:tcPr>
            <w:tcW w:w="6050" w:type="dxa"/>
            <w:gridSpan w:val="4"/>
            <w:tcBorders>
              <w:top w:val="single" w:color="auto" w:sz="4" w:space="0"/>
              <w:left w:val="single" w:color="auto" w:sz="4" w:space="0"/>
              <w:bottom w:val="single" w:color="auto" w:sz="4" w:space="0"/>
              <w:right w:val="single" w:color="auto" w:sz="4" w:space="0"/>
            </w:tcBorders>
            <w:noWrap/>
          </w:tcPr>
          <w:p w14:paraId="3EB2DFA5">
            <w:pPr>
              <w:autoSpaceDN w:val="0"/>
              <w:spacing w:line="360" w:lineRule="auto"/>
              <w:jc w:val="center"/>
              <w:rPr>
                <w:rFonts w:ascii="仿宋" w:hAnsi="仿宋" w:eastAsia="仿宋" w:cs="Times New Roman"/>
                <w:color w:val="auto"/>
                <w:kern w:val="0"/>
                <w:sz w:val="22"/>
                <w:highlight w:val="none"/>
              </w:rPr>
            </w:pPr>
          </w:p>
        </w:tc>
      </w:tr>
      <w:tr w14:paraId="5431D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10" w:type="dxa"/>
            <w:gridSpan w:val="6"/>
            <w:tcBorders>
              <w:top w:val="single" w:color="auto" w:sz="4" w:space="0"/>
              <w:left w:val="single" w:color="auto" w:sz="4" w:space="0"/>
              <w:bottom w:val="single" w:color="auto" w:sz="4" w:space="0"/>
              <w:right w:val="single" w:color="auto" w:sz="4" w:space="0"/>
            </w:tcBorders>
            <w:noWrap/>
          </w:tcPr>
          <w:p w14:paraId="0C0D568D">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在建和已完工程项目情况</w:t>
            </w:r>
          </w:p>
        </w:tc>
      </w:tr>
      <w:tr w14:paraId="69ACF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0" w:type="dxa"/>
            <w:tcBorders>
              <w:top w:val="single" w:color="auto" w:sz="4" w:space="0"/>
              <w:left w:val="single" w:color="auto" w:sz="4" w:space="0"/>
              <w:bottom w:val="single" w:color="auto" w:sz="4" w:space="0"/>
              <w:right w:val="single" w:color="auto" w:sz="4" w:space="0"/>
            </w:tcBorders>
            <w:noWrap/>
          </w:tcPr>
          <w:p w14:paraId="47D629A4">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建设单位</w:t>
            </w:r>
          </w:p>
        </w:tc>
        <w:tc>
          <w:tcPr>
            <w:tcW w:w="1480" w:type="dxa"/>
            <w:tcBorders>
              <w:top w:val="single" w:color="auto" w:sz="4" w:space="0"/>
              <w:left w:val="single" w:color="auto" w:sz="4" w:space="0"/>
              <w:bottom w:val="single" w:color="auto" w:sz="4" w:space="0"/>
              <w:right w:val="single" w:color="auto" w:sz="4" w:space="0"/>
            </w:tcBorders>
            <w:noWrap/>
          </w:tcPr>
          <w:p w14:paraId="529EDDE4">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项目名称</w:t>
            </w:r>
          </w:p>
        </w:tc>
        <w:tc>
          <w:tcPr>
            <w:tcW w:w="1480" w:type="dxa"/>
            <w:tcBorders>
              <w:top w:val="single" w:color="auto" w:sz="4" w:space="0"/>
              <w:left w:val="single" w:color="auto" w:sz="4" w:space="0"/>
              <w:bottom w:val="single" w:color="auto" w:sz="4" w:space="0"/>
              <w:right w:val="single" w:color="auto" w:sz="4" w:space="0"/>
            </w:tcBorders>
            <w:noWrap/>
          </w:tcPr>
          <w:p w14:paraId="3EC15C07">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建设规模</w:t>
            </w:r>
          </w:p>
        </w:tc>
        <w:tc>
          <w:tcPr>
            <w:tcW w:w="1608" w:type="dxa"/>
            <w:tcBorders>
              <w:top w:val="single" w:color="auto" w:sz="4" w:space="0"/>
              <w:left w:val="single" w:color="auto" w:sz="4" w:space="0"/>
              <w:bottom w:val="single" w:color="auto" w:sz="4" w:space="0"/>
              <w:right w:val="single" w:color="auto" w:sz="4" w:space="0"/>
            </w:tcBorders>
            <w:noWrap/>
          </w:tcPr>
          <w:p w14:paraId="54A94B2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开、竣工日期</w:t>
            </w:r>
          </w:p>
        </w:tc>
        <w:tc>
          <w:tcPr>
            <w:tcW w:w="1481" w:type="dxa"/>
            <w:tcBorders>
              <w:top w:val="single" w:color="auto" w:sz="4" w:space="0"/>
              <w:left w:val="single" w:color="auto" w:sz="4" w:space="0"/>
              <w:bottom w:val="single" w:color="auto" w:sz="4" w:space="0"/>
              <w:right w:val="single" w:color="auto" w:sz="4" w:space="0"/>
            </w:tcBorders>
            <w:noWrap/>
          </w:tcPr>
          <w:p w14:paraId="526F15F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在建或已完</w:t>
            </w:r>
          </w:p>
        </w:tc>
        <w:tc>
          <w:tcPr>
            <w:tcW w:w="1481" w:type="dxa"/>
            <w:tcBorders>
              <w:top w:val="single" w:color="auto" w:sz="4" w:space="0"/>
              <w:left w:val="single" w:color="auto" w:sz="4" w:space="0"/>
              <w:bottom w:val="single" w:color="auto" w:sz="4" w:space="0"/>
              <w:right w:val="single" w:color="auto" w:sz="4" w:space="0"/>
            </w:tcBorders>
            <w:noWrap/>
          </w:tcPr>
          <w:p w14:paraId="214A5A89">
            <w:pPr>
              <w:autoSpaceDN w:val="0"/>
              <w:spacing w:line="360" w:lineRule="auto"/>
              <w:jc w:val="center"/>
              <w:rPr>
                <w:rFonts w:ascii="仿宋" w:hAnsi="仿宋" w:eastAsia="仿宋" w:cs="Times New Roman"/>
                <w:color w:val="auto"/>
                <w:kern w:val="0"/>
                <w:sz w:val="22"/>
                <w:highlight w:val="none"/>
              </w:rPr>
            </w:pPr>
            <w:r>
              <w:rPr>
                <w:rFonts w:hint="eastAsia" w:ascii="仿宋" w:hAnsi="仿宋" w:eastAsia="仿宋" w:cs="Times New Roman"/>
                <w:color w:val="auto"/>
                <w:kern w:val="0"/>
                <w:sz w:val="22"/>
                <w:highlight w:val="none"/>
              </w:rPr>
              <w:t>工程质量</w:t>
            </w:r>
          </w:p>
        </w:tc>
      </w:tr>
      <w:tr w14:paraId="38988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14:paraId="2EE8A408">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7E51AA05">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4A75C3C5">
            <w:pPr>
              <w:autoSpaceDN w:val="0"/>
              <w:spacing w:line="360" w:lineRule="auto"/>
              <w:rPr>
                <w:rFonts w:ascii="仿宋" w:hAnsi="仿宋" w:eastAsia="仿宋" w:cs="Times New Roman"/>
                <w:color w:val="auto"/>
                <w:kern w:val="0"/>
                <w:sz w:val="22"/>
                <w:highlight w:val="none"/>
              </w:rPr>
            </w:pPr>
          </w:p>
        </w:tc>
        <w:tc>
          <w:tcPr>
            <w:tcW w:w="1608" w:type="dxa"/>
            <w:tcBorders>
              <w:top w:val="single" w:color="auto" w:sz="4" w:space="0"/>
              <w:left w:val="single" w:color="auto" w:sz="4" w:space="0"/>
              <w:bottom w:val="single" w:color="auto" w:sz="4" w:space="0"/>
              <w:right w:val="single" w:color="auto" w:sz="4" w:space="0"/>
            </w:tcBorders>
            <w:noWrap/>
          </w:tcPr>
          <w:p w14:paraId="4A9CA748">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5C3BB7FB">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7A687EE5">
            <w:pPr>
              <w:autoSpaceDN w:val="0"/>
              <w:spacing w:line="360" w:lineRule="auto"/>
              <w:rPr>
                <w:rFonts w:ascii="仿宋" w:hAnsi="仿宋" w:eastAsia="仿宋" w:cs="Times New Roman"/>
                <w:color w:val="auto"/>
                <w:kern w:val="0"/>
                <w:sz w:val="22"/>
                <w:highlight w:val="none"/>
              </w:rPr>
            </w:pPr>
          </w:p>
        </w:tc>
      </w:tr>
      <w:tr w14:paraId="02CE8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14:paraId="3E617DCD">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3CC1A6C6">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69A5716E">
            <w:pPr>
              <w:autoSpaceDN w:val="0"/>
              <w:spacing w:line="360" w:lineRule="auto"/>
              <w:rPr>
                <w:rFonts w:ascii="仿宋" w:hAnsi="仿宋" w:eastAsia="仿宋" w:cs="Times New Roman"/>
                <w:color w:val="auto"/>
                <w:kern w:val="0"/>
                <w:sz w:val="22"/>
                <w:highlight w:val="none"/>
              </w:rPr>
            </w:pPr>
          </w:p>
        </w:tc>
        <w:tc>
          <w:tcPr>
            <w:tcW w:w="1608" w:type="dxa"/>
            <w:tcBorders>
              <w:top w:val="single" w:color="auto" w:sz="4" w:space="0"/>
              <w:left w:val="single" w:color="auto" w:sz="4" w:space="0"/>
              <w:bottom w:val="single" w:color="auto" w:sz="4" w:space="0"/>
              <w:right w:val="single" w:color="auto" w:sz="4" w:space="0"/>
            </w:tcBorders>
            <w:noWrap/>
          </w:tcPr>
          <w:p w14:paraId="687BBBFC">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06A62ACA">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5B1D9E8D">
            <w:pPr>
              <w:autoSpaceDN w:val="0"/>
              <w:spacing w:line="360" w:lineRule="auto"/>
              <w:rPr>
                <w:rFonts w:ascii="仿宋" w:hAnsi="仿宋" w:eastAsia="仿宋" w:cs="Times New Roman"/>
                <w:color w:val="auto"/>
                <w:kern w:val="0"/>
                <w:sz w:val="22"/>
                <w:highlight w:val="none"/>
              </w:rPr>
            </w:pPr>
          </w:p>
        </w:tc>
      </w:tr>
      <w:tr w14:paraId="01682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480" w:type="dxa"/>
            <w:tcBorders>
              <w:top w:val="single" w:color="auto" w:sz="4" w:space="0"/>
              <w:left w:val="single" w:color="auto" w:sz="4" w:space="0"/>
              <w:bottom w:val="single" w:color="auto" w:sz="4" w:space="0"/>
              <w:right w:val="single" w:color="auto" w:sz="4" w:space="0"/>
            </w:tcBorders>
            <w:noWrap/>
          </w:tcPr>
          <w:p w14:paraId="62E55E9B">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4A6284CD">
            <w:pPr>
              <w:autoSpaceDN w:val="0"/>
              <w:spacing w:line="360" w:lineRule="auto"/>
              <w:rPr>
                <w:rFonts w:ascii="仿宋" w:hAnsi="仿宋" w:eastAsia="仿宋" w:cs="Times New Roman"/>
                <w:color w:val="auto"/>
                <w:kern w:val="0"/>
                <w:sz w:val="22"/>
                <w:highlight w:val="none"/>
              </w:rPr>
            </w:pPr>
          </w:p>
        </w:tc>
        <w:tc>
          <w:tcPr>
            <w:tcW w:w="1480" w:type="dxa"/>
            <w:tcBorders>
              <w:top w:val="single" w:color="auto" w:sz="4" w:space="0"/>
              <w:left w:val="single" w:color="auto" w:sz="4" w:space="0"/>
              <w:bottom w:val="single" w:color="auto" w:sz="4" w:space="0"/>
              <w:right w:val="single" w:color="auto" w:sz="4" w:space="0"/>
            </w:tcBorders>
            <w:noWrap/>
          </w:tcPr>
          <w:p w14:paraId="4BDF7823">
            <w:pPr>
              <w:autoSpaceDN w:val="0"/>
              <w:spacing w:line="360" w:lineRule="auto"/>
              <w:rPr>
                <w:rFonts w:ascii="仿宋" w:hAnsi="仿宋" w:eastAsia="仿宋" w:cs="Times New Roman"/>
                <w:color w:val="auto"/>
                <w:kern w:val="0"/>
                <w:sz w:val="22"/>
                <w:highlight w:val="none"/>
              </w:rPr>
            </w:pPr>
          </w:p>
        </w:tc>
        <w:tc>
          <w:tcPr>
            <w:tcW w:w="1608" w:type="dxa"/>
            <w:tcBorders>
              <w:top w:val="single" w:color="auto" w:sz="4" w:space="0"/>
              <w:left w:val="single" w:color="auto" w:sz="4" w:space="0"/>
              <w:bottom w:val="single" w:color="auto" w:sz="4" w:space="0"/>
              <w:right w:val="single" w:color="auto" w:sz="4" w:space="0"/>
            </w:tcBorders>
            <w:noWrap/>
          </w:tcPr>
          <w:p w14:paraId="35155E2F">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71926AB6">
            <w:pPr>
              <w:autoSpaceDN w:val="0"/>
              <w:spacing w:line="360" w:lineRule="auto"/>
              <w:rPr>
                <w:rFonts w:ascii="仿宋" w:hAnsi="仿宋" w:eastAsia="仿宋" w:cs="Times New Roman"/>
                <w:color w:val="auto"/>
                <w:kern w:val="0"/>
                <w:sz w:val="22"/>
                <w:highlight w:val="none"/>
              </w:rPr>
            </w:pPr>
          </w:p>
        </w:tc>
        <w:tc>
          <w:tcPr>
            <w:tcW w:w="1481" w:type="dxa"/>
            <w:tcBorders>
              <w:top w:val="single" w:color="auto" w:sz="4" w:space="0"/>
              <w:left w:val="single" w:color="auto" w:sz="4" w:space="0"/>
              <w:bottom w:val="single" w:color="auto" w:sz="4" w:space="0"/>
              <w:right w:val="single" w:color="auto" w:sz="4" w:space="0"/>
            </w:tcBorders>
            <w:noWrap/>
          </w:tcPr>
          <w:p w14:paraId="5900883D">
            <w:pPr>
              <w:autoSpaceDN w:val="0"/>
              <w:spacing w:line="360" w:lineRule="auto"/>
              <w:rPr>
                <w:rFonts w:ascii="仿宋" w:hAnsi="仿宋" w:eastAsia="仿宋" w:cs="Times New Roman"/>
                <w:color w:val="auto"/>
                <w:kern w:val="0"/>
                <w:sz w:val="22"/>
                <w:highlight w:val="none"/>
              </w:rPr>
            </w:pPr>
          </w:p>
        </w:tc>
      </w:tr>
    </w:tbl>
    <w:p w14:paraId="0FBDFC12">
      <w:pPr>
        <w:autoSpaceDN w:val="0"/>
        <w:spacing w:line="360" w:lineRule="auto"/>
        <w:rPr>
          <w:rFonts w:ascii="仿宋" w:hAnsi="仿宋" w:eastAsia="仿宋" w:cs="Times New Roman"/>
          <w:b/>
          <w:bCs/>
          <w:color w:val="auto"/>
          <w:kern w:val="0"/>
          <w:sz w:val="22"/>
          <w:highlight w:val="none"/>
        </w:rPr>
      </w:pPr>
    </w:p>
    <w:p w14:paraId="4A59D8EF">
      <w:pPr>
        <w:tabs>
          <w:tab w:val="left" w:pos="720"/>
        </w:tabs>
        <w:autoSpaceDN w:val="0"/>
        <w:spacing w:line="440" w:lineRule="exact"/>
        <w:jc w:val="left"/>
        <w:rPr>
          <w:rFonts w:ascii="仿宋" w:hAnsi="仿宋" w:eastAsia="仿宋" w:cs="Times New Roman"/>
          <w:b/>
          <w:bCs/>
          <w:color w:val="auto"/>
          <w:sz w:val="22"/>
          <w:highlight w:val="none"/>
        </w:rPr>
      </w:pPr>
      <w:bookmarkStart w:id="120" w:name="_Toc152042588"/>
      <w:bookmarkStart w:id="121" w:name="_Toc179632819"/>
      <w:bookmarkStart w:id="122" w:name="_Toc152045799"/>
      <w:bookmarkStart w:id="123" w:name="_Toc246392157"/>
      <w:bookmarkStart w:id="124" w:name="_Toc144974867"/>
      <w:r>
        <w:rPr>
          <w:rFonts w:hint="eastAsia" w:ascii="仿宋" w:hAnsi="仿宋" w:eastAsia="仿宋" w:cs="Times New Roman"/>
          <w:b/>
          <w:bCs/>
          <w:color w:val="auto"/>
          <w:sz w:val="22"/>
          <w:highlight w:val="none"/>
        </w:rPr>
        <w:t>附表五：劳动力计划表</w:t>
      </w:r>
      <w:bookmarkEnd w:id="120"/>
      <w:bookmarkEnd w:id="121"/>
      <w:bookmarkEnd w:id="122"/>
      <w:bookmarkEnd w:id="123"/>
      <w:bookmarkEnd w:id="124"/>
    </w:p>
    <w:p w14:paraId="358CB054">
      <w:pPr>
        <w:autoSpaceDN w:val="0"/>
        <w:spacing w:line="440" w:lineRule="exact"/>
        <w:ind w:right="410"/>
        <w:jc w:val="right"/>
        <w:rPr>
          <w:rFonts w:ascii="仿宋" w:hAnsi="仿宋" w:eastAsia="仿宋" w:cs="Times New Roman"/>
          <w:color w:val="auto"/>
          <w:sz w:val="22"/>
          <w:highlight w:val="none"/>
        </w:rPr>
      </w:pPr>
      <w:r>
        <w:rPr>
          <w:rFonts w:hint="eastAsia" w:ascii="仿宋" w:hAnsi="仿宋" w:eastAsia="仿宋" w:cs="Times New Roman"/>
          <w:color w:val="auto"/>
          <w:sz w:val="22"/>
          <w:highlight w:val="none"/>
        </w:rPr>
        <w:t>单位：人</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3"/>
        <w:gridCol w:w="872"/>
        <w:gridCol w:w="1133"/>
        <w:gridCol w:w="1133"/>
        <w:gridCol w:w="875"/>
        <w:gridCol w:w="1133"/>
        <w:gridCol w:w="1133"/>
        <w:gridCol w:w="1343"/>
      </w:tblGrid>
      <w:tr w14:paraId="0BF26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vAlign w:val="center"/>
          </w:tcPr>
          <w:p w14:paraId="749FD562">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工种</w:t>
            </w:r>
          </w:p>
        </w:tc>
        <w:tc>
          <w:tcPr>
            <w:tcW w:w="7622" w:type="dxa"/>
            <w:gridSpan w:val="7"/>
            <w:tcBorders>
              <w:top w:val="single" w:color="auto" w:sz="4" w:space="0"/>
              <w:left w:val="single" w:color="auto" w:sz="4" w:space="0"/>
              <w:bottom w:val="single" w:color="auto" w:sz="4" w:space="0"/>
              <w:right w:val="single" w:color="auto" w:sz="4" w:space="0"/>
            </w:tcBorders>
            <w:noWrap/>
            <w:vAlign w:val="center"/>
          </w:tcPr>
          <w:p w14:paraId="7DD0F62D">
            <w:pPr>
              <w:autoSpaceDN w:val="0"/>
              <w:spacing w:line="440" w:lineRule="exact"/>
              <w:jc w:val="center"/>
              <w:rPr>
                <w:rFonts w:ascii="仿宋" w:hAnsi="仿宋" w:eastAsia="仿宋" w:cs="Times New Roman"/>
                <w:color w:val="auto"/>
                <w:sz w:val="22"/>
                <w:highlight w:val="none"/>
              </w:rPr>
            </w:pPr>
            <w:r>
              <w:rPr>
                <w:rFonts w:hint="eastAsia" w:ascii="仿宋" w:hAnsi="仿宋" w:eastAsia="仿宋" w:cs="Times New Roman"/>
                <w:color w:val="auto"/>
                <w:sz w:val="22"/>
                <w:highlight w:val="none"/>
              </w:rPr>
              <w:t>按工程施工阶段投入劳动力情况</w:t>
            </w:r>
          </w:p>
        </w:tc>
      </w:tr>
      <w:tr w14:paraId="19B2C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vAlign w:val="center"/>
          </w:tcPr>
          <w:p w14:paraId="2913C761">
            <w:pPr>
              <w:autoSpaceDN w:val="0"/>
              <w:spacing w:line="440" w:lineRule="exact"/>
              <w:jc w:val="center"/>
              <w:rPr>
                <w:rFonts w:ascii="仿宋" w:hAnsi="仿宋" w:eastAsia="仿宋" w:cs="Times New Roman"/>
                <w:color w:val="auto"/>
                <w:sz w:val="22"/>
                <w:highlight w:val="none"/>
              </w:rPr>
            </w:pPr>
          </w:p>
        </w:tc>
        <w:tc>
          <w:tcPr>
            <w:tcW w:w="872" w:type="dxa"/>
            <w:tcBorders>
              <w:top w:val="single" w:color="auto" w:sz="4" w:space="0"/>
              <w:left w:val="single" w:color="auto" w:sz="4" w:space="0"/>
              <w:bottom w:val="single" w:color="auto" w:sz="4" w:space="0"/>
              <w:right w:val="single" w:color="auto" w:sz="4" w:space="0"/>
            </w:tcBorders>
            <w:noWrap/>
            <w:vAlign w:val="center"/>
          </w:tcPr>
          <w:p w14:paraId="2C33AFEC">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601459B8">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7BFDB4D3">
            <w:pPr>
              <w:autoSpaceDN w:val="0"/>
              <w:spacing w:line="440" w:lineRule="exact"/>
              <w:jc w:val="center"/>
              <w:rPr>
                <w:rFonts w:ascii="仿宋" w:hAnsi="仿宋" w:eastAsia="仿宋" w:cs="Times New Roman"/>
                <w:color w:val="auto"/>
                <w:sz w:val="22"/>
                <w:highlight w:val="none"/>
              </w:rPr>
            </w:pPr>
          </w:p>
        </w:tc>
        <w:tc>
          <w:tcPr>
            <w:tcW w:w="875" w:type="dxa"/>
            <w:tcBorders>
              <w:top w:val="single" w:color="auto" w:sz="4" w:space="0"/>
              <w:left w:val="single" w:color="auto" w:sz="4" w:space="0"/>
              <w:bottom w:val="single" w:color="auto" w:sz="4" w:space="0"/>
              <w:right w:val="single" w:color="auto" w:sz="4" w:space="0"/>
            </w:tcBorders>
            <w:noWrap/>
            <w:vAlign w:val="center"/>
          </w:tcPr>
          <w:p w14:paraId="4A4B3BF8">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04F131A0">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4BC08E59">
            <w:pPr>
              <w:autoSpaceDN w:val="0"/>
              <w:spacing w:line="440" w:lineRule="exact"/>
              <w:jc w:val="center"/>
              <w:rPr>
                <w:rFonts w:ascii="仿宋" w:hAnsi="仿宋" w:eastAsia="仿宋" w:cs="Times New Roman"/>
                <w:color w:val="auto"/>
                <w:sz w:val="22"/>
                <w:highlight w:val="none"/>
              </w:rPr>
            </w:pPr>
          </w:p>
        </w:tc>
        <w:tc>
          <w:tcPr>
            <w:tcW w:w="1343" w:type="dxa"/>
            <w:tcBorders>
              <w:top w:val="single" w:color="auto" w:sz="4" w:space="0"/>
              <w:left w:val="single" w:color="auto" w:sz="4" w:space="0"/>
              <w:bottom w:val="single" w:color="auto" w:sz="4" w:space="0"/>
              <w:right w:val="single" w:color="auto" w:sz="4" w:space="0"/>
            </w:tcBorders>
            <w:noWrap/>
            <w:vAlign w:val="center"/>
          </w:tcPr>
          <w:p w14:paraId="19D64F41">
            <w:pPr>
              <w:autoSpaceDN w:val="0"/>
              <w:spacing w:line="440" w:lineRule="exact"/>
              <w:jc w:val="center"/>
              <w:rPr>
                <w:rFonts w:ascii="仿宋" w:hAnsi="仿宋" w:eastAsia="仿宋" w:cs="Times New Roman"/>
                <w:color w:val="auto"/>
                <w:sz w:val="22"/>
                <w:highlight w:val="none"/>
              </w:rPr>
            </w:pPr>
          </w:p>
        </w:tc>
      </w:tr>
      <w:tr w14:paraId="60E08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vAlign w:val="center"/>
          </w:tcPr>
          <w:p w14:paraId="3117A30F">
            <w:pPr>
              <w:autoSpaceDN w:val="0"/>
              <w:spacing w:line="440" w:lineRule="exact"/>
              <w:jc w:val="center"/>
              <w:rPr>
                <w:rFonts w:ascii="仿宋" w:hAnsi="仿宋" w:eastAsia="仿宋" w:cs="Times New Roman"/>
                <w:color w:val="auto"/>
                <w:sz w:val="22"/>
                <w:highlight w:val="none"/>
              </w:rPr>
            </w:pPr>
          </w:p>
        </w:tc>
        <w:tc>
          <w:tcPr>
            <w:tcW w:w="872" w:type="dxa"/>
            <w:tcBorders>
              <w:top w:val="single" w:color="auto" w:sz="4" w:space="0"/>
              <w:left w:val="single" w:color="auto" w:sz="4" w:space="0"/>
              <w:bottom w:val="single" w:color="auto" w:sz="4" w:space="0"/>
              <w:right w:val="single" w:color="auto" w:sz="4" w:space="0"/>
            </w:tcBorders>
            <w:noWrap/>
            <w:vAlign w:val="center"/>
          </w:tcPr>
          <w:p w14:paraId="7CBEC699">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7F264F76">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17D36ADB">
            <w:pPr>
              <w:autoSpaceDN w:val="0"/>
              <w:spacing w:line="440" w:lineRule="exact"/>
              <w:jc w:val="center"/>
              <w:rPr>
                <w:rFonts w:ascii="仿宋" w:hAnsi="仿宋" w:eastAsia="仿宋" w:cs="Times New Roman"/>
                <w:color w:val="auto"/>
                <w:sz w:val="22"/>
                <w:highlight w:val="none"/>
              </w:rPr>
            </w:pPr>
          </w:p>
        </w:tc>
        <w:tc>
          <w:tcPr>
            <w:tcW w:w="875" w:type="dxa"/>
            <w:tcBorders>
              <w:top w:val="single" w:color="auto" w:sz="4" w:space="0"/>
              <w:left w:val="single" w:color="auto" w:sz="4" w:space="0"/>
              <w:bottom w:val="single" w:color="auto" w:sz="4" w:space="0"/>
              <w:right w:val="single" w:color="auto" w:sz="4" w:space="0"/>
            </w:tcBorders>
            <w:noWrap/>
            <w:vAlign w:val="center"/>
          </w:tcPr>
          <w:p w14:paraId="25A0AECC">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5A8230AB">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vAlign w:val="center"/>
          </w:tcPr>
          <w:p w14:paraId="762E4CC4">
            <w:pPr>
              <w:autoSpaceDN w:val="0"/>
              <w:spacing w:line="440" w:lineRule="exact"/>
              <w:jc w:val="center"/>
              <w:rPr>
                <w:rFonts w:ascii="仿宋" w:hAnsi="仿宋" w:eastAsia="仿宋" w:cs="Times New Roman"/>
                <w:color w:val="auto"/>
                <w:sz w:val="22"/>
                <w:highlight w:val="none"/>
              </w:rPr>
            </w:pPr>
          </w:p>
        </w:tc>
        <w:tc>
          <w:tcPr>
            <w:tcW w:w="1343" w:type="dxa"/>
            <w:tcBorders>
              <w:top w:val="single" w:color="auto" w:sz="4" w:space="0"/>
              <w:left w:val="single" w:color="auto" w:sz="4" w:space="0"/>
              <w:bottom w:val="single" w:color="auto" w:sz="4" w:space="0"/>
              <w:right w:val="single" w:color="auto" w:sz="4" w:space="0"/>
            </w:tcBorders>
            <w:noWrap/>
            <w:vAlign w:val="center"/>
          </w:tcPr>
          <w:p w14:paraId="689D80BB">
            <w:pPr>
              <w:autoSpaceDN w:val="0"/>
              <w:spacing w:line="440" w:lineRule="exact"/>
              <w:jc w:val="center"/>
              <w:rPr>
                <w:rFonts w:ascii="仿宋" w:hAnsi="仿宋" w:eastAsia="仿宋" w:cs="Times New Roman"/>
                <w:color w:val="auto"/>
                <w:sz w:val="22"/>
                <w:highlight w:val="none"/>
              </w:rPr>
            </w:pPr>
          </w:p>
        </w:tc>
      </w:tr>
      <w:tr w14:paraId="4C0AD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tcPr>
          <w:p w14:paraId="396B00F8">
            <w:pPr>
              <w:autoSpaceDN w:val="0"/>
              <w:spacing w:line="440" w:lineRule="exact"/>
              <w:jc w:val="center"/>
              <w:rPr>
                <w:rFonts w:ascii="仿宋" w:hAnsi="仿宋" w:eastAsia="仿宋" w:cs="Times New Roman"/>
                <w:color w:val="auto"/>
                <w:sz w:val="22"/>
                <w:highlight w:val="none"/>
              </w:rPr>
            </w:pPr>
          </w:p>
        </w:tc>
        <w:tc>
          <w:tcPr>
            <w:tcW w:w="872" w:type="dxa"/>
            <w:tcBorders>
              <w:top w:val="single" w:color="auto" w:sz="4" w:space="0"/>
              <w:left w:val="single" w:color="auto" w:sz="4" w:space="0"/>
              <w:bottom w:val="single" w:color="auto" w:sz="4" w:space="0"/>
              <w:right w:val="single" w:color="auto" w:sz="4" w:space="0"/>
            </w:tcBorders>
            <w:noWrap/>
          </w:tcPr>
          <w:p w14:paraId="749F6BC6">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1CE9B01A">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20109C36">
            <w:pPr>
              <w:autoSpaceDN w:val="0"/>
              <w:spacing w:line="440" w:lineRule="exact"/>
              <w:jc w:val="center"/>
              <w:rPr>
                <w:rFonts w:ascii="仿宋" w:hAnsi="仿宋" w:eastAsia="仿宋" w:cs="Times New Roman"/>
                <w:color w:val="auto"/>
                <w:sz w:val="22"/>
                <w:highlight w:val="none"/>
              </w:rPr>
            </w:pPr>
          </w:p>
        </w:tc>
        <w:tc>
          <w:tcPr>
            <w:tcW w:w="875" w:type="dxa"/>
            <w:tcBorders>
              <w:top w:val="single" w:color="auto" w:sz="4" w:space="0"/>
              <w:left w:val="single" w:color="auto" w:sz="4" w:space="0"/>
              <w:bottom w:val="single" w:color="auto" w:sz="4" w:space="0"/>
              <w:right w:val="single" w:color="auto" w:sz="4" w:space="0"/>
            </w:tcBorders>
            <w:noWrap/>
          </w:tcPr>
          <w:p w14:paraId="67D50EFC">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57C9DD05">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20D86ADB">
            <w:pPr>
              <w:autoSpaceDN w:val="0"/>
              <w:spacing w:line="440" w:lineRule="exact"/>
              <w:jc w:val="center"/>
              <w:rPr>
                <w:rFonts w:ascii="仿宋" w:hAnsi="仿宋" w:eastAsia="仿宋" w:cs="Times New Roman"/>
                <w:color w:val="auto"/>
                <w:sz w:val="22"/>
                <w:highlight w:val="none"/>
              </w:rPr>
            </w:pPr>
          </w:p>
        </w:tc>
        <w:tc>
          <w:tcPr>
            <w:tcW w:w="1343" w:type="dxa"/>
            <w:tcBorders>
              <w:top w:val="single" w:color="auto" w:sz="4" w:space="0"/>
              <w:left w:val="single" w:color="auto" w:sz="4" w:space="0"/>
              <w:bottom w:val="single" w:color="auto" w:sz="4" w:space="0"/>
              <w:right w:val="single" w:color="auto" w:sz="4" w:space="0"/>
            </w:tcBorders>
            <w:noWrap/>
          </w:tcPr>
          <w:p w14:paraId="384A54AF">
            <w:pPr>
              <w:autoSpaceDN w:val="0"/>
              <w:spacing w:line="440" w:lineRule="exact"/>
              <w:jc w:val="center"/>
              <w:rPr>
                <w:rFonts w:ascii="仿宋" w:hAnsi="仿宋" w:eastAsia="仿宋" w:cs="Times New Roman"/>
                <w:color w:val="auto"/>
                <w:sz w:val="22"/>
                <w:highlight w:val="none"/>
              </w:rPr>
            </w:pPr>
          </w:p>
        </w:tc>
      </w:tr>
      <w:tr w14:paraId="244BF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tcPr>
          <w:p w14:paraId="2056A0A6">
            <w:pPr>
              <w:autoSpaceDN w:val="0"/>
              <w:spacing w:line="440" w:lineRule="exact"/>
              <w:jc w:val="center"/>
              <w:rPr>
                <w:rFonts w:ascii="仿宋" w:hAnsi="仿宋" w:eastAsia="仿宋" w:cs="Times New Roman"/>
                <w:color w:val="auto"/>
                <w:sz w:val="22"/>
                <w:highlight w:val="none"/>
              </w:rPr>
            </w:pPr>
          </w:p>
        </w:tc>
        <w:tc>
          <w:tcPr>
            <w:tcW w:w="872" w:type="dxa"/>
            <w:tcBorders>
              <w:top w:val="single" w:color="auto" w:sz="4" w:space="0"/>
              <w:left w:val="single" w:color="auto" w:sz="4" w:space="0"/>
              <w:bottom w:val="single" w:color="auto" w:sz="4" w:space="0"/>
              <w:right w:val="single" w:color="auto" w:sz="4" w:space="0"/>
            </w:tcBorders>
            <w:noWrap/>
          </w:tcPr>
          <w:p w14:paraId="7DB74F03">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488851BC">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2667FED2">
            <w:pPr>
              <w:autoSpaceDN w:val="0"/>
              <w:spacing w:line="440" w:lineRule="exact"/>
              <w:jc w:val="center"/>
              <w:rPr>
                <w:rFonts w:ascii="仿宋" w:hAnsi="仿宋" w:eastAsia="仿宋" w:cs="Times New Roman"/>
                <w:color w:val="auto"/>
                <w:sz w:val="22"/>
                <w:highlight w:val="none"/>
              </w:rPr>
            </w:pPr>
          </w:p>
        </w:tc>
        <w:tc>
          <w:tcPr>
            <w:tcW w:w="875" w:type="dxa"/>
            <w:tcBorders>
              <w:top w:val="single" w:color="auto" w:sz="4" w:space="0"/>
              <w:left w:val="single" w:color="auto" w:sz="4" w:space="0"/>
              <w:bottom w:val="single" w:color="auto" w:sz="4" w:space="0"/>
              <w:right w:val="single" w:color="auto" w:sz="4" w:space="0"/>
            </w:tcBorders>
            <w:noWrap/>
          </w:tcPr>
          <w:p w14:paraId="76C3659A">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552BBD7E">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688536D3">
            <w:pPr>
              <w:autoSpaceDN w:val="0"/>
              <w:spacing w:line="440" w:lineRule="exact"/>
              <w:jc w:val="center"/>
              <w:rPr>
                <w:rFonts w:ascii="仿宋" w:hAnsi="仿宋" w:eastAsia="仿宋" w:cs="Times New Roman"/>
                <w:color w:val="auto"/>
                <w:sz w:val="22"/>
                <w:highlight w:val="none"/>
              </w:rPr>
            </w:pPr>
          </w:p>
        </w:tc>
        <w:tc>
          <w:tcPr>
            <w:tcW w:w="1343" w:type="dxa"/>
            <w:tcBorders>
              <w:top w:val="single" w:color="auto" w:sz="4" w:space="0"/>
              <w:left w:val="single" w:color="auto" w:sz="4" w:space="0"/>
              <w:bottom w:val="single" w:color="auto" w:sz="4" w:space="0"/>
              <w:right w:val="single" w:color="auto" w:sz="4" w:space="0"/>
            </w:tcBorders>
            <w:noWrap/>
          </w:tcPr>
          <w:p w14:paraId="39C918D7">
            <w:pPr>
              <w:autoSpaceDN w:val="0"/>
              <w:spacing w:line="440" w:lineRule="exact"/>
              <w:jc w:val="center"/>
              <w:rPr>
                <w:rFonts w:ascii="仿宋" w:hAnsi="仿宋" w:eastAsia="仿宋" w:cs="Times New Roman"/>
                <w:color w:val="auto"/>
                <w:sz w:val="22"/>
                <w:highlight w:val="none"/>
              </w:rPr>
            </w:pPr>
          </w:p>
        </w:tc>
      </w:tr>
      <w:tr w14:paraId="71F48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293" w:type="dxa"/>
            <w:tcBorders>
              <w:top w:val="single" w:color="auto" w:sz="4" w:space="0"/>
              <w:left w:val="single" w:color="auto" w:sz="4" w:space="0"/>
              <w:bottom w:val="single" w:color="auto" w:sz="4" w:space="0"/>
              <w:right w:val="single" w:color="auto" w:sz="4" w:space="0"/>
            </w:tcBorders>
            <w:noWrap/>
          </w:tcPr>
          <w:p w14:paraId="376007D1">
            <w:pPr>
              <w:autoSpaceDN w:val="0"/>
              <w:spacing w:line="440" w:lineRule="exact"/>
              <w:jc w:val="center"/>
              <w:rPr>
                <w:rFonts w:ascii="仿宋" w:hAnsi="仿宋" w:eastAsia="仿宋" w:cs="Times New Roman"/>
                <w:color w:val="auto"/>
                <w:sz w:val="22"/>
                <w:highlight w:val="none"/>
              </w:rPr>
            </w:pPr>
          </w:p>
        </w:tc>
        <w:tc>
          <w:tcPr>
            <w:tcW w:w="872" w:type="dxa"/>
            <w:tcBorders>
              <w:top w:val="single" w:color="auto" w:sz="4" w:space="0"/>
              <w:left w:val="single" w:color="auto" w:sz="4" w:space="0"/>
              <w:bottom w:val="single" w:color="auto" w:sz="4" w:space="0"/>
              <w:right w:val="single" w:color="auto" w:sz="4" w:space="0"/>
            </w:tcBorders>
            <w:noWrap/>
          </w:tcPr>
          <w:p w14:paraId="6D35EDBA">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2D0AF9EA">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757575BD">
            <w:pPr>
              <w:autoSpaceDN w:val="0"/>
              <w:spacing w:line="440" w:lineRule="exact"/>
              <w:jc w:val="center"/>
              <w:rPr>
                <w:rFonts w:ascii="仿宋" w:hAnsi="仿宋" w:eastAsia="仿宋" w:cs="Times New Roman"/>
                <w:color w:val="auto"/>
                <w:sz w:val="22"/>
                <w:highlight w:val="none"/>
              </w:rPr>
            </w:pPr>
          </w:p>
        </w:tc>
        <w:tc>
          <w:tcPr>
            <w:tcW w:w="875" w:type="dxa"/>
            <w:tcBorders>
              <w:top w:val="single" w:color="auto" w:sz="4" w:space="0"/>
              <w:left w:val="single" w:color="auto" w:sz="4" w:space="0"/>
              <w:bottom w:val="single" w:color="auto" w:sz="4" w:space="0"/>
              <w:right w:val="single" w:color="auto" w:sz="4" w:space="0"/>
            </w:tcBorders>
            <w:noWrap/>
          </w:tcPr>
          <w:p w14:paraId="00EA2552">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30105677">
            <w:pPr>
              <w:autoSpaceDN w:val="0"/>
              <w:spacing w:line="440" w:lineRule="exact"/>
              <w:jc w:val="center"/>
              <w:rPr>
                <w:rFonts w:ascii="仿宋" w:hAnsi="仿宋" w:eastAsia="仿宋" w:cs="Times New Roman"/>
                <w:color w:val="auto"/>
                <w:sz w:val="22"/>
                <w:highlight w:val="none"/>
              </w:rPr>
            </w:pPr>
          </w:p>
        </w:tc>
        <w:tc>
          <w:tcPr>
            <w:tcW w:w="1133" w:type="dxa"/>
            <w:tcBorders>
              <w:top w:val="single" w:color="auto" w:sz="4" w:space="0"/>
              <w:left w:val="single" w:color="auto" w:sz="4" w:space="0"/>
              <w:bottom w:val="single" w:color="auto" w:sz="4" w:space="0"/>
              <w:right w:val="single" w:color="auto" w:sz="4" w:space="0"/>
            </w:tcBorders>
            <w:noWrap/>
          </w:tcPr>
          <w:p w14:paraId="3DE5DA28">
            <w:pPr>
              <w:autoSpaceDN w:val="0"/>
              <w:spacing w:line="440" w:lineRule="exact"/>
              <w:jc w:val="center"/>
              <w:rPr>
                <w:rFonts w:ascii="仿宋" w:hAnsi="仿宋" w:eastAsia="仿宋" w:cs="Times New Roman"/>
                <w:color w:val="auto"/>
                <w:sz w:val="22"/>
                <w:highlight w:val="none"/>
              </w:rPr>
            </w:pPr>
          </w:p>
        </w:tc>
        <w:tc>
          <w:tcPr>
            <w:tcW w:w="1343" w:type="dxa"/>
            <w:tcBorders>
              <w:top w:val="single" w:color="auto" w:sz="4" w:space="0"/>
              <w:left w:val="single" w:color="auto" w:sz="4" w:space="0"/>
              <w:bottom w:val="single" w:color="auto" w:sz="4" w:space="0"/>
              <w:right w:val="single" w:color="auto" w:sz="4" w:space="0"/>
            </w:tcBorders>
            <w:noWrap/>
          </w:tcPr>
          <w:p w14:paraId="61FF655D">
            <w:pPr>
              <w:autoSpaceDN w:val="0"/>
              <w:spacing w:line="440" w:lineRule="exact"/>
              <w:jc w:val="center"/>
              <w:rPr>
                <w:rFonts w:ascii="仿宋" w:hAnsi="仿宋" w:eastAsia="仿宋" w:cs="Times New Roman"/>
                <w:color w:val="auto"/>
                <w:sz w:val="22"/>
                <w:highlight w:val="none"/>
              </w:rPr>
            </w:pPr>
          </w:p>
        </w:tc>
      </w:tr>
    </w:tbl>
    <w:p w14:paraId="60CD2324">
      <w:pPr>
        <w:topLinePunct/>
        <w:autoSpaceDN w:val="0"/>
        <w:spacing w:line="440" w:lineRule="exact"/>
        <w:jc w:val="center"/>
        <w:rPr>
          <w:rFonts w:ascii="仿宋" w:hAnsi="仿宋" w:eastAsia="仿宋" w:cs="Times New Roman"/>
          <w:color w:val="auto"/>
          <w:sz w:val="22"/>
          <w:highlight w:val="none"/>
        </w:rPr>
      </w:pPr>
    </w:p>
    <w:p w14:paraId="2F4328B9">
      <w:pPr>
        <w:tabs>
          <w:tab w:val="left" w:pos="720"/>
        </w:tabs>
        <w:autoSpaceDN w:val="0"/>
        <w:spacing w:line="440" w:lineRule="exact"/>
        <w:jc w:val="left"/>
        <w:rPr>
          <w:rFonts w:ascii="仿宋" w:hAnsi="仿宋" w:eastAsia="仿宋" w:cs="Times New Roman"/>
          <w:b/>
          <w:bCs/>
          <w:color w:val="auto"/>
          <w:sz w:val="22"/>
          <w:highlight w:val="none"/>
        </w:rPr>
      </w:pPr>
      <w:bookmarkStart w:id="125" w:name="_Toc152042589"/>
      <w:bookmarkStart w:id="126" w:name="_Toc179632820"/>
      <w:bookmarkStart w:id="127" w:name="_Toc152045800"/>
      <w:bookmarkStart w:id="128" w:name="_Toc246392158"/>
      <w:bookmarkStart w:id="129" w:name="_Toc144974868"/>
      <w:r>
        <w:rPr>
          <w:rFonts w:hint="eastAsia" w:ascii="仿宋" w:hAnsi="仿宋" w:eastAsia="仿宋" w:cs="Times New Roman"/>
          <w:b/>
          <w:bCs/>
          <w:color w:val="auto"/>
          <w:sz w:val="22"/>
          <w:highlight w:val="none"/>
        </w:rPr>
        <w:t>附表六：计划开、竣工日期和施工进度网络图</w:t>
      </w:r>
      <w:bookmarkEnd w:id="125"/>
      <w:bookmarkEnd w:id="126"/>
      <w:bookmarkEnd w:id="127"/>
      <w:bookmarkEnd w:id="128"/>
      <w:bookmarkEnd w:id="129"/>
    </w:p>
    <w:p w14:paraId="1003086B">
      <w:pPr>
        <w:autoSpaceDN w:val="0"/>
        <w:spacing w:line="440" w:lineRule="exact"/>
        <w:rPr>
          <w:rFonts w:ascii="仿宋" w:hAnsi="仿宋" w:eastAsia="仿宋" w:cs="Times New Roman"/>
          <w:color w:val="auto"/>
          <w:sz w:val="22"/>
          <w:highlight w:val="none"/>
        </w:rPr>
      </w:pPr>
    </w:p>
    <w:p w14:paraId="43394363">
      <w:pPr>
        <w:autoSpaceDN w:val="0"/>
        <w:spacing w:line="440" w:lineRule="exact"/>
        <w:ind w:firstLine="440" w:firstLineChars="200"/>
        <w:rPr>
          <w:rFonts w:ascii="仿宋" w:hAnsi="仿宋" w:eastAsia="仿宋" w:cs="Times New Roman"/>
          <w:color w:val="auto"/>
          <w:sz w:val="22"/>
          <w:highlight w:val="none"/>
        </w:rPr>
      </w:pPr>
      <w:r>
        <w:rPr>
          <w:rFonts w:hint="eastAsia" w:ascii="仿宋" w:hAnsi="仿宋" w:eastAsia="仿宋" w:cs="Times New Roman"/>
          <w:color w:val="auto"/>
          <w:sz w:val="22"/>
          <w:highlight w:val="none"/>
        </w:rPr>
        <w:t>1. 磋商响应供应商应递交施工进度网络图或施工进度表，说明按磋商文件要求的计划工期进行施工的各个关键日期。</w:t>
      </w:r>
    </w:p>
    <w:p w14:paraId="5590B39D">
      <w:pPr>
        <w:autoSpaceDN w:val="0"/>
        <w:spacing w:line="440" w:lineRule="exact"/>
        <w:ind w:firstLine="440" w:firstLineChars="200"/>
        <w:rPr>
          <w:rFonts w:ascii="仿宋" w:hAnsi="仿宋" w:eastAsia="仿宋" w:cs="Times New Roman"/>
          <w:color w:val="auto"/>
          <w:sz w:val="22"/>
          <w:highlight w:val="none"/>
        </w:rPr>
      </w:pPr>
      <w:r>
        <w:rPr>
          <w:rFonts w:hint="eastAsia" w:ascii="仿宋" w:hAnsi="仿宋" w:eastAsia="仿宋" w:cs="Times New Roman"/>
          <w:color w:val="auto"/>
          <w:sz w:val="22"/>
          <w:highlight w:val="none"/>
        </w:rPr>
        <w:t>2. 施工进度表可采用网络图（或横道图）表示。</w:t>
      </w:r>
    </w:p>
    <w:p w14:paraId="18E9EF80">
      <w:pPr>
        <w:widowControl/>
        <w:spacing w:line="415" w:lineRule="auto"/>
        <w:jc w:val="left"/>
        <w:rPr>
          <w:rFonts w:ascii="仿宋" w:hAnsi="仿宋" w:eastAsia="仿宋" w:cs="Times New Roman"/>
          <w:b/>
          <w:bCs/>
          <w:color w:val="auto"/>
          <w:kern w:val="0"/>
          <w:sz w:val="22"/>
          <w:highlight w:val="none"/>
        </w:rPr>
        <w:sectPr>
          <w:pgSz w:w="11906" w:h="16838"/>
          <w:pgMar w:top="1440" w:right="1416" w:bottom="1440" w:left="1560" w:header="851" w:footer="1077" w:gutter="0"/>
          <w:cols w:space="720" w:num="1"/>
          <w:docGrid w:linePitch="286" w:charSpace="0"/>
        </w:sectPr>
      </w:pPr>
    </w:p>
    <w:p w14:paraId="7C87A587">
      <w:pPr>
        <w:keepNext/>
        <w:keepLines/>
        <w:autoSpaceDN w:val="0"/>
        <w:spacing w:before="260" w:after="260" w:line="415" w:lineRule="auto"/>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2-9. 技术（服务）方案</w:t>
      </w:r>
    </w:p>
    <w:p w14:paraId="008581A6">
      <w:pPr>
        <w:autoSpaceDN w:val="0"/>
        <w:spacing w:line="360" w:lineRule="auto"/>
        <w:jc w:val="center"/>
        <w:rPr>
          <w:rFonts w:ascii="仿宋" w:hAnsi="仿宋" w:eastAsia="仿宋" w:cs="Times New Roman"/>
          <w:b/>
          <w:color w:val="auto"/>
          <w:kern w:val="0"/>
          <w:sz w:val="32"/>
          <w:szCs w:val="32"/>
          <w:highlight w:val="none"/>
        </w:rPr>
      </w:pPr>
      <w:r>
        <w:rPr>
          <w:rFonts w:hint="eastAsia" w:ascii="仿宋" w:hAnsi="仿宋" w:eastAsia="仿宋" w:cs="Times New Roman"/>
          <w:b/>
          <w:color w:val="auto"/>
          <w:kern w:val="0"/>
          <w:sz w:val="32"/>
          <w:szCs w:val="32"/>
          <w:highlight w:val="none"/>
        </w:rPr>
        <w:t>技术（服务）方案</w:t>
      </w:r>
    </w:p>
    <w:p w14:paraId="3E2232D8">
      <w:pPr>
        <w:autoSpaceDN w:val="0"/>
        <w:spacing w:line="360" w:lineRule="auto"/>
        <w:rPr>
          <w:rFonts w:ascii="Times New Roman" w:hAnsi="Times New Roman" w:eastAsia="仿宋" w:cs="Times New Roman"/>
          <w:b/>
          <w:color w:val="auto"/>
          <w:sz w:val="24"/>
          <w:szCs w:val="24"/>
          <w:highlight w:val="none"/>
          <w:u w:val="single"/>
        </w:rPr>
      </w:pPr>
      <w:r>
        <w:rPr>
          <w:rFonts w:hint="eastAsia" w:ascii="Times New Roman" w:hAnsi="Times New Roman" w:eastAsia="仿宋" w:cs="Times New Roman"/>
          <w:b/>
          <w:color w:val="auto"/>
          <w:sz w:val="24"/>
          <w:szCs w:val="24"/>
          <w:highlight w:val="none"/>
        </w:rPr>
        <w:t>项目名称：</w:t>
      </w:r>
      <w:r>
        <w:rPr>
          <w:rFonts w:hint="eastAsia" w:ascii="仿宋" w:hAnsi="仿宋" w:eastAsia="仿宋" w:cs="Arial"/>
          <w:b/>
          <w:color w:val="auto"/>
          <w:sz w:val="24"/>
          <w:szCs w:val="24"/>
          <w:highlight w:val="none"/>
          <w:u w:val="single"/>
        </w:rPr>
        <w:t xml:space="preserve">                             </w:t>
      </w:r>
    </w:p>
    <w:p w14:paraId="451848DF">
      <w:pPr>
        <w:autoSpaceDN w:val="0"/>
        <w:spacing w:line="360" w:lineRule="auto"/>
        <w:rPr>
          <w:rFonts w:ascii="Times New Roman" w:hAnsi="Times New Roman" w:eastAsia="仿宋" w:cs="Times New Roman"/>
          <w:color w:val="auto"/>
          <w:sz w:val="24"/>
          <w:szCs w:val="24"/>
          <w:highlight w:val="none"/>
        </w:rPr>
      </w:pPr>
      <w:r>
        <w:rPr>
          <w:rFonts w:hint="eastAsia" w:ascii="Times New Roman" w:hAnsi="Times New Roman" w:eastAsia="仿宋" w:cs="Times New Roman"/>
          <w:b/>
          <w:color w:val="auto"/>
          <w:sz w:val="24"/>
          <w:szCs w:val="24"/>
          <w:highlight w:val="none"/>
        </w:rPr>
        <w:t>项目编号：</w:t>
      </w:r>
      <w:r>
        <w:rPr>
          <w:rFonts w:hint="eastAsia" w:ascii="仿宋" w:hAnsi="仿宋" w:eastAsia="仿宋" w:cs="Arial"/>
          <w:b/>
          <w:color w:val="auto"/>
          <w:sz w:val="24"/>
          <w:szCs w:val="24"/>
          <w:highlight w:val="none"/>
          <w:u w:val="single"/>
        </w:rPr>
        <w:t xml:space="preserve">                            </w:t>
      </w:r>
    </w:p>
    <w:tbl>
      <w:tblPr>
        <w:tblStyle w:val="61"/>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14:paraId="295991A1">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994" w:hRule="atLeast"/>
        </w:trPr>
        <w:tc>
          <w:tcPr>
            <w:tcW w:w="9145" w:type="dxa"/>
            <w:tcBorders>
              <w:top w:val="dotDash" w:color="D9D9D9" w:sz="4" w:space="0"/>
              <w:left w:val="dotDash" w:color="D9D9D9" w:sz="4" w:space="0"/>
              <w:bottom w:val="dotDash" w:color="D9D9D9" w:sz="4" w:space="0"/>
              <w:right w:val="dotDash" w:color="D9D9D9" w:sz="4" w:space="0"/>
            </w:tcBorders>
            <w:noWrap/>
          </w:tcPr>
          <w:p w14:paraId="60127E50">
            <w:pPr>
              <w:autoSpaceDN w:val="0"/>
              <w:spacing w:line="360" w:lineRule="auto"/>
              <w:rPr>
                <w:rFonts w:ascii="Times New Roman" w:hAnsi="Times New Roman" w:eastAsia="仿宋" w:cs="Times New Roman"/>
                <w:color w:val="auto"/>
                <w:sz w:val="24"/>
                <w:szCs w:val="24"/>
                <w:highlight w:val="none"/>
              </w:rPr>
            </w:pPr>
            <w:r>
              <w:rPr>
                <w:rFonts w:hint="eastAsia" w:ascii="仿宋" w:hAnsi="仿宋" w:eastAsia="仿宋" w:cs="Times New Roman"/>
                <w:b/>
                <w:color w:val="auto"/>
                <w:sz w:val="24"/>
                <w:szCs w:val="24"/>
                <w:highlight w:val="none"/>
              </w:rPr>
              <w:t>自行对照评审细则，但不仅限于。</w:t>
            </w:r>
          </w:p>
        </w:tc>
      </w:tr>
    </w:tbl>
    <w:p w14:paraId="7C9B5DD4">
      <w:pPr>
        <w:autoSpaceDN w:val="0"/>
        <w:spacing w:line="360" w:lineRule="auto"/>
        <w:rPr>
          <w:rFonts w:ascii="仿宋" w:hAnsi="仿宋" w:eastAsia="仿宋" w:cs="Times New Roman"/>
          <w:color w:val="auto"/>
          <w:szCs w:val="24"/>
          <w:highlight w:val="none"/>
        </w:rPr>
      </w:pPr>
    </w:p>
    <w:p w14:paraId="5120C59E">
      <w:pPr>
        <w:autoSpaceDN w:val="0"/>
        <w:spacing w:line="200" w:lineRule="exact"/>
        <w:ind w:firstLine="301"/>
        <w:rPr>
          <w:rFonts w:ascii="宋体" w:hAnsi="Courier New" w:eastAsia="宋体" w:cs="Times New Roman"/>
          <w:color w:val="auto"/>
          <w:spacing w:val="-4"/>
          <w:kern w:val="0"/>
          <w:sz w:val="18"/>
          <w:szCs w:val="20"/>
          <w:highlight w:val="none"/>
        </w:rPr>
      </w:pPr>
    </w:p>
    <w:p w14:paraId="1641208B">
      <w:pPr>
        <w:autoSpaceDN w:val="0"/>
        <w:spacing w:line="200" w:lineRule="exact"/>
        <w:ind w:firstLine="301"/>
        <w:rPr>
          <w:rFonts w:ascii="宋体" w:hAnsi="Courier New" w:eastAsia="宋体" w:cs="Times New Roman"/>
          <w:color w:val="auto"/>
          <w:spacing w:val="-4"/>
          <w:kern w:val="0"/>
          <w:sz w:val="18"/>
          <w:szCs w:val="20"/>
          <w:highlight w:val="none"/>
        </w:rPr>
      </w:pPr>
    </w:p>
    <w:p w14:paraId="1EEE2CAD">
      <w:pPr>
        <w:autoSpaceDN w:val="0"/>
        <w:spacing w:line="200" w:lineRule="exact"/>
        <w:ind w:firstLine="301"/>
        <w:rPr>
          <w:rFonts w:ascii="宋体" w:hAnsi="Courier New" w:eastAsia="宋体" w:cs="Times New Roman"/>
          <w:color w:val="auto"/>
          <w:spacing w:val="-4"/>
          <w:kern w:val="0"/>
          <w:sz w:val="18"/>
          <w:szCs w:val="20"/>
          <w:highlight w:val="none"/>
        </w:rPr>
      </w:pPr>
    </w:p>
    <w:p w14:paraId="3CEA47C3">
      <w:pPr>
        <w:keepNext/>
        <w:keepLines/>
        <w:autoSpaceDN w:val="0"/>
        <w:spacing w:before="260" w:after="260" w:line="415" w:lineRule="auto"/>
        <w:outlineLvl w:val="2"/>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2-10. 节能、环保产品证明材料</w:t>
      </w:r>
    </w:p>
    <w:p w14:paraId="4D8B6A50">
      <w:pPr>
        <w:autoSpaceDN w:val="0"/>
        <w:spacing w:line="360" w:lineRule="auto"/>
        <w:jc w:val="center"/>
        <w:rPr>
          <w:rFonts w:ascii="仿宋" w:hAnsi="仿宋" w:eastAsia="仿宋" w:cs="Times New Roman"/>
          <w:b/>
          <w:color w:val="auto"/>
          <w:sz w:val="32"/>
          <w:szCs w:val="32"/>
          <w:highlight w:val="none"/>
        </w:rPr>
      </w:pPr>
      <w:r>
        <w:rPr>
          <w:rFonts w:hint="eastAsia" w:ascii="仿宋" w:hAnsi="仿宋" w:eastAsia="仿宋" w:cs="Times New Roman"/>
          <w:b/>
          <w:color w:val="auto"/>
          <w:sz w:val="32"/>
          <w:szCs w:val="32"/>
          <w:highlight w:val="none"/>
        </w:rPr>
        <w:t>节能、环保产品证明材料</w:t>
      </w:r>
    </w:p>
    <w:p w14:paraId="47B0EEB3">
      <w:pPr>
        <w:autoSpaceDN w:val="0"/>
        <w:spacing w:line="360" w:lineRule="auto"/>
        <w:rPr>
          <w:rFonts w:ascii="仿宋" w:hAnsi="仿宋" w:eastAsia="仿宋" w:cs="Times New Roman"/>
          <w:color w:val="auto"/>
          <w:sz w:val="24"/>
          <w:highlight w:val="none"/>
        </w:rPr>
      </w:pPr>
      <w:r>
        <w:rPr>
          <w:rFonts w:hint="eastAsia" w:ascii="仿宋" w:hAnsi="仿宋" w:eastAsia="仿宋" w:cs="Times New Roman"/>
          <w:color w:val="auto"/>
          <w:sz w:val="24"/>
          <w:highlight w:val="none"/>
        </w:rPr>
        <w:t>项目名称：</w:t>
      </w:r>
      <w:r>
        <w:rPr>
          <w:rFonts w:hint="eastAsia" w:ascii="仿宋" w:hAnsi="仿宋" w:eastAsia="仿宋" w:cs="Times New Roman"/>
          <w:color w:val="auto"/>
          <w:sz w:val="24"/>
          <w:highlight w:val="none"/>
          <w:u w:val="single"/>
        </w:rPr>
        <w:t xml:space="preserve">                                </w:t>
      </w:r>
    </w:p>
    <w:p w14:paraId="3778FC72">
      <w:pPr>
        <w:autoSpaceDN w:val="0"/>
        <w:spacing w:line="360" w:lineRule="auto"/>
        <w:rPr>
          <w:rFonts w:ascii="仿宋" w:hAnsi="仿宋" w:eastAsia="仿宋" w:cs="Times New Roman"/>
          <w:color w:val="auto"/>
          <w:kern w:val="0"/>
          <w:sz w:val="24"/>
          <w:highlight w:val="none"/>
          <w:u w:val="single"/>
        </w:rPr>
      </w:pPr>
      <w:r>
        <w:rPr>
          <w:rFonts w:hint="eastAsia" w:ascii="仿宋" w:hAnsi="仿宋" w:eastAsia="仿宋" w:cs="Times New Roman"/>
          <w:color w:val="auto"/>
          <w:sz w:val="24"/>
          <w:highlight w:val="none"/>
        </w:rPr>
        <w:t>项目编号：</w:t>
      </w:r>
      <w:r>
        <w:rPr>
          <w:rFonts w:hint="eastAsia" w:ascii="仿宋" w:hAnsi="仿宋" w:eastAsia="仿宋" w:cs="Times New Roman"/>
          <w:color w:val="auto"/>
          <w:kern w:val="0"/>
          <w:sz w:val="24"/>
          <w:highlight w:val="none"/>
          <w:u w:val="single"/>
        </w:rPr>
        <w:t xml:space="preserve">                                 </w:t>
      </w:r>
    </w:p>
    <w:p w14:paraId="042ECFDB">
      <w:pPr>
        <w:autoSpaceDN w:val="0"/>
        <w:spacing w:line="360" w:lineRule="auto"/>
        <w:rPr>
          <w:rFonts w:ascii="仿宋" w:hAnsi="仿宋" w:eastAsia="仿宋" w:cs="Times New Roman"/>
          <w:color w:val="auto"/>
          <w:sz w:val="24"/>
          <w:highlight w:val="none"/>
        </w:rPr>
      </w:pPr>
    </w:p>
    <w:p w14:paraId="2F3F9932">
      <w:pPr>
        <w:autoSpaceDN w:val="0"/>
        <w:spacing w:line="360" w:lineRule="auto"/>
        <w:rPr>
          <w:rFonts w:ascii="仿宋" w:hAnsi="仿宋" w:eastAsia="仿宋" w:cs="Times New Roman"/>
          <w:color w:val="auto"/>
          <w:sz w:val="24"/>
          <w:highlight w:val="none"/>
        </w:rPr>
      </w:pPr>
    </w:p>
    <w:p w14:paraId="5E74562D">
      <w:pPr>
        <w:autoSpaceDN w:val="0"/>
        <w:spacing w:line="360" w:lineRule="auto"/>
        <w:rPr>
          <w:rFonts w:ascii="仿宋" w:hAnsi="仿宋" w:eastAsia="仿宋" w:cs="Times New Roman"/>
          <w:color w:val="auto"/>
          <w:sz w:val="24"/>
          <w:highlight w:val="none"/>
        </w:rPr>
      </w:pPr>
    </w:p>
    <w:p w14:paraId="032197CB">
      <w:pPr>
        <w:autoSpaceDN w:val="0"/>
        <w:spacing w:line="360" w:lineRule="auto"/>
        <w:rPr>
          <w:rFonts w:ascii="仿宋" w:hAnsi="仿宋" w:eastAsia="仿宋" w:cs="Times New Roman"/>
          <w:color w:val="auto"/>
          <w:sz w:val="24"/>
          <w:highlight w:val="none"/>
        </w:rPr>
      </w:pPr>
    </w:p>
    <w:p w14:paraId="62562000">
      <w:pPr>
        <w:autoSpaceDN w:val="0"/>
        <w:spacing w:line="200" w:lineRule="exact"/>
        <w:ind w:firstLine="301"/>
        <w:rPr>
          <w:rFonts w:ascii="宋体" w:hAnsi="Courier New" w:eastAsia="宋体" w:cs="Times New Roman"/>
          <w:color w:val="auto"/>
          <w:spacing w:val="-4"/>
          <w:kern w:val="0"/>
          <w:sz w:val="18"/>
          <w:szCs w:val="20"/>
          <w:highlight w:val="none"/>
        </w:rPr>
      </w:pPr>
    </w:p>
    <w:p w14:paraId="0044195D">
      <w:pPr>
        <w:autoSpaceDN w:val="0"/>
        <w:spacing w:line="200" w:lineRule="exact"/>
        <w:ind w:firstLine="301"/>
        <w:rPr>
          <w:rFonts w:ascii="宋体" w:hAnsi="Courier New" w:eastAsia="宋体" w:cs="Times New Roman"/>
          <w:color w:val="auto"/>
          <w:spacing w:val="-4"/>
          <w:kern w:val="0"/>
          <w:sz w:val="18"/>
          <w:szCs w:val="20"/>
          <w:highlight w:val="none"/>
        </w:rPr>
      </w:pPr>
    </w:p>
    <w:p w14:paraId="5A33EFDE">
      <w:pPr>
        <w:autoSpaceDN w:val="0"/>
        <w:spacing w:line="200" w:lineRule="exact"/>
        <w:ind w:firstLine="301"/>
        <w:rPr>
          <w:rFonts w:ascii="宋体" w:hAnsi="Courier New" w:eastAsia="宋体" w:cs="Times New Roman"/>
          <w:color w:val="auto"/>
          <w:spacing w:val="-4"/>
          <w:kern w:val="0"/>
          <w:sz w:val="18"/>
          <w:szCs w:val="20"/>
          <w:highlight w:val="none"/>
        </w:rPr>
      </w:pPr>
    </w:p>
    <w:p w14:paraId="587A96AC">
      <w:pPr>
        <w:autoSpaceDN w:val="0"/>
        <w:spacing w:line="200" w:lineRule="exact"/>
        <w:ind w:firstLine="301"/>
        <w:rPr>
          <w:rFonts w:ascii="宋体" w:hAnsi="Courier New" w:eastAsia="宋体" w:cs="Times New Roman"/>
          <w:color w:val="auto"/>
          <w:spacing w:val="-4"/>
          <w:kern w:val="0"/>
          <w:sz w:val="18"/>
          <w:szCs w:val="20"/>
          <w:highlight w:val="none"/>
        </w:rPr>
      </w:pPr>
    </w:p>
    <w:p w14:paraId="72B2FAB3">
      <w:pPr>
        <w:autoSpaceDN w:val="0"/>
        <w:spacing w:line="200" w:lineRule="exact"/>
        <w:ind w:firstLine="301"/>
        <w:rPr>
          <w:rFonts w:ascii="宋体" w:hAnsi="Courier New" w:eastAsia="宋体" w:cs="Times New Roman"/>
          <w:color w:val="auto"/>
          <w:spacing w:val="-4"/>
          <w:kern w:val="0"/>
          <w:sz w:val="18"/>
          <w:szCs w:val="20"/>
          <w:highlight w:val="none"/>
        </w:rPr>
      </w:pPr>
    </w:p>
    <w:p w14:paraId="76BC3441">
      <w:pPr>
        <w:autoSpaceDN w:val="0"/>
        <w:spacing w:line="200" w:lineRule="exact"/>
        <w:ind w:firstLine="301"/>
        <w:rPr>
          <w:rFonts w:ascii="宋体" w:hAnsi="Courier New" w:eastAsia="宋体" w:cs="Times New Roman"/>
          <w:color w:val="auto"/>
          <w:spacing w:val="-4"/>
          <w:kern w:val="0"/>
          <w:sz w:val="18"/>
          <w:szCs w:val="20"/>
          <w:highlight w:val="none"/>
        </w:rPr>
      </w:pPr>
    </w:p>
    <w:p w14:paraId="639E15CC">
      <w:pPr>
        <w:autoSpaceDN w:val="0"/>
        <w:spacing w:line="200" w:lineRule="exact"/>
        <w:ind w:firstLine="301"/>
        <w:rPr>
          <w:rFonts w:ascii="宋体" w:hAnsi="Courier New" w:eastAsia="宋体" w:cs="Times New Roman"/>
          <w:color w:val="auto"/>
          <w:spacing w:val="-4"/>
          <w:kern w:val="0"/>
          <w:sz w:val="18"/>
          <w:szCs w:val="20"/>
          <w:highlight w:val="none"/>
        </w:rPr>
      </w:pPr>
    </w:p>
    <w:p w14:paraId="7B29C509">
      <w:pPr>
        <w:autoSpaceDN w:val="0"/>
        <w:spacing w:line="200" w:lineRule="exact"/>
        <w:ind w:firstLine="301"/>
        <w:rPr>
          <w:rFonts w:ascii="宋体" w:hAnsi="Courier New" w:eastAsia="宋体" w:cs="Times New Roman"/>
          <w:color w:val="auto"/>
          <w:spacing w:val="-4"/>
          <w:kern w:val="0"/>
          <w:sz w:val="18"/>
          <w:szCs w:val="20"/>
          <w:highlight w:val="none"/>
        </w:rPr>
      </w:pPr>
    </w:p>
    <w:p w14:paraId="04B1F77B">
      <w:pPr>
        <w:autoSpaceDN w:val="0"/>
        <w:spacing w:line="200" w:lineRule="exact"/>
        <w:ind w:firstLine="301"/>
        <w:rPr>
          <w:rFonts w:ascii="宋体" w:hAnsi="Courier New" w:eastAsia="宋体" w:cs="Times New Roman"/>
          <w:color w:val="auto"/>
          <w:spacing w:val="-4"/>
          <w:kern w:val="0"/>
          <w:sz w:val="18"/>
          <w:szCs w:val="20"/>
          <w:highlight w:val="none"/>
        </w:rPr>
      </w:pPr>
    </w:p>
    <w:p w14:paraId="08CE9906">
      <w:pPr>
        <w:autoSpaceDN w:val="0"/>
        <w:spacing w:line="200" w:lineRule="exact"/>
        <w:ind w:firstLine="301"/>
        <w:rPr>
          <w:rFonts w:ascii="宋体" w:hAnsi="Courier New" w:eastAsia="宋体" w:cs="Times New Roman"/>
          <w:color w:val="auto"/>
          <w:spacing w:val="-4"/>
          <w:kern w:val="0"/>
          <w:sz w:val="18"/>
          <w:szCs w:val="20"/>
          <w:highlight w:val="none"/>
        </w:rPr>
      </w:pPr>
    </w:p>
    <w:p w14:paraId="63D39EBD">
      <w:pPr>
        <w:autoSpaceDN w:val="0"/>
        <w:spacing w:line="200" w:lineRule="exact"/>
        <w:ind w:firstLine="301"/>
        <w:rPr>
          <w:rFonts w:ascii="宋体" w:hAnsi="Courier New" w:eastAsia="宋体" w:cs="Times New Roman"/>
          <w:color w:val="auto"/>
          <w:spacing w:val="-4"/>
          <w:kern w:val="0"/>
          <w:sz w:val="18"/>
          <w:szCs w:val="20"/>
          <w:highlight w:val="none"/>
        </w:rPr>
      </w:pPr>
    </w:p>
    <w:p w14:paraId="70D847CC">
      <w:pPr>
        <w:autoSpaceDN w:val="0"/>
        <w:spacing w:line="200" w:lineRule="exact"/>
        <w:ind w:firstLine="301"/>
        <w:rPr>
          <w:rFonts w:ascii="宋体" w:hAnsi="Courier New" w:eastAsia="宋体" w:cs="Times New Roman"/>
          <w:color w:val="auto"/>
          <w:spacing w:val="-4"/>
          <w:kern w:val="0"/>
          <w:sz w:val="18"/>
          <w:szCs w:val="20"/>
          <w:highlight w:val="none"/>
        </w:rPr>
      </w:pPr>
    </w:p>
    <w:p w14:paraId="5CEF0436">
      <w:pPr>
        <w:autoSpaceDN w:val="0"/>
        <w:spacing w:line="200" w:lineRule="exact"/>
        <w:ind w:firstLine="301"/>
        <w:rPr>
          <w:rFonts w:ascii="宋体" w:hAnsi="Courier New" w:eastAsia="宋体" w:cs="Times New Roman"/>
          <w:color w:val="auto"/>
          <w:spacing w:val="-4"/>
          <w:kern w:val="0"/>
          <w:sz w:val="18"/>
          <w:szCs w:val="20"/>
          <w:highlight w:val="none"/>
        </w:rPr>
      </w:pPr>
    </w:p>
    <w:p w14:paraId="5B66F0C6">
      <w:pPr>
        <w:autoSpaceDN w:val="0"/>
        <w:spacing w:line="200" w:lineRule="exact"/>
        <w:ind w:firstLine="301"/>
        <w:rPr>
          <w:rFonts w:ascii="宋体" w:hAnsi="Courier New" w:eastAsia="宋体" w:cs="Times New Roman"/>
          <w:color w:val="auto"/>
          <w:spacing w:val="-4"/>
          <w:kern w:val="0"/>
          <w:sz w:val="18"/>
          <w:szCs w:val="20"/>
          <w:highlight w:val="none"/>
        </w:rPr>
      </w:pPr>
    </w:p>
    <w:p w14:paraId="5DAFD6AC">
      <w:pPr>
        <w:autoSpaceDN w:val="0"/>
        <w:snapToGrid w:val="0"/>
        <w:spacing w:line="360" w:lineRule="auto"/>
        <w:ind w:firstLine="1920" w:firstLineChars="800"/>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磋商响应供应商名称（盖章）：</w:t>
      </w:r>
      <w:r>
        <w:rPr>
          <w:rFonts w:hint="eastAsia" w:ascii="仿宋" w:hAnsi="仿宋" w:eastAsia="仿宋" w:cs="Times New Roman"/>
          <w:color w:val="auto"/>
          <w:w w:val="90"/>
          <w:kern w:val="0"/>
          <w:sz w:val="22"/>
          <w:highlight w:val="none"/>
        </w:rPr>
        <w:t>_______________________________</w:t>
      </w:r>
    </w:p>
    <w:p w14:paraId="13180688">
      <w:pPr>
        <w:autoSpaceDN w:val="0"/>
        <w:spacing w:line="360" w:lineRule="auto"/>
        <w:ind w:firstLine="1920" w:firstLineChars="800"/>
        <w:rPr>
          <w:rFonts w:ascii="仿宋" w:hAnsi="仿宋" w:eastAsia="仿宋" w:cs="Times New Roman"/>
          <w:color w:val="auto"/>
          <w:sz w:val="22"/>
          <w:highlight w:val="none"/>
        </w:rPr>
      </w:pPr>
      <w:r>
        <w:rPr>
          <w:rFonts w:hint="eastAsia" w:ascii="仿宋" w:hAnsi="仿宋" w:eastAsia="仿宋" w:cs="Times New Roman"/>
          <w:color w:val="auto"/>
          <w:sz w:val="24"/>
          <w:szCs w:val="28"/>
          <w:highlight w:val="none"/>
        </w:rPr>
        <w:t>日期：</w:t>
      </w:r>
      <w:r>
        <w:rPr>
          <w:rFonts w:hint="eastAsia" w:ascii="仿宋" w:hAnsi="仿宋" w:eastAsia="仿宋" w:cs="Times New Roman"/>
          <w:color w:val="auto"/>
          <w:w w:val="90"/>
          <w:kern w:val="0"/>
          <w:sz w:val="22"/>
          <w:highlight w:val="none"/>
        </w:rPr>
        <w:t>_______________________________</w:t>
      </w:r>
    </w:p>
    <w:p w14:paraId="5A6D5129">
      <w:pPr>
        <w:keepNext/>
        <w:keepLines/>
        <w:autoSpaceDN w:val="0"/>
        <w:snapToGrid w:val="0"/>
        <w:spacing w:line="412" w:lineRule="auto"/>
        <w:outlineLvl w:val="2"/>
        <w:rPr>
          <w:rFonts w:ascii="仿宋" w:hAnsi="仿宋" w:eastAsia="仿宋" w:cs="Times New Roman"/>
          <w:b/>
          <w:bCs/>
          <w:color w:val="auto"/>
          <w:kern w:val="0"/>
          <w:sz w:val="28"/>
          <w:szCs w:val="28"/>
          <w:highlight w:val="none"/>
        </w:rPr>
      </w:pPr>
      <w:r>
        <w:rPr>
          <w:rFonts w:hint="eastAsia" w:ascii="仿宋" w:hAnsi="仿宋" w:eastAsia="仿宋" w:cs="Times New Roman"/>
          <w:color w:val="auto"/>
          <w:kern w:val="0"/>
          <w:sz w:val="22"/>
          <w:highlight w:val="none"/>
        </w:rPr>
        <w:br w:type="page"/>
      </w:r>
      <w:bookmarkEnd w:id="109"/>
      <w:r>
        <w:rPr>
          <w:rFonts w:hint="eastAsia" w:ascii="仿宋" w:hAnsi="仿宋" w:eastAsia="仿宋" w:cs="Times New Roman"/>
          <w:b/>
          <w:bCs/>
          <w:color w:val="auto"/>
          <w:kern w:val="0"/>
          <w:sz w:val="28"/>
          <w:szCs w:val="28"/>
          <w:highlight w:val="none"/>
        </w:rPr>
        <w:t>2-11.主要材料推荐品牌（如有）</w:t>
      </w:r>
    </w:p>
    <w:p w14:paraId="31E4AD9E">
      <w:pPr>
        <w:autoSpaceDN w:val="0"/>
        <w:adjustRightInd w:val="0"/>
        <w:snapToGrid w:val="0"/>
        <w:spacing w:line="324" w:lineRule="auto"/>
        <w:jc w:val="center"/>
        <w:rPr>
          <w:rFonts w:ascii="仿宋" w:hAnsi="仿宋" w:eastAsia="仿宋" w:cs="Times New Roman"/>
          <w:b/>
          <w:color w:val="auto"/>
          <w:sz w:val="32"/>
          <w:szCs w:val="32"/>
          <w:highlight w:val="none"/>
        </w:rPr>
      </w:pPr>
      <w:r>
        <w:rPr>
          <w:rFonts w:hint="eastAsia" w:ascii="仿宋" w:hAnsi="仿宋" w:eastAsia="仿宋" w:cs="Times New Roman"/>
          <w:b/>
          <w:color w:val="auto"/>
          <w:sz w:val="32"/>
          <w:szCs w:val="32"/>
          <w:highlight w:val="none"/>
        </w:rPr>
        <w:t>主要材料推荐品牌</w:t>
      </w:r>
    </w:p>
    <w:p w14:paraId="17B29F84">
      <w:pPr>
        <w:autoSpaceDN w:val="0"/>
        <w:spacing w:line="324" w:lineRule="auto"/>
        <w:rPr>
          <w:rFonts w:ascii="仿宋" w:hAnsi="仿宋" w:eastAsia="仿宋" w:cs="Times New Roman"/>
          <w:color w:val="auto"/>
          <w:sz w:val="24"/>
          <w:highlight w:val="none"/>
        </w:rPr>
      </w:pPr>
      <w:r>
        <w:rPr>
          <w:rFonts w:hint="eastAsia" w:ascii="仿宋" w:hAnsi="仿宋" w:eastAsia="仿宋" w:cs="Times New Roman"/>
          <w:color w:val="auto"/>
          <w:sz w:val="24"/>
          <w:highlight w:val="none"/>
        </w:rPr>
        <w:t>项目名称：</w:t>
      </w:r>
      <w:r>
        <w:rPr>
          <w:rFonts w:hint="eastAsia" w:ascii="仿宋" w:hAnsi="仿宋" w:eastAsia="仿宋" w:cs="Times New Roman"/>
          <w:color w:val="auto"/>
          <w:sz w:val="24"/>
          <w:highlight w:val="none"/>
          <w:u w:val="single"/>
        </w:rPr>
        <w:t xml:space="preserve">                                </w:t>
      </w:r>
    </w:p>
    <w:p w14:paraId="09C919CB">
      <w:pPr>
        <w:autoSpaceDN w:val="0"/>
        <w:spacing w:line="324" w:lineRule="auto"/>
        <w:rPr>
          <w:rFonts w:ascii="仿宋" w:hAnsi="仿宋" w:eastAsia="仿宋" w:cs="Times New Roman"/>
          <w:color w:val="auto"/>
          <w:kern w:val="0"/>
          <w:sz w:val="24"/>
          <w:highlight w:val="none"/>
          <w:u w:val="single"/>
        </w:rPr>
      </w:pPr>
      <w:r>
        <w:rPr>
          <w:rFonts w:hint="eastAsia" w:ascii="仿宋" w:hAnsi="仿宋" w:eastAsia="仿宋" w:cs="Times New Roman"/>
          <w:color w:val="auto"/>
          <w:sz w:val="24"/>
          <w:highlight w:val="none"/>
        </w:rPr>
        <w:t>项目编号：</w:t>
      </w:r>
      <w:r>
        <w:rPr>
          <w:rFonts w:hint="eastAsia" w:ascii="仿宋" w:hAnsi="仿宋" w:eastAsia="仿宋" w:cs="Times New Roman"/>
          <w:color w:val="auto"/>
          <w:kern w:val="0"/>
          <w:sz w:val="24"/>
          <w:highlight w:val="none"/>
          <w:u w:val="single"/>
        </w:rPr>
        <w:t xml:space="preserve">                                </w:t>
      </w:r>
    </w:p>
    <w:tbl>
      <w:tblPr>
        <w:tblStyle w:val="61"/>
        <w:tblW w:w="8789" w:type="dxa"/>
        <w:jc w:val="center"/>
        <w:tblLayout w:type="fixed"/>
        <w:tblCellMar>
          <w:top w:w="0" w:type="dxa"/>
          <w:left w:w="10" w:type="dxa"/>
          <w:bottom w:w="0" w:type="dxa"/>
          <w:right w:w="10" w:type="dxa"/>
        </w:tblCellMar>
      </w:tblPr>
      <w:tblGrid>
        <w:gridCol w:w="846"/>
        <w:gridCol w:w="1984"/>
        <w:gridCol w:w="3124"/>
        <w:gridCol w:w="2835"/>
      </w:tblGrid>
      <w:tr w14:paraId="73795C15">
        <w:tblPrEx>
          <w:tblCellMar>
            <w:top w:w="0" w:type="dxa"/>
            <w:left w:w="10" w:type="dxa"/>
            <w:bottom w:w="0" w:type="dxa"/>
            <w:right w:w="10" w:type="dxa"/>
          </w:tblCellMar>
        </w:tblPrEx>
        <w:trPr>
          <w:trHeight w:val="625"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5DC3B4">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99FF59A">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材料名称</w:t>
            </w: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E0CA43D">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推荐品牌或制造商</w:t>
            </w: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BA5153D">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备注</w:t>
            </w:r>
          </w:p>
        </w:tc>
      </w:tr>
      <w:tr w14:paraId="71CCBB28">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47E58">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2C0F0973">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08833F7D">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B1E470D">
            <w:pPr>
              <w:snapToGrid w:val="0"/>
              <w:jc w:val="center"/>
              <w:rPr>
                <w:rFonts w:ascii="仿宋" w:hAnsi="仿宋" w:eastAsia="仿宋" w:cs="仿宋"/>
                <w:color w:val="auto"/>
                <w:szCs w:val="21"/>
                <w:highlight w:val="none"/>
              </w:rPr>
            </w:pPr>
          </w:p>
        </w:tc>
      </w:tr>
      <w:tr w14:paraId="46632CB0">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22D15">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679CCE0D">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57DDDC6">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1632BB9C">
            <w:pPr>
              <w:snapToGrid w:val="0"/>
              <w:jc w:val="center"/>
              <w:rPr>
                <w:rFonts w:ascii="仿宋" w:hAnsi="仿宋" w:eastAsia="仿宋" w:cs="仿宋"/>
                <w:color w:val="auto"/>
                <w:szCs w:val="21"/>
                <w:highlight w:val="none"/>
              </w:rPr>
            </w:pPr>
          </w:p>
        </w:tc>
      </w:tr>
      <w:tr w14:paraId="4545CFFF">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316FC">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6C96E956">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4EFFD2D">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BEC757C">
            <w:pPr>
              <w:snapToGrid w:val="0"/>
              <w:jc w:val="center"/>
              <w:rPr>
                <w:rFonts w:ascii="仿宋" w:hAnsi="仿宋" w:eastAsia="仿宋" w:cs="仿宋"/>
                <w:color w:val="auto"/>
                <w:szCs w:val="21"/>
                <w:highlight w:val="none"/>
              </w:rPr>
            </w:pPr>
          </w:p>
        </w:tc>
      </w:tr>
      <w:tr w14:paraId="2745106F">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6966FD">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E747213">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2C202AE">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38CDE70">
            <w:pPr>
              <w:snapToGrid w:val="0"/>
              <w:jc w:val="center"/>
              <w:rPr>
                <w:rFonts w:ascii="仿宋" w:hAnsi="仿宋" w:eastAsia="仿宋" w:cs="仿宋"/>
                <w:color w:val="auto"/>
                <w:szCs w:val="21"/>
                <w:highlight w:val="none"/>
              </w:rPr>
            </w:pPr>
          </w:p>
        </w:tc>
      </w:tr>
      <w:tr w14:paraId="154B4E02">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F3492">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679120C0">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660AAE7">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70E76BC">
            <w:pPr>
              <w:snapToGrid w:val="0"/>
              <w:jc w:val="center"/>
              <w:rPr>
                <w:rFonts w:ascii="仿宋" w:hAnsi="仿宋" w:eastAsia="仿宋" w:cs="仿宋"/>
                <w:color w:val="auto"/>
                <w:szCs w:val="21"/>
                <w:highlight w:val="none"/>
              </w:rPr>
            </w:pPr>
          </w:p>
        </w:tc>
      </w:tr>
      <w:tr w14:paraId="2A1FC81A">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B9B897">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B398401">
            <w:pPr>
              <w:widowControl/>
              <w:snapToGrid w:val="0"/>
              <w:jc w:val="center"/>
              <w:textAlignment w:val="center"/>
              <w:rPr>
                <w:rFonts w:ascii="仿宋" w:hAnsi="仿宋" w:eastAsia="仿宋" w:cs="仿宋"/>
                <w:bCs/>
                <w:color w:val="auto"/>
                <w:sz w:val="24"/>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BC9E0BB">
            <w:pPr>
              <w:widowControl/>
              <w:snapToGrid w:val="0"/>
              <w:jc w:val="center"/>
              <w:textAlignment w:val="center"/>
              <w:rPr>
                <w:rFonts w:ascii="仿宋" w:hAnsi="仿宋" w:eastAsia="仿宋" w:cs="仿宋"/>
                <w:bCs/>
                <w:color w:val="auto"/>
                <w:sz w:val="24"/>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B6AB399">
            <w:pPr>
              <w:snapToGrid w:val="0"/>
              <w:jc w:val="center"/>
              <w:rPr>
                <w:rFonts w:ascii="仿宋" w:hAnsi="仿宋" w:eastAsia="仿宋" w:cs="仿宋"/>
                <w:color w:val="auto"/>
                <w:szCs w:val="21"/>
                <w:highlight w:val="none"/>
              </w:rPr>
            </w:pPr>
          </w:p>
        </w:tc>
      </w:tr>
      <w:tr w14:paraId="1705174A">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E69743">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AF52F91">
            <w:pPr>
              <w:widowControl/>
              <w:snapToGrid w:val="0"/>
              <w:jc w:val="center"/>
              <w:textAlignment w:val="center"/>
              <w:rPr>
                <w:rFonts w:ascii="仿宋" w:hAnsi="仿宋" w:eastAsia="仿宋" w:cs="仿宋"/>
                <w:bCs/>
                <w:color w:val="auto"/>
                <w:kern w:val="0"/>
                <w:sz w:val="24"/>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60A0716">
            <w:pPr>
              <w:widowControl/>
              <w:snapToGrid w:val="0"/>
              <w:jc w:val="center"/>
              <w:textAlignment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764BC9E">
            <w:pPr>
              <w:snapToGrid w:val="0"/>
              <w:jc w:val="center"/>
              <w:rPr>
                <w:rFonts w:ascii="仿宋" w:hAnsi="仿宋" w:eastAsia="仿宋" w:cs="仿宋"/>
                <w:color w:val="auto"/>
                <w:szCs w:val="21"/>
                <w:highlight w:val="none"/>
              </w:rPr>
            </w:pPr>
          </w:p>
        </w:tc>
      </w:tr>
      <w:tr w14:paraId="41E40712">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4DCED">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0E2EB05E">
            <w:pPr>
              <w:widowControl/>
              <w:snapToGrid w:val="0"/>
              <w:jc w:val="center"/>
              <w:textAlignment w:val="center"/>
              <w:rPr>
                <w:rFonts w:ascii="仿宋" w:hAnsi="仿宋" w:eastAsia="仿宋" w:cs="仿宋"/>
                <w:bCs/>
                <w:color w:val="auto"/>
                <w:kern w:val="0"/>
                <w:sz w:val="24"/>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4DEB430">
            <w:pPr>
              <w:widowControl/>
              <w:snapToGrid w:val="0"/>
              <w:jc w:val="center"/>
              <w:textAlignment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0C4E3338">
            <w:pPr>
              <w:snapToGrid w:val="0"/>
              <w:jc w:val="center"/>
              <w:rPr>
                <w:rFonts w:ascii="仿宋" w:hAnsi="仿宋" w:eastAsia="仿宋" w:cs="仿宋"/>
                <w:color w:val="auto"/>
                <w:szCs w:val="21"/>
                <w:highlight w:val="none"/>
              </w:rPr>
            </w:pPr>
          </w:p>
        </w:tc>
      </w:tr>
      <w:tr w14:paraId="6D901A69">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364CF">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E53D9E2">
            <w:pPr>
              <w:widowControl/>
              <w:snapToGrid w:val="0"/>
              <w:jc w:val="center"/>
              <w:textAlignment w:val="center"/>
              <w:rPr>
                <w:rFonts w:ascii="仿宋" w:hAnsi="仿宋" w:eastAsia="仿宋" w:cs="仿宋"/>
                <w:bCs/>
                <w:color w:val="auto"/>
                <w:kern w:val="0"/>
                <w:sz w:val="24"/>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21FB2F97">
            <w:pPr>
              <w:widowControl/>
              <w:snapToGrid w:val="0"/>
              <w:jc w:val="center"/>
              <w:textAlignment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624CEAC7">
            <w:pPr>
              <w:snapToGrid w:val="0"/>
              <w:jc w:val="center"/>
              <w:rPr>
                <w:rFonts w:ascii="仿宋" w:hAnsi="仿宋" w:eastAsia="仿宋" w:cs="仿宋"/>
                <w:color w:val="auto"/>
                <w:szCs w:val="21"/>
                <w:highlight w:val="none"/>
              </w:rPr>
            </w:pPr>
          </w:p>
        </w:tc>
      </w:tr>
      <w:tr w14:paraId="012A2E97">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6054FD">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0A48D0F9">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1C82B623">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98C249C">
            <w:pPr>
              <w:snapToGrid w:val="0"/>
              <w:jc w:val="center"/>
              <w:rPr>
                <w:rFonts w:ascii="仿宋" w:hAnsi="仿宋" w:eastAsia="仿宋" w:cs="仿宋"/>
                <w:color w:val="auto"/>
                <w:szCs w:val="21"/>
                <w:highlight w:val="none"/>
              </w:rPr>
            </w:pPr>
          </w:p>
        </w:tc>
      </w:tr>
      <w:tr w14:paraId="40354777">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E747ED">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0AC79E2C">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2F1B782">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2A1D5773">
            <w:pPr>
              <w:snapToGrid w:val="0"/>
              <w:jc w:val="center"/>
              <w:rPr>
                <w:rFonts w:ascii="仿宋" w:hAnsi="仿宋" w:eastAsia="仿宋" w:cs="仿宋"/>
                <w:color w:val="auto"/>
                <w:szCs w:val="21"/>
                <w:highlight w:val="none"/>
              </w:rPr>
            </w:pPr>
          </w:p>
        </w:tc>
      </w:tr>
      <w:tr w14:paraId="24E489C6">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A19CFE">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5BB41CB">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797784E">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22433A7C">
            <w:pPr>
              <w:snapToGrid w:val="0"/>
              <w:jc w:val="center"/>
              <w:rPr>
                <w:rFonts w:ascii="仿宋" w:hAnsi="仿宋" w:eastAsia="仿宋" w:cs="仿宋"/>
                <w:color w:val="auto"/>
                <w:szCs w:val="21"/>
                <w:highlight w:val="none"/>
              </w:rPr>
            </w:pPr>
          </w:p>
        </w:tc>
      </w:tr>
      <w:tr w14:paraId="6905C37B">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A6ECB">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2BE6D1B0">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0DD118A">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16B58660">
            <w:pPr>
              <w:snapToGrid w:val="0"/>
              <w:jc w:val="center"/>
              <w:rPr>
                <w:rFonts w:ascii="仿宋" w:hAnsi="仿宋" w:eastAsia="仿宋" w:cs="仿宋"/>
                <w:color w:val="auto"/>
                <w:szCs w:val="21"/>
                <w:highlight w:val="none"/>
              </w:rPr>
            </w:pPr>
          </w:p>
        </w:tc>
      </w:tr>
      <w:tr w14:paraId="20F07D1A">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9DDBB8">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EF421A6">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F3D8099">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F13CC98">
            <w:pPr>
              <w:snapToGrid w:val="0"/>
              <w:jc w:val="center"/>
              <w:rPr>
                <w:rFonts w:ascii="仿宋" w:hAnsi="仿宋" w:eastAsia="仿宋" w:cs="仿宋"/>
                <w:color w:val="auto"/>
                <w:szCs w:val="21"/>
                <w:highlight w:val="none"/>
              </w:rPr>
            </w:pPr>
          </w:p>
        </w:tc>
      </w:tr>
      <w:tr w14:paraId="75CC4CAB">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B3C01">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217108DB">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130EB410">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C885DBA">
            <w:pPr>
              <w:snapToGrid w:val="0"/>
              <w:jc w:val="center"/>
              <w:rPr>
                <w:rFonts w:ascii="仿宋" w:hAnsi="仿宋" w:eastAsia="仿宋" w:cs="仿宋"/>
                <w:color w:val="auto"/>
                <w:szCs w:val="21"/>
                <w:highlight w:val="none"/>
              </w:rPr>
            </w:pPr>
          </w:p>
        </w:tc>
      </w:tr>
      <w:tr w14:paraId="3F52E868">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51C1E">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C59D360">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E71F418">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73A7BC72">
            <w:pPr>
              <w:snapToGrid w:val="0"/>
              <w:jc w:val="center"/>
              <w:rPr>
                <w:rFonts w:ascii="仿宋" w:hAnsi="仿宋" w:eastAsia="仿宋" w:cs="仿宋"/>
                <w:color w:val="auto"/>
                <w:szCs w:val="21"/>
                <w:highlight w:val="none"/>
              </w:rPr>
            </w:pPr>
          </w:p>
        </w:tc>
      </w:tr>
      <w:tr w14:paraId="6233025C">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DF420">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17</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8F6261A">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0091B0E6">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3F67C54">
            <w:pPr>
              <w:snapToGrid w:val="0"/>
              <w:jc w:val="center"/>
              <w:rPr>
                <w:rFonts w:ascii="仿宋" w:hAnsi="仿宋" w:eastAsia="仿宋" w:cs="仿宋"/>
                <w:color w:val="auto"/>
                <w:szCs w:val="21"/>
                <w:highlight w:val="none"/>
              </w:rPr>
            </w:pPr>
          </w:p>
        </w:tc>
      </w:tr>
      <w:tr w14:paraId="2143FD8F">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A5538D">
            <w:pPr>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18</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1226FC6B">
            <w:pPr>
              <w:snapToGrid w:val="0"/>
              <w:jc w:val="center"/>
              <w:rPr>
                <w:rFonts w:ascii="仿宋" w:hAnsi="仿宋" w:eastAsia="仿宋" w:cs="仿宋"/>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3DF7F769">
            <w:pPr>
              <w:snapToGrid w:val="0"/>
              <w:jc w:val="center"/>
              <w:rPr>
                <w:rFonts w:ascii="仿宋" w:hAnsi="仿宋" w:eastAsia="仿宋" w:cs="仿宋"/>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4E063FBF">
            <w:pPr>
              <w:snapToGrid w:val="0"/>
              <w:jc w:val="center"/>
              <w:rPr>
                <w:rFonts w:ascii="仿宋" w:hAnsi="仿宋" w:eastAsia="仿宋" w:cs="仿宋"/>
                <w:color w:val="auto"/>
                <w:szCs w:val="21"/>
                <w:highlight w:val="none"/>
              </w:rPr>
            </w:pPr>
          </w:p>
        </w:tc>
      </w:tr>
      <w:tr w14:paraId="760AD442">
        <w:tblPrEx>
          <w:tblCellMar>
            <w:top w:w="0" w:type="dxa"/>
            <w:left w:w="10" w:type="dxa"/>
            <w:bottom w:w="0" w:type="dxa"/>
            <w:right w:w="10" w:type="dxa"/>
          </w:tblCellMar>
        </w:tblPrEx>
        <w:trPr>
          <w:trHeight w:val="567" w:hRule="atLeast"/>
          <w:jc w:val="center"/>
        </w:trPr>
        <w:tc>
          <w:tcPr>
            <w:tcW w:w="84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D5427">
            <w:pPr>
              <w:snapToGrid w:val="0"/>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19</w:t>
            </w:r>
          </w:p>
        </w:tc>
        <w:tc>
          <w:tcPr>
            <w:tcW w:w="198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233F99D7">
            <w:pPr>
              <w:snapToGrid w:val="0"/>
              <w:jc w:val="center"/>
              <w:rPr>
                <w:rFonts w:ascii="仿宋" w:hAnsi="仿宋" w:eastAsia="仿宋" w:cs="仿宋"/>
                <w:b/>
                <w:bCs/>
                <w:color w:val="auto"/>
                <w:szCs w:val="21"/>
                <w:highlight w:val="none"/>
              </w:rPr>
            </w:pPr>
          </w:p>
        </w:tc>
        <w:tc>
          <w:tcPr>
            <w:tcW w:w="3124"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5C39BE7E">
            <w:pPr>
              <w:snapToGrid w:val="0"/>
              <w:jc w:val="center"/>
              <w:rPr>
                <w:rFonts w:ascii="仿宋" w:hAnsi="仿宋" w:eastAsia="仿宋" w:cs="仿宋"/>
                <w:b/>
                <w:bCs/>
                <w:color w:val="auto"/>
                <w:szCs w:val="21"/>
                <w:highlight w:val="none"/>
              </w:rPr>
            </w:pPr>
          </w:p>
        </w:tc>
        <w:tc>
          <w:tcPr>
            <w:tcW w:w="283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vAlign w:val="center"/>
          </w:tcPr>
          <w:p w14:paraId="60421E18">
            <w:pPr>
              <w:snapToGrid w:val="0"/>
              <w:jc w:val="center"/>
              <w:rPr>
                <w:rFonts w:ascii="仿宋" w:hAnsi="仿宋" w:eastAsia="仿宋" w:cs="仿宋"/>
                <w:b/>
                <w:bCs/>
                <w:color w:val="auto"/>
                <w:szCs w:val="21"/>
                <w:highlight w:val="none"/>
              </w:rPr>
            </w:pPr>
          </w:p>
        </w:tc>
      </w:tr>
    </w:tbl>
    <w:p w14:paraId="3C660BBA">
      <w:pPr>
        <w:snapToGrid w:val="0"/>
        <w:spacing w:line="360" w:lineRule="auto"/>
        <w:jc w:val="left"/>
        <w:rPr>
          <w:rFonts w:ascii="宋体" w:hAnsi="宋体" w:eastAsia="宋体" w:cs="Times New Roman"/>
          <w:color w:val="auto"/>
          <w:sz w:val="24"/>
          <w:szCs w:val="24"/>
          <w:highlight w:val="none"/>
          <w:u w:val="single"/>
        </w:rPr>
      </w:pPr>
    </w:p>
    <w:p w14:paraId="0375A403">
      <w:pPr>
        <w:autoSpaceDN w:val="0"/>
        <w:adjustRightInd w:val="0"/>
        <w:snapToGrid w:val="0"/>
        <w:spacing w:line="324" w:lineRule="auto"/>
        <w:ind w:left="-283" w:leftChars="-135" w:right="-334" w:rightChars="-159"/>
        <w:rPr>
          <w:rFonts w:ascii="仿宋" w:hAnsi="仿宋" w:eastAsia="仿宋" w:cs="仿宋"/>
          <w:b/>
          <w:color w:val="auto"/>
          <w:sz w:val="22"/>
          <w:highlight w:val="none"/>
        </w:rPr>
      </w:pPr>
      <w:r>
        <w:rPr>
          <w:rFonts w:hint="eastAsia" w:ascii="仿宋" w:hAnsi="仿宋" w:eastAsia="仿宋" w:cs="仿宋"/>
          <w:color w:val="auto"/>
          <w:kern w:val="0"/>
          <w:sz w:val="22"/>
          <w:highlight w:val="none"/>
        </w:rPr>
        <w:t>注：</w:t>
      </w:r>
      <w:r>
        <w:rPr>
          <w:rFonts w:hint="eastAsia" w:ascii="仿宋" w:hAnsi="仿宋" w:eastAsia="仿宋" w:cs="仿宋"/>
          <w:b/>
          <w:color w:val="auto"/>
          <w:kern w:val="0"/>
          <w:sz w:val="22"/>
          <w:highlight w:val="none"/>
        </w:rPr>
        <w:t>①磋商响应供应商可在“备选品牌、厂家”选择一项填写在“投标品牌”一栏中，如在此表“备选品牌、厂家”之外选择的，需要在“投标品牌”一栏中注明所选品牌</w:t>
      </w:r>
      <w:r>
        <w:rPr>
          <w:rFonts w:hint="eastAsia" w:ascii="仿宋" w:hAnsi="仿宋" w:eastAsia="仿宋" w:cs="仿宋"/>
          <w:b/>
          <w:color w:val="auto"/>
          <w:sz w:val="22"/>
          <w:highlight w:val="none"/>
        </w:rPr>
        <w:t>。</w:t>
      </w:r>
    </w:p>
    <w:p w14:paraId="646EFC27">
      <w:pPr>
        <w:autoSpaceDN w:val="0"/>
        <w:adjustRightInd w:val="0"/>
        <w:snapToGrid w:val="0"/>
        <w:spacing w:line="324" w:lineRule="auto"/>
        <w:ind w:left="-283" w:leftChars="-135" w:right="-334" w:rightChars="-159" w:firstLine="330" w:firstLineChars="150"/>
        <w:rPr>
          <w:rFonts w:ascii="仿宋" w:hAnsi="仿宋" w:eastAsia="仿宋" w:cs="仿宋"/>
          <w:b/>
          <w:color w:val="auto"/>
          <w:sz w:val="22"/>
          <w:highlight w:val="none"/>
        </w:rPr>
      </w:pPr>
      <w:r>
        <w:rPr>
          <w:rFonts w:hint="eastAsia" w:ascii="仿宋" w:hAnsi="仿宋" w:eastAsia="仿宋" w:cs="仿宋"/>
          <w:color w:val="auto"/>
          <w:sz w:val="22"/>
          <w:highlight w:val="none"/>
        </w:rPr>
        <w:t>②</w:t>
      </w:r>
      <w:r>
        <w:rPr>
          <w:rFonts w:hint="eastAsia" w:ascii="仿宋" w:hAnsi="仿宋" w:eastAsia="仿宋" w:cs="仿宋"/>
          <w:b/>
          <w:color w:val="auto"/>
          <w:sz w:val="22"/>
          <w:highlight w:val="none"/>
          <w:u w:val="single"/>
        </w:rPr>
        <w:t>磋商文件中对主要材料设备品牌、厂家、规格、型号有推荐的，磋商响应供应商应采用并选用其中高档产品，或选用与采购人推荐的品牌相当及以上的中高档产品，如磋商响应供应商所选材料设备的材质、规格、颜色、档次与磋商文件及施工图纸要求的存在明显差别，或虽按磋商文件推荐的材料品牌选择但该材料因某种原因停产或其他原因而不能供应的，则实际施工过程中采购人有权在磋商文件推荐的材料品牌中自行确定，且投标价格不予调整</w:t>
      </w:r>
      <w:r>
        <w:rPr>
          <w:rFonts w:hint="eastAsia" w:ascii="仿宋" w:hAnsi="仿宋" w:eastAsia="仿宋" w:cs="仿宋"/>
          <w:b/>
          <w:color w:val="auto"/>
          <w:sz w:val="22"/>
          <w:highlight w:val="none"/>
        </w:rPr>
        <w:t>。</w:t>
      </w:r>
    </w:p>
    <w:p w14:paraId="6BD660A4">
      <w:pPr>
        <w:tabs>
          <w:tab w:val="left" w:pos="0"/>
        </w:tabs>
        <w:autoSpaceDN w:val="0"/>
        <w:spacing w:before="120" w:after="120" w:line="324" w:lineRule="auto"/>
        <w:ind w:left="-283" w:leftChars="-135" w:right="-334" w:rightChars="-159" w:firstLine="330" w:firstLineChars="150"/>
        <w:rPr>
          <w:rFonts w:ascii="仿宋" w:hAnsi="仿宋" w:eastAsia="仿宋" w:cs="仿宋"/>
          <w:b/>
          <w:color w:val="auto"/>
          <w:kern w:val="0"/>
          <w:sz w:val="22"/>
          <w:highlight w:val="none"/>
        </w:rPr>
      </w:pPr>
      <w:r>
        <w:rPr>
          <w:rFonts w:hint="eastAsia" w:ascii="仿宋" w:hAnsi="仿宋" w:eastAsia="仿宋" w:cs="仿宋"/>
          <w:color w:val="auto"/>
          <w:kern w:val="0"/>
          <w:sz w:val="22"/>
          <w:highlight w:val="none"/>
        </w:rPr>
        <w:t>③</w:t>
      </w:r>
      <w:r>
        <w:rPr>
          <w:rFonts w:hint="eastAsia" w:ascii="仿宋" w:hAnsi="仿宋" w:eastAsia="仿宋" w:cs="仿宋"/>
          <w:b/>
          <w:color w:val="auto"/>
          <w:kern w:val="0"/>
          <w:sz w:val="22"/>
          <w:highlight w:val="none"/>
        </w:rPr>
        <w:t>磋商文件中对材料的品牌、规格、型号没有具体规定的，由磋商响应供应商按磋商文件及施工图的要求按中高档进行磋商报价，并在“表1-6 主要材料价格表“的备注一栏里注明所选材料设备的品牌、规格、型号，若磋商响应供应商没有进行注明的，则采购人有权指定品牌，磋商价格不调整。</w:t>
      </w:r>
    </w:p>
    <w:p w14:paraId="5906025D">
      <w:pPr>
        <w:tabs>
          <w:tab w:val="left" w:pos="0"/>
        </w:tabs>
        <w:autoSpaceDN w:val="0"/>
        <w:spacing w:before="120" w:after="120" w:line="324" w:lineRule="auto"/>
        <w:ind w:left="-283" w:leftChars="-135" w:right="-334" w:rightChars="-159" w:firstLine="331" w:firstLineChars="150"/>
        <w:rPr>
          <w:rFonts w:ascii="仿宋" w:hAnsi="仿宋" w:eastAsia="仿宋" w:cs="仿宋"/>
          <w:color w:val="auto"/>
          <w:kern w:val="0"/>
          <w:sz w:val="22"/>
          <w:highlight w:val="none"/>
        </w:rPr>
      </w:pPr>
      <w:r>
        <w:rPr>
          <w:rFonts w:hint="eastAsia" w:ascii="仿宋" w:hAnsi="仿宋" w:eastAsia="仿宋" w:cs="仿宋"/>
          <w:b/>
          <w:color w:val="auto"/>
          <w:kern w:val="0"/>
          <w:sz w:val="22"/>
          <w:highlight w:val="none"/>
        </w:rPr>
        <w:t>④发包人有权根据实际情况在发包人推荐的供应商（厂家）或品牌范围内进行调整，承包人须接受调整，并不得因此而要求调价</w:t>
      </w:r>
      <w:r>
        <w:rPr>
          <w:rFonts w:hint="eastAsia" w:ascii="仿宋" w:hAnsi="仿宋" w:eastAsia="仿宋" w:cs="仿宋"/>
          <w:color w:val="auto"/>
          <w:kern w:val="0"/>
          <w:sz w:val="22"/>
          <w:highlight w:val="none"/>
        </w:rPr>
        <w:t>。</w:t>
      </w:r>
    </w:p>
    <w:p w14:paraId="0E387245">
      <w:pPr>
        <w:tabs>
          <w:tab w:val="left" w:pos="0"/>
        </w:tabs>
        <w:autoSpaceDN w:val="0"/>
        <w:spacing w:before="120" w:after="120" w:line="324" w:lineRule="auto"/>
        <w:ind w:left="-283" w:leftChars="-135" w:right="-334" w:rightChars="-159" w:firstLine="331" w:firstLineChars="150"/>
        <w:rPr>
          <w:rFonts w:ascii="仿宋" w:hAnsi="仿宋" w:eastAsia="仿宋" w:cs="仿宋"/>
          <w:b/>
          <w:color w:val="auto"/>
          <w:kern w:val="0"/>
          <w:sz w:val="22"/>
          <w:highlight w:val="none"/>
        </w:rPr>
      </w:pPr>
      <w:r>
        <w:rPr>
          <w:rFonts w:hint="eastAsia" w:ascii="仿宋" w:hAnsi="仿宋" w:eastAsia="仿宋" w:cs="仿宋"/>
          <w:b/>
          <w:color w:val="auto"/>
          <w:kern w:val="0"/>
          <w:sz w:val="22"/>
          <w:highlight w:val="none"/>
        </w:rPr>
        <w:t>⑤若磋商响应供应商未明确品牌，采购人将在此表 “推荐品牌或厂家”中指定品牌及型号，磋商报价不予调整。</w:t>
      </w:r>
    </w:p>
    <w:p w14:paraId="3C6C6741">
      <w:pPr>
        <w:shd w:val="clear" w:color="auto" w:fill="FFFFFF"/>
        <w:autoSpaceDN w:val="0"/>
        <w:spacing w:line="324" w:lineRule="auto"/>
        <w:ind w:left="-283" w:leftChars="-135" w:right="-334" w:rightChars="-159" w:firstLine="331" w:firstLineChars="150"/>
        <w:rPr>
          <w:rFonts w:ascii="仿宋" w:hAnsi="仿宋" w:eastAsia="仿宋" w:cs="仿宋"/>
          <w:color w:val="auto"/>
          <w:szCs w:val="24"/>
          <w:highlight w:val="none"/>
        </w:rPr>
      </w:pPr>
      <w:r>
        <w:rPr>
          <w:rFonts w:hint="eastAsia" w:ascii="仿宋" w:hAnsi="仿宋" w:eastAsia="仿宋" w:cs="仿宋"/>
          <w:b/>
          <w:color w:val="auto"/>
          <w:kern w:val="0"/>
          <w:sz w:val="22"/>
          <w:highlight w:val="none"/>
        </w:rPr>
        <w:t>⑥</w:t>
      </w:r>
      <w:r>
        <w:rPr>
          <w:rFonts w:hint="eastAsia" w:ascii="仿宋" w:hAnsi="仿宋" w:eastAsia="仿宋" w:cs="仿宋"/>
          <w:b/>
          <w:color w:val="auto"/>
          <w:kern w:val="0"/>
          <w:sz w:val="22"/>
          <w:highlight w:val="none"/>
          <w:u w:val="single"/>
        </w:rPr>
        <w:t>请将本表放置在商务技术文件中最后一页。若磋商响应文件未按要求放置或未填写，磋商小组可能做出不利于该磋商响应供应商的评审。</w:t>
      </w:r>
    </w:p>
    <w:p w14:paraId="1FCCD415">
      <w:pPr>
        <w:widowControl/>
        <w:spacing w:line="415" w:lineRule="auto"/>
        <w:jc w:val="left"/>
        <w:rPr>
          <w:rFonts w:ascii="仿宋" w:hAnsi="仿宋" w:eastAsia="仿宋" w:cs="仿宋"/>
          <w:b/>
          <w:bCs/>
          <w:color w:val="auto"/>
          <w:sz w:val="32"/>
          <w:szCs w:val="32"/>
          <w:highlight w:val="none"/>
        </w:rPr>
        <w:sectPr>
          <w:pgSz w:w="11906" w:h="16838"/>
          <w:pgMar w:top="1440" w:right="1416" w:bottom="1440" w:left="1560" w:header="851" w:footer="1077" w:gutter="0"/>
          <w:cols w:space="720" w:num="1"/>
          <w:docGrid w:linePitch="286" w:charSpace="0"/>
        </w:sectPr>
      </w:pPr>
    </w:p>
    <w:p w14:paraId="6272B3DD">
      <w:pPr>
        <w:keepNext/>
        <w:keepLines/>
        <w:autoSpaceDN w:val="0"/>
        <w:spacing w:before="260" w:after="260" w:line="415" w:lineRule="auto"/>
        <w:outlineLvl w:val="2"/>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2-12.其他资料</w:t>
      </w:r>
    </w:p>
    <w:p w14:paraId="5C79F554">
      <w:pPr>
        <w:autoSpaceDN w:val="0"/>
        <w:spacing w:line="360" w:lineRule="auto"/>
        <w:jc w:val="center"/>
        <w:rPr>
          <w:rFonts w:ascii="仿宋" w:hAnsi="仿宋" w:eastAsia="仿宋" w:cs="Times New Roman"/>
          <w:b/>
          <w:color w:val="auto"/>
          <w:sz w:val="32"/>
          <w:szCs w:val="32"/>
          <w:highlight w:val="none"/>
        </w:rPr>
      </w:pPr>
      <w:r>
        <w:rPr>
          <w:rFonts w:hint="eastAsia" w:ascii="仿宋" w:hAnsi="仿宋" w:eastAsia="仿宋" w:cs="Times New Roman"/>
          <w:b/>
          <w:color w:val="auto"/>
          <w:sz w:val="32"/>
          <w:szCs w:val="32"/>
          <w:highlight w:val="none"/>
        </w:rPr>
        <w:t>其他资料</w:t>
      </w:r>
    </w:p>
    <w:p w14:paraId="37323EEB">
      <w:pPr>
        <w:autoSpaceDN w:val="0"/>
        <w:spacing w:line="360" w:lineRule="auto"/>
        <w:rPr>
          <w:rFonts w:ascii="仿宋" w:hAnsi="仿宋" w:eastAsia="仿宋" w:cs="Times New Roman"/>
          <w:color w:val="auto"/>
          <w:kern w:val="0"/>
          <w:sz w:val="22"/>
          <w:highlight w:val="none"/>
          <w:u w:val="single"/>
        </w:rPr>
      </w:pPr>
      <w:r>
        <w:rPr>
          <w:rFonts w:hint="eastAsia" w:ascii="仿宋" w:hAnsi="仿宋" w:eastAsia="仿宋" w:cs="Times New Roman"/>
          <w:color w:val="auto"/>
          <w:sz w:val="24"/>
          <w:highlight w:val="none"/>
        </w:rPr>
        <w:t>项目名称：</w:t>
      </w:r>
      <w:r>
        <w:rPr>
          <w:rFonts w:hint="eastAsia" w:ascii="仿宋" w:hAnsi="仿宋" w:eastAsia="仿宋" w:cs="Times New Roman"/>
          <w:color w:val="auto"/>
          <w:kern w:val="0"/>
          <w:sz w:val="22"/>
          <w:highlight w:val="none"/>
          <w:u w:val="single"/>
        </w:rPr>
        <w:t xml:space="preserve">                                                </w:t>
      </w:r>
    </w:p>
    <w:p w14:paraId="4DFF5DFD">
      <w:pPr>
        <w:autoSpaceDN w:val="0"/>
        <w:spacing w:line="360" w:lineRule="auto"/>
        <w:rPr>
          <w:rFonts w:ascii="仿宋" w:hAnsi="仿宋" w:eastAsia="仿宋" w:cs="Times New Roman"/>
          <w:color w:val="auto"/>
          <w:kern w:val="0"/>
          <w:sz w:val="24"/>
          <w:highlight w:val="none"/>
          <w:u w:val="single"/>
        </w:rPr>
      </w:pPr>
      <w:r>
        <w:rPr>
          <w:rFonts w:hint="eastAsia" w:ascii="仿宋" w:hAnsi="仿宋" w:eastAsia="仿宋" w:cs="Times New Roman"/>
          <w:color w:val="auto"/>
          <w:sz w:val="24"/>
          <w:highlight w:val="none"/>
        </w:rPr>
        <w:t>项目编号：</w:t>
      </w:r>
      <w:r>
        <w:rPr>
          <w:rFonts w:hint="eastAsia" w:ascii="仿宋" w:hAnsi="仿宋" w:eastAsia="仿宋" w:cs="Times New Roman"/>
          <w:color w:val="auto"/>
          <w:kern w:val="0"/>
          <w:sz w:val="24"/>
          <w:highlight w:val="none"/>
          <w:u w:val="single"/>
        </w:rPr>
        <w:t xml:space="preserve">                               </w:t>
      </w:r>
    </w:p>
    <w:tbl>
      <w:tblPr>
        <w:tblStyle w:val="61"/>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14:paraId="0D905D60">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834" w:hRule="atLeast"/>
        </w:trPr>
        <w:tc>
          <w:tcPr>
            <w:tcW w:w="9145" w:type="dxa"/>
            <w:tcBorders>
              <w:top w:val="dotDash" w:color="D9D9D9" w:sz="4" w:space="0"/>
              <w:left w:val="dotDash" w:color="D9D9D9" w:sz="4" w:space="0"/>
              <w:bottom w:val="dotDash" w:color="D9D9D9" w:sz="4" w:space="0"/>
              <w:right w:val="dotDash" w:color="D9D9D9" w:sz="4" w:space="0"/>
            </w:tcBorders>
            <w:noWrap/>
          </w:tcPr>
          <w:p w14:paraId="258DE800">
            <w:pPr>
              <w:autoSpaceDN w:val="0"/>
              <w:spacing w:line="360" w:lineRule="auto"/>
              <w:rPr>
                <w:rFonts w:ascii="仿宋" w:hAnsi="仿宋" w:eastAsia="仿宋" w:cs="Times New Roman"/>
                <w:color w:val="auto"/>
                <w:sz w:val="22"/>
                <w:szCs w:val="21"/>
                <w:highlight w:val="none"/>
              </w:rPr>
            </w:pPr>
          </w:p>
        </w:tc>
      </w:tr>
    </w:tbl>
    <w:p w14:paraId="1954D02E">
      <w:pPr>
        <w:autoSpaceDN w:val="0"/>
        <w:snapToGrid w:val="0"/>
        <w:spacing w:line="360" w:lineRule="auto"/>
        <w:rPr>
          <w:rFonts w:ascii="仿宋" w:hAnsi="仿宋" w:eastAsia="仿宋" w:cs="Times New Roman"/>
          <w:color w:val="auto"/>
          <w:sz w:val="24"/>
          <w:szCs w:val="28"/>
          <w:highlight w:val="none"/>
        </w:rPr>
      </w:pPr>
      <w:r>
        <w:rPr>
          <w:rFonts w:hint="eastAsia" w:ascii="仿宋" w:hAnsi="仿宋" w:eastAsia="仿宋" w:cs="Times New Roman"/>
          <w:color w:val="auto"/>
          <w:sz w:val="24"/>
          <w:szCs w:val="28"/>
          <w:highlight w:val="none"/>
        </w:rPr>
        <w:t>磋商响应供应商名称（盖章）：</w:t>
      </w:r>
      <w:r>
        <w:rPr>
          <w:rFonts w:hint="eastAsia" w:ascii="仿宋" w:hAnsi="仿宋" w:eastAsia="仿宋" w:cs="Times New Roman"/>
          <w:color w:val="auto"/>
          <w:w w:val="90"/>
          <w:kern w:val="0"/>
          <w:sz w:val="22"/>
          <w:highlight w:val="none"/>
        </w:rPr>
        <w:t>_______________________________</w:t>
      </w:r>
    </w:p>
    <w:p w14:paraId="24EF0DFF">
      <w:pPr>
        <w:autoSpaceDN w:val="0"/>
        <w:spacing w:line="360" w:lineRule="auto"/>
        <w:rPr>
          <w:rFonts w:ascii="仿宋" w:hAnsi="仿宋" w:eastAsia="仿宋" w:cs="Times New Roman"/>
          <w:color w:val="auto"/>
          <w:w w:val="90"/>
          <w:kern w:val="0"/>
          <w:sz w:val="22"/>
          <w:highlight w:val="none"/>
        </w:rPr>
      </w:pPr>
      <w:r>
        <w:rPr>
          <w:rFonts w:hint="eastAsia" w:ascii="仿宋" w:hAnsi="仿宋" w:eastAsia="仿宋" w:cs="Times New Roman"/>
          <w:color w:val="auto"/>
          <w:sz w:val="24"/>
          <w:szCs w:val="28"/>
          <w:highlight w:val="none"/>
        </w:rPr>
        <w:t>日期：</w:t>
      </w:r>
      <w:r>
        <w:rPr>
          <w:rFonts w:hint="eastAsia" w:ascii="仿宋" w:hAnsi="仿宋" w:eastAsia="仿宋" w:cs="Times New Roman"/>
          <w:color w:val="auto"/>
          <w:w w:val="90"/>
          <w:kern w:val="0"/>
          <w:sz w:val="22"/>
          <w:highlight w:val="none"/>
        </w:rPr>
        <w:t>_______________________________</w:t>
      </w:r>
    </w:p>
    <w:p w14:paraId="68D56EC3">
      <w:pPr>
        <w:autoSpaceDN w:val="0"/>
        <w:rPr>
          <w:rFonts w:ascii="Times New Roman" w:hAnsi="Times New Roman" w:eastAsia="宋体" w:cs="Times New Roman"/>
          <w:color w:val="auto"/>
          <w:szCs w:val="24"/>
          <w:highlight w:val="none"/>
        </w:rPr>
      </w:pPr>
    </w:p>
    <w:p w14:paraId="0583106E">
      <w:pPr>
        <w:autoSpaceDN w:val="0"/>
        <w:rPr>
          <w:rFonts w:ascii="Times New Roman" w:hAnsi="Times New Roman" w:eastAsia="宋体" w:cs="Times New Roman"/>
          <w:color w:val="auto"/>
          <w:szCs w:val="24"/>
          <w:highlight w:val="none"/>
        </w:rPr>
      </w:pPr>
    </w:p>
    <w:p w14:paraId="7A08E08B">
      <w:pPr>
        <w:rPr>
          <w:color w:val="auto"/>
          <w:highlight w:val="none"/>
        </w:rPr>
      </w:pPr>
    </w:p>
    <w:p w14:paraId="1904E875">
      <w:pPr>
        <w:autoSpaceDN w:val="0"/>
        <w:rPr>
          <w:rFonts w:ascii="Times New Roman" w:hAnsi="Times New Roman" w:eastAsia="宋体" w:cs="Times New Roman"/>
          <w:color w:val="auto"/>
          <w:szCs w:val="24"/>
          <w:highlight w:val="none"/>
        </w:rPr>
      </w:pPr>
    </w:p>
    <w:p w14:paraId="0EB0D8F6">
      <w:pPr>
        <w:keepNext/>
        <w:keepLines/>
        <w:autoSpaceDN w:val="0"/>
        <w:spacing w:before="260" w:after="260" w:line="415" w:lineRule="auto"/>
        <w:outlineLvl w:val="1"/>
        <w:rPr>
          <w:rFonts w:ascii="仿宋" w:hAnsi="仿宋" w:eastAsia="仿宋" w:cs="Times New Roman"/>
          <w:b/>
          <w:bCs/>
          <w:color w:val="auto"/>
          <w:sz w:val="32"/>
          <w:szCs w:val="32"/>
          <w:highlight w:val="none"/>
        </w:rPr>
      </w:pPr>
      <w:bookmarkStart w:id="130" w:name="_Toc11526"/>
      <w:bookmarkStart w:id="131" w:name="_Toc96947081"/>
      <w:r>
        <w:rPr>
          <w:rFonts w:hint="eastAsia" w:ascii="仿宋" w:hAnsi="仿宋" w:eastAsia="仿宋" w:cs="Times New Roman"/>
          <w:b/>
          <w:bCs/>
          <w:color w:val="auto"/>
          <w:sz w:val="32"/>
          <w:szCs w:val="32"/>
          <w:highlight w:val="none"/>
        </w:rPr>
        <w:t>三、报价文件部分格式</w:t>
      </w:r>
      <w:bookmarkEnd w:id="130"/>
      <w:bookmarkEnd w:id="131"/>
    </w:p>
    <w:p w14:paraId="14C28494">
      <w:pPr>
        <w:autoSpaceDN w:val="0"/>
        <w:rPr>
          <w:rFonts w:ascii="Times New Roman" w:hAnsi="Times New Roman" w:eastAsia="宋体" w:cs="Times New Roman"/>
          <w:color w:val="auto"/>
          <w:szCs w:val="24"/>
          <w:highlight w:val="none"/>
        </w:rPr>
      </w:pPr>
    </w:p>
    <w:p w14:paraId="08176C2B">
      <w:pPr>
        <w:autoSpaceDN w:val="0"/>
        <w:adjustRightInd w:val="0"/>
        <w:snapToGrid w:val="0"/>
        <w:spacing w:line="480" w:lineRule="auto"/>
        <w:ind w:left="2345" w:leftChars="450" w:hanging="1400" w:hangingChars="500"/>
        <w:jc w:val="left"/>
        <w:rPr>
          <w:rFonts w:ascii="仿宋" w:hAnsi="仿宋" w:eastAsia="仿宋" w:cs="Times New Roman"/>
          <w:color w:val="auto"/>
          <w:kern w:val="0"/>
          <w:sz w:val="28"/>
          <w:szCs w:val="28"/>
          <w:highlight w:val="none"/>
        </w:rPr>
      </w:pPr>
    </w:p>
    <w:p w14:paraId="03405C80">
      <w:pPr>
        <w:autoSpaceDN w:val="0"/>
        <w:adjustRightInd w:val="0"/>
        <w:snapToGrid w:val="0"/>
        <w:spacing w:line="480" w:lineRule="auto"/>
        <w:ind w:left="2345" w:leftChars="450" w:hanging="1400" w:hangingChars="500"/>
        <w:jc w:val="left"/>
        <w:rPr>
          <w:rFonts w:ascii="仿宋" w:hAnsi="仿宋" w:eastAsia="仿宋" w:cs="Times New Roman"/>
          <w:color w:val="auto"/>
          <w:kern w:val="0"/>
          <w:sz w:val="28"/>
          <w:szCs w:val="28"/>
          <w:highlight w:val="none"/>
        </w:rPr>
      </w:pPr>
    </w:p>
    <w:p w14:paraId="075F4850">
      <w:pPr>
        <w:autoSpaceDN w:val="0"/>
        <w:adjustRightInd w:val="0"/>
        <w:snapToGrid w:val="0"/>
        <w:spacing w:line="480" w:lineRule="auto"/>
        <w:ind w:left="2345" w:leftChars="450" w:hanging="1400" w:hangingChars="500"/>
        <w:jc w:val="left"/>
        <w:rPr>
          <w:rFonts w:hint="eastAsia" w:ascii="仿宋" w:hAnsi="仿宋" w:eastAsia="仿宋" w:cs="Times New Roman"/>
          <w:bCs/>
          <w:color w:val="auto"/>
          <w:sz w:val="28"/>
          <w:szCs w:val="28"/>
          <w:highlight w:val="none"/>
          <w:lang w:eastAsia="zh-CN"/>
        </w:rPr>
      </w:pPr>
      <w:r>
        <w:rPr>
          <w:rFonts w:hint="eastAsia" w:ascii="仿宋" w:hAnsi="仿宋" w:eastAsia="仿宋" w:cs="Times New Roman"/>
          <w:color w:val="auto"/>
          <w:kern w:val="0"/>
          <w:sz w:val="28"/>
          <w:szCs w:val="28"/>
          <w:highlight w:val="none"/>
        </w:rPr>
        <w:t>项目名称：</w:t>
      </w:r>
      <w:r>
        <w:rPr>
          <w:rFonts w:hint="eastAsia" w:ascii="仿宋" w:hAnsi="仿宋" w:eastAsia="仿宋" w:cs="Times New Roman"/>
          <w:bCs/>
          <w:color w:val="auto"/>
          <w:sz w:val="28"/>
          <w:szCs w:val="28"/>
          <w:highlight w:val="none"/>
          <w:lang w:eastAsia="zh-CN"/>
        </w:rPr>
        <w:t>浙江工业大学2024年学生校区布局调整相关用房装修工程</w:t>
      </w:r>
    </w:p>
    <w:p w14:paraId="2CECC28E">
      <w:pPr>
        <w:tabs>
          <w:tab w:val="left" w:pos="2580"/>
          <w:tab w:val="left" w:pos="5940"/>
        </w:tabs>
        <w:autoSpaceDE w:val="0"/>
        <w:autoSpaceDN w:val="0"/>
        <w:adjustRightInd w:val="0"/>
        <w:snapToGrid w:val="0"/>
        <w:spacing w:line="360" w:lineRule="auto"/>
        <w:ind w:right="-20" w:firstLine="980" w:firstLineChars="350"/>
        <w:rPr>
          <w:rFonts w:ascii="仿宋" w:hAnsi="仿宋" w:eastAsia="仿宋" w:cs="Times New Roman"/>
          <w:b/>
          <w:bCs/>
          <w:color w:val="auto"/>
          <w:kern w:val="0"/>
          <w:sz w:val="28"/>
          <w:szCs w:val="28"/>
          <w:highlight w:val="none"/>
          <w:u w:val="single"/>
        </w:rPr>
      </w:pPr>
      <w:r>
        <w:rPr>
          <w:rFonts w:hint="eastAsia" w:ascii="仿宋" w:hAnsi="仿宋" w:eastAsia="仿宋" w:cs="Times New Roman"/>
          <w:color w:val="auto"/>
          <w:kern w:val="0"/>
          <w:sz w:val="28"/>
          <w:szCs w:val="28"/>
          <w:highlight w:val="none"/>
        </w:rPr>
        <w:t>项目编号：</w:t>
      </w:r>
    </w:p>
    <w:p w14:paraId="4A44297F">
      <w:pPr>
        <w:autoSpaceDE w:val="0"/>
        <w:autoSpaceDN w:val="0"/>
        <w:adjustRightInd w:val="0"/>
        <w:snapToGrid w:val="0"/>
        <w:spacing w:line="360" w:lineRule="auto"/>
        <w:jc w:val="left"/>
        <w:rPr>
          <w:rFonts w:ascii="仿宋" w:hAnsi="仿宋" w:eastAsia="仿宋" w:cs="Times New Roman"/>
          <w:color w:val="auto"/>
          <w:kern w:val="0"/>
          <w:sz w:val="28"/>
          <w:szCs w:val="28"/>
          <w:highlight w:val="none"/>
        </w:rPr>
      </w:pPr>
    </w:p>
    <w:p w14:paraId="3EFC0F6C">
      <w:pPr>
        <w:autoSpaceDE w:val="0"/>
        <w:autoSpaceDN w:val="0"/>
        <w:adjustRightInd w:val="0"/>
        <w:snapToGrid w:val="0"/>
        <w:spacing w:line="360" w:lineRule="auto"/>
        <w:jc w:val="left"/>
        <w:rPr>
          <w:rFonts w:ascii="仿宋" w:hAnsi="仿宋" w:eastAsia="仿宋" w:cs="Times New Roman"/>
          <w:color w:val="auto"/>
          <w:kern w:val="0"/>
          <w:sz w:val="24"/>
          <w:szCs w:val="24"/>
          <w:highlight w:val="none"/>
        </w:rPr>
      </w:pPr>
    </w:p>
    <w:p w14:paraId="583B649B">
      <w:pPr>
        <w:tabs>
          <w:tab w:val="left" w:pos="1805"/>
          <w:tab w:val="left" w:pos="5360"/>
        </w:tabs>
        <w:autoSpaceDE w:val="0"/>
        <w:autoSpaceDN w:val="0"/>
        <w:adjustRightInd w:val="0"/>
        <w:snapToGrid w:val="0"/>
        <w:spacing w:line="360" w:lineRule="auto"/>
        <w:ind w:right="-20"/>
        <w:jc w:val="center"/>
        <w:rPr>
          <w:rFonts w:ascii="仿宋" w:hAnsi="仿宋" w:eastAsia="仿宋" w:cs="Times New Roman"/>
          <w:color w:val="auto"/>
          <w:kern w:val="0"/>
          <w:sz w:val="72"/>
          <w:szCs w:val="24"/>
          <w:highlight w:val="none"/>
        </w:rPr>
      </w:pPr>
      <w:r>
        <w:rPr>
          <w:rFonts w:hint="eastAsia" w:ascii="仿宋" w:hAnsi="仿宋" w:eastAsia="仿宋" w:cs="Times New Roman"/>
          <w:color w:val="auto"/>
          <w:kern w:val="0"/>
          <w:sz w:val="72"/>
          <w:szCs w:val="24"/>
          <w:highlight w:val="none"/>
        </w:rPr>
        <w:t>响应文件</w:t>
      </w:r>
    </w:p>
    <w:p w14:paraId="6F0C0BFC">
      <w:pPr>
        <w:tabs>
          <w:tab w:val="left" w:pos="1805"/>
          <w:tab w:val="left" w:pos="5360"/>
        </w:tabs>
        <w:autoSpaceDE w:val="0"/>
        <w:autoSpaceDN w:val="0"/>
        <w:adjustRightInd w:val="0"/>
        <w:snapToGrid w:val="0"/>
        <w:spacing w:line="360" w:lineRule="auto"/>
        <w:ind w:right="-20"/>
        <w:jc w:val="center"/>
        <w:rPr>
          <w:rFonts w:ascii="仿宋" w:hAnsi="仿宋" w:eastAsia="仿宋" w:cs="Times New Roman"/>
          <w:color w:val="auto"/>
          <w:kern w:val="0"/>
          <w:sz w:val="16"/>
          <w:szCs w:val="24"/>
          <w:highlight w:val="none"/>
        </w:rPr>
      </w:pPr>
      <w:r>
        <w:rPr>
          <w:rFonts w:hint="eastAsia" w:ascii="仿宋" w:hAnsi="仿宋" w:eastAsia="仿宋" w:cs="Times New Roman"/>
          <w:color w:val="auto"/>
          <w:kern w:val="0"/>
          <w:sz w:val="72"/>
          <w:szCs w:val="24"/>
          <w:highlight w:val="none"/>
        </w:rPr>
        <w:t>（报价文件）</w:t>
      </w:r>
    </w:p>
    <w:p w14:paraId="37FEE031">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1B2AB368">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036D8398">
      <w:pPr>
        <w:autoSpaceDE w:val="0"/>
        <w:autoSpaceDN w:val="0"/>
        <w:adjustRightInd w:val="0"/>
        <w:snapToGrid w:val="0"/>
        <w:spacing w:line="360" w:lineRule="auto"/>
        <w:jc w:val="left"/>
        <w:rPr>
          <w:rFonts w:ascii="仿宋" w:hAnsi="仿宋" w:eastAsia="仿宋" w:cs="Times New Roman"/>
          <w:color w:val="auto"/>
          <w:kern w:val="0"/>
          <w:sz w:val="20"/>
          <w:szCs w:val="24"/>
          <w:highlight w:val="none"/>
        </w:rPr>
      </w:pPr>
    </w:p>
    <w:p w14:paraId="6FB5493C">
      <w:pPr>
        <w:autoSpaceDE w:val="0"/>
        <w:autoSpaceDN w:val="0"/>
        <w:adjustRightInd w:val="0"/>
        <w:spacing w:line="360" w:lineRule="auto"/>
        <w:ind w:firstLine="840" w:firstLineChars="300"/>
        <w:jc w:val="left"/>
        <w:rPr>
          <w:rFonts w:ascii="仿宋" w:hAnsi="仿宋" w:eastAsia="仿宋" w:cs="..ì."/>
          <w:color w:val="auto"/>
          <w:kern w:val="0"/>
          <w:sz w:val="28"/>
          <w:szCs w:val="24"/>
          <w:highlight w:val="none"/>
        </w:rPr>
      </w:pPr>
      <w:r>
        <w:rPr>
          <w:rFonts w:hint="eastAsia" w:ascii="仿宋" w:hAnsi="仿宋" w:eastAsia="仿宋" w:cs="..ì."/>
          <w:color w:val="auto"/>
          <w:sz w:val="28"/>
          <w:szCs w:val="24"/>
          <w:highlight w:val="none"/>
        </w:rPr>
        <w:t>磋商响应供应商（盖章）：</w:t>
      </w:r>
    </w:p>
    <w:p w14:paraId="0D75FCFB">
      <w:pPr>
        <w:autoSpaceDE w:val="0"/>
        <w:autoSpaceDN w:val="0"/>
        <w:adjustRightInd w:val="0"/>
        <w:spacing w:line="360" w:lineRule="auto"/>
        <w:ind w:firstLine="840" w:firstLineChars="300"/>
        <w:jc w:val="left"/>
        <w:rPr>
          <w:rFonts w:ascii="仿宋" w:hAnsi="仿宋" w:eastAsia="仿宋" w:cs="..ì."/>
          <w:color w:val="auto"/>
          <w:sz w:val="28"/>
          <w:szCs w:val="24"/>
          <w:highlight w:val="none"/>
        </w:rPr>
      </w:pPr>
      <w:r>
        <w:rPr>
          <w:rFonts w:hint="eastAsia" w:ascii="仿宋" w:hAnsi="仿宋" w:eastAsia="仿宋" w:cs="..ì."/>
          <w:color w:val="auto"/>
          <w:sz w:val="28"/>
          <w:szCs w:val="24"/>
          <w:highlight w:val="none"/>
        </w:rPr>
        <w:t>磋商响应供应商地址：</w:t>
      </w:r>
    </w:p>
    <w:p w14:paraId="2EA95CCE">
      <w:pPr>
        <w:autoSpaceDE w:val="0"/>
        <w:autoSpaceDN w:val="0"/>
        <w:adjustRightInd w:val="0"/>
        <w:spacing w:line="360" w:lineRule="auto"/>
        <w:ind w:firstLine="840" w:firstLineChars="300"/>
        <w:jc w:val="left"/>
        <w:rPr>
          <w:rFonts w:ascii="仿宋" w:hAnsi="仿宋" w:eastAsia="仿宋" w:cs="..ì."/>
          <w:color w:val="auto"/>
          <w:sz w:val="28"/>
          <w:szCs w:val="24"/>
          <w:highlight w:val="none"/>
          <w:u w:val="single"/>
        </w:rPr>
      </w:pPr>
      <w:r>
        <w:rPr>
          <w:rFonts w:hint="eastAsia" w:ascii="仿宋" w:hAnsi="仿宋" w:eastAsia="仿宋" w:cs="..ì."/>
          <w:color w:val="auto"/>
          <w:sz w:val="28"/>
          <w:szCs w:val="24"/>
          <w:highlight w:val="none"/>
        </w:rPr>
        <w:t>磋商响应供应商联系电话：</w:t>
      </w:r>
    </w:p>
    <w:p w14:paraId="4DD326C7">
      <w:pPr>
        <w:tabs>
          <w:tab w:val="left" w:pos="6080"/>
          <w:tab w:val="left" w:pos="6640"/>
        </w:tabs>
        <w:autoSpaceDE w:val="0"/>
        <w:autoSpaceDN w:val="0"/>
        <w:adjustRightInd w:val="0"/>
        <w:snapToGrid w:val="0"/>
        <w:spacing w:line="360" w:lineRule="auto"/>
        <w:ind w:left="774" w:right="403"/>
        <w:jc w:val="left"/>
        <w:rPr>
          <w:rFonts w:ascii="仿宋" w:hAnsi="仿宋" w:eastAsia="仿宋" w:cs="Times New Roman"/>
          <w:color w:val="auto"/>
          <w:kern w:val="0"/>
          <w:sz w:val="28"/>
          <w:szCs w:val="24"/>
          <w:highlight w:val="none"/>
        </w:rPr>
      </w:pPr>
    </w:p>
    <w:p w14:paraId="32A7588E">
      <w:pPr>
        <w:tabs>
          <w:tab w:val="left" w:pos="3280"/>
          <w:tab w:val="left" w:pos="4680"/>
          <w:tab w:val="left" w:pos="6080"/>
        </w:tabs>
        <w:autoSpaceDE w:val="0"/>
        <w:autoSpaceDN w:val="0"/>
        <w:adjustRightInd w:val="0"/>
        <w:snapToGrid w:val="0"/>
        <w:spacing w:line="360" w:lineRule="auto"/>
        <w:ind w:right="-20"/>
        <w:jc w:val="center"/>
        <w:rPr>
          <w:rFonts w:ascii="仿宋" w:hAnsi="仿宋" w:eastAsia="仿宋" w:cs="Times New Roman"/>
          <w:color w:val="auto"/>
          <w:kern w:val="0"/>
          <w:sz w:val="28"/>
          <w:szCs w:val="24"/>
          <w:highlight w:val="none"/>
        </w:rPr>
      </w:pPr>
      <w:r>
        <w:rPr>
          <w:rFonts w:hint="eastAsia" w:ascii="仿宋" w:hAnsi="仿宋" w:eastAsia="仿宋" w:cs="Times New Roman"/>
          <w:color w:val="auto"/>
          <w:kern w:val="0"/>
          <w:sz w:val="28"/>
          <w:szCs w:val="24"/>
          <w:highlight w:val="none"/>
        </w:rPr>
        <w:t>年 月 日</w:t>
      </w:r>
    </w:p>
    <w:p w14:paraId="33886B26">
      <w:pPr>
        <w:widowControl/>
        <w:jc w:val="left"/>
        <w:rPr>
          <w:rFonts w:ascii="仿宋" w:hAnsi="仿宋" w:eastAsia="仿宋" w:cs="Times New Roman"/>
          <w:color w:val="auto"/>
          <w:szCs w:val="24"/>
          <w:highlight w:val="none"/>
        </w:rPr>
        <w:sectPr>
          <w:pgSz w:w="11906" w:h="16838"/>
          <w:pgMar w:top="1440" w:right="1416" w:bottom="1440" w:left="1560" w:header="851" w:footer="1077" w:gutter="0"/>
          <w:cols w:space="720" w:num="1"/>
          <w:docGrid w:linePitch="286" w:charSpace="0"/>
        </w:sectPr>
      </w:pPr>
    </w:p>
    <w:p w14:paraId="728103D3">
      <w:pPr>
        <w:keepNext/>
        <w:keepLines/>
        <w:autoSpaceDN w:val="0"/>
        <w:spacing w:before="260" w:after="260" w:line="415" w:lineRule="auto"/>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28"/>
          <w:highlight w:val="none"/>
        </w:rPr>
        <w:t>（1）▲投标函</w:t>
      </w:r>
    </w:p>
    <w:p w14:paraId="08E4BF68">
      <w:pPr>
        <w:keepNext/>
        <w:keepLines/>
        <w:autoSpaceDN w:val="0"/>
        <w:spacing w:before="260" w:after="260" w:line="415" w:lineRule="auto"/>
        <w:jc w:val="center"/>
        <w:outlineLvl w:val="2"/>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▲投标函</w:t>
      </w:r>
    </w:p>
    <w:p w14:paraId="431B736A">
      <w:pPr>
        <w:autoSpaceDN w:val="0"/>
        <w:spacing w:after="312" w:afterLines="100"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浙江工业大学 </w:t>
      </w:r>
      <w:r>
        <w:rPr>
          <w:rFonts w:hint="eastAsia" w:ascii="仿宋" w:hAnsi="仿宋" w:eastAsia="仿宋" w:cs="仿宋"/>
          <w:color w:val="auto"/>
          <w:sz w:val="24"/>
          <w:szCs w:val="24"/>
          <w:highlight w:val="none"/>
        </w:rPr>
        <w:t>：</w:t>
      </w:r>
    </w:p>
    <w:p w14:paraId="161D718A">
      <w:pPr>
        <w:autoSpaceDE w:val="0"/>
        <w:autoSpaceDN w:val="0"/>
        <w:adjustRightInd w:val="0"/>
        <w:spacing w:line="480" w:lineRule="auto"/>
        <w:ind w:firstLine="480" w:firstLineChars="200"/>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1．我方已仔细研究了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施工磋商文件的全部内容，愿意以人民币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（大写）元（</w:t>
      </w:r>
      <w:r>
        <w:rPr>
          <w:rFonts w:ascii="Calibri" w:hAnsi="..ì." w:eastAsia="仿宋" w:cs="Calibri"/>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）的磋商总报价，工期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日历天， 项目经理：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，按合同约定实施和完成承包工程，修补工程中的任何缺陷，工程质量达到。</w:t>
      </w:r>
    </w:p>
    <w:p w14:paraId="1B4DB2F5">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2．我方承诺磋商响应文件有效期</w:t>
      </w:r>
      <w:r>
        <w:rPr>
          <w:rFonts w:hint="eastAsia" w:ascii="仿宋" w:hAnsi="仿宋" w:eastAsia="仿宋" w:cs="仿宋"/>
          <w:color w:val="auto"/>
          <w:sz w:val="24"/>
          <w:szCs w:val="24"/>
          <w:highlight w:val="none"/>
          <w:lang w:val="en-US" w:eastAsia="zh-CN"/>
        </w:rPr>
        <w:t>为</w:t>
      </w:r>
      <w:r>
        <w:rPr>
          <w:rFonts w:hint="eastAsia" w:ascii="仿宋" w:hAnsi="仿宋" w:eastAsia="仿宋" w:cs="宋体"/>
          <w:color w:val="auto"/>
          <w:sz w:val="24"/>
          <w:szCs w:val="24"/>
          <w:highlight w:val="none"/>
        </w:rPr>
        <w:t>自响应文件递交截止时间起</w:t>
      </w:r>
      <w:r>
        <w:rPr>
          <w:rFonts w:hint="eastAsia" w:ascii="仿宋" w:hAnsi="仿宋" w:eastAsia="仿宋" w:cs="宋体"/>
          <w:color w:val="auto"/>
          <w:sz w:val="24"/>
          <w:szCs w:val="24"/>
          <w:highlight w:val="none"/>
          <w:u w:val="single"/>
        </w:rPr>
        <w:t>90</w:t>
      </w:r>
      <w:r>
        <w:rPr>
          <w:rFonts w:hint="eastAsia" w:ascii="仿宋" w:hAnsi="仿宋" w:eastAsia="仿宋" w:cs="宋体"/>
          <w:color w:val="auto"/>
          <w:sz w:val="24"/>
          <w:szCs w:val="24"/>
          <w:highlight w:val="none"/>
        </w:rPr>
        <w:t>天</w:t>
      </w:r>
      <w:r>
        <w:rPr>
          <w:rFonts w:hint="eastAsia" w:ascii="仿宋" w:hAnsi="仿宋" w:eastAsia="仿宋" w:cs="宋体"/>
          <w:color w:val="auto"/>
          <w:sz w:val="24"/>
          <w:szCs w:val="24"/>
          <w:highlight w:val="none"/>
          <w:lang w:eastAsia="zh-CN"/>
        </w:rPr>
        <w:t>，</w:t>
      </w:r>
      <w:r>
        <w:rPr>
          <w:rFonts w:hint="eastAsia" w:ascii="仿宋" w:hAnsi="仿宋" w:eastAsia="仿宋" w:cs="仿宋"/>
          <w:color w:val="auto"/>
          <w:sz w:val="24"/>
          <w:szCs w:val="24"/>
          <w:highlight w:val="none"/>
        </w:rPr>
        <w:t>在竞争性磋商有效期内不修改、撤销磋商响应文件。</w:t>
      </w:r>
    </w:p>
    <w:p w14:paraId="60D311F6">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3．如我方成交：</w:t>
      </w:r>
    </w:p>
    <w:p w14:paraId="0B8BEDAD">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（1）我方承诺在收到成交通知书后，在成交通知书规定的期限内与你方签订合同。</w:t>
      </w:r>
    </w:p>
    <w:p w14:paraId="4DFB5CC7">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（2）我方承诺按照磋商文件规定向你方递交预付款担保。</w:t>
      </w:r>
    </w:p>
    <w:p w14:paraId="79C74DFA">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（3）我方承诺在合同约定的期限内完成并移交全部合同工程。</w:t>
      </w:r>
    </w:p>
    <w:p w14:paraId="0EB9EC39">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4．我方在此声明，所递交的磋商响应文件及有关资料内容完整、真实和准确。</w:t>
      </w:r>
    </w:p>
    <w:p w14:paraId="3F87BA37">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5．（其他补充说明）。</w:t>
      </w:r>
    </w:p>
    <w:p w14:paraId="16E96FF2">
      <w:pPr>
        <w:autoSpaceDN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仿宋"/>
          <w:b/>
          <w:color w:val="auto"/>
          <w:sz w:val="24"/>
          <w:szCs w:val="24"/>
          <w:highlight w:val="none"/>
        </w:rPr>
        <w:t>说明：</w:t>
      </w:r>
      <w:r>
        <w:rPr>
          <w:rFonts w:hint="eastAsia" w:ascii="仿宋" w:hAnsi="仿宋" w:eastAsia="仿宋" w:cs="Arial"/>
          <w:b/>
          <w:color w:val="auto"/>
          <w:kern w:val="0"/>
          <w:sz w:val="24"/>
          <w:szCs w:val="24"/>
          <w:highlight w:val="none"/>
          <w:u w:val="single"/>
        </w:rPr>
        <w:t>磋商响应供应商在“政府采购云平台”进行标书关联时，在政采云系统上填报的投标报价（总价，元）金额与加密的报价文件中所列的投标报价（总价，元）金额不一致时，以加密的报价文件中所列的金额为准进行修正</w:t>
      </w:r>
      <w:r>
        <w:rPr>
          <w:rFonts w:hint="eastAsia" w:ascii="仿宋" w:hAnsi="仿宋" w:eastAsia="仿宋" w:cs="Arial"/>
          <w:b/>
          <w:color w:val="auto"/>
          <w:kern w:val="0"/>
          <w:sz w:val="24"/>
          <w:szCs w:val="24"/>
          <w:highlight w:val="none"/>
        </w:rPr>
        <w:t>。</w:t>
      </w:r>
    </w:p>
    <w:p w14:paraId="000B4967">
      <w:pPr>
        <w:autoSpaceDN w:val="0"/>
        <w:spacing w:line="360" w:lineRule="auto"/>
        <w:rPr>
          <w:rFonts w:ascii="仿宋" w:hAnsi="仿宋" w:eastAsia="仿宋" w:cs="仿宋"/>
          <w:color w:val="auto"/>
          <w:sz w:val="24"/>
          <w:szCs w:val="24"/>
          <w:highlight w:val="none"/>
        </w:rPr>
      </w:pPr>
    </w:p>
    <w:p w14:paraId="0774D42D">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磋商响应供应商（盖章）：</w:t>
      </w:r>
    </w:p>
    <w:p w14:paraId="528C43DA">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6116520F">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p>
    <w:p w14:paraId="516EDF62">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p>
    <w:p w14:paraId="379C3A9F">
      <w:pPr>
        <w:autoSpaceDN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30A9ACA4">
      <w:pPr>
        <w:autoSpaceDN w:val="0"/>
        <w:spacing w:line="360" w:lineRule="auto"/>
        <w:ind w:firstLine="7800" w:firstLineChars="3250"/>
        <w:jc w:val="left"/>
        <w:rPr>
          <w:rFonts w:ascii="仿宋" w:hAnsi="仿宋" w:eastAsia="仿宋" w:cs="Times New Roman"/>
          <w:b/>
          <w:bCs/>
          <w:color w:val="auto"/>
          <w:sz w:val="22"/>
          <w:highlight w:val="none"/>
        </w:rPr>
      </w:pPr>
      <w:r>
        <w:rPr>
          <w:rFonts w:hint="eastAsia" w:ascii="仿宋" w:hAnsi="仿宋" w:eastAsia="仿宋" w:cs="仿宋"/>
          <w:color w:val="auto"/>
          <w:sz w:val="24"/>
          <w:szCs w:val="24"/>
          <w:highlight w:val="none"/>
        </w:rPr>
        <w:t>年 月 日</w:t>
      </w:r>
    </w:p>
    <w:p w14:paraId="38162E94">
      <w:pPr>
        <w:autoSpaceDN w:val="0"/>
        <w:spacing w:line="360" w:lineRule="auto"/>
        <w:ind w:firstLine="440" w:firstLineChars="200"/>
        <w:rPr>
          <w:rFonts w:ascii="仿宋" w:hAnsi="仿宋" w:eastAsia="仿宋" w:cs="Times New Roman"/>
          <w:b/>
          <w:bCs/>
          <w:color w:val="auto"/>
          <w:sz w:val="22"/>
          <w:highlight w:val="none"/>
        </w:rPr>
      </w:pPr>
    </w:p>
    <w:p w14:paraId="63079EBB">
      <w:pPr>
        <w:tabs>
          <w:tab w:val="center" w:pos="4755"/>
          <w:tab w:val="right" w:pos="9070"/>
        </w:tabs>
        <w:autoSpaceDN w:val="0"/>
        <w:spacing w:line="440" w:lineRule="exact"/>
        <w:ind w:firstLine="160" w:firstLineChars="50"/>
        <w:rPr>
          <w:rFonts w:ascii="仿宋" w:hAnsi="仿宋" w:eastAsia="仿宋" w:cs="Times New Roman"/>
          <w:b/>
          <w:bCs/>
          <w:color w:val="auto"/>
          <w:sz w:val="22"/>
          <w:highlight w:val="none"/>
        </w:rPr>
      </w:pPr>
      <w:r>
        <w:rPr>
          <w:rFonts w:hint="eastAsia" w:ascii="仿宋" w:hAnsi="仿宋" w:eastAsia="仿宋" w:cs="Times New Roman"/>
          <w:b/>
          <w:bCs/>
          <w:color w:val="auto"/>
          <w:kern w:val="0"/>
          <w:sz w:val="32"/>
          <w:szCs w:val="24"/>
          <w:highlight w:val="none"/>
        </w:rPr>
        <w:t>（2）工程量清单及计价表式</w:t>
      </w:r>
    </w:p>
    <w:p w14:paraId="40CA7860">
      <w:pPr>
        <w:tabs>
          <w:tab w:val="center" w:pos="4755"/>
          <w:tab w:val="right" w:pos="9070"/>
        </w:tabs>
        <w:autoSpaceDN w:val="0"/>
        <w:spacing w:line="440" w:lineRule="exact"/>
        <w:ind w:firstLine="110" w:firstLineChars="50"/>
        <w:rPr>
          <w:rFonts w:ascii="仿宋" w:hAnsi="仿宋" w:eastAsia="仿宋" w:cs="Times New Roman"/>
          <w:color w:val="auto"/>
          <w:kern w:val="0"/>
          <w:sz w:val="22"/>
          <w:highlight w:val="none"/>
        </w:rPr>
      </w:pPr>
      <w:r>
        <w:rPr>
          <w:rFonts w:hint="eastAsia" w:ascii="仿宋" w:hAnsi="仿宋" w:eastAsia="仿宋" w:cs="Times New Roman"/>
          <w:b/>
          <w:bCs/>
          <w:color w:val="auto"/>
          <w:sz w:val="22"/>
          <w:highlight w:val="none"/>
        </w:rPr>
        <w:t>格式一：</w:t>
      </w:r>
    </w:p>
    <w:p w14:paraId="71DC4DD2">
      <w:pPr>
        <w:tabs>
          <w:tab w:val="right" w:pos="0"/>
          <w:tab w:val="center" w:pos="4755"/>
        </w:tabs>
        <w:autoSpaceDN w:val="0"/>
        <w:spacing w:before="100" w:beforeAutospacing="1" w:after="100" w:afterAutospacing="1" w:line="440" w:lineRule="exact"/>
        <w:ind w:firstLine="220" w:firstLineChars="100"/>
        <w:rPr>
          <w:rFonts w:ascii="仿宋" w:hAnsi="仿宋" w:eastAsia="仿宋" w:cs="Times New Roman"/>
          <w:color w:val="auto"/>
          <w:kern w:val="0"/>
          <w:sz w:val="22"/>
          <w:highlight w:val="none"/>
        </w:rPr>
      </w:pPr>
    </w:p>
    <w:p w14:paraId="130001A4">
      <w:pPr>
        <w:keepNext/>
        <w:keepLines/>
        <w:autoSpaceDN w:val="0"/>
        <w:spacing w:before="280" w:after="290" w:line="374" w:lineRule="auto"/>
        <w:jc w:val="center"/>
        <w:outlineLvl w:val="3"/>
        <w:rPr>
          <w:rFonts w:ascii="仿宋" w:hAnsi="仿宋" w:eastAsia="仿宋" w:cs="Times New Roman"/>
          <w:b/>
          <w:bCs/>
          <w:color w:val="auto"/>
          <w:kern w:val="0"/>
          <w:sz w:val="32"/>
          <w:szCs w:val="32"/>
          <w:highlight w:val="none"/>
        </w:rPr>
      </w:pPr>
      <w:r>
        <w:rPr>
          <w:rFonts w:hint="eastAsia" w:ascii="仿宋" w:hAnsi="仿宋" w:eastAsia="仿宋" w:cs="Times New Roman"/>
          <w:b/>
          <w:bCs/>
          <w:color w:val="auto"/>
          <w:kern w:val="0"/>
          <w:sz w:val="32"/>
          <w:szCs w:val="32"/>
          <w:highlight w:val="none"/>
        </w:rPr>
        <w:t>磋商总价</w:t>
      </w:r>
    </w:p>
    <w:p w14:paraId="14F67EA3">
      <w:pPr>
        <w:widowControl/>
        <w:tabs>
          <w:tab w:val="center" w:pos="4755"/>
          <w:tab w:val="right" w:pos="9070"/>
        </w:tabs>
        <w:autoSpaceDN w:val="0"/>
        <w:spacing w:before="100" w:beforeAutospacing="1" w:after="100" w:afterAutospacing="1"/>
        <w:ind w:firstLine="220" w:firstLineChars="100"/>
        <w:jc w:val="center"/>
        <w:rPr>
          <w:rFonts w:ascii="仿宋" w:hAnsi="仿宋" w:eastAsia="仿宋" w:cs="Times New Roman"/>
          <w:color w:val="auto"/>
          <w:kern w:val="0"/>
          <w:sz w:val="22"/>
          <w:highlight w:val="none"/>
        </w:rPr>
      </w:pPr>
    </w:p>
    <w:p w14:paraId="73D4A6E8">
      <w:pPr>
        <w:widowControl/>
        <w:tabs>
          <w:tab w:val="center" w:pos="4755"/>
          <w:tab w:val="right" w:pos="9070"/>
        </w:tabs>
        <w:autoSpaceDN w:val="0"/>
        <w:spacing w:after="100" w:afterAutospacing="1"/>
        <w:ind w:left="1260" w:leftChars="600"/>
        <w:jc w:val="left"/>
        <w:rPr>
          <w:rFonts w:ascii="仿宋" w:hAnsi="仿宋" w:eastAsia="仿宋" w:cs="Times New Roman"/>
          <w:color w:val="auto"/>
          <w:kern w:val="0"/>
          <w:sz w:val="28"/>
          <w:szCs w:val="28"/>
          <w:highlight w:val="none"/>
          <w:u w:val="single"/>
        </w:rPr>
      </w:pPr>
      <w:r>
        <w:rPr>
          <w:rFonts w:hint="eastAsia" w:ascii="仿宋" w:hAnsi="仿宋" w:eastAsia="仿宋" w:cs="Times New Roman"/>
          <w:color w:val="auto"/>
          <w:kern w:val="0"/>
          <w:sz w:val="28"/>
          <w:szCs w:val="28"/>
          <w:highlight w:val="none"/>
        </w:rPr>
        <w:t>采 购 人：</w:t>
      </w:r>
      <w:r>
        <w:rPr>
          <w:rFonts w:hint="eastAsia" w:ascii="仿宋" w:hAnsi="仿宋" w:eastAsia="仿宋" w:cs="Times New Roman"/>
          <w:color w:val="auto"/>
          <w:kern w:val="0"/>
          <w:sz w:val="28"/>
          <w:szCs w:val="28"/>
          <w:highlight w:val="none"/>
          <w:u w:val="single"/>
        </w:rPr>
        <w:t xml:space="preserve">                                </w:t>
      </w:r>
    </w:p>
    <w:p w14:paraId="337E9F37">
      <w:pPr>
        <w:widowControl/>
        <w:tabs>
          <w:tab w:val="center" w:pos="4755"/>
          <w:tab w:val="right" w:pos="9070"/>
        </w:tabs>
        <w:autoSpaceDN w:val="0"/>
        <w:spacing w:after="100" w:afterAutospacing="1"/>
        <w:ind w:left="1260" w:leftChars="600"/>
        <w:jc w:val="left"/>
        <w:rPr>
          <w:rFonts w:ascii="仿宋" w:hAnsi="仿宋" w:eastAsia="仿宋" w:cs="Times New Roman"/>
          <w:color w:val="auto"/>
          <w:kern w:val="0"/>
          <w:sz w:val="28"/>
          <w:szCs w:val="28"/>
          <w:highlight w:val="none"/>
        </w:rPr>
      </w:pPr>
      <w:r>
        <w:rPr>
          <w:rFonts w:hint="eastAsia" w:ascii="仿宋" w:hAnsi="仿宋" w:eastAsia="仿宋" w:cs="Times New Roman"/>
          <w:color w:val="auto"/>
          <w:kern w:val="0"/>
          <w:sz w:val="28"/>
          <w:szCs w:val="28"/>
          <w:highlight w:val="none"/>
        </w:rPr>
        <w:t>项目名称：</w:t>
      </w:r>
      <w:r>
        <w:rPr>
          <w:rFonts w:hint="eastAsia" w:ascii="仿宋" w:hAnsi="仿宋" w:eastAsia="仿宋" w:cs="Times New Roman"/>
          <w:color w:val="auto"/>
          <w:kern w:val="0"/>
          <w:sz w:val="28"/>
          <w:szCs w:val="28"/>
          <w:highlight w:val="none"/>
          <w:u w:val="single"/>
        </w:rPr>
        <w:t xml:space="preserve">                                </w:t>
      </w:r>
    </w:p>
    <w:p w14:paraId="1E9CC511">
      <w:pPr>
        <w:widowControl/>
        <w:tabs>
          <w:tab w:val="center" w:pos="4755"/>
          <w:tab w:val="right" w:pos="9070"/>
        </w:tabs>
        <w:autoSpaceDN w:val="0"/>
        <w:spacing w:after="100" w:afterAutospacing="1"/>
        <w:ind w:left="1260" w:leftChars="600"/>
        <w:jc w:val="left"/>
        <w:rPr>
          <w:rFonts w:ascii="仿宋" w:hAnsi="仿宋" w:eastAsia="仿宋" w:cs="Times New Roman"/>
          <w:color w:val="auto"/>
          <w:kern w:val="0"/>
          <w:sz w:val="28"/>
          <w:szCs w:val="28"/>
          <w:highlight w:val="none"/>
          <w:u w:val="single"/>
        </w:rPr>
      </w:pPr>
      <w:r>
        <w:rPr>
          <w:rFonts w:hint="eastAsia" w:ascii="仿宋" w:hAnsi="仿宋" w:eastAsia="仿宋" w:cs="Times New Roman"/>
          <w:color w:val="auto"/>
          <w:kern w:val="0"/>
          <w:sz w:val="28"/>
          <w:szCs w:val="28"/>
          <w:highlight w:val="none"/>
        </w:rPr>
        <w:t>磋商总价（小写）：</w:t>
      </w:r>
      <w:r>
        <w:rPr>
          <w:rFonts w:hint="eastAsia" w:ascii="仿宋" w:hAnsi="仿宋" w:eastAsia="仿宋" w:cs="Times New Roman"/>
          <w:color w:val="auto"/>
          <w:kern w:val="0"/>
          <w:sz w:val="28"/>
          <w:szCs w:val="28"/>
          <w:highlight w:val="none"/>
          <w:u w:val="single"/>
        </w:rPr>
        <w:t xml:space="preserve">                        </w:t>
      </w:r>
    </w:p>
    <w:p w14:paraId="5155C789">
      <w:pPr>
        <w:widowControl/>
        <w:tabs>
          <w:tab w:val="center" w:pos="4755"/>
          <w:tab w:val="right" w:pos="9070"/>
        </w:tabs>
        <w:autoSpaceDN w:val="0"/>
        <w:spacing w:after="100" w:afterAutospacing="1"/>
        <w:ind w:left="2415" w:leftChars="1150"/>
        <w:jc w:val="left"/>
        <w:rPr>
          <w:rFonts w:ascii="仿宋" w:hAnsi="仿宋" w:eastAsia="仿宋" w:cs="Times New Roman"/>
          <w:color w:val="auto"/>
          <w:kern w:val="0"/>
          <w:sz w:val="28"/>
          <w:szCs w:val="28"/>
          <w:highlight w:val="none"/>
        </w:rPr>
      </w:pPr>
      <w:r>
        <w:rPr>
          <w:rFonts w:hint="eastAsia" w:ascii="仿宋" w:hAnsi="仿宋" w:eastAsia="仿宋" w:cs="Times New Roman"/>
          <w:color w:val="auto"/>
          <w:kern w:val="0"/>
          <w:sz w:val="28"/>
          <w:szCs w:val="28"/>
          <w:highlight w:val="none"/>
        </w:rPr>
        <w:t>（大写）：</w:t>
      </w:r>
      <w:r>
        <w:rPr>
          <w:rFonts w:hint="eastAsia" w:ascii="仿宋" w:hAnsi="仿宋" w:eastAsia="仿宋" w:cs="Times New Roman"/>
          <w:color w:val="auto"/>
          <w:kern w:val="0"/>
          <w:sz w:val="28"/>
          <w:szCs w:val="28"/>
          <w:highlight w:val="none"/>
          <w:u w:val="single"/>
        </w:rPr>
        <w:t xml:space="preserve">                        </w:t>
      </w:r>
    </w:p>
    <w:p w14:paraId="64299CBF">
      <w:pPr>
        <w:widowControl/>
        <w:tabs>
          <w:tab w:val="center" w:pos="4755"/>
          <w:tab w:val="right" w:pos="9070"/>
        </w:tabs>
        <w:autoSpaceDN w:val="0"/>
        <w:spacing w:after="100" w:afterAutospacing="1"/>
        <w:ind w:left="1260" w:leftChars="600"/>
        <w:rPr>
          <w:rFonts w:ascii="仿宋" w:hAnsi="仿宋" w:eastAsia="仿宋" w:cs="Times New Roman"/>
          <w:color w:val="auto"/>
          <w:kern w:val="0"/>
          <w:sz w:val="28"/>
          <w:szCs w:val="28"/>
          <w:highlight w:val="none"/>
        </w:rPr>
      </w:pPr>
      <w:r>
        <w:rPr>
          <w:rFonts w:hint="eastAsia" w:ascii="仿宋" w:hAnsi="仿宋" w:eastAsia="仿宋" w:cs="Times New Roman"/>
          <w:color w:val="auto"/>
          <w:kern w:val="0"/>
          <w:sz w:val="28"/>
          <w:szCs w:val="28"/>
          <w:highlight w:val="none"/>
        </w:rPr>
        <w:t>供应商：</w:t>
      </w:r>
      <w:r>
        <w:rPr>
          <w:rFonts w:hint="eastAsia" w:ascii="仿宋" w:hAnsi="仿宋" w:eastAsia="仿宋" w:cs="Times New Roman"/>
          <w:color w:val="auto"/>
          <w:kern w:val="0"/>
          <w:sz w:val="28"/>
          <w:szCs w:val="28"/>
          <w:highlight w:val="none"/>
          <w:u w:val="single"/>
        </w:rPr>
        <w:t xml:space="preserve">                                  </w:t>
      </w:r>
      <w:r>
        <w:rPr>
          <w:rFonts w:hint="eastAsia" w:ascii="仿宋" w:hAnsi="仿宋" w:eastAsia="仿宋" w:cs="Times New Roman"/>
          <w:color w:val="auto"/>
          <w:kern w:val="0"/>
          <w:sz w:val="28"/>
          <w:szCs w:val="28"/>
          <w:highlight w:val="none"/>
        </w:rPr>
        <w:t>（单位盖章）</w:t>
      </w:r>
    </w:p>
    <w:p w14:paraId="42ACC173">
      <w:pPr>
        <w:widowControl/>
        <w:autoSpaceDN w:val="0"/>
        <w:spacing w:after="100" w:line="720" w:lineRule="auto"/>
        <w:ind w:left="1260" w:leftChars="600"/>
        <w:rPr>
          <w:rFonts w:ascii="仿宋" w:hAnsi="仿宋" w:eastAsia="仿宋" w:cs="Times New Roman"/>
          <w:color w:val="auto"/>
          <w:kern w:val="0"/>
          <w:sz w:val="28"/>
          <w:szCs w:val="28"/>
          <w:highlight w:val="none"/>
        </w:rPr>
      </w:pPr>
      <w:r>
        <w:rPr>
          <w:rFonts w:hint="eastAsia" w:ascii="仿宋" w:hAnsi="仿宋" w:eastAsia="仿宋" w:cs="Times New Roman"/>
          <w:color w:val="auto"/>
          <w:kern w:val="0"/>
          <w:sz w:val="28"/>
          <w:szCs w:val="28"/>
          <w:highlight w:val="none"/>
        </w:rPr>
        <w:t>法定代表人：</w:t>
      </w:r>
      <w:r>
        <w:rPr>
          <w:rFonts w:hint="eastAsia" w:ascii="仿宋" w:hAnsi="仿宋" w:eastAsia="仿宋" w:cs="Times New Roman"/>
          <w:color w:val="auto"/>
          <w:kern w:val="0"/>
          <w:sz w:val="28"/>
          <w:szCs w:val="28"/>
          <w:highlight w:val="none"/>
          <w:u w:val="single"/>
        </w:rPr>
        <w:t xml:space="preserve">                              </w:t>
      </w:r>
      <w:r>
        <w:rPr>
          <w:rFonts w:hint="eastAsia" w:ascii="仿宋" w:hAnsi="仿宋" w:eastAsia="仿宋" w:cs="Times New Roman"/>
          <w:color w:val="auto"/>
          <w:kern w:val="0"/>
          <w:sz w:val="28"/>
          <w:szCs w:val="28"/>
          <w:highlight w:val="none"/>
        </w:rPr>
        <w:t>（签字或盖章）</w:t>
      </w:r>
    </w:p>
    <w:p w14:paraId="7B86B09E">
      <w:pPr>
        <w:widowControl/>
        <w:tabs>
          <w:tab w:val="center" w:pos="4755"/>
          <w:tab w:val="right" w:pos="9070"/>
        </w:tabs>
        <w:autoSpaceDN w:val="0"/>
        <w:spacing w:after="100" w:afterAutospacing="1" w:line="720" w:lineRule="auto"/>
        <w:ind w:left="1260" w:leftChars="600"/>
        <w:rPr>
          <w:rFonts w:ascii="仿宋" w:hAnsi="仿宋" w:eastAsia="仿宋" w:cs="Times New Roman"/>
          <w:color w:val="auto"/>
          <w:kern w:val="0"/>
          <w:sz w:val="28"/>
          <w:szCs w:val="28"/>
          <w:highlight w:val="none"/>
        </w:rPr>
      </w:pPr>
      <w:r>
        <w:rPr>
          <w:rFonts w:hint="eastAsia" w:ascii="仿宋" w:hAnsi="仿宋" w:eastAsia="仿宋" w:cs="Times New Roman"/>
          <w:color w:val="auto"/>
          <w:kern w:val="0"/>
          <w:sz w:val="28"/>
          <w:szCs w:val="28"/>
          <w:highlight w:val="none"/>
        </w:rPr>
        <w:t>编制人员：</w:t>
      </w:r>
      <w:r>
        <w:rPr>
          <w:rFonts w:ascii="Calibri" w:hAnsi="Calibri" w:eastAsia="仿宋" w:cs="Calibri"/>
          <w:color w:val="auto"/>
          <w:sz w:val="28"/>
          <w:szCs w:val="28"/>
          <w:highlight w:val="none"/>
          <w:u w:val="single"/>
        </w:rPr>
        <w:t>                       </w:t>
      </w:r>
      <w:r>
        <w:rPr>
          <w:rFonts w:hint="eastAsia" w:ascii="仿宋" w:hAnsi="仿宋" w:eastAsia="仿宋" w:cs="Times New Roman"/>
          <w:color w:val="auto"/>
          <w:sz w:val="28"/>
          <w:szCs w:val="28"/>
          <w:highlight w:val="none"/>
          <w:u w:val="single"/>
        </w:rPr>
        <w:t xml:space="preserve">                    </w:t>
      </w:r>
      <w:r>
        <w:rPr>
          <w:rFonts w:ascii="Calibri" w:hAnsi="Calibri" w:eastAsia="仿宋" w:cs="Calibri"/>
          <w:color w:val="auto"/>
          <w:sz w:val="28"/>
          <w:szCs w:val="28"/>
          <w:highlight w:val="none"/>
          <w:u w:val="single"/>
        </w:rPr>
        <w:t>  </w:t>
      </w:r>
      <w:r>
        <w:rPr>
          <w:rFonts w:hint="eastAsia" w:ascii="仿宋" w:hAnsi="仿宋" w:eastAsia="仿宋" w:cs="Times New Roman"/>
          <w:color w:val="auto"/>
          <w:kern w:val="0"/>
          <w:sz w:val="28"/>
          <w:szCs w:val="28"/>
          <w:highlight w:val="none"/>
        </w:rPr>
        <w:t>（签字或盖章）</w:t>
      </w:r>
    </w:p>
    <w:p w14:paraId="1D19823D">
      <w:pPr>
        <w:widowControl/>
        <w:tabs>
          <w:tab w:val="center" w:pos="4755"/>
          <w:tab w:val="right" w:pos="9070"/>
        </w:tabs>
        <w:autoSpaceDN w:val="0"/>
        <w:spacing w:line="400" w:lineRule="exact"/>
        <w:ind w:left="1260" w:leftChars="600"/>
        <w:rPr>
          <w:rFonts w:ascii="仿宋" w:hAnsi="仿宋" w:eastAsia="仿宋" w:cs="Times New Roman"/>
          <w:b/>
          <w:color w:val="auto"/>
          <w:kern w:val="0"/>
          <w:sz w:val="28"/>
          <w:szCs w:val="28"/>
          <w:highlight w:val="none"/>
        </w:rPr>
      </w:pPr>
      <w:r>
        <w:rPr>
          <w:rFonts w:hint="eastAsia" w:ascii="仿宋" w:hAnsi="仿宋" w:eastAsia="仿宋" w:cs="Times New Roman"/>
          <w:color w:val="auto"/>
          <w:kern w:val="0"/>
          <w:sz w:val="28"/>
          <w:szCs w:val="28"/>
          <w:highlight w:val="none"/>
        </w:rPr>
        <w:t>编制时间：</w:t>
      </w:r>
      <w:r>
        <w:rPr>
          <w:rFonts w:ascii="Calibri" w:hAnsi="Calibri" w:eastAsia="仿宋" w:cs="Calibri"/>
          <w:color w:val="auto"/>
          <w:sz w:val="28"/>
          <w:szCs w:val="28"/>
          <w:highlight w:val="none"/>
          <w:u w:val="single"/>
        </w:rPr>
        <w:t>              </w:t>
      </w:r>
      <w:r>
        <w:rPr>
          <w:rFonts w:hint="eastAsia" w:ascii="仿宋" w:hAnsi="仿宋" w:eastAsia="仿宋" w:cs="Times New Roman"/>
          <w:color w:val="auto"/>
          <w:sz w:val="28"/>
          <w:szCs w:val="28"/>
          <w:highlight w:val="none"/>
          <w:u w:val="single"/>
        </w:rPr>
        <w:t xml:space="preserve">                </w:t>
      </w:r>
      <w:r>
        <w:rPr>
          <w:rFonts w:ascii="Calibri" w:hAnsi="Calibri" w:eastAsia="仿宋" w:cs="Calibri"/>
          <w:color w:val="auto"/>
          <w:sz w:val="28"/>
          <w:szCs w:val="28"/>
          <w:highlight w:val="none"/>
          <w:u w:val="single"/>
        </w:rPr>
        <w:t>     </w:t>
      </w:r>
      <w:r>
        <w:rPr>
          <w:rFonts w:hint="eastAsia" w:ascii="仿宋" w:hAnsi="仿宋" w:eastAsia="仿宋" w:cs="Times New Roman"/>
          <w:color w:val="auto"/>
          <w:sz w:val="28"/>
          <w:szCs w:val="28"/>
          <w:highlight w:val="none"/>
          <w:u w:val="single"/>
        </w:rPr>
        <w:t xml:space="preserve">   </w:t>
      </w:r>
      <w:r>
        <w:rPr>
          <w:rFonts w:ascii="Calibri" w:hAnsi="Calibri" w:eastAsia="仿宋" w:cs="Calibri"/>
          <w:color w:val="auto"/>
          <w:sz w:val="28"/>
          <w:szCs w:val="28"/>
          <w:highlight w:val="none"/>
          <w:u w:val="single"/>
        </w:rPr>
        <w:t>  </w:t>
      </w:r>
      <w:r>
        <w:rPr>
          <w:rFonts w:hint="eastAsia" w:ascii="仿宋" w:hAnsi="仿宋" w:eastAsia="仿宋" w:cs="Times New Roman"/>
          <w:color w:val="auto"/>
          <w:kern w:val="0"/>
          <w:sz w:val="28"/>
          <w:szCs w:val="28"/>
          <w:highlight w:val="none"/>
          <w:u w:val="single"/>
        </w:rPr>
        <w:t xml:space="preserve"> </w:t>
      </w:r>
      <w:r>
        <w:rPr>
          <w:rFonts w:ascii="Calibri" w:hAnsi="Calibri" w:eastAsia="仿宋" w:cs="Calibri"/>
          <w:color w:val="auto"/>
          <w:sz w:val="28"/>
          <w:szCs w:val="28"/>
          <w:highlight w:val="none"/>
          <w:u w:val="single"/>
        </w:rPr>
        <w:t>      </w:t>
      </w:r>
    </w:p>
    <w:p w14:paraId="18F96EC0">
      <w:pPr>
        <w:keepNext/>
        <w:keepLines/>
        <w:autoSpaceDN w:val="0"/>
        <w:spacing w:before="280" w:after="290" w:line="374" w:lineRule="auto"/>
        <w:jc w:val="center"/>
        <w:outlineLvl w:val="3"/>
        <w:rPr>
          <w:rFonts w:ascii="仿宋" w:hAnsi="仿宋" w:eastAsia="仿宋" w:cs="Times New Roman"/>
          <w:bCs/>
          <w:color w:val="auto"/>
          <w:kern w:val="0"/>
          <w:sz w:val="22"/>
          <w:highlight w:val="none"/>
        </w:rPr>
      </w:pPr>
      <w:r>
        <w:rPr>
          <w:rFonts w:hint="eastAsia" w:ascii="仿宋" w:hAnsi="仿宋" w:eastAsia="仿宋" w:cs="Times New Roman"/>
          <w:color w:val="auto"/>
          <w:kern w:val="0"/>
          <w:sz w:val="22"/>
          <w:highlight w:val="none"/>
        </w:rPr>
        <w:br w:type="page"/>
      </w:r>
      <w:r>
        <w:rPr>
          <w:rFonts w:hint="eastAsia" w:ascii="仿宋" w:hAnsi="仿宋" w:eastAsia="仿宋" w:cs="Times New Roman"/>
          <w:b/>
          <w:bCs/>
          <w:color w:val="auto"/>
          <w:kern w:val="0"/>
          <w:sz w:val="28"/>
          <w:szCs w:val="28"/>
          <w:highlight w:val="none"/>
        </w:rPr>
        <w:t>工程量清单报价说明</w:t>
      </w:r>
    </w:p>
    <w:p w14:paraId="1007D1FF">
      <w:pPr>
        <w:autoSpaceDN w:val="0"/>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项目名称：                                           第 页共 页</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6"/>
      </w:tblGrid>
      <w:tr w14:paraId="1357B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9" w:hRule="atLeast"/>
          <w:jc w:val="center"/>
        </w:trPr>
        <w:tc>
          <w:tcPr>
            <w:tcW w:w="9286" w:type="dxa"/>
            <w:tcBorders>
              <w:top w:val="single" w:color="auto" w:sz="4" w:space="0"/>
              <w:left w:val="single" w:color="auto" w:sz="4" w:space="0"/>
              <w:bottom w:val="single" w:color="auto" w:sz="4" w:space="0"/>
              <w:right w:val="single" w:color="auto" w:sz="4" w:space="0"/>
            </w:tcBorders>
            <w:noWrap/>
          </w:tcPr>
          <w:p w14:paraId="186B0A06">
            <w:pPr>
              <w:autoSpaceDN w:val="0"/>
              <w:rPr>
                <w:rFonts w:ascii="仿宋" w:hAnsi="仿宋" w:eastAsia="仿宋" w:cs="Times New Roman"/>
                <w:color w:val="auto"/>
                <w:sz w:val="24"/>
                <w:szCs w:val="24"/>
                <w:highlight w:val="none"/>
              </w:rPr>
            </w:pPr>
          </w:p>
        </w:tc>
      </w:tr>
    </w:tbl>
    <w:p w14:paraId="7AF4378F">
      <w:pPr>
        <w:autoSpaceDN w:val="0"/>
        <w:ind w:firstLine="240" w:firstLineChars="100"/>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磋商响应供应商：（盖章）</w:t>
      </w:r>
    </w:p>
    <w:p w14:paraId="4BCAE06B">
      <w:pPr>
        <w:keepNext/>
        <w:keepLines/>
        <w:autoSpaceDN w:val="0"/>
        <w:spacing w:before="280" w:after="290" w:line="374" w:lineRule="auto"/>
        <w:jc w:val="center"/>
        <w:outlineLvl w:val="3"/>
        <w:rPr>
          <w:rFonts w:ascii="仿宋" w:hAnsi="仿宋" w:eastAsia="仿宋" w:cs="Times New Roman"/>
          <w:bCs/>
          <w:color w:val="auto"/>
          <w:kern w:val="0"/>
          <w:sz w:val="22"/>
          <w:highlight w:val="none"/>
        </w:rPr>
      </w:pPr>
      <w:r>
        <w:rPr>
          <w:rFonts w:hint="eastAsia" w:ascii="仿宋" w:hAnsi="仿宋" w:eastAsia="仿宋" w:cs="Times New Roman"/>
          <w:color w:val="auto"/>
          <w:kern w:val="0"/>
          <w:sz w:val="22"/>
          <w:highlight w:val="none"/>
        </w:rPr>
        <w:br w:type="page"/>
      </w:r>
      <w:r>
        <w:rPr>
          <w:rFonts w:hint="eastAsia" w:ascii="仿宋" w:hAnsi="仿宋" w:eastAsia="仿宋" w:cs="Times New Roman"/>
          <w:b/>
          <w:bCs/>
          <w:color w:val="auto"/>
          <w:kern w:val="0"/>
          <w:sz w:val="28"/>
          <w:szCs w:val="28"/>
          <w:highlight w:val="none"/>
        </w:rPr>
        <w:t>表1-1-1  工程项目报价汇总表</w:t>
      </w:r>
    </w:p>
    <w:p w14:paraId="3ED4C7DA">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6300"/>
        <w:gridCol w:w="1978"/>
      </w:tblGrid>
      <w:tr w14:paraId="4BE4C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6226E5E9">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6300" w:type="dxa"/>
            <w:tcBorders>
              <w:top w:val="single" w:color="auto" w:sz="4" w:space="0"/>
              <w:left w:val="single" w:color="auto" w:sz="4" w:space="0"/>
              <w:bottom w:val="single" w:color="auto" w:sz="4" w:space="0"/>
              <w:right w:val="single" w:color="auto" w:sz="4" w:space="0"/>
            </w:tcBorders>
            <w:noWrap/>
            <w:vAlign w:val="center"/>
          </w:tcPr>
          <w:p w14:paraId="60BF8812">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内容</w:t>
            </w:r>
          </w:p>
        </w:tc>
        <w:tc>
          <w:tcPr>
            <w:tcW w:w="1978" w:type="dxa"/>
            <w:tcBorders>
              <w:top w:val="single" w:color="auto" w:sz="4" w:space="0"/>
              <w:left w:val="single" w:color="auto" w:sz="4" w:space="0"/>
              <w:bottom w:val="single" w:color="auto" w:sz="4" w:space="0"/>
              <w:right w:val="single" w:color="auto" w:sz="4" w:space="0"/>
            </w:tcBorders>
            <w:noWrap/>
            <w:vAlign w:val="center"/>
          </w:tcPr>
          <w:p w14:paraId="1B7D0ABC">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报价（元）</w:t>
            </w:r>
          </w:p>
        </w:tc>
      </w:tr>
      <w:tr w14:paraId="6E719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0F7E4C1C">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6300" w:type="dxa"/>
            <w:tcBorders>
              <w:top w:val="single" w:color="auto" w:sz="4" w:space="0"/>
              <w:left w:val="single" w:color="auto" w:sz="4" w:space="0"/>
              <w:bottom w:val="single" w:color="auto" w:sz="4" w:space="0"/>
              <w:right w:val="single" w:color="auto" w:sz="4" w:space="0"/>
            </w:tcBorders>
            <w:noWrap/>
            <w:vAlign w:val="center"/>
          </w:tcPr>
          <w:p w14:paraId="7C681CEB">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单位工程费合计</w:t>
            </w:r>
          </w:p>
        </w:tc>
        <w:tc>
          <w:tcPr>
            <w:tcW w:w="1978" w:type="dxa"/>
            <w:tcBorders>
              <w:top w:val="single" w:color="auto" w:sz="4" w:space="0"/>
              <w:left w:val="single" w:color="auto" w:sz="4" w:space="0"/>
              <w:bottom w:val="single" w:color="auto" w:sz="4" w:space="0"/>
              <w:right w:val="single" w:color="auto" w:sz="4" w:space="0"/>
            </w:tcBorders>
            <w:noWrap/>
            <w:vAlign w:val="center"/>
          </w:tcPr>
          <w:p w14:paraId="1FA2461A">
            <w:pPr>
              <w:autoSpaceDN w:val="0"/>
              <w:rPr>
                <w:rFonts w:ascii="仿宋" w:hAnsi="仿宋" w:eastAsia="仿宋" w:cs="仿宋"/>
                <w:color w:val="auto"/>
                <w:sz w:val="24"/>
                <w:szCs w:val="24"/>
                <w:highlight w:val="none"/>
              </w:rPr>
            </w:pPr>
          </w:p>
        </w:tc>
      </w:tr>
      <w:tr w14:paraId="1B03A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48AA8218">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300" w:type="dxa"/>
            <w:tcBorders>
              <w:top w:val="single" w:color="auto" w:sz="4" w:space="0"/>
              <w:left w:val="single" w:color="auto" w:sz="4" w:space="0"/>
              <w:bottom w:val="single" w:color="auto" w:sz="4" w:space="0"/>
              <w:right w:val="single" w:color="auto" w:sz="4" w:space="0"/>
            </w:tcBorders>
            <w:noWrap/>
            <w:vAlign w:val="center"/>
          </w:tcPr>
          <w:p w14:paraId="51B0B554">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（单位工程1，如1号楼）</w:t>
            </w:r>
          </w:p>
        </w:tc>
        <w:tc>
          <w:tcPr>
            <w:tcW w:w="1978" w:type="dxa"/>
            <w:tcBorders>
              <w:top w:val="single" w:color="auto" w:sz="4" w:space="0"/>
              <w:left w:val="single" w:color="auto" w:sz="4" w:space="0"/>
              <w:bottom w:val="single" w:color="auto" w:sz="4" w:space="0"/>
              <w:right w:val="single" w:color="auto" w:sz="4" w:space="0"/>
            </w:tcBorders>
            <w:noWrap/>
            <w:vAlign w:val="center"/>
          </w:tcPr>
          <w:p w14:paraId="2EEDF6F3">
            <w:pPr>
              <w:autoSpaceDN w:val="0"/>
              <w:rPr>
                <w:rFonts w:ascii="仿宋" w:hAnsi="仿宋" w:eastAsia="仿宋" w:cs="仿宋"/>
                <w:color w:val="auto"/>
                <w:sz w:val="24"/>
                <w:szCs w:val="24"/>
                <w:highlight w:val="none"/>
              </w:rPr>
            </w:pPr>
          </w:p>
        </w:tc>
      </w:tr>
      <w:tr w14:paraId="6A7FA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64DE50E0">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300" w:type="dxa"/>
            <w:tcBorders>
              <w:top w:val="single" w:color="auto" w:sz="4" w:space="0"/>
              <w:left w:val="single" w:color="auto" w:sz="4" w:space="0"/>
              <w:bottom w:val="single" w:color="auto" w:sz="4" w:space="0"/>
              <w:right w:val="single" w:color="auto" w:sz="4" w:space="0"/>
            </w:tcBorders>
            <w:noWrap/>
            <w:vAlign w:val="center"/>
          </w:tcPr>
          <w:p w14:paraId="2920C982">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（单位工程2）</w:t>
            </w:r>
          </w:p>
        </w:tc>
        <w:tc>
          <w:tcPr>
            <w:tcW w:w="1978" w:type="dxa"/>
            <w:tcBorders>
              <w:top w:val="single" w:color="auto" w:sz="4" w:space="0"/>
              <w:left w:val="single" w:color="auto" w:sz="4" w:space="0"/>
              <w:bottom w:val="single" w:color="auto" w:sz="4" w:space="0"/>
              <w:right w:val="single" w:color="auto" w:sz="4" w:space="0"/>
            </w:tcBorders>
            <w:noWrap/>
            <w:vAlign w:val="center"/>
          </w:tcPr>
          <w:p w14:paraId="711079DF">
            <w:pPr>
              <w:autoSpaceDN w:val="0"/>
              <w:rPr>
                <w:rFonts w:ascii="仿宋" w:hAnsi="仿宋" w:eastAsia="仿宋" w:cs="仿宋"/>
                <w:color w:val="auto"/>
                <w:sz w:val="24"/>
                <w:szCs w:val="24"/>
                <w:highlight w:val="none"/>
              </w:rPr>
            </w:pPr>
          </w:p>
        </w:tc>
      </w:tr>
      <w:tr w14:paraId="270AC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77EF7FAE">
            <w:pPr>
              <w:tabs>
                <w:tab w:val="left" w:pos="3780"/>
              </w:tabs>
              <w:autoSpaceDN w:val="0"/>
              <w:jc w:val="center"/>
              <w:rPr>
                <w:rFonts w:ascii="仿宋" w:hAnsi="仿宋" w:eastAsia="仿宋" w:cs="仿宋"/>
                <w:color w:val="auto"/>
                <w:sz w:val="24"/>
                <w:szCs w:val="24"/>
                <w:highlight w:val="none"/>
              </w:rPr>
            </w:pPr>
          </w:p>
        </w:tc>
        <w:tc>
          <w:tcPr>
            <w:tcW w:w="6300" w:type="dxa"/>
            <w:tcBorders>
              <w:top w:val="single" w:color="auto" w:sz="4" w:space="0"/>
              <w:left w:val="single" w:color="auto" w:sz="4" w:space="0"/>
              <w:bottom w:val="single" w:color="auto" w:sz="4" w:space="0"/>
              <w:right w:val="single" w:color="auto" w:sz="4" w:space="0"/>
            </w:tcBorders>
            <w:noWrap/>
            <w:vAlign w:val="center"/>
          </w:tcPr>
          <w:p w14:paraId="3953B295">
            <w:pPr>
              <w:tabs>
                <w:tab w:val="left" w:pos="3780"/>
              </w:tabs>
              <w:autoSpaceDN w:val="0"/>
              <w:rPr>
                <w:rFonts w:ascii="仿宋" w:hAnsi="仿宋" w:eastAsia="仿宋" w:cs="仿宋"/>
                <w:color w:val="auto"/>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ign w:val="center"/>
          </w:tcPr>
          <w:p w14:paraId="41A8E271">
            <w:pPr>
              <w:autoSpaceDN w:val="0"/>
              <w:rPr>
                <w:rFonts w:ascii="仿宋" w:hAnsi="仿宋" w:eastAsia="仿宋" w:cs="仿宋"/>
                <w:color w:val="auto"/>
                <w:sz w:val="24"/>
                <w:szCs w:val="24"/>
                <w:highlight w:val="none"/>
              </w:rPr>
            </w:pPr>
          </w:p>
        </w:tc>
      </w:tr>
      <w:tr w14:paraId="2CDB4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3F2522DD">
            <w:pPr>
              <w:tabs>
                <w:tab w:val="left" w:pos="3780"/>
              </w:tabs>
              <w:autoSpaceDN w:val="0"/>
              <w:jc w:val="center"/>
              <w:rPr>
                <w:rFonts w:ascii="仿宋" w:hAnsi="仿宋" w:eastAsia="仿宋" w:cs="仿宋"/>
                <w:color w:val="auto"/>
                <w:sz w:val="24"/>
                <w:szCs w:val="24"/>
                <w:highlight w:val="none"/>
              </w:rPr>
            </w:pPr>
          </w:p>
        </w:tc>
        <w:tc>
          <w:tcPr>
            <w:tcW w:w="6300" w:type="dxa"/>
            <w:tcBorders>
              <w:top w:val="single" w:color="auto" w:sz="4" w:space="0"/>
              <w:left w:val="single" w:color="auto" w:sz="4" w:space="0"/>
              <w:bottom w:val="single" w:color="auto" w:sz="4" w:space="0"/>
              <w:right w:val="single" w:color="auto" w:sz="4" w:space="0"/>
            </w:tcBorders>
            <w:noWrap/>
            <w:vAlign w:val="center"/>
          </w:tcPr>
          <w:p w14:paraId="4BA613DC">
            <w:pPr>
              <w:tabs>
                <w:tab w:val="left" w:pos="3780"/>
              </w:tabs>
              <w:autoSpaceDN w:val="0"/>
              <w:rPr>
                <w:rFonts w:ascii="仿宋" w:hAnsi="仿宋" w:eastAsia="仿宋" w:cs="仿宋"/>
                <w:color w:val="auto"/>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ign w:val="center"/>
          </w:tcPr>
          <w:p w14:paraId="2F0EBDDD">
            <w:pPr>
              <w:autoSpaceDN w:val="0"/>
              <w:rPr>
                <w:rFonts w:ascii="仿宋" w:hAnsi="仿宋" w:eastAsia="仿宋" w:cs="仿宋"/>
                <w:color w:val="auto"/>
                <w:sz w:val="24"/>
                <w:szCs w:val="24"/>
                <w:highlight w:val="none"/>
              </w:rPr>
            </w:pPr>
          </w:p>
        </w:tc>
      </w:tr>
      <w:tr w14:paraId="21C8D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63B71F6C">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6300" w:type="dxa"/>
            <w:tcBorders>
              <w:top w:val="single" w:color="auto" w:sz="4" w:space="0"/>
              <w:left w:val="single" w:color="auto" w:sz="4" w:space="0"/>
              <w:bottom w:val="single" w:color="auto" w:sz="4" w:space="0"/>
              <w:right w:val="single" w:color="auto" w:sz="4" w:space="0"/>
            </w:tcBorders>
            <w:noWrap/>
            <w:vAlign w:val="center"/>
          </w:tcPr>
          <w:p w14:paraId="280357F2">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未纳入单位工程费的其他费用[（一）+（二）+（三）+（四）]</w:t>
            </w:r>
          </w:p>
        </w:tc>
        <w:tc>
          <w:tcPr>
            <w:tcW w:w="1978" w:type="dxa"/>
            <w:tcBorders>
              <w:top w:val="single" w:color="auto" w:sz="4" w:space="0"/>
              <w:left w:val="single" w:color="auto" w:sz="4" w:space="0"/>
              <w:bottom w:val="single" w:color="auto" w:sz="4" w:space="0"/>
              <w:right w:val="single" w:color="auto" w:sz="4" w:space="0"/>
            </w:tcBorders>
            <w:noWrap/>
            <w:vAlign w:val="center"/>
          </w:tcPr>
          <w:p w14:paraId="40C3BA96">
            <w:pPr>
              <w:autoSpaceDN w:val="0"/>
              <w:rPr>
                <w:rFonts w:ascii="仿宋" w:hAnsi="仿宋" w:eastAsia="仿宋" w:cs="仿宋"/>
                <w:color w:val="auto"/>
                <w:sz w:val="24"/>
                <w:szCs w:val="24"/>
                <w:highlight w:val="none"/>
              </w:rPr>
            </w:pPr>
          </w:p>
        </w:tc>
      </w:tr>
      <w:tr w14:paraId="72265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5049021B">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6300" w:type="dxa"/>
            <w:tcBorders>
              <w:top w:val="single" w:color="auto" w:sz="4" w:space="0"/>
              <w:left w:val="single" w:color="auto" w:sz="4" w:space="0"/>
              <w:bottom w:val="single" w:color="auto" w:sz="4" w:space="0"/>
              <w:right w:val="single" w:color="auto" w:sz="4" w:space="0"/>
            </w:tcBorders>
            <w:noWrap/>
            <w:vAlign w:val="center"/>
          </w:tcPr>
          <w:p w14:paraId="704F67E7">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整体措施项目清单（1+2）</w:t>
            </w:r>
          </w:p>
        </w:tc>
        <w:tc>
          <w:tcPr>
            <w:tcW w:w="1978" w:type="dxa"/>
            <w:tcBorders>
              <w:top w:val="single" w:color="auto" w:sz="4" w:space="0"/>
              <w:left w:val="single" w:color="auto" w:sz="4" w:space="0"/>
              <w:bottom w:val="single" w:color="auto" w:sz="4" w:space="0"/>
              <w:right w:val="single" w:color="auto" w:sz="4" w:space="0"/>
            </w:tcBorders>
            <w:noWrap/>
            <w:vAlign w:val="center"/>
          </w:tcPr>
          <w:p w14:paraId="32A0BC39">
            <w:pPr>
              <w:autoSpaceDN w:val="0"/>
              <w:rPr>
                <w:rFonts w:ascii="仿宋" w:hAnsi="仿宋" w:eastAsia="仿宋" w:cs="仿宋"/>
                <w:color w:val="auto"/>
                <w:sz w:val="24"/>
                <w:szCs w:val="24"/>
                <w:highlight w:val="none"/>
              </w:rPr>
            </w:pPr>
          </w:p>
        </w:tc>
      </w:tr>
      <w:tr w14:paraId="22B37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173F8384">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300" w:type="dxa"/>
            <w:tcBorders>
              <w:top w:val="single" w:color="auto" w:sz="4" w:space="0"/>
              <w:left w:val="single" w:color="auto" w:sz="4" w:space="0"/>
              <w:bottom w:val="single" w:color="auto" w:sz="4" w:space="0"/>
              <w:right w:val="single" w:color="auto" w:sz="4" w:space="0"/>
            </w:tcBorders>
            <w:noWrap/>
            <w:vAlign w:val="center"/>
          </w:tcPr>
          <w:p w14:paraId="0DF34928">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组织措施项目清单</w:t>
            </w:r>
          </w:p>
        </w:tc>
        <w:tc>
          <w:tcPr>
            <w:tcW w:w="1978" w:type="dxa"/>
            <w:tcBorders>
              <w:top w:val="single" w:color="auto" w:sz="4" w:space="0"/>
              <w:left w:val="single" w:color="auto" w:sz="4" w:space="0"/>
              <w:bottom w:val="single" w:color="auto" w:sz="4" w:space="0"/>
              <w:right w:val="single" w:color="auto" w:sz="4" w:space="0"/>
            </w:tcBorders>
            <w:noWrap/>
            <w:vAlign w:val="center"/>
          </w:tcPr>
          <w:p w14:paraId="1490FA72">
            <w:pPr>
              <w:autoSpaceDN w:val="0"/>
              <w:rPr>
                <w:rFonts w:ascii="仿宋" w:hAnsi="仿宋" w:eastAsia="仿宋" w:cs="仿宋"/>
                <w:color w:val="auto"/>
                <w:sz w:val="24"/>
                <w:szCs w:val="24"/>
                <w:highlight w:val="none"/>
              </w:rPr>
            </w:pPr>
          </w:p>
        </w:tc>
      </w:tr>
      <w:tr w14:paraId="5952E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172DE01D">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300" w:type="dxa"/>
            <w:tcBorders>
              <w:top w:val="single" w:color="auto" w:sz="4" w:space="0"/>
              <w:left w:val="single" w:color="auto" w:sz="4" w:space="0"/>
              <w:bottom w:val="single" w:color="auto" w:sz="4" w:space="0"/>
              <w:right w:val="single" w:color="auto" w:sz="4" w:space="0"/>
            </w:tcBorders>
            <w:noWrap/>
            <w:vAlign w:val="center"/>
          </w:tcPr>
          <w:p w14:paraId="4D645846">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技术措施项目清单</w:t>
            </w:r>
          </w:p>
        </w:tc>
        <w:tc>
          <w:tcPr>
            <w:tcW w:w="1978" w:type="dxa"/>
            <w:tcBorders>
              <w:top w:val="single" w:color="auto" w:sz="4" w:space="0"/>
              <w:left w:val="single" w:color="auto" w:sz="4" w:space="0"/>
              <w:bottom w:val="single" w:color="auto" w:sz="4" w:space="0"/>
              <w:right w:val="single" w:color="auto" w:sz="4" w:space="0"/>
            </w:tcBorders>
            <w:noWrap/>
            <w:vAlign w:val="center"/>
          </w:tcPr>
          <w:p w14:paraId="587DAEEC">
            <w:pPr>
              <w:autoSpaceDN w:val="0"/>
              <w:rPr>
                <w:rFonts w:ascii="仿宋" w:hAnsi="仿宋" w:eastAsia="仿宋" w:cs="仿宋"/>
                <w:color w:val="auto"/>
                <w:sz w:val="24"/>
                <w:szCs w:val="24"/>
                <w:highlight w:val="none"/>
              </w:rPr>
            </w:pPr>
          </w:p>
        </w:tc>
      </w:tr>
      <w:tr w14:paraId="0A556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40FA7E8F">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6300" w:type="dxa"/>
            <w:tcBorders>
              <w:top w:val="single" w:color="auto" w:sz="4" w:space="0"/>
              <w:left w:val="single" w:color="auto" w:sz="4" w:space="0"/>
              <w:bottom w:val="single" w:color="auto" w:sz="4" w:space="0"/>
              <w:right w:val="single" w:color="auto" w:sz="4" w:space="0"/>
            </w:tcBorders>
            <w:noWrap/>
            <w:vAlign w:val="center"/>
          </w:tcPr>
          <w:p w14:paraId="4DCCD246">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整体其他项目清单</w:t>
            </w:r>
          </w:p>
        </w:tc>
        <w:tc>
          <w:tcPr>
            <w:tcW w:w="1978" w:type="dxa"/>
            <w:tcBorders>
              <w:top w:val="single" w:color="auto" w:sz="4" w:space="0"/>
              <w:left w:val="single" w:color="auto" w:sz="4" w:space="0"/>
              <w:bottom w:val="single" w:color="auto" w:sz="4" w:space="0"/>
              <w:right w:val="single" w:color="auto" w:sz="4" w:space="0"/>
            </w:tcBorders>
            <w:noWrap/>
            <w:vAlign w:val="center"/>
          </w:tcPr>
          <w:p w14:paraId="717F613C">
            <w:pPr>
              <w:autoSpaceDN w:val="0"/>
              <w:rPr>
                <w:rFonts w:ascii="仿宋" w:hAnsi="仿宋" w:eastAsia="仿宋" w:cs="仿宋"/>
                <w:color w:val="auto"/>
                <w:sz w:val="24"/>
                <w:szCs w:val="24"/>
                <w:highlight w:val="none"/>
              </w:rPr>
            </w:pPr>
          </w:p>
        </w:tc>
      </w:tr>
      <w:tr w14:paraId="1298E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24A113DD">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6300" w:type="dxa"/>
            <w:tcBorders>
              <w:top w:val="single" w:color="auto" w:sz="4" w:space="0"/>
              <w:left w:val="single" w:color="auto" w:sz="4" w:space="0"/>
              <w:bottom w:val="single" w:color="auto" w:sz="4" w:space="0"/>
              <w:right w:val="single" w:color="auto" w:sz="4" w:space="0"/>
            </w:tcBorders>
            <w:noWrap/>
            <w:vAlign w:val="center"/>
          </w:tcPr>
          <w:p w14:paraId="5AF54F6C">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整体措施项目规费</w:t>
            </w:r>
          </w:p>
        </w:tc>
        <w:tc>
          <w:tcPr>
            <w:tcW w:w="1978" w:type="dxa"/>
            <w:tcBorders>
              <w:top w:val="single" w:color="auto" w:sz="4" w:space="0"/>
              <w:left w:val="single" w:color="auto" w:sz="4" w:space="0"/>
              <w:bottom w:val="single" w:color="auto" w:sz="4" w:space="0"/>
              <w:right w:val="single" w:color="auto" w:sz="4" w:space="0"/>
            </w:tcBorders>
            <w:noWrap/>
            <w:vAlign w:val="center"/>
          </w:tcPr>
          <w:p w14:paraId="7433A244">
            <w:pPr>
              <w:autoSpaceDN w:val="0"/>
              <w:rPr>
                <w:rFonts w:ascii="仿宋" w:hAnsi="仿宋" w:eastAsia="仿宋" w:cs="仿宋"/>
                <w:color w:val="auto"/>
                <w:sz w:val="24"/>
                <w:szCs w:val="24"/>
                <w:highlight w:val="none"/>
              </w:rPr>
            </w:pPr>
          </w:p>
        </w:tc>
      </w:tr>
      <w:tr w14:paraId="766FE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008" w:type="dxa"/>
            <w:tcBorders>
              <w:top w:val="single" w:color="auto" w:sz="4" w:space="0"/>
              <w:left w:val="single" w:color="auto" w:sz="4" w:space="0"/>
              <w:bottom w:val="single" w:color="auto" w:sz="4" w:space="0"/>
              <w:right w:val="single" w:color="auto" w:sz="4" w:space="0"/>
            </w:tcBorders>
            <w:noWrap/>
            <w:vAlign w:val="center"/>
          </w:tcPr>
          <w:p w14:paraId="18339B86">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p>
        </w:tc>
        <w:tc>
          <w:tcPr>
            <w:tcW w:w="6300" w:type="dxa"/>
            <w:tcBorders>
              <w:top w:val="single" w:color="auto" w:sz="4" w:space="0"/>
              <w:left w:val="single" w:color="auto" w:sz="4" w:space="0"/>
              <w:bottom w:val="single" w:color="auto" w:sz="4" w:space="0"/>
              <w:right w:val="single" w:color="auto" w:sz="4" w:space="0"/>
            </w:tcBorders>
            <w:noWrap/>
            <w:vAlign w:val="center"/>
          </w:tcPr>
          <w:p w14:paraId="37DADB57">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税金 {[（一）+（二）+（三）]*费率}</w:t>
            </w:r>
          </w:p>
        </w:tc>
        <w:tc>
          <w:tcPr>
            <w:tcW w:w="1978" w:type="dxa"/>
            <w:tcBorders>
              <w:top w:val="single" w:color="auto" w:sz="4" w:space="0"/>
              <w:left w:val="single" w:color="auto" w:sz="4" w:space="0"/>
              <w:bottom w:val="single" w:color="auto" w:sz="4" w:space="0"/>
              <w:right w:val="single" w:color="auto" w:sz="4" w:space="0"/>
            </w:tcBorders>
            <w:noWrap/>
            <w:vAlign w:val="center"/>
          </w:tcPr>
          <w:p w14:paraId="69D9E1DF">
            <w:pPr>
              <w:autoSpaceDN w:val="0"/>
              <w:rPr>
                <w:rFonts w:ascii="仿宋" w:hAnsi="仿宋" w:eastAsia="仿宋" w:cs="仿宋"/>
                <w:color w:val="auto"/>
                <w:sz w:val="24"/>
                <w:szCs w:val="24"/>
                <w:highlight w:val="none"/>
              </w:rPr>
            </w:pPr>
          </w:p>
        </w:tc>
      </w:tr>
      <w:tr w14:paraId="6A1DE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008" w:type="dxa"/>
            <w:tcBorders>
              <w:top w:val="single" w:color="auto" w:sz="4" w:space="0"/>
              <w:left w:val="single" w:color="auto" w:sz="4" w:space="0"/>
              <w:bottom w:val="single" w:color="auto" w:sz="4" w:space="0"/>
              <w:right w:val="single" w:color="auto" w:sz="4" w:space="0"/>
            </w:tcBorders>
            <w:noWrap/>
          </w:tcPr>
          <w:p w14:paraId="6E9150B4">
            <w:pPr>
              <w:widowControl/>
              <w:tabs>
                <w:tab w:val="center" w:pos="4755"/>
                <w:tab w:val="right" w:pos="9070"/>
              </w:tabs>
              <w:autoSpaceDN w:val="0"/>
              <w:spacing w:before="100" w:beforeAutospacing="1" w:after="100" w:afterAutospacing="1"/>
              <w:jc w:val="left"/>
              <w:rPr>
                <w:rFonts w:ascii="仿宋" w:hAnsi="仿宋" w:eastAsia="仿宋" w:cs="仿宋"/>
                <w:color w:val="auto"/>
                <w:sz w:val="24"/>
                <w:szCs w:val="24"/>
                <w:highlight w:val="none"/>
              </w:rPr>
            </w:pPr>
          </w:p>
        </w:tc>
        <w:tc>
          <w:tcPr>
            <w:tcW w:w="6300" w:type="dxa"/>
            <w:tcBorders>
              <w:top w:val="single" w:color="auto" w:sz="4" w:space="0"/>
              <w:left w:val="single" w:color="auto" w:sz="4" w:space="0"/>
              <w:bottom w:val="single" w:color="auto" w:sz="4" w:space="0"/>
              <w:right w:val="single" w:color="auto" w:sz="4" w:space="0"/>
            </w:tcBorders>
            <w:noWrap/>
            <w:vAlign w:val="center"/>
          </w:tcPr>
          <w:p w14:paraId="602A9726">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总报价 [一 + 二 ]</w:t>
            </w:r>
          </w:p>
        </w:tc>
        <w:tc>
          <w:tcPr>
            <w:tcW w:w="1978" w:type="dxa"/>
            <w:tcBorders>
              <w:top w:val="single" w:color="auto" w:sz="4" w:space="0"/>
              <w:left w:val="single" w:color="auto" w:sz="4" w:space="0"/>
              <w:bottom w:val="single" w:color="auto" w:sz="4" w:space="0"/>
              <w:right w:val="single" w:color="auto" w:sz="4" w:space="0"/>
            </w:tcBorders>
            <w:noWrap/>
            <w:vAlign w:val="center"/>
          </w:tcPr>
          <w:p w14:paraId="64BFD9D4">
            <w:pPr>
              <w:autoSpaceDN w:val="0"/>
              <w:rPr>
                <w:rFonts w:ascii="仿宋" w:hAnsi="仿宋" w:eastAsia="仿宋" w:cs="仿宋"/>
                <w:color w:val="auto"/>
                <w:sz w:val="24"/>
                <w:szCs w:val="24"/>
                <w:highlight w:val="none"/>
              </w:rPr>
            </w:pPr>
          </w:p>
        </w:tc>
      </w:tr>
      <w:tr w14:paraId="47FE0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6" w:type="dxa"/>
            <w:gridSpan w:val="3"/>
            <w:tcBorders>
              <w:top w:val="single" w:color="auto" w:sz="4" w:space="0"/>
              <w:left w:val="single" w:color="auto" w:sz="4" w:space="0"/>
              <w:bottom w:val="single" w:color="auto" w:sz="4" w:space="0"/>
              <w:right w:val="single" w:color="auto" w:sz="4" w:space="0"/>
            </w:tcBorders>
            <w:noWrap/>
            <w:vAlign w:val="center"/>
          </w:tcPr>
          <w:p w14:paraId="1CAE98E6">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总报价（大写）：</w:t>
            </w:r>
          </w:p>
        </w:tc>
      </w:tr>
    </w:tbl>
    <w:p w14:paraId="23E2661A">
      <w:pPr>
        <w:widowControl/>
        <w:tabs>
          <w:tab w:val="center" w:pos="4755"/>
          <w:tab w:val="right" w:pos="9070"/>
        </w:tabs>
        <w:autoSpaceDN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注：1.本表适用于：（1）有2个及以上单位工程的群体项目的总报价汇总；（2）单位工程发包且有2个及以上专业工程分部分项工程量清单的采购项目总报价汇总。本表应在表1-1-2基础上汇总。</w:t>
      </w:r>
    </w:p>
    <w:p w14:paraId="15235C7A">
      <w:pPr>
        <w:widowControl/>
        <w:tabs>
          <w:tab w:val="center" w:pos="4755"/>
          <w:tab w:val="right" w:pos="9070"/>
        </w:tabs>
        <w:autoSpaceDN w:val="0"/>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2．本表中的整体项目措施清单报价指根据采购人要求和项目特点应从采购项目整体上考虑的措施项目报价。</w:t>
      </w:r>
    </w:p>
    <w:p w14:paraId="05066D3A">
      <w:pPr>
        <w:widowControl/>
        <w:tabs>
          <w:tab w:val="center" w:pos="4755"/>
          <w:tab w:val="right" w:pos="9070"/>
        </w:tabs>
        <w:autoSpaceDN w:val="0"/>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3．本表中的整体其他项目清单报价指根据采购人要求需按采购项目整体考虑的其他项目清单报价。</w:t>
      </w:r>
    </w:p>
    <w:p w14:paraId="2BFBED6C">
      <w:pPr>
        <w:widowControl/>
        <w:tabs>
          <w:tab w:val="center" w:pos="4755"/>
          <w:tab w:val="right" w:pos="9070"/>
        </w:tabs>
        <w:autoSpaceDN w:val="0"/>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4．本表中的规费指整体措施清单项目应计取的规费。</w:t>
      </w:r>
    </w:p>
    <w:p w14:paraId="7AAA73FF">
      <w:pPr>
        <w:widowControl/>
        <w:tabs>
          <w:tab w:val="center" w:pos="4755"/>
          <w:tab w:val="right" w:pos="9070"/>
        </w:tabs>
        <w:autoSpaceDN w:val="0"/>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5．本表中的税金指未纳入单位工程费的整体措施项目清单、其他项目清单以及相应规费等费用应计取的税金。</w:t>
      </w:r>
    </w:p>
    <w:p w14:paraId="4C9449B3">
      <w:pPr>
        <w:autoSpaceDN w:val="0"/>
        <w:rPr>
          <w:rFonts w:ascii="仿宋" w:hAnsi="仿宋" w:eastAsia="仿宋" w:cs="仿宋"/>
          <w:color w:val="auto"/>
          <w:sz w:val="24"/>
          <w:szCs w:val="24"/>
          <w:highlight w:val="none"/>
        </w:rPr>
      </w:pPr>
    </w:p>
    <w:p w14:paraId="4F8FBE76">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磋商响应供应商（盖章）：</w:t>
      </w:r>
    </w:p>
    <w:p w14:paraId="4E3C6AD6">
      <w:pPr>
        <w:widowControl/>
        <w:spacing w:beforeAutospacing="1" w:afterAutospacing="1"/>
        <w:jc w:val="left"/>
        <w:rPr>
          <w:rFonts w:ascii="仿宋" w:hAnsi="仿宋" w:eastAsia="仿宋" w:cs="Times New Roman"/>
          <w:color w:val="auto"/>
          <w:sz w:val="22"/>
          <w:highlight w:val="none"/>
        </w:rPr>
        <w:sectPr>
          <w:headerReference r:id="rId11" w:type="default"/>
          <w:footerReference r:id="rId12" w:type="default"/>
          <w:pgSz w:w="11906" w:h="16838"/>
          <w:pgMar w:top="1361" w:right="1191" w:bottom="1361" w:left="1411" w:header="851" w:footer="1077" w:gutter="0"/>
          <w:cols w:space="720" w:num="1"/>
          <w:docGrid w:type="linesAndChars" w:linePitch="312" w:charSpace="0"/>
        </w:sectPr>
      </w:pPr>
    </w:p>
    <w:p w14:paraId="1D9AB1BE">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表1-1-2 单位工程报价汇总表</w:t>
      </w:r>
    </w:p>
    <w:p w14:paraId="606F3B0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6DD71AB3">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单位项目名称：</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3601"/>
        <w:gridCol w:w="1441"/>
        <w:gridCol w:w="1912"/>
        <w:gridCol w:w="38"/>
        <w:gridCol w:w="1749"/>
      </w:tblGrid>
      <w:tr w14:paraId="02671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vMerge w:val="restart"/>
            <w:tcBorders>
              <w:top w:val="single" w:color="auto" w:sz="4" w:space="0"/>
              <w:left w:val="single" w:color="auto" w:sz="4" w:space="0"/>
              <w:bottom w:val="single" w:color="auto" w:sz="4" w:space="0"/>
              <w:right w:val="single" w:color="auto" w:sz="4" w:space="0"/>
            </w:tcBorders>
            <w:vAlign w:val="center"/>
          </w:tcPr>
          <w:p w14:paraId="58DB9A2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601" w:type="dxa"/>
            <w:vMerge w:val="restart"/>
            <w:tcBorders>
              <w:top w:val="single" w:color="auto" w:sz="4" w:space="0"/>
              <w:left w:val="single" w:color="auto" w:sz="4" w:space="0"/>
              <w:bottom w:val="single" w:color="auto" w:sz="4" w:space="0"/>
              <w:right w:val="single" w:color="auto" w:sz="4" w:space="0"/>
            </w:tcBorders>
            <w:vAlign w:val="center"/>
          </w:tcPr>
          <w:p w14:paraId="1773B43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c>
          <w:tcPr>
            <w:tcW w:w="1441" w:type="dxa"/>
            <w:vMerge w:val="restart"/>
            <w:tcBorders>
              <w:top w:val="single" w:color="auto" w:sz="4" w:space="0"/>
              <w:left w:val="single" w:color="auto" w:sz="4" w:space="0"/>
              <w:bottom w:val="single" w:color="auto" w:sz="4" w:space="0"/>
              <w:right w:val="single" w:color="auto" w:sz="4" w:space="0"/>
            </w:tcBorders>
            <w:vAlign w:val="center"/>
          </w:tcPr>
          <w:p w14:paraId="0FA19E4B">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报价合计</w:t>
            </w:r>
          </w:p>
          <w:p w14:paraId="246A058F">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c>
          <w:tcPr>
            <w:tcW w:w="1950" w:type="dxa"/>
            <w:gridSpan w:val="2"/>
            <w:tcBorders>
              <w:top w:val="single" w:color="auto" w:sz="4" w:space="0"/>
              <w:left w:val="single" w:color="auto" w:sz="4" w:space="0"/>
              <w:bottom w:val="single" w:color="auto" w:sz="4" w:space="0"/>
              <w:right w:val="single" w:color="auto" w:sz="4" w:space="0"/>
            </w:tcBorders>
            <w:vAlign w:val="center"/>
          </w:tcPr>
          <w:p w14:paraId="72D2977C">
            <w:pPr>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（清单号）</w:t>
            </w:r>
          </w:p>
        </w:tc>
        <w:tc>
          <w:tcPr>
            <w:tcW w:w="1749" w:type="dxa"/>
            <w:tcBorders>
              <w:top w:val="single" w:color="auto" w:sz="4" w:space="0"/>
              <w:left w:val="single" w:color="auto" w:sz="4" w:space="0"/>
              <w:bottom w:val="single" w:color="auto" w:sz="4" w:space="0"/>
              <w:right w:val="single" w:color="auto" w:sz="4" w:space="0"/>
            </w:tcBorders>
            <w:vAlign w:val="center"/>
          </w:tcPr>
          <w:p w14:paraId="65A49D7A">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（清单号）</w:t>
            </w:r>
          </w:p>
        </w:tc>
      </w:tr>
      <w:tr w14:paraId="6C18D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748" w:type="dxa"/>
            <w:vMerge w:val="continue"/>
            <w:tcBorders>
              <w:top w:val="single" w:color="auto" w:sz="4" w:space="0"/>
              <w:left w:val="single" w:color="auto" w:sz="4" w:space="0"/>
              <w:bottom w:val="single" w:color="auto" w:sz="4" w:space="0"/>
              <w:right w:val="single" w:color="auto" w:sz="4" w:space="0"/>
            </w:tcBorders>
            <w:vAlign w:val="center"/>
          </w:tcPr>
          <w:p w14:paraId="007A29A7">
            <w:pPr>
              <w:widowControl/>
              <w:jc w:val="left"/>
              <w:rPr>
                <w:rFonts w:ascii="仿宋" w:hAnsi="仿宋" w:eastAsia="仿宋" w:cs="仿宋"/>
                <w:color w:val="auto"/>
                <w:sz w:val="24"/>
                <w:szCs w:val="24"/>
                <w:highlight w:val="none"/>
              </w:rPr>
            </w:pPr>
          </w:p>
        </w:tc>
        <w:tc>
          <w:tcPr>
            <w:tcW w:w="3601" w:type="dxa"/>
            <w:vMerge w:val="continue"/>
            <w:tcBorders>
              <w:top w:val="single" w:color="auto" w:sz="4" w:space="0"/>
              <w:left w:val="single" w:color="auto" w:sz="4" w:space="0"/>
              <w:bottom w:val="single" w:color="auto" w:sz="4" w:space="0"/>
              <w:right w:val="single" w:color="auto" w:sz="4" w:space="0"/>
            </w:tcBorders>
            <w:vAlign w:val="center"/>
          </w:tcPr>
          <w:p w14:paraId="5C37303F">
            <w:pPr>
              <w:widowControl/>
              <w:jc w:val="left"/>
              <w:rPr>
                <w:rFonts w:ascii="仿宋" w:hAnsi="仿宋" w:eastAsia="仿宋" w:cs="仿宋"/>
                <w:color w:val="auto"/>
                <w:sz w:val="24"/>
                <w:szCs w:val="24"/>
                <w:highlight w:val="none"/>
              </w:rPr>
            </w:pPr>
          </w:p>
        </w:tc>
        <w:tc>
          <w:tcPr>
            <w:tcW w:w="1441" w:type="dxa"/>
            <w:vMerge w:val="continue"/>
            <w:tcBorders>
              <w:top w:val="single" w:color="auto" w:sz="4" w:space="0"/>
              <w:left w:val="single" w:color="auto" w:sz="4" w:space="0"/>
              <w:bottom w:val="single" w:color="auto" w:sz="4" w:space="0"/>
              <w:right w:val="single" w:color="auto" w:sz="4" w:space="0"/>
            </w:tcBorders>
            <w:vAlign w:val="center"/>
          </w:tcPr>
          <w:p w14:paraId="1E02C94A">
            <w:pPr>
              <w:widowControl/>
              <w:jc w:val="left"/>
              <w:rPr>
                <w:rFonts w:ascii="仿宋" w:hAnsi="仿宋" w:eastAsia="仿宋" w:cs="仿宋"/>
                <w:color w:val="auto"/>
                <w:sz w:val="24"/>
                <w:szCs w:val="24"/>
                <w:highlight w:val="none"/>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14:paraId="7BFCF03D">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(专业工程1)</w:t>
            </w:r>
          </w:p>
        </w:tc>
        <w:tc>
          <w:tcPr>
            <w:tcW w:w="1749" w:type="dxa"/>
            <w:tcBorders>
              <w:top w:val="single" w:color="auto" w:sz="4" w:space="0"/>
              <w:left w:val="single" w:color="auto" w:sz="4" w:space="0"/>
              <w:bottom w:val="single" w:color="auto" w:sz="4" w:space="0"/>
              <w:right w:val="single" w:color="auto" w:sz="4" w:space="0"/>
            </w:tcBorders>
            <w:vAlign w:val="center"/>
          </w:tcPr>
          <w:p w14:paraId="1CDE122E">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(专业工程2)</w:t>
            </w:r>
          </w:p>
        </w:tc>
      </w:tr>
      <w:tr w14:paraId="0FA6A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348521A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3601" w:type="dxa"/>
            <w:tcBorders>
              <w:top w:val="single" w:color="auto" w:sz="4" w:space="0"/>
              <w:left w:val="single" w:color="auto" w:sz="4" w:space="0"/>
              <w:bottom w:val="single" w:color="auto" w:sz="4" w:space="0"/>
              <w:right w:val="single" w:color="auto" w:sz="4" w:space="0"/>
            </w:tcBorders>
            <w:vAlign w:val="center"/>
          </w:tcPr>
          <w:p w14:paraId="0E55F70B">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分部分项工程量清单</w:t>
            </w:r>
          </w:p>
        </w:tc>
        <w:tc>
          <w:tcPr>
            <w:tcW w:w="1441" w:type="dxa"/>
            <w:tcBorders>
              <w:top w:val="single" w:color="auto" w:sz="4" w:space="0"/>
              <w:left w:val="single" w:color="auto" w:sz="4" w:space="0"/>
              <w:bottom w:val="single" w:color="auto" w:sz="4" w:space="0"/>
              <w:right w:val="single" w:color="auto" w:sz="4" w:space="0"/>
            </w:tcBorders>
            <w:vAlign w:val="center"/>
          </w:tcPr>
          <w:p w14:paraId="1E119D7B">
            <w:pPr>
              <w:widowControl/>
              <w:tabs>
                <w:tab w:val="center" w:pos="4755"/>
                <w:tab w:val="right" w:pos="9070"/>
              </w:tabs>
              <w:autoSpaceDN w:val="0"/>
              <w:jc w:val="center"/>
              <w:rPr>
                <w:rFonts w:ascii="仿宋" w:hAnsi="仿宋" w:eastAsia="仿宋" w:cs="仿宋"/>
                <w:color w:val="auto"/>
                <w:sz w:val="24"/>
                <w:szCs w:val="24"/>
                <w:highlight w:val="none"/>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14:paraId="4CE847DD">
            <w:pPr>
              <w:widowControl/>
              <w:tabs>
                <w:tab w:val="center" w:pos="4755"/>
                <w:tab w:val="right" w:pos="9070"/>
              </w:tabs>
              <w:autoSpaceDN w:val="0"/>
              <w:jc w:val="center"/>
              <w:rPr>
                <w:rFonts w:ascii="仿宋" w:hAnsi="仿宋" w:eastAsia="仿宋" w:cs="仿宋"/>
                <w:color w:val="auto"/>
                <w:sz w:val="24"/>
                <w:szCs w:val="24"/>
                <w:highlight w:val="none"/>
              </w:rPr>
            </w:pPr>
          </w:p>
        </w:tc>
        <w:tc>
          <w:tcPr>
            <w:tcW w:w="1749" w:type="dxa"/>
            <w:tcBorders>
              <w:top w:val="single" w:color="auto" w:sz="4" w:space="0"/>
              <w:left w:val="single" w:color="auto" w:sz="4" w:space="0"/>
              <w:bottom w:val="single" w:color="auto" w:sz="4" w:space="0"/>
              <w:right w:val="single" w:color="auto" w:sz="4" w:space="0"/>
            </w:tcBorders>
            <w:vAlign w:val="center"/>
          </w:tcPr>
          <w:p w14:paraId="391D0240">
            <w:pPr>
              <w:widowControl/>
              <w:tabs>
                <w:tab w:val="center" w:pos="4755"/>
                <w:tab w:val="right" w:pos="9070"/>
              </w:tabs>
              <w:autoSpaceDN w:val="0"/>
              <w:jc w:val="center"/>
              <w:rPr>
                <w:rFonts w:ascii="仿宋" w:hAnsi="仿宋" w:eastAsia="仿宋" w:cs="仿宋"/>
                <w:color w:val="auto"/>
                <w:sz w:val="24"/>
                <w:szCs w:val="24"/>
                <w:highlight w:val="none"/>
              </w:rPr>
            </w:pPr>
          </w:p>
        </w:tc>
      </w:tr>
      <w:tr w14:paraId="0A5C6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54F06F65">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3601" w:type="dxa"/>
            <w:tcBorders>
              <w:top w:val="single" w:color="auto" w:sz="4" w:space="0"/>
              <w:left w:val="single" w:color="auto" w:sz="4" w:space="0"/>
              <w:bottom w:val="single" w:color="auto" w:sz="4" w:space="0"/>
              <w:right w:val="single" w:color="auto" w:sz="4" w:space="0"/>
            </w:tcBorders>
            <w:vAlign w:val="center"/>
          </w:tcPr>
          <w:p w14:paraId="52CFB23C">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措施项目清单（1+2）</w:t>
            </w:r>
          </w:p>
        </w:tc>
        <w:tc>
          <w:tcPr>
            <w:tcW w:w="1441" w:type="dxa"/>
            <w:tcBorders>
              <w:top w:val="single" w:color="auto" w:sz="4" w:space="0"/>
              <w:left w:val="single" w:color="auto" w:sz="4" w:space="0"/>
              <w:bottom w:val="single" w:color="auto" w:sz="4" w:space="0"/>
              <w:right w:val="single" w:color="auto" w:sz="4" w:space="0"/>
            </w:tcBorders>
            <w:vAlign w:val="center"/>
          </w:tcPr>
          <w:p w14:paraId="61B25613">
            <w:pPr>
              <w:widowControl/>
              <w:tabs>
                <w:tab w:val="center" w:pos="4755"/>
                <w:tab w:val="right" w:pos="9070"/>
              </w:tabs>
              <w:autoSpaceDN w:val="0"/>
              <w:jc w:val="center"/>
              <w:rPr>
                <w:rFonts w:ascii="仿宋" w:hAnsi="仿宋" w:eastAsia="仿宋" w:cs="仿宋"/>
                <w:color w:val="auto"/>
                <w:sz w:val="24"/>
                <w:szCs w:val="24"/>
                <w:highlight w:val="none"/>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14:paraId="3CE25930">
            <w:pPr>
              <w:widowControl/>
              <w:tabs>
                <w:tab w:val="center" w:pos="4755"/>
                <w:tab w:val="right" w:pos="9070"/>
              </w:tabs>
              <w:autoSpaceDN w:val="0"/>
              <w:jc w:val="center"/>
              <w:rPr>
                <w:rFonts w:ascii="仿宋" w:hAnsi="仿宋" w:eastAsia="仿宋" w:cs="仿宋"/>
                <w:color w:val="auto"/>
                <w:sz w:val="24"/>
                <w:szCs w:val="24"/>
                <w:highlight w:val="none"/>
              </w:rPr>
            </w:pPr>
          </w:p>
        </w:tc>
        <w:tc>
          <w:tcPr>
            <w:tcW w:w="1749" w:type="dxa"/>
            <w:tcBorders>
              <w:top w:val="single" w:color="auto" w:sz="4" w:space="0"/>
              <w:left w:val="single" w:color="auto" w:sz="4" w:space="0"/>
              <w:bottom w:val="single" w:color="auto" w:sz="4" w:space="0"/>
              <w:right w:val="single" w:color="auto" w:sz="4" w:space="0"/>
            </w:tcBorders>
            <w:vAlign w:val="center"/>
          </w:tcPr>
          <w:p w14:paraId="6A5B5B42">
            <w:pPr>
              <w:widowControl/>
              <w:tabs>
                <w:tab w:val="center" w:pos="4755"/>
                <w:tab w:val="right" w:pos="9070"/>
              </w:tabs>
              <w:autoSpaceDN w:val="0"/>
              <w:jc w:val="center"/>
              <w:rPr>
                <w:rFonts w:ascii="仿宋" w:hAnsi="仿宋" w:eastAsia="仿宋" w:cs="仿宋"/>
                <w:color w:val="auto"/>
                <w:sz w:val="24"/>
                <w:szCs w:val="24"/>
                <w:highlight w:val="none"/>
              </w:rPr>
            </w:pPr>
          </w:p>
        </w:tc>
      </w:tr>
      <w:tr w14:paraId="26C7B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67B58C42">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601" w:type="dxa"/>
            <w:tcBorders>
              <w:top w:val="single" w:color="auto" w:sz="4" w:space="0"/>
              <w:left w:val="single" w:color="auto" w:sz="4" w:space="0"/>
              <w:bottom w:val="single" w:color="auto" w:sz="4" w:space="0"/>
              <w:right w:val="single" w:color="auto" w:sz="4" w:space="0"/>
            </w:tcBorders>
            <w:vAlign w:val="center"/>
          </w:tcPr>
          <w:p w14:paraId="195CCE00">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组织措施项目清单</w:t>
            </w:r>
          </w:p>
        </w:tc>
        <w:tc>
          <w:tcPr>
            <w:tcW w:w="1441" w:type="dxa"/>
            <w:tcBorders>
              <w:top w:val="single" w:color="auto" w:sz="4" w:space="0"/>
              <w:left w:val="single" w:color="auto" w:sz="4" w:space="0"/>
              <w:bottom w:val="single" w:color="auto" w:sz="4" w:space="0"/>
              <w:right w:val="single" w:color="auto" w:sz="4" w:space="0"/>
            </w:tcBorders>
            <w:vAlign w:val="center"/>
          </w:tcPr>
          <w:p w14:paraId="5789DE7A">
            <w:pPr>
              <w:widowControl/>
              <w:tabs>
                <w:tab w:val="center" w:pos="4755"/>
                <w:tab w:val="right" w:pos="9070"/>
              </w:tabs>
              <w:autoSpaceDN w:val="0"/>
              <w:jc w:val="center"/>
              <w:rPr>
                <w:rFonts w:ascii="仿宋" w:hAnsi="仿宋" w:eastAsia="仿宋" w:cs="仿宋"/>
                <w:color w:val="auto"/>
                <w:sz w:val="24"/>
                <w:szCs w:val="24"/>
                <w:highlight w:val="none"/>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14:paraId="179DBDC3">
            <w:pPr>
              <w:widowControl/>
              <w:tabs>
                <w:tab w:val="center" w:pos="4755"/>
                <w:tab w:val="right" w:pos="9070"/>
              </w:tabs>
              <w:autoSpaceDN w:val="0"/>
              <w:jc w:val="center"/>
              <w:rPr>
                <w:rFonts w:ascii="仿宋" w:hAnsi="仿宋" w:eastAsia="仿宋" w:cs="仿宋"/>
                <w:color w:val="auto"/>
                <w:sz w:val="24"/>
                <w:szCs w:val="24"/>
                <w:highlight w:val="none"/>
              </w:rPr>
            </w:pPr>
          </w:p>
        </w:tc>
        <w:tc>
          <w:tcPr>
            <w:tcW w:w="1749" w:type="dxa"/>
            <w:tcBorders>
              <w:top w:val="single" w:color="auto" w:sz="4" w:space="0"/>
              <w:left w:val="single" w:color="auto" w:sz="4" w:space="0"/>
              <w:bottom w:val="single" w:color="auto" w:sz="4" w:space="0"/>
              <w:right w:val="single" w:color="auto" w:sz="4" w:space="0"/>
            </w:tcBorders>
            <w:vAlign w:val="center"/>
          </w:tcPr>
          <w:p w14:paraId="547ECEB1">
            <w:pPr>
              <w:widowControl/>
              <w:tabs>
                <w:tab w:val="center" w:pos="4755"/>
                <w:tab w:val="right" w:pos="9070"/>
              </w:tabs>
              <w:autoSpaceDN w:val="0"/>
              <w:jc w:val="center"/>
              <w:rPr>
                <w:rFonts w:ascii="仿宋" w:hAnsi="仿宋" w:eastAsia="仿宋" w:cs="仿宋"/>
                <w:color w:val="auto"/>
                <w:sz w:val="24"/>
                <w:szCs w:val="24"/>
                <w:highlight w:val="none"/>
              </w:rPr>
            </w:pPr>
          </w:p>
        </w:tc>
      </w:tr>
      <w:tr w14:paraId="45A38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2CE34BCC">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3601" w:type="dxa"/>
            <w:tcBorders>
              <w:top w:val="single" w:color="auto" w:sz="4" w:space="0"/>
              <w:left w:val="single" w:color="auto" w:sz="4" w:space="0"/>
              <w:bottom w:val="single" w:color="auto" w:sz="4" w:space="0"/>
              <w:right w:val="single" w:color="auto" w:sz="4" w:space="0"/>
            </w:tcBorders>
            <w:vAlign w:val="center"/>
          </w:tcPr>
          <w:p w14:paraId="2BE8BE56">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技术措施项目清单</w:t>
            </w:r>
          </w:p>
        </w:tc>
        <w:tc>
          <w:tcPr>
            <w:tcW w:w="1441" w:type="dxa"/>
            <w:tcBorders>
              <w:top w:val="single" w:color="auto" w:sz="4" w:space="0"/>
              <w:left w:val="single" w:color="auto" w:sz="4" w:space="0"/>
              <w:bottom w:val="single" w:color="auto" w:sz="4" w:space="0"/>
              <w:right w:val="single" w:color="auto" w:sz="4" w:space="0"/>
            </w:tcBorders>
            <w:vAlign w:val="center"/>
          </w:tcPr>
          <w:p w14:paraId="243CB0F2">
            <w:pPr>
              <w:widowControl/>
              <w:tabs>
                <w:tab w:val="center" w:pos="4755"/>
                <w:tab w:val="right" w:pos="9070"/>
              </w:tabs>
              <w:autoSpaceDN w:val="0"/>
              <w:jc w:val="center"/>
              <w:rPr>
                <w:rFonts w:ascii="仿宋" w:hAnsi="仿宋" w:eastAsia="仿宋" w:cs="仿宋"/>
                <w:color w:val="auto"/>
                <w:sz w:val="24"/>
                <w:szCs w:val="24"/>
                <w:highlight w:val="none"/>
              </w:rPr>
            </w:pPr>
          </w:p>
        </w:tc>
        <w:tc>
          <w:tcPr>
            <w:tcW w:w="1950" w:type="dxa"/>
            <w:gridSpan w:val="2"/>
            <w:tcBorders>
              <w:top w:val="single" w:color="auto" w:sz="4" w:space="0"/>
              <w:left w:val="single" w:color="auto" w:sz="4" w:space="0"/>
              <w:bottom w:val="single" w:color="auto" w:sz="4" w:space="0"/>
              <w:right w:val="single" w:color="auto" w:sz="4" w:space="0"/>
            </w:tcBorders>
            <w:vAlign w:val="center"/>
          </w:tcPr>
          <w:p w14:paraId="2E4FB015">
            <w:pPr>
              <w:widowControl/>
              <w:tabs>
                <w:tab w:val="center" w:pos="4755"/>
                <w:tab w:val="right" w:pos="9070"/>
              </w:tabs>
              <w:autoSpaceDN w:val="0"/>
              <w:jc w:val="center"/>
              <w:rPr>
                <w:rFonts w:ascii="仿宋" w:hAnsi="仿宋" w:eastAsia="仿宋" w:cs="仿宋"/>
                <w:color w:val="auto"/>
                <w:sz w:val="24"/>
                <w:szCs w:val="24"/>
                <w:highlight w:val="none"/>
              </w:rPr>
            </w:pPr>
          </w:p>
        </w:tc>
        <w:tc>
          <w:tcPr>
            <w:tcW w:w="1749" w:type="dxa"/>
            <w:tcBorders>
              <w:top w:val="single" w:color="auto" w:sz="4" w:space="0"/>
              <w:left w:val="single" w:color="auto" w:sz="4" w:space="0"/>
              <w:bottom w:val="single" w:color="auto" w:sz="4" w:space="0"/>
              <w:right w:val="single" w:color="auto" w:sz="4" w:space="0"/>
            </w:tcBorders>
            <w:vAlign w:val="center"/>
          </w:tcPr>
          <w:p w14:paraId="66F90DD4">
            <w:pPr>
              <w:widowControl/>
              <w:tabs>
                <w:tab w:val="center" w:pos="4755"/>
                <w:tab w:val="right" w:pos="9070"/>
              </w:tabs>
              <w:autoSpaceDN w:val="0"/>
              <w:jc w:val="center"/>
              <w:rPr>
                <w:rFonts w:ascii="仿宋" w:hAnsi="仿宋" w:eastAsia="仿宋" w:cs="仿宋"/>
                <w:color w:val="auto"/>
                <w:sz w:val="24"/>
                <w:szCs w:val="24"/>
                <w:highlight w:val="none"/>
              </w:rPr>
            </w:pPr>
          </w:p>
        </w:tc>
      </w:tr>
      <w:tr w14:paraId="7E8CB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2AEF2C8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3601" w:type="dxa"/>
            <w:tcBorders>
              <w:top w:val="single" w:color="auto" w:sz="4" w:space="0"/>
              <w:left w:val="single" w:color="auto" w:sz="4" w:space="0"/>
              <w:bottom w:val="single" w:color="auto" w:sz="4" w:space="0"/>
              <w:right w:val="single" w:color="auto" w:sz="4" w:space="0"/>
            </w:tcBorders>
            <w:vAlign w:val="center"/>
          </w:tcPr>
          <w:p w14:paraId="3E65B83F">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其他项目清单</w:t>
            </w:r>
          </w:p>
        </w:tc>
        <w:tc>
          <w:tcPr>
            <w:tcW w:w="1441" w:type="dxa"/>
            <w:tcBorders>
              <w:top w:val="single" w:color="auto" w:sz="4" w:space="0"/>
              <w:left w:val="single" w:color="auto" w:sz="4" w:space="0"/>
              <w:bottom w:val="single" w:color="auto" w:sz="4" w:space="0"/>
              <w:right w:val="single" w:color="auto" w:sz="4" w:space="0"/>
            </w:tcBorders>
            <w:vAlign w:val="center"/>
          </w:tcPr>
          <w:p w14:paraId="4258ED86">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Times New Roman" w:hAnsi="Times New Roman" w:eastAsia="宋体" w:cs="Times New Roman"/>
                <w:color w:val="auto"/>
                <w:szCs w:val="24"/>
                <w:highlight w:val="none"/>
              </w:rPr>
              <mc:AlternateContent>
                <mc:Choice Requires="wps">
                  <w:drawing>
                    <wp:anchor distT="0" distB="0" distL="114300" distR="114300" simplePos="0" relativeHeight="251659264" behindDoc="0" locked="0" layoutInCell="1" allowOverlap="1">
                      <wp:simplePos x="0" y="0"/>
                      <wp:positionH relativeFrom="column">
                        <wp:posOffset>822960</wp:posOffset>
                      </wp:positionH>
                      <wp:positionV relativeFrom="paragraph">
                        <wp:posOffset>6985</wp:posOffset>
                      </wp:positionV>
                      <wp:extent cx="2355850" cy="284480"/>
                      <wp:effectExtent l="0" t="0" r="25400" b="20320"/>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flipH="1">
                                <a:off x="0" y="0"/>
                                <a:ext cx="2355850" cy="284480"/>
                              </a:xfrm>
                              <a:prstGeom prst="line">
                                <a:avLst/>
                              </a:prstGeom>
                              <a:noFill/>
                              <a:ln w="6350">
                                <a:solidFill>
                                  <a:srgbClr val="000000"/>
                                </a:solidFill>
                                <a:round/>
                              </a:ln>
                            </wps:spPr>
                            <wps:bodyPr/>
                          </wps:wsp>
                        </a:graphicData>
                      </a:graphic>
                    </wp:anchor>
                  </w:drawing>
                </mc:Choice>
                <mc:Fallback>
                  <w:pict>
                    <v:line id="_x0000_s1026" o:spid="_x0000_s1026" o:spt="20" style="position:absolute;left:0pt;flip:x;margin-left:64.8pt;margin-top:0.55pt;height:22.4pt;width:185.5pt;z-index:251659264;mso-width-relative:page;mso-height-relative:page;" filled="f" stroked="t" coordsize="21600,21600" o:gfxdata="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DyAznYAAAACAEAAA8AAAAAAAAAAQAgAAAAIgAAAGRycy9kb3ducmV2LnhtbFBLAQIUABQA&#10;AAAIAIdO4kBtruHv8AEAALkDAAAOAAAAAAAAAAEAIAAAACcBAABkcnMvZTJvRG9jLnhtbFBLBQYA&#10;AAAABgAGAFkBAACJBQAAAAA=&#10;">
                      <v:fill on="f" focussize="0,0"/>
                      <v:stroke weight="0.5pt" color="#000000" joinstyle="round"/>
                      <v:imagedata o:title=""/>
                      <o:lock v:ext="edit" aspectratio="f"/>
                    </v:line>
                  </w:pict>
                </mc:Fallback>
              </mc:AlternateContent>
            </w:r>
          </w:p>
        </w:tc>
        <w:tc>
          <w:tcPr>
            <w:tcW w:w="3699" w:type="dxa"/>
            <w:gridSpan w:val="3"/>
            <w:tcBorders>
              <w:top w:val="single" w:color="auto" w:sz="4" w:space="0"/>
              <w:left w:val="single" w:color="auto" w:sz="4" w:space="0"/>
              <w:bottom w:val="single" w:color="auto" w:sz="4" w:space="0"/>
              <w:right w:val="single" w:color="auto" w:sz="4" w:space="0"/>
            </w:tcBorders>
            <w:vAlign w:val="center"/>
          </w:tcPr>
          <w:p w14:paraId="3D0F1E1C">
            <w:pPr>
              <w:widowControl/>
              <w:tabs>
                <w:tab w:val="center" w:pos="4755"/>
                <w:tab w:val="right" w:pos="9070"/>
              </w:tabs>
              <w:autoSpaceDN w:val="0"/>
              <w:jc w:val="center"/>
              <w:rPr>
                <w:rFonts w:ascii="仿宋" w:hAnsi="仿宋" w:eastAsia="仿宋" w:cs="仿宋"/>
                <w:color w:val="auto"/>
                <w:sz w:val="24"/>
                <w:szCs w:val="24"/>
                <w:highlight w:val="none"/>
              </w:rPr>
            </w:pPr>
          </w:p>
        </w:tc>
      </w:tr>
      <w:tr w14:paraId="293C9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565302A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p>
        </w:tc>
        <w:tc>
          <w:tcPr>
            <w:tcW w:w="3601" w:type="dxa"/>
            <w:tcBorders>
              <w:top w:val="single" w:color="auto" w:sz="4" w:space="0"/>
              <w:left w:val="single" w:color="auto" w:sz="4" w:space="0"/>
              <w:bottom w:val="single" w:color="auto" w:sz="4" w:space="0"/>
              <w:right w:val="single" w:color="auto" w:sz="4" w:space="0"/>
            </w:tcBorders>
            <w:vAlign w:val="center"/>
          </w:tcPr>
          <w:p w14:paraId="311E43EA">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规费</w:t>
            </w:r>
          </w:p>
        </w:tc>
        <w:tc>
          <w:tcPr>
            <w:tcW w:w="1441" w:type="dxa"/>
            <w:tcBorders>
              <w:top w:val="single" w:color="auto" w:sz="4" w:space="0"/>
              <w:left w:val="single" w:color="auto" w:sz="4" w:space="0"/>
              <w:bottom w:val="single" w:color="auto" w:sz="4" w:space="0"/>
              <w:right w:val="single" w:color="auto" w:sz="4" w:space="0"/>
            </w:tcBorders>
            <w:vAlign w:val="center"/>
          </w:tcPr>
          <w:p w14:paraId="265C5D31">
            <w:pPr>
              <w:widowControl/>
              <w:tabs>
                <w:tab w:val="center" w:pos="4755"/>
                <w:tab w:val="right" w:pos="9070"/>
              </w:tabs>
              <w:autoSpaceDN w:val="0"/>
              <w:jc w:val="center"/>
              <w:rPr>
                <w:rFonts w:ascii="仿宋" w:hAnsi="仿宋" w:eastAsia="仿宋" w:cs="仿宋"/>
                <w:color w:val="auto"/>
                <w:sz w:val="24"/>
                <w:szCs w:val="24"/>
                <w:highlight w:val="none"/>
              </w:rPr>
            </w:pPr>
          </w:p>
        </w:tc>
        <w:tc>
          <w:tcPr>
            <w:tcW w:w="1912" w:type="dxa"/>
            <w:tcBorders>
              <w:top w:val="single" w:color="auto" w:sz="4" w:space="0"/>
              <w:left w:val="single" w:color="auto" w:sz="4" w:space="0"/>
              <w:bottom w:val="single" w:color="auto" w:sz="4" w:space="0"/>
              <w:right w:val="single" w:color="auto" w:sz="4" w:space="0"/>
            </w:tcBorders>
            <w:vAlign w:val="center"/>
          </w:tcPr>
          <w:p w14:paraId="7929156C">
            <w:pPr>
              <w:widowControl/>
              <w:tabs>
                <w:tab w:val="center" w:pos="4755"/>
                <w:tab w:val="right" w:pos="9070"/>
              </w:tabs>
              <w:autoSpaceDN w:val="0"/>
              <w:jc w:val="center"/>
              <w:rPr>
                <w:rFonts w:ascii="仿宋" w:hAnsi="仿宋" w:eastAsia="仿宋" w:cs="仿宋"/>
                <w:color w:val="auto"/>
                <w:sz w:val="24"/>
                <w:szCs w:val="24"/>
                <w:highlight w:val="none"/>
              </w:rPr>
            </w:pPr>
          </w:p>
        </w:tc>
        <w:tc>
          <w:tcPr>
            <w:tcW w:w="1787" w:type="dxa"/>
            <w:gridSpan w:val="2"/>
            <w:tcBorders>
              <w:top w:val="single" w:color="auto" w:sz="4" w:space="0"/>
              <w:left w:val="single" w:color="auto" w:sz="4" w:space="0"/>
              <w:bottom w:val="single" w:color="auto" w:sz="4" w:space="0"/>
              <w:right w:val="single" w:color="auto" w:sz="4" w:space="0"/>
            </w:tcBorders>
            <w:vAlign w:val="center"/>
          </w:tcPr>
          <w:p w14:paraId="431D6941">
            <w:pPr>
              <w:widowControl/>
              <w:tabs>
                <w:tab w:val="center" w:pos="4755"/>
                <w:tab w:val="right" w:pos="9070"/>
              </w:tabs>
              <w:autoSpaceDN w:val="0"/>
              <w:jc w:val="center"/>
              <w:rPr>
                <w:rFonts w:ascii="仿宋" w:hAnsi="仿宋" w:eastAsia="仿宋" w:cs="仿宋"/>
                <w:color w:val="auto"/>
                <w:sz w:val="24"/>
                <w:szCs w:val="24"/>
                <w:highlight w:val="none"/>
              </w:rPr>
            </w:pPr>
          </w:p>
        </w:tc>
      </w:tr>
      <w:tr w14:paraId="2AFCE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676D64E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五</w:t>
            </w:r>
          </w:p>
        </w:tc>
        <w:tc>
          <w:tcPr>
            <w:tcW w:w="3601" w:type="dxa"/>
            <w:tcBorders>
              <w:top w:val="single" w:color="auto" w:sz="4" w:space="0"/>
              <w:left w:val="single" w:color="auto" w:sz="4" w:space="0"/>
              <w:bottom w:val="single" w:color="auto" w:sz="4" w:space="0"/>
              <w:right w:val="single" w:color="auto" w:sz="4" w:space="0"/>
            </w:tcBorders>
            <w:vAlign w:val="center"/>
          </w:tcPr>
          <w:p w14:paraId="05009C2D">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税金[（一+二+三+四）*费率]</w:t>
            </w:r>
          </w:p>
        </w:tc>
        <w:tc>
          <w:tcPr>
            <w:tcW w:w="1441" w:type="dxa"/>
            <w:tcBorders>
              <w:top w:val="single" w:color="auto" w:sz="4" w:space="0"/>
              <w:left w:val="single" w:color="auto" w:sz="4" w:space="0"/>
              <w:bottom w:val="single" w:color="auto" w:sz="4" w:space="0"/>
              <w:right w:val="single" w:color="auto" w:sz="4" w:space="0"/>
            </w:tcBorders>
            <w:vAlign w:val="center"/>
          </w:tcPr>
          <w:p w14:paraId="24F73143">
            <w:pPr>
              <w:widowControl/>
              <w:tabs>
                <w:tab w:val="center" w:pos="4755"/>
                <w:tab w:val="right" w:pos="9070"/>
              </w:tabs>
              <w:autoSpaceDN w:val="0"/>
              <w:jc w:val="center"/>
              <w:rPr>
                <w:rFonts w:ascii="仿宋" w:hAnsi="仿宋" w:eastAsia="仿宋" w:cs="仿宋"/>
                <w:color w:val="auto"/>
                <w:sz w:val="24"/>
                <w:szCs w:val="24"/>
                <w:highlight w:val="none"/>
              </w:rPr>
            </w:pPr>
          </w:p>
        </w:tc>
        <w:tc>
          <w:tcPr>
            <w:tcW w:w="3699" w:type="dxa"/>
            <w:gridSpan w:val="3"/>
            <w:vMerge w:val="restart"/>
            <w:tcBorders>
              <w:top w:val="single" w:color="auto" w:sz="4" w:space="0"/>
              <w:left w:val="single" w:color="auto" w:sz="4" w:space="0"/>
              <w:bottom w:val="single" w:color="auto" w:sz="4" w:space="0"/>
              <w:right w:val="single" w:color="auto" w:sz="4" w:space="0"/>
            </w:tcBorders>
            <w:vAlign w:val="center"/>
          </w:tcPr>
          <w:p w14:paraId="2E3F429A">
            <w:pPr>
              <w:widowControl/>
              <w:tabs>
                <w:tab w:val="center" w:pos="4755"/>
                <w:tab w:val="right" w:pos="9070"/>
              </w:tabs>
              <w:autoSpaceDN w:val="0"/>
              <w:jc w:val="center"/>
              <w:rPr>
                <w:rFonts w:ascii="仿宋" w:hAnsi="仿宋" w:eastAsia="仿宋" w:cs="仿宋"/>
                <w:color w:val="auto"/>
                <w:sz w:val="24"/>
                <w:szCs w:val="24"/>
                <w:highlight w:val="none"/>
              </w:rPr>
            </w:pPr>
          </w:p>
        </w:tc>
      </w:tr>
      <w:tr w14:paraId="3BDF0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vAlign w:val="center"/>
          </w:tcPr>
          <w:p w14:paraId="2ECE9AF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六</w:t>
            </w:r>
          </w:p>
        </w:tc>
        <w:tc>
          <w:tcPr>
            <w:tcW w:w="3601" w:type="dxa"/>
            <w:tcBorders>
              <w:top w:val="single" w:color="auto" w:sz="4" w:space="0"/>
              <w:left w:val="single" w:color="auto" w:sz="4" w:space="0"/>
              <w:bottom w:val="single" w:color="auto" w:sz="4" w:space="0"/>
              <w:right w:val="single" w:color="auto" w:sz="4" w:space="0"/>
            </w:tcBorders>
            <w:vAlign w:val="center"/>
          </w:tcPr>
          <w:p w14:paraId="17F35DE7">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总报价（一+二+三+四+五）</w:t>
            </w:r>
          </w:p>
        </w:tc>
        <w:tc>
          <w:tcPr>
            <w:tcW w:w="1441" w:type="dxa"/>
            <w:tcBorders>
              <w:top w:val="single" w:color="auto" w:sz="4" w:space="0"/>
              <w:left w:val="single" w:color="auto" w:sz="4" w:space="0"/>
              <w:bottom w:val="single" w:color="auto" w:sz="4" w:space="0"/>
              <w:right w:val="single" w:color="auto" w:sz="4" w:space="0"/>
            </w:tcBorders>
            <w:vAlign w:val="center"/>
          </w:tcPr>
          <w:p w14:paraId="2CCB533A">
            <w:pPr>
              <w:widowControl/>
              <w:tabs>
                <w:tab w:val="center" w:pos="4755"/>
                <w:tab w:val="right" w:pos="9070"/>
              </w:tabs>
              <w:autoSpaceDN w:val="0"/>
              <w:jc w:val="center"/>
              <w:rPr>
                <w:rFonts w:ascii="仿宋" w:hAnsi="仿宋" w:eastAsia="仿宋" w:cs="仿宋"/>
                <w:color w:val="auto"/>
                <w:sz w:val="24"/>
                <w:szCs w:val="24"/>
                <w:highlight w:val="none"/>
              </w:rPr>
            </w:pPr>
          </w:p>
        </w:tc>
        <w:tc>
          <w:tcPr>
            <w:tcW w:w="7235" w:type="dxa"/>
            <w:gridSpan w:val="3"/>
            <w:vMerge w:val="continue"/>
            <w:tcBorders>
              <w:top w:val="single" w:color="auto" w:sz="4" w:space="0"/>
              <w:left w:val="single" w:color="auto" w:sz="4" w:space="0"/>
              <w:bottom w:val="single" w:color="auto" w:sz="4" w:space="0"/>
              <w:right w:val="single" w:color="auto" w:sz="4" w:space="0"/>
            </w:tcBorders>
            <w:vAlign w:val="center"/>
          </w:tcPr>
          <w:p w14:paraId="7D327643">
            <w:pPr>
              <w:widowControl/>
              <w:jc w:val="left"/>
              <w:rPr>
                <w:rFonts w:ascii="仿宋" w:hAnsi="仿宋" w:eastAsia="仿宋" w:cs="仿宋"/>
                <w:color w:val="auto"/>
                <w:sz w:val="24"/>
                <w:szCs w:val="24"/>
                <w:highlight w:val="none"/>
              </w:rPr>
            </w:pPr>
          </w:p>
        </w:tc>
      </w:tr>
      <w:tr w14:paraId="38207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748" w:type="dxa"/>
            <w:gridSpan w:val="6"/>
            <w:tcBorders>
              <w:top w:val="single" w:color="auto" w:sz="4" w:space="0"/>
              <w:left w:val="single" w:color="auto" w:sz="4" w:space="0"/>
              <w:bottom w:val="single" w:color="auto" w:sz="4" w:space="0"/>
              <w:right w:val="single" w:color="auto" w:sz="4" w:space="0"/>
            </w:tcBorders>
            <w:vAlign w:val="center"/>
          </w:tcPr>
          <w:p w14:paraId="104B1074">
            <w:pPr>
              <w:widowControl/>
              <w:tabs>
                <w:tab w:val="center" w:pos="4755"/>
                <w:tab w:val="right" w:pos="9070"/>
              </w:tabs>
              <w:autoSpaceDN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总报价(大写):</w:t>
            </w:r>
          </w:p>
        </w:tc>
      </w:tr>
    </w:tbl>
    <w:p w14:paraId="589281F6">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注:本表适用于：</w:t>
      </w:r>
    </w:p>
    <w:p w14:paraId="2BE9FCA8">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（1）只有1个专业工程分部分项工程量清单的单位工程发包项目的报价汇总；</w:t>
      </w:r>
    </w:p>
    <w:p w14:paraId="08AF4A6B">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（2）其余采购项目的单位工程报价汇总。</w:t>
      </w:r>
    </w:p>
    <w:p w14:paraId="4455C9CB">
      <w:pPr>
        <w:autoSpaceDN w:val="0"/>
        <w:rPr>
          <w:rFonts w:ascii="仿宋" w:hAnsi="仿宋" w:eastAsia="仿宋" w:cs="仿宋"/>
          <w:color w:val="auto"/>
          <w:sz w:val="24"/>
          <w:szCs w:val="24"/>
          <w:highlight w:val="none"/>
        </w:rPr>
      </w:pPr>
    </w:p>
    <w:p w14:paraId="4ED62C11">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磋商响应供应商（盖章）：</w:t>
      </w:r>
    </w:p>
    <w:p w14:paraId="1574DC0F">
      <w:pPr>
        <w:widowControl/>
        <w:spacing w:beforeAutospacing="1" w:afterAutospacing="1"/>
        <w:jc w:val="left"/>
        <w:rPr>
          <w:rFonts w:ascii="仿宋" w:hAnsi="仿宋" w:eastAsia="仿宋" w:cs="仿宋"/>
          <w:color w:val="auto"/>
          <w:sz w:val="24"/>
          <w:szCs w:val="24"/>
          <w:highlight w:val="none"/>
        </w:rPr>
        <w:sectPr>
          <w:pgSz w:w="11906" w:h="16838"/>
          <w:pgMar w:top="1614" w:right="1191" w:bottom="1361" w:left="1191" w:header="851" w:footer="1134" w:gutter="0"/>
          <w:cols w:space="720" w:num="1"/>
          <w:docGrid w:type="linesAndChars" w:linePitch="312" w:charSpace="0"/>
        </w:sectPr>
      </w:pPr>
    </w:p>
    <w:p w14:paraId="0B58A048">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表1-2  分部分项工程量清单及计价表(  号清单)</w:t>
      </w:r>
    </w:p>
    <w:p w14:paraId="14132C2D">
      <w:pPr>
        <w:autoSpaceDN w:val="0"/>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单位工程及专业项目名称:                                                                                 第 页共 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4"/>
        <w:gridCol w:w="1341"/>
        <w:gridCol w:w="1450"/>
        <w:gridCol w:w="1450"/>
        <w:gridCol w:w="1450"/>
        <w:gridCol w:w="1270"/>
        <w:gridCol w:w="983"/>
        <w:gridCol w:w="834"/>
        <w:gridCol w:w="1227"/>
        <w:gridCol w:w="1227"/>
        <w:gridCol w:w="1230"/>
        <w:gridCol w:w="1035"/>
      </w:tblGrid>
      <w:tr w14:paraId="1C4DB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trPr>
        <w:tc>
          <w:tcPr>
            <w:tcW w:w="821" w:type="dxa"/>
            <w:vMerge w:val="restart"/>
            <w:tcBorders>
              <w:top w:val="single" w:color="auto" w:sz="4" w:space="0"/>
              <w:left w:val="single" w:color="auto" w:sz="4" w:space="0"/>
              <w:bottom w:val="single" w:color="auto" w:sz="4" w:space="0"/>
              <w:right w:val="single" w:color="auto" w:sz="4" w:space="0"/>
            </w:tcBorders>
            <w:vAlign w:val="center"/>
          </w:tcPr>
          <w:p w14:paraId="6F36D05D">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355" w:type="dxa"/>
            <w:gridSpan w:val="2"/>
            <w:vMerge w:val="restart"/>
            <w:tcBorders>
              <w:top w:val="single" w:color="auto" w:sz="4" w:space="0"/>
              <w:left w:val="single" w:color="auto" w:sz="4" w:space="0"/>
              <w:bottom w:val="single" w:color="auto" w:sz="4" w:space="0"/>
              <w:right w:val="single" w:color="auto" w:sz="4" w:space="0"/>
            </w:tcBorders>
            <w:vAlign w:val="center"/>
          </w:tcPr>
          <w:p w14:paraId="3A0C974A">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项目编码</w:t>
            </w:r>
          </w:p>
        </w:tc>
        <w:tc>
          <w:tcPr>
            <w:tcW w:w="1450" w:type="dxa"/>
            <w:vMerge w:val="restart"/>
            <w:tcBorders>
              <w:top w:val="single" w:color="auto" w:sz="4" w:space="0"/>
              <w:left w:val="single" w:color="auto" w:sz="4" w:space="0"/>
              <w:bottom w:val="single" w:color="auto" w:sz="4" w:space="0"/>
              <w:right w:val="single" w:color="auto" w:sz="4" w:space="0"/>
            </w:tcBorders>
            <w:vAlign w:val="center"/>
          </w:tcPr>
          <w:p w14:paraId="0D7ABA86">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450" w:type="dxa"/>
            <w:vMerge w:val="restart"/>
            <w:tcBorders>
              <w:top w:val="single" w:color="auto" w:sz="4" w:space="0"/>
              <w:left w:val="single" w:color="auto" w:sz="4" w:space="0"/>
              <w:bottom w:val="single" w:color="auto" w:sz="4" w:space="0"/>
              <w:right w:val="single" w:color="auto" w:sz="4" w:space="0"/>
            </w:tcBorders>
            <w:vAlign w:val="center"/>
          </w:tcPr>
          <w:p w14:paraId="080BE3D5">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项目特征</w:t>
            </w:r>
          </w:p>
          <w:p w14:paraId="39FD7894">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描述</w:t>
            </w:r>
          </w:p>
        </w:tc>
        <w:tc>
          <w:tcPr>
            <w:tcW w:w="1450" w:type="dxa"/>
            <w:vMerge w:val="restart"/>
            <w:tcBorders>
              <w:top w:val="single" w:color="auto" w:sz="4" w:space="0"/>
              <w:left w:val="single" w:color="auto" w:sz="4" w:space="0"/>
              <w:bottom w:val="single" w:color="auto" w:sz="4" w:space="0"/>
              <w:right w:val="single" w:color="auto" w:sz="4" w:space="0"/>
            </w:tcBorders>
            <w:vAlign w:val="center"/>
          </w:tcPr>
          <w:p w14:paraId="3FFEC673">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计量单位</w:t>
            </w:r>
          </w:p>
        </w:tc>
        <w:tc>
          <w:tcPr>
            <w:tcW w:w="1270" w:type="dxa"/>
            <w:vMerge w:val="restart"/>
            <w:tcBorders>
              <w:top w:val="single" w:color="auto" w:sz="4" w:space="0"/>
              <w:left w:val="single" w:color="auto" w:sz="4" w:space="0"/>
              <w:bottom w:val="single" w:color="auto" w:sz="4" w:space="0"/>
              <w:right w:val="single" w:color="auto" w:sz="4" w:space="0"/>
            </w:tcBorders>
            <w:vAlign w:val="center"/>
          </w:tcPr>
          <w:p w14:paraId="317A79D1">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工程量</w:t>
            </w:r>
          </w:p>
        </w:tc>
        <w:tc>
          <w:tcPr>
            <w:tcW w:w="983" w:type="dxa"/>
            <w:vMerge w:val="restart"/>
            <w:tcBorders>
              <w:top w:val="single" w:color="auto" w:sz="4" w:space="0"/>
              <w:left w:val="single" w:color="auto" w:sz="4" w:space="0"/>
              <w:bottom w:val="single" w:color="auto" w:sz="4" w:space="0"/>
              <w:right w:val="single" w:color="auto" w:sz="4" w:space="0"/>
            </w:tcBorders>
            <w:vAlign w:val="center"/>
          </w:tcPr>
          <w:p w14:paraId="0CEC3CE9">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综合单价</w:t>
            </w:r>
          </w:p>
          <w:p w14:paraId="457050B7">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c>
          <w:tcPr>
            <w:tcW w:w="834" w:type="dxa"/>
            <w:vMerge w:val="restart"/>
            <w:tcBorders>
              <w:top w:val="single" w:color="auto" w:sz="4" w:space="0"/>
              <w:left w:val="single" w:color="auto" w:sz="4" w:space="0"/>
              <w:bottom w:val="single" w:color="auto" w:sz="4" w:space="0"/>
              <w:right w:val="single" w:color="auto" w:sz="4" w:space="0"/>
            </w:tcBorders>
            <w:vAlign w:val="center"/>
          </w:tcPr>
          <w:p w14:paraId="3936D67B">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合价</w:t>
            </w:r>
          </w:p>
          <w:p w14:paraId="28CF8F48">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c>
          <w:tcPr>
            <w:tcW w:w="3684" w:type="dxa"/>
            <w:gridSpan w:val="3"/>
            <w:tcBorders>
              <w:top w:val="single" w:color="auto" w:sz="4" w:space="0"/>
              <w:left w:val="single" w:color="auto" w:sz="4" w:space="0"/>
              <w:bottom w:val="single" w:color="auto" w:sz="4" w:space="0"/>
              <w:right w:val="single" w:color="auto" w:sz="4" w:space="0"/>
            </w:tcBorders>
            <w:vAlign w:val="center"/>
          </w:tcPr>
          <w:p w14:paraId="5DDA7FF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其中</w:t>
            </w:r>
          </w:p>
        </w:tc>
        <w:tc>
          <w:tcPr>
            <w:tcW w:w="1035" w:type="dxa"/>
            <w:vMerge w:val="restart"/>
            <w:tcBorders>
              <w:top w:val="single" w:color="auto" w:sz="4" w:space="0"/>
              <w:left w:val="single" w:color="auto" w:sz="4" w:space="0"/>
              <w:bottom w:val="single" w:color="auto" w:sz="4" w:space="0"/>
              <w:right w:val="single" w:color="auto" w:sz="4" w:space="0"/>
            </w:tcBorders>
            <w:vAlign w:val="center"/>
          </w:tcPr>
          <w:p w14:paraId="1472F39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79CAB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8779" w:type="dxa"/>
            <w:vMerge w:val="continue"/>
            <w:tcBorders>
              <w:top w:val="single" w:color="auto" w:sz="4" w:space="0"/>
              <w:left w:val="single" w:color="auto" w:sz="4" w:space="0"/>
              <w:bottom w:val="single" w:color="auto" w:sz="4" w:space="0"/>
              <w:right w:val="single" w:color="auto" w:sz="4" w:space="0"/>
            </w:tcBorders>
            <w:vAlign w:val="center"/>
          </w:tcPr>
          <w:p w14:paraId="7E33BFE7">
            <w:pPr>
              <w:widowControl/>
              <w:jc w:val="left"/>
              <w:rPr>
                <w:rFonts w:ascii="仿宋" w:hAnsi="仿宋" w:eastAsia="仿宋" w:cs="仿宋"/>
                <w:color w:val="auto"/>
                <w:sz w:val="24"/>
                <w:szCs w:val="24"/>
                <w:highlight w:val="none"/>
              </w:rPr>
            </w:pPr>
          </w:p>
        </w:tc>
        <w:tc>
          <w:tcPr>
            <w:tcW w:w="2696" w:type="dxa"/>
            <w:gridSpan w:val="2"/>
            <w:vMerge w:val="continue"/>
            <w:tcBorders>
              <w:top w:val="single" w:color="auto" w:sz="4" w:space="0"/>
              <w:left w:val="single" w:color="auto" w:sz="4" w:space="0"/>
              <w:bottom w:val="single" w:color="auto" w:sz="4" w:space="0"/>
              <w:right w:val="single" w:color="auto" w:sz="4" w:space="0"/>
            </w:tcBorders>
            <w:vAlign w:val="center"/>
          </w:tcPr>
          <w:p w14:paraId="4D02F0AA">
            <w:pPr>
              <w:widowControl/>
              <w:jc w:val="left"/>
              <w:rPr>
                <w:rFonts w:ascii="仿宋" w:hAnsi="仿宋" w:eastAsia="仿宋" w:cs="仿宋"/>
                <w:color w:val="auto"/>
                <w:sz w:val="24"/>
                <w:szCs w:val="24"/>
                <w:highlight w:val="none"/>
              </w:rPr>
            </w:pPr>
          </w:p>
        </w:tc>
        <w:tc>
          <w:tcPr>
            <w:tcW w:w="1450" w:type="dxa"/>
            <w:vMerge w:val="continue"/>
            <w:tcBorders>
              <w:top w:val="single" w:color="auto" w:sz="4" w:space="0"/>
              <w:left w:val="single" w:color="auto" w:sz="4" w:space="0"/>
              <w:bottom w:val="single" w:color="auto" w:sz="4" w:space="0"/>
              <w:right w:val="single" w:color="auto" w:sz="4" w:space="0"/>
            </w:tcBorders>
            <w:vAlign w:val="center"/>
          </w:tcPr>
          <w:p w14:paraId="7074E9A1">
            <w:pPr>
              <w:widowControl/>
              <w:jc w:val="left"/>
              <w:rPr>
                <w:rFonts w:ascii="仿宋" w:hAnsi="仿宋" w:eastAsia="仿宋" w:cs="仿宋"/>
                <w:color w:val="auto"/>
                <w:sz w:val="24"/>
                <w:szCs w:val="24"/>
                <w:highlight w:val="none"/>
              </w:rPr>
            </w:pPr>
          </w:p>
        </w:tc>
        <w:tc>
          <w:tcPr>
            <w:tcW w:w="1450" w:type="dxa"/>
            <w:vMerge w:val="continue"/>
            <w:tcBorders>
              <w:top w:val="single" w:color="auto" w:sz="4" w:space="0"/>
              <w:left w:val="single" w:color="auto" w:sz="4" w:space="0"/>
              <w:bottom w:val="single" w:color="auto" w:sz="4" w:space="0"/>
              <w:right w:val="single" w:color="auto" w:sz="4" w:space="0"/>
            </w:tcBorders>
            <w:vAlign w:val="center"/>
          </w:tcPr>
          <w:p w14:paraId="70F667C9">
            <w:pPr>
              <w:widowControl/>
              <w:jc w:val="left"/>
              <w:rPr>
                <w:rFonts w:ascii="仿宋" w:hAnsi="仿宋" w:eastAsia="仿宋" w:cs="仿宋"/>
                <w:color w:val="auto"/>
                <w:sz w:val="24"/>
                <w:szCs w:val="24"/>
                <w:highlight w:val="none"/>
              </w:rPr>
            </w:pPr>
          </w:p>
        </w:tc>
        <w:tc>
          <w:tcPr>
            <w:tcW w:w="1450" w:type="dxa"/>
            <w:vMerge w:val="continue"/>
            <w:tcBorders>
              <w:top w:val="single" w:color="auto" w:sz="4" w:space="0"/>
              <w:left w:val="single" w:color="auto" w:sz="4" w:space="0"/>
              <w:bottom w:val="single" w:color="auto" w:sz="4" w:space="0"/>
              <w:right w:val="single" w:color="auto" w:sz="4" w:space="0"/>
            </w:tcBorders>
            <w:vAlign w:val="center"/>
          </w:tcPr>
          <w:p w14:paraId="7A4DACB2">
            <w:pPr>
              <w:widowControl/>
              <w:jc w:val="left"/>
              <w:rPr>
                <w:rFonts w:ascii="仿宋" w:hAnsi="仿宋" w:eastAsia="仿宋" w:cs="仿宋"/>
                <w:color w:val="auto"/>
                <w:sz w:val="24"/>
                <w:szCs w:val="24"/>
                <w:highlight w:val="none"/>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14:paraId="4FF64CA4">
            <w:pPr>
              <w:widowControl/>
              <w:jc w:val="left"/>
              <w:rPr>
                <w:rFonts w:ascii="仿宋" w:hAnsi="仿宋" w:eastAsia="仿宋" w:cs="仿宋"/>
                <w:color w:val="auto"/>
                <w:sz w:val="24"/>
                <w:szCs w:val="24"/>
                <w:highlight w:val="none"/>
              </w:rPr>
            </w:pPr>
          </w:p>
        </w:tc>
        <w:tc>
          <w:tcPr>
            <w:tcW w:w="983" w:type="dxa"/>
            <w:vMerge w:val="continue"/>
            <w:tcBorders>
              <w:top w:val="single" w:color="auto" w:sz="4" w:space="0"/>
              <w:left w:val="single" w:color="auto" w:sz="4" w:space="0"/>
              <w:bottom w:val="single" w:color="auto" w:sz="4" w:space="0"/>
              <w:right w:val="single" w:color="auto" w:sz="4" w:space="0"/>
            </w:tcBorders>
            <w:vAlign w:val="center"/>
          </w:tcPr>
          <w:p w14:paraId="19496C8C">
            <w:pPr>
              <w:widowControl/>
              <w:jc w:val="left"/>
              <w:rPr>
                <w:rFonts w:ascii="仿宋" w:hAnsi="仿宋" w:eastAsia="仿宋" w:cs="仿宋"/>
                <w:color w:val="auto"/>
                <w:sz w:val="24"/>
                <w:szCs w:val="24"/>
                <w:highlight w:val="none"/>
              </w:rPr>
            </w:pPr>
          </w:p>
        </w:tc>
        <w:tc>
          <w:tcPr>
            <w:tcW w:w="834" w:type="dxa"/>
            <w:vMerge w:val="continue"/>
            <w:tcBorders>
              <w:top w:val="single" w:color="auto" w:sz="4" w:space="0"/>
              <w:left w:val="single" w:color="auto" w:sz="4" w:space="0"/>
              <w:bottom w:val="single" w:color="auto" w:sz="4" w:space="0"/>
              <w:right w:val="single" w:color="auto" w:sz="4" w:space="0"/>
            </w:tcBorders>
            <w:vAlign w:val="center"/>
          </w:tcPr>
          <w:p w14:paraId="543E137D">
            <w:pPr>
              <w:widowControl/>
              <w:jc w:val="left"/>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74AFE3B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人工费</w:t>
            </w:r>
          </w:p>
        </w:tc>
        <w:tc>
          <w:tcPr>
            <w:tcW w:w="1227" w:type="dxa"/>
            <w:tcBorders>
              <w:top w:val="single" w:color="auto" w:sz="4" w:space="0"/>
              <w:left w:val="single" w:color="auto" w:sz="4" w:space="0"/>
              <w:bottom w:val="single" w:color="auto" w:sz="4" w:space="0"/>
              <w:right w:val="single" w:color="auto" w:sz="4" w:space="0"/>
            </w:tcBorders>
            <w:vAlign w:val="center"/>
          </w:tcPr>
          <w:p w14:paraId="26A0923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机械费</w:t>
            </w:r>
          </w:p>
        </w:tc>
        <w:tc>
          <w:tcPr>
            <w:tcW w:w="1230" w:type="dxa"/>
            <w:tcBorders>
              <w:top w:val="single" w:color="auto" w:sz="4" w:space="0"/>
              <w:left w:val="single" w:color="auto" w:sz="4" w:space="0"/>
              <w:bottom w:val="single" w:color="auto" w:sz="4" w:space="0"/>
              <w:right w:val="single" w:color="auto" w:sz="4" w:space="0"/>
            </w:tcBorders>
            <w:vAlign w:val="center"/>
          </w:tcPr>
          <w:p w14:paraId="1434996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管理费</w:t>
            </w:r>
          </w:p>
        </w:tc>
        <w:tc>
          <w:tcPr>
            <w:tcW w:w="1035" w:type="dxa"/>
            <w:vMerge w:val="continue"/>
            <w:tcBorders>
              <w:top w:val="single" w:color="auto" w:sz="4" w:space="0"/>
              <w:left w:val="single" w:color="auto" w:sz="4" w:space="0"/>
              <w:bottom w:val="single" w:color="auto" w:sz="4" w:space="0"/>
              <w:right w:val="single" w:color="auto" w:sz="4" w:space="0"/>
            </w:tcBorders>
            <w:vAlign w:val="center"/>
          </w:tcPr>
          <w:p w14:paraId="75C8B8ED">
            <w:pPr>
              <w:widowControl/>
              <w:jc w:val="left"/>
              <w:rPr>
                <w:rFonts w:ascii="仿宋" w:hAnsi="仿宋" w:eastAsia="仿宋" w:cs="仿宋"/>
                <w:color w:val="auto"/>
                <w:sz w:val="24"/>
                <w:szCs w:val="24"/>
                <w:highlight w:val="none"/>
              </w:rPr>
            </w:pPr>
          </w:p>
        </w:tc>
      </w:tr>
      <w:tr w14:paraId="325F7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14:paraId="36E8956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341" w:type="dxa"/>
            <w:tcBorders>
              <w:top w:val="single" w:color="auto" w:sz="4" w:space="0"/>
              <w:left w:val="single" w:color="auto" w:sz="4" w:space="0"/>
              <w:bottom w:val="single" w:color="auto" w:sz="4" w:space="0"/>
              <w:right w:val="single" w:color="auto" w:sz="4" w:space="0"/>
            </w:tcBorders>
            <w:vAlign w:val="center"/>
          </w:tcPr>
          <w:p w14:paraId="35BD6FB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450" w:type="dxa"/>
            <w:tcBorders>
              <w:top w:val="single" w:color="auto" w:sz="4" w:space="0"/>
              <w:left w:val="single" w:color="auto" w:sz="4" w:space="0"/>
              <w:bottom w:val="single" w:color="auto" w:sz="4" w:space="0"/>
              <w:right w:val="single" w:color="auto" w:sz="4" w:space="0"/>
            </w:tcBorders>
            <w:vAlign w:val="center"/>
          </w:tcPr>
          <w:p w14:paraId="6179266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450" w:type="dxa"/>
            <w:tcBorders>
              <w:top w:val="single" w:color="auto" w:sz="4" w:space="0"/>
              <w:left w:val="single" w:color="auto" w:sz="4" w:space="0"/>
              <w:bottom w:val="single" w:color="auto" w:sz="4" w:space="0"/>
              <w:right w:val="single" w:color="auto" w:sz="4" w:space="0"/>
            </w:tcBorders>
            <w:vAlign w:val="center"/>
          </w:tcPr>
          <w:p w14:paraId="03E65F9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450" w:type="dxa"/>
            <w:tcBorders>
              <w:top w:val="single" w:color="auto" w:sz="4" w:space="0"/>
              <w:left w:val="single" w:color="auto" w:sz="4" w:space="0"/>
              <w:bottom w:val="single" w:color="auto" w:sz="4" w:space="0"/>
              <w:right w:val="single" w:color="auto" w:sz="4" w:space="0"/>
            </w:tcBorders>
            <w:vAlign w:val="center"/>
          </w:tcPr>
          <w:p w14:paraId="5C20471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270" w:type="dxa"/>
            <w:tcBorders>
              <w:top w:val="single" w:color="auto" w:sz="4" w:space="0"/>
              <w:left w:val="single" w:color="auto" w:sz="4" w:space="0"/>
              <w:bottom w:val="single" w:color="auto" w:sz="4" w:space="0"/>
              <w:right w:val="single" w:color="auto" w:sz="4" w:space="0"/>
            </w:tcBorders>
            <w:vAlign w:val="center"/>
          </w:tcPr>
          <w:p w14:paraId="001F5B4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983" w:type="dxa"/>
            <w:tcBorders>
              <w:top w:val="single" w:color="auto" w:sz="4" w:space="0"/>
              <w:left w:val="single" w:color="auto" w:sz="4" w:space="0"/>
              <w:bottom w:val="single" w:color="auto" w:sz="4" w:space="0"/>
              <w:right w:val="single" w:color="auto" w:sz="4" w:space="0"/>
            </w:tcBorders>
            <w:vAlign w:val="center"/>
          </w:tcPr>
          <w:p w14:paraId="3918B58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834" w:type="dxa"/>
            <w:tcBorders>
              <w:top w:val="single" w:color="auto" w:sz="4" w:space="0"/>
              <w:left w:val="single" w:color="auto" w:sz="4" w:space="0"/>
              <w:bottom w:val="single" w:color="auto" w:sz="4" w:space="0"/>
              <w:right w:val="single" w:color="auto" w:sz="4" w:space="0"/>
            </w:tcBorders>
            <w:vAlign w:val="center"/>
          </w:tcPr>
          <w:p w14:paraId="2B10BEA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13D13A1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041888D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6F00764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35" w:type="dxa"/>
            <w:tcBorders>
              <w:top w:val="single" w:color="auto" w:sz="4" w:space="0"/>
              <w:left w:val="single" w:color="auto" w:sz="4" w:space="0"/>
              <w:bottom w:val="single" w:color="auto" w:sz="4" w:space="0"/>
              <w:right w:val="single" w:color="auto" w:sz="4" w:space="0"/>
            </w:tcBorders>
            <w:vAlign w:val="center"/>
          </w:tcPr>
          <w:p w14:paraId="4A8C449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r>
      <w:tr w14:paraId="39A6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14:paraId="325164F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41" w:type="dxa"/>
            <w:tcBorders>
              <w:top w:val="single" w:color="auto" w:sz="4" w:space="0"/>
              <w:left w:val="single" w:color="auto" w:sz="4" w:space="0"/>
              <w:bottom w:val="single" w:color="auto" w:sz="4" w:space="0"/>
              <w:right w:val="single" w:color="auto" w:sz="4" w:space="0"/>
            </w:tcBorders>
            <w:vAlign w:val="center"/>
          </w:tcPr>
          <w:p w14:paraId="54221C5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5911A8E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58727D5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063B5EF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70" w:type="dxa"/>
            <w:tcBorders>
              <w:top w:val="single" w:color="auto" w:sz="4" w:space="0"/>
              <w:left w:val="single" w:color="auto" w:sz="4" w:space="0"/>
              <w:bottom w:val="single" w:color="auto" w:sz="4" w:space="0"/>
              <w:right w:val="single" w:color="auto" w:sz="4" w:space="0"/>
            </w:tcBorders>
            <w:vAlign w:val="center"/>
          </w:tcPr>
          <w:p w14:paraId="3677F8F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83" w:type="dxa"/>
            <w:tcBorders>
              <w:top w:val="single" w:color="auto" w:sz="4" w:space="0"/>
              <w:left w:val="single" w:color="auto" w:sz="4" w:space="0"/>
              <w:bottom w:val="single" w:color="auto" w:sz="4" w:space="0"/>
              <w:right w:val="single" w:color="auto" w:sz="4" w:space="0"/>
            </w:tcBorders>
            <w:vAlign w:val="center"/>
          </w:tcPr>
          <w:p w14:paraId="5917236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834" w:type="dxa"/>
            <w:tcBorders>
              <w:top w:val="single" w:color="auto" w:sz="4" w:space="0"/>
              <w:left w:val="single" w:color="auto" w:sz="4" w:space="0"/>
              <w:bottom w:val="single" w:color="auto" w:sz="4" w:space="0"/>
              <w:right w:val="single" w:color="auto" w:sz="4" w:space="0"/>
            </w:tcBorders>
            <w:vAlign w:val="center"/>
          </w:tcPr>
          <w:p w14:paraId="3F4CE9F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056A7B3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47C2859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30" w:type="dxa"/>
            <w:tcBorders>
              <w:top w:val="single" w:color="auto" w:sz="4" w:space="0"/>
              <w:left w:val="single" w:color="auto" w:sz="4" w:space="0"/>
              <w:bottom w:val="single" w:color="auto" w:sz="4" w:space="0"/>
              <w:right w:val="single" w:color="auto" w:sz="4" w:space="0"/>
            </w:tcBorders>
          </w:tcPr>
          <w:p w14:paraId="1D386F9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35" w:type="dxa"/>
            <w:tcBorders>
              <w:top w:val="single" w:color="auto" w:sz="4" w:space="0"/>
              <w:left w:val="single" w:color="auto" w:sz="4" w:space="0"/>
              <w:bottom w:val="single" w:color="auto" w:sz="4" w:space="0"/>
              <w:right w:val="single" w:color="auto" w:sz="4" w:space="0"/>
            </w:tcBorders>
            <w:vAlign w:val="center"/>
          </w:tcPr>
          <w:p w14:paraId="79FF2C6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6A140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14:paraId="6ECE1F3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41" w:type="dxa"/>
            <w:tcBorders>
              <w:top w:val="single" w:color="auto" w:sz="4" w:space="0"/>
              <w:left w:val="single" w:color="auto" w:sz="4" w:space="0"/>
              <w:bottom w:val="single" w:color="auto" w:sz="4" w:space="0"/>
              <w:right w:val="single" w:color="auto" w:sz="4" w:space="0"/>
            </w:tcBorders>
            <w:vAlign w:val="center"/>
          </w:tcPr>
          <w:p w14:paraId="1E3F640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5FF535F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0FE7BFF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08176FE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70" w:type="dxa"/>
            <w:tcBorders>
              <w:top w:val="single" w:color="auto" w:sz="4" w:space="0"/>
              <w:left w:val="single" w:color="auto" w:sz="4" w:space="0"/>
              <w:bottom w:val="single" w:color="auto" w:sz="4" w:space="0"/>
              <w:right w:val="single" w:color="auto" w:sz="4" w:space="0"/>
            </w:tcBorders>
            <w:vAlign w:val="center"/>
          </w:tcPr>
          <w:p w14:paraId="6EEE198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83" w:type="dxa"/>
            <w:tcBorders>
              <w:top w:val="single" w:color="auto" w:sz="4" w:space="0"/>
              <w:left w:val="single" w:color="auto" w:sz="4" w:space="0"/>
              <w:bottom w:val="single" w:color="auto" w:sz="4" w:space="0"/>
              <w:right w:val="single" w:color="auto" w:sz="4" w:space="0"/>
            </w:tcBorders>
            <w:vAlign w:val="center"/>
          </w:tcPr>
          <w:p w14:paraId="72F6E6D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834" w:type="dxa"/>
            <w:tcBorders>
              <w:top w:val="single" w:color="auto" w:sz="4" w:space="0"/>
              <w:left w:val="single" w:color="auto" w:sz="4" w:space="0"/>
              <w:bottom w:val="single" w:color="auto" w:sz="4" w:space="0"/>
              <w:right w:val="single" w:color="auto" w:sz="4" w:space="0"/>
            </w:tcBorders>
            <w:vAlign w:val="center"/>
          </w:tcPr>
          <w:p w14:paraId="2E52050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0CE0781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1582750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30" w:type="dxa"/>
            <w:tcBorders>
              <w:top w:val="single" w:color="auto" w:sz="4" w:space="0"/>
              <w:left w:val="single" w:color="auto" w:sz="4" w:space="0"/>
              <w:bottom w:val="single" w:color="auto" w:sz="4" w:space="0"/>
              <w:right w:val="single" w:color="auto" w:sz="4" w:space="0"/>
            </w:tcBorders>
          </w:tcPr>
          <w:p w14:paraId="2851594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35" w:type="dxa"/>
            <w:tcBorders>
              <w:top w:val="single" w:color="auto" w:sz="4" w:space="0"/>
              <w:left w:val="single" w:color="auto" w:sz="4" w:space="0"/>
              <w:bottom w:val="single" w:color="auto" w:sz="4" w:space="0"/>
              <w:right w:val="single" w:color="auto" w:sz="4" w:space="0"/>
            </w:tcBorders>
            <w:vAlign w:val="center"/>
          </w:tcPr>
          <w:p w14:paraId="324FD0A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1CA4E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14:paraId="7D8D7B2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41" w:type="dxa"/>
            <w:tcBorders>
              <w:top w:val="single" w:color="auto" w:sz="4" w:space="0"/>
              <w:left w:val="single" w:color="auto" w:sz="4" w:space="0"/>
              <w:bottom w:val="single" w:color="auto" w:sz="4" w:space="0"/>
              <w:right w:val="single" w:color="auto" w:sz="4" w:space="0"/>
            </w:tcBorders>
            <w:vAlign w:val="center"/>
          </w:tcPr>
          <w:p w14:paraId="184B79D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7F525F4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1228893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53A4E4B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70" w:type="dxa"/>
            <w:tcBorders>
              <w:top w:val="single" w:color="auto" w:sz="4" w:space="0"/>
              <w:left w:val="single" w:color="auto" w:sz="4" w:space="0"/>
              <w:bottom w:val="single" w:color="auto" w:sz="4" w:space="0"/>
              <w:right w:val="single" w:color="auto" w:sz="4" w:space="0"/>
            </w:tcBorders>
            <w:vAlign w:val="center"/>
          </w:tcPr>
          <w:p w14:paraId="11E7A17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83" w:type="dxa"/>
            <w:tcBorders>
              <w:top w:val="single" w:color="auto" w:sz="4" w:space="0"/>
              <w:left w:val="single" w:color="auto" w:sz="4" w:space="0"/>
              <w:bottom w:val="single" w:color="auto" w:sz="4" w:space="0"/>
              <w:right w:val="single" w:color="auto" w:sz="4" w:space="0"/>
            </w:tcBorders>
            <w:vAlign w:val="center"/>
          </w:tcPr>
          <w:p w14:paraId="65AD3D7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834" w:type="dxa"/>
            <w:tcBorders>
              <w:top w:val="single" w:color="auto" w:sz="4" w:space="0"/>
              <w:left w:val="single" w:color="auto" w:sz="4" w:space="0"/>
              <w:bottom w:val="single" w:color="auto" w:sz="4" w:space="0"/>
              <w:right w:val="single" w:color="auto" w:sz="4" w:space="0"/>
            </w:tcBorders>
            <w:vAlign w:val="center"/>
          </w:tcPr>
          <w:p w14:paraId="111111A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7E618C1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66C2FAF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30" w:type="dxa"/>
            <w:tcBorders>
              <w:top w:val="single" w:color="auto" w:sz="4" w:space="0"/>
              <w:left w:val="single" w:color="auto" w:sz="4" w:space="0"/>
              <w:bottom w:val="single" w:color="auto" w:sz="4" w:space="0"/>
              <w:right w:val="single" w:color="auto" w:sz="4" w:space="0"/>
            </w:tcBorders>
          </w:tcPr>
          <w:p w14:paraId="3A599A0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35" w:type="dxa"/>
            <w:tcBorders>
              <w:top w:val="single" w:color="auto" w:sz="4" w:space="0"/>
              <w:left w:val="single" w:color="auto" w:sz="4" w:space="0"/>
              <w:bottom w:val="single" w:color="auto" w:sz="4" w:space="0"/>
              <w:right w:val="single" w:color="auto" w:sz="4" w:space="0"/>
            </w:tcBorders>
            <w:vAlign w:val="center"/>
          </w:tcPr>
          <w:p w14:paraId="298A952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0D82F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5" w:type="dxa"/>
            <w:gridSpan w:val="2"/>
            <w:tcBorders>
              <w:top w:val="single" w:color="auto" w:sz="4" w:space="0"/>
              <w:left w:val="single" w:color="auto" w:sz="4" w:space="0"/>
              <w:bottom w:val="single" w:color="auto" w:sz="4" w:space="0"/>
              <w:right w:val="single" w:color="auto" w:sz="4" w:space="0"/>
            </w:tcBorders>
            <w:vAlign w:val="center"/>
          </w:tcPr>
          <w:p w14:paraId="5F9FC02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41" w:type="dxa"/>
            <w:tcBorders>
              <w:top w:val="single" w:color="auto" w:sz="4" w:space="0"/>
              <w:left w:val="single" w:color="auto" w:sz="4" w:space="0"/>
              <w:bottom w:val="single" w:color="auto" w:sz="4" w:space="0"/>
              <w:right w:val="single" w:color="auto" w:sz="4" w:space="0"/>
            </w:tcBorders>
            <w:vAlign w:val="center"/>
          </w:tcPr>
          <w:p w14:paraId="37DF6B7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375F9AD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5960B7B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50" w:type="dxa"/>
            <w:tcBorders>
              <w:top w:val="single" w:color="auto" w:sz="4" w:space="0"/>
              <w:left w:val="single" w:color="auto" w:sz="4" w:space="0"/>
              <w:bottom w:val="single" w:color="auto" w:sz="4" w:space="0"/>
              <w:right w:val="single" w:color="auto" w:sz="4" w:space="0"/>
            </w:tcBorders>
            <w:vAlign w:val="center"/>
          </w:tcPr>
          <w:p w14:paraId="78F5DFE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70" w:type="dxa"/>
            <w:tcBorders>
              <w:top w:val="single" w:color="auto" w:sz="4" w:space="0"/>
              <w:left w:val="single" w:color="auto" w:sz="4" w:space="0"/>
              <w:bottom w:val="single" w:color="auto" w:sz="4" w:space="0"/>
              <w:right w:val="single" w:color="auto" w:sz="4" w:space="0"/>
            </w:tcBorders>
            <w:vAlign w:val="center"/>
          </w:tcPr>
          <w:p w14:paraId="0141F21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83" w:type="dxa"/>
            <w:tcBorders>
              <w:top w:val="single" w:color="auto" w:sz="4" w:space="0"/>
              <w:left w:val="single" w:color="auto" w:sz="4" w:space="0"/>
              <w:bottom w:val="single" w:color="auto" w:sz="4" w:space="0"/>
              <w:right w:val="single" w:color="auto" w:sz="4" w:space="0"/>
            </w:tcBorders>
            <w:vAlign w:val="center"/>
          </w:tcPr>
          <w:p w14:paraId="6E972BF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834" w:type="dxa"/>
            <w:tcBorders>
              <w:top w:val="single" w:color="auto" w:sz="4" w:space="0"/>
              <w:left w:val="single" w:color="auto" w:sz="4" w:space="0"/>
              <w:bottom w:val="single" w:color="auto" w:sz="4" w:space="0"/>
              <w:right w:val="single" w:color="auto" w:sz="4" w:space="0"/>
            </w:tcBorders>
            <w:vAlign w:val="center"/>
          </w:tcPr>
          <w:p w14:paraId="1660084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622FF1E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3AC3B00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30" w:type="dxa"/>
            <w:tcBorders>
              <w:top w:val="single" w:color="auto" w:sz="4" w:space="0"/>
              <w:left w:val="single" w:color="auto" w:sz="4" w:space="0"/>
              <w:bottom w:val="single" w:color="auto" w:sz="4" w:space="0"/>
              <w:right w:val="single" w:color="auto" w:sz="4" w:space="0"/>
            </w:tcBorders>
          </w:tcPr>
          <w:p w14:paraId="64A9FA4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35" w:type="dxa"/>
            <w:tcBorders>
              <w:top w:val="single" w:color="auto" w:sz="4" w:space="0"/>
              <w:left w:val="single" w:color="auto" w:sz="4" w:space="0"/>
              <w:bottom w:val="single" w:color="auto" w:sz="4" w:space="0"/>
              <w:right w:val="single" w:color="auto" w:sz="4" w:space="0"/>
            </w:tcBorders>
            <w:vAlign w:val="center"/>
          </w:tcPr>
          <w:p w14:paraId="179BE34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41151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79" w:type="dxa"/>
            <w:gridSpan w:val="8"/>
            <w:tcBorders>
              <w:top w:val="single" w:color="auto" w:sz="4" w:space="0"/>
              <w:left w:val="single" w:color="auto" w:sz="4" w:space="0"/>
              <w:bottom w:val="single" w:color="auto" w:sz="4" w:space="0"/>
              <w:right w:val="single" w:color="auto" w:sz="4" w:space="0"/>
            </w:tcBorders>
            <w:vAlign w:val="center"/>
          </w:tcPr>
          <w:p w14:paraId="22D00A9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    计</w:t>
            </w:r>
          </w:p>
        </w:tc>
        <w:tc>
          <w:tcPr>
            <w:tcW w:w="834" w:type="dxa"/>
            <w:tcBorders>
              <w:top w:val="single" w:color="auto" w:sz="4" w:space="0"/>
              <w:left w:val="single" w:color="auto" w:sz="4" w:space="0"/>
              <w:bottom w:val="single" w:color="auto" w:sz="4" w:space="0"/>
              <w:right w:val="single" w:color="auto" w:sz="4" w:space="0"/>
            </w:tcBorders>
            <w:vAlign w:val="center"/>
          </w:tcPr>
          <w:p w14:paraId="4C0E2FB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5E22458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27" w:type="dxa"/>
            <w:tcBorders>
              <w:top w:val="single" w:color="auto" w:sz="4" w:space="0"/>
              <w:left w:val="single" w:color="auto" w:sz="4" w:space="0"/>
              <w:bottom w:val="single" w:color="auto" w:sz="4" w:space="0"/>
              <w:right w:val="single" w:color="auto" w:sz="4" w:space="0"/>
            </w:tcBorders>
            <w:vAlign w:val="center"/>
          </w:tcPr>
          <w:p w14:paraId="0D86909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10C9244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35" w:type="dxa"/>
            <w:tcBorders>
              <w:top w:val="single" w:color="auto" w:sz="4" w:space="0"/>
              <w:left w:val="single" w:color="auto" w:sz="4" w:space="0"/>
              <w:bottom w:val="single" w:color="auto" w:sz="4" w:space="0"/>
              <w:right w:val="single" w:color="auto" w:sz="4" w:space="0"/>
            </w:tcBorders>
          </w:tcPr>
          <w:p w14:paraId="190B159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bl>
    <w:p w14:paraId="6E0CECB9">
      <w:pPr>
        <w:autoSpaceDN w:val="0"/>
        <w:rPr>
          <w:rFonts w:ascii="仿宋" w:hAnsi="仿宋" w:eastAsia="仿宋" w:cs="仿宋"/>
          <w:color w:val="auto"/>
          <w:sz w:val="24"/>
          <w:szCs w:val="24"/>
          <w:highlight w:val="none"/>
        </w:rPr>
      </w:pPr>
    </w:p>
    <w:p w14:paraId="74A8416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注：表中（1）～〔6）栏由采购人提供内容，（7）栏由采购人按需提出要求，如采购人需要磋商响应供应商提供清单项目综合单价的计算分析和工料机分析，请在（7）备注中明确。</w:t>
      </w:r>
    </w:p>
    <w:p w14:paraId="1AFED2D2">
      <w:pPr>
        <w:widowControl/>
        <w:spacing w:beforeAutospacing="1" w:afterAutospacing="1"/>
        <w:jc w:val="left"/>
        <w:rPr>
          <w:rFonts w:ascii="仿宋" w:hAnsi="仿宋" w:eastAsia="仿宋" w:cs="仿宋"/>
          <w:color w:val="auto"/>
          <w:sz w:val="24"/>
          <w:szCs w:val="24"/>
          <w:highlight w:val="none"/>
        </w:rPr>
        <w:sectPr>
          <w:pgSz w:w="16838" w:h="11906" w:orient="landscape"/>
          <w:pgMar w:top="1191" w:right="1361" w:bottom="1191" w:left="1814" w:header="851" w:footer="1247" w:gutter="0"/>
          <w:cols w:space="720" w:num="1"/>
          <w:docGrid w:type="lines" w:linePitch="312" w:charSpace="0"/>
        </w:sectPr>
      </w:pPr>
    </w:p>
    <w:p w14:paraId="5D52342D">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表1-3-A  组织措施项目（整体）清单及计价表</w:t>
      </w:r>
    </w:p>
    <w:p w14:paraId="28AB69A7">
      <w:pPr>
        <w:autoSpaceDN w:val="0"/>
        <w:rPr>
          <w:rFonts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项目名称:                                                            第 页共 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3086"/>
        <w:gridCol w:w="1103"/>
        <w:gridCol w:w="1103"/>
        <w:gridCol w:w="1471"/>
        <w:gridCol w:w="2020"/>
      </w:tblGrid>
      <w:tr w14:paraId="6AED2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957" w:type="dxa"/>
            <w:tcBorders>
              <w:top w:val="single" w:color="auto" w:sz="4" w:space="0"/>
              <w:left w:val="single" w:color="auto" w:sz="4" w:space="0"/>
              <w:bottom w:val="single" w:color="auto" w:sz="4" w:space="0"/>
              <w:right w:val="single" w:color="auto" w:sz="4" w:space="0"/>
            </w:tcBorders>
            <w:vAlign w:val="center"/>
          </w:tcPr>
          <w:p w14:paraId="35ACA9BD">
            <w:pPr>
              <w:widowControl/>
              <w:tabs>
                <w:tab w:val="center" w:pos="4755"/>
                <w:tab w:val="right" w:pos="9070"/>
              </w:tabs>
              <w:autoSpaceDN w:val="0"/>
              <w:spacing w:before="100" w:beforeAutospacing="1" w:after="100" w:afterAutospacing="1" w:line="3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86" w:type="dxa"/>
            <w:tcBorders>
              <w:top w:val="single" w:color="auto" w:sz="4" w:space="0"/>
              <w:left w:val="single" w:color="auto" w:sz="4" w:space="0"/>
              <w:bottom w:val="single" w:color="auto" w:sz="4" w:space="0"/>
              <w:right w:val="single" w:color="auto" w:sz="4" w:space="0"/>
            </w:tcBorders>
            <w:vAlign w:val="center"/>
          </w:tcPr>
          <w:p w14:paraId="5F80288A">
            <w:pPr>
              <w:widowControl/>
              <w:tabs>
                <w:tab w:val="center" w:pos="4755"/>
                <w:tab w:val="right" w:pos="9070"/>
              </w:tabs>
              <w:autoSpaceDN w:val="0"/>
              <w:spacing w:before="100" w:beforeAutospacing="1" w:after="100" w:afterAutospacing="1" w:line="3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  目  名  称</w:t>
            </w:r>
          </w:p>
        </w:tc>
        <w:tc>
          <w:tcPr>
            <w:tcW w:w="1103" w:type="dxa"/>
            <w:tcBorders>
              <w:top w:val="single" w:color="auto" w:sz="4" w:space="0"/>
              <w:left w:val="single" w:color="auto" w:sz="4" w:space="0"/>
              <w:bottom w:val="single" w:color="auto" w:sz="4" w:space="0"/>
              <w:right w:val="single" w:color="auto" w:sz="4" w:space="0"/>
            </w:tcBorders>
            <w:vAlign w:val="center"/>
          </w:tcPr>
          <w:p w14:paraId="0FBD8D96">
            <w:pPr>
              <w:widowControl/>
              <w:tabs>
                <w:tab w:val="center" w:pos="4755"/>
                <w:tab w:val="right" w:pos="9070"/>
              </w:tabs>
              <w:autoSpaceDN w:val="0"/>
              <w:spacing w:before="100" w:beforeAutospacing="1" w:after="100" w:afterAutospacing="1" w:line="3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103" w:type="dxa"/>
            <w:tcBorders>
              <w:top w:val="single" w:color="auto" w:sz="4" w:space="0"/>
              <w:left w:val="single" w:color="auto" w:sz="4" w:space="0"/>
              <w:bottom w:val="single" w:color="auto" w:sz="4" w:space="0"/>
              <w:right w:val="single" w:color="auto" w:sz="4" w:space="0"/>
            </w:tcBorders>
            <w:vAlign w:val="center"/>
          </w:tcPr>
          <w:p w14:paraId="572AB48E">
            <w:pPr>
              <w:widowControl/>
              <w:tabs>
                <w:tab w:val="center" w:pos="4755"/>
                <w:tab w:val="right" w:pos="9070"/>
              </w:tabs>
              <w:autoSpaceDN w:val="0"/>
              <w:spacing w:before="100" w:beforeAutospacing="1" w:after="100" w:afterAutospacing="1" w:line="3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471" w:type="dxa"/>
            <w:tcBorders>
              <w:top w:val="single" w:color="auto" w:sz="4" w:space="0"/>
              <w:left w:val="single" w:color="auto" w:sz="4" w:space="0"/>
              <w:bottom w:val="single" w:color="auto" w:sz="4" w:space="0"/>
              <w:right w:val="single" w:color="auto" w:sz="4" w:space="0"/>
            </w:tcBorders>
            <w:vAlign w:val="center"/>
          </w:tcPr>
          <w:p w14:paraId="4F64D55A">
            <w:pPr>
              <w:widowControl/>
              <w:tabs>
                <w:tab w:val="center" w:pos="4755"/>
                <w:tab w:val="right" w:pos="9070"/>
              </w:tabs>
              <w:autoSpaceDN w:val="0"/>
              <w:spacing w:before="100" w:beforeAutospacing="1" w:after="100" w:afterAutospacing="1" w:line="3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金  额(元)</w:t>
            </w:r>
          </w:p>
        </w:tc>
        <w:tc>
          <w:tcPr>
            <w:tcW w:w="2020" w:type="dxa"/>
            <w:tcBorders>
              <w:top w:val="single" w:color="auto" w:sz="4" w:space="0"/>
              <w:left w:val="single" w:color="auto" w:sz="4" w:space="0"/>
              <w:bottom w:val="single" w:color="auto" w:sz="4" w:space="0"/>
              <w:right w:val="single" w:color="auto" w:sz="4" w:space="0"/>
            </w:tcBorders>
            <w:vAlign w:val="center"/>
          </w:tcPr>
          <w:p w14:paraId="38B757F9">
            <w:pPr>
              <w:widowControl/>
              <w:tabs>
                <w:tab w:val="center" w:pos="4755"/>
                <w:tab w:val="right" w:pos="9070"/>
              </w:tabs>
              <w:autoSpaceDN w:val="0"/>
              <w:spacing w:before="100" w:beforeAutospacing="1" w:after="100" w:afterAutospacing="1" w:line="3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21F6D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1" w:hRule="atLeast"/>
        </w:trPr>
        <w:tc>
          <w:tcPr>
            <w:tcW w:w="957" w:type="dxa"/>
            <w:tcBorders>
              <w:top w:val="single" w:color="auto" w:sz="4" w:space="0"/>
              <w:left w:val="single" w:color="auto" w:sz="4" w:space="0"/>
              <w:bottom w:val="single" w:color="auto" w:sz="4" w:space="0"/>
              <w:right w:val="single" w:color="auto" w:sz="4" w:space="0"/>
            </w:tcBorders>
          </w:tcPr>
          <w:p w14:paraId="65CB686A">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p w14:paraId="6D93A76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p w14:paraId="0F54CA04">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二</w:t>
            </w:r>
          </w:p>
          <w:p w14:paraId="36FCD856">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1</w:t>
            </w:r>
          </w:p>
          <w:p w14:paraId="0033FE95">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2</w:t>
            </w:r>
          </w:p>
          <w:p w14:paraId="2B9B52AC">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3</w:t>
            </w:r>
          </w:p>
          <w:p w14:paraId="6579CCE5">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4</w:t>
            </w:r>
          </w:p>
        </w:tc>
        <w:tc>
          <w:tcPr>
            <w:tcW w:w="3086" w:type="dxa"/>
            <w:tcBorders>
              <w:top w:val="single" w:color="auto" w:sz="4" w:space="0"/>
              <w:left w:val="single" w:color="auto" w:sz="4" w:space="0"/>
              <w:bottom w:val="single" w:color="auto" w:sz="4" w:space="0"/>
              <w:right w:val="single" w:color="auto" w:sz="4" w:space="0"/>
            </w:tcBorders>
          </w:tcPr>
          <w:p w14:paraId="4E30FEC9">
            <w:pPr>
              <w:widowControl/>
              <w:tabs>
                <w:tab w:val="center" w:pos="4755"/>
                <w:tab w:val="right" w:pos="9070"/>
              </w:tabs>
              <w:autoSpaceDN w:val="0"/>
              <w:adjustRightInd w:val="0"/>
              <w:spacing w:before="100" w:beforeAutospacing="1" w:after="100" w:afterAutospacing="1"/>
              <w:jc w:val="center"/>
              <w:rPr>
                <w:rFonts w:ascii="仿宋" w:hAnsi="仿宋" w:eastAsia="仿宋" w:cs="仿宋"/>
                <w:color w:val="auto"/>
                <w:spacing w:val="-16"/>
                <w:sz w:val="24"/>
                <w:szCs w:val="24"/>
                <w:highlight w:val="none"/>
              </w:rPr>
            </w:pPr>
          </w:p>
          <w:p w14:paraId="655DC472">
            <w:pPr>
              <w:widowControl/>
              <w:tabs>
                <w:tab w:val="center" w:pos="4755"/>
                <w:tab w:val="right" w:pos="9070"/>
              </w:tabs>
              <w:autoSpaceDN w:val="0"/>
              <w:adjustRightInd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安全文明施工措施项目</w:t>
            </w:r>
          </w:p>
          <w:p w14:paraId="3A56704B">
            <w:pPr>
              <w:widowControl/>
              <w:tabs>
                <w:tab w:val="center" w:pos="4755"/>
                <w:tab w:val="right" w:pos="9070"/>
              </w:tabs>
              <w:autoSpaceDN w:val="0"/>
              <w:adjustRightInd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其他组织措施项目</w:t>
            </w:r>
          </w:p>
          <w:p w14:paraId="523471E2">
            <w:pPr>
              <w:widowControl/>
              <w:tabs>
                <w:tab w:val="center" w:pos="4755"/>
                <w:tab w:val="right" w:pos="9070"/>
              </w:tabs>
              <w:autoSpaceDN w:val="0"/>
              <w:adjustRightInd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提前竣工增加费</w:t>
            </w:r>
          </w:p>
          <w:p w14:paraId="5F5F8666">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二次搬运费</w:t>
            </w:r>
          </w:p>
          <w:p w14:paraId="4C5A75F0">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冬雨季施工增加费</w:t>
            </w:r>
          </w:p>
          <w:p w14:paraId="42E8319C">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行车、行人干扰增加费</w:t>
            </w:r>
          </w:p>
        </w:tc>
        <w:tc>
          <w:tcPr>
            <w:tcW w:w="1103" w:type="dxa"/>
            <w:tcBorders>
              <w:top w:val="single" w:color="auto" w:sz="4" w:space="0"/>
              <w:left w:val="single" w:color="auto" w:sz="4" w:space="0"/>
              <w:bottom w:val="single" w:color="auto" w:sz="4" w:space="0"/>
              <w:right w:val="single" w:color="auto" w:sz="4" w:space="0"/>
            </w:tcBorders>
          </w:tcPr>
          <w:p w14:paraId="081C33A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103" w:type="dxa"/>
            <w:tcBorders>
              <w:top w:val="single" w:color="auto" w:sz="4" w:space="0"/>
              <w:left w:val="single" w:color="auto" w:sz="4" w:space="0"/>
              <w:bottom w:val="single" w:color="auto" w:sz="4" w:space="0"/>
              <w:right w:val="single" w:color="auto" w:sz="4" w:space="0"/>
            </w:tcBorders>
          </w:tcPr>
          <w:p w14:paraId="004A09E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471" w:type="dxa"/>
            <w:tcBorders>
              <w:top w:val="single" w:color="auto" w:sz="4" w:space="0"/>
              <w:left w:val="single" w:color="auto" w:sz="4" w:space="0"/>
              <w:bottom w:val="single" w:color="auto" w:sz="4" w:space="0"/>
              <w:right w:val="single" w:color="auto" w:sz="4" w:space="0"/>
            </w:tcBorders>
            <w:vAlign w:val="center"/>
          </w:tcPr>
          <w:p w14:paraId="1E8B41C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2020" w:type="dxa"/>
            <w:tcBorders>
              <w:top w:val="single" w:color="auto" w:sz="4" w:space="0"/>
              <w:left w:val="single" w:color="auto" w:sz="4" w:space="0"/>
              <w:bottom w:val="single" w:color="auto" w:sz="4" w:space="0"/>
              <w:right w:val="single" w:color="auto" w:sz="4" w:space="0"/>
            </w:tcBorders>
          </w:tcPr>
          <w:p w14:paraId="014D412D">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p w14:paraId="1F254C0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提供分析清单（表1-3-A-1）</w:t>
            </w:r>
          </w:p>
          <w:p w14:paraId="59C14C7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61DFE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6249" w:type="dxa"/>
            <w:gridSpan w:val="4"/>
            <w:tcBorders>
              <w:top w:val="single" w:color="auto" w:sz="4" w:space="0"/>
              <w:left w:val="single" w:color="auto" w:sz="4" w:space="0"/>
              <w:bottom w:val="single" w:color="auto" w:sz="4" w:space="0"/>
              <w:right w:val="single" w:color="auto" w:sz="4" w:space="0"/>
            </w:tcBorders>
            <w:vAlign w:val="center"/>
          </w:tcPr>
          <w:p w14:paraId="171B4DC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471" w:type="dxa"/>
            <w:tcBorders>
              <w:top w:val="single" w:color="auto" w:sz="4" w:space="0"/>
              <w:left w:val="single" w:color="auto" w:sz="4" w:space="0"/>
              <w:bottom w:val="single" w:color="auto" w:sz="4" w:space="0"/>
              <w:right w:val="single" w:color="auto" w:sz="4" w:space="0"/>
            </w:tcBorders>
          </w:tcPr>
          <w:p w14:paraId="010440D9">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tc>
        <w:tc>
          <w:tcPr>
            <w:tcW w:w="2020" w:type="dxa"/>
            <w:tcBorders>
              <w:top w:val="single" w:color="auto" w:sz="4" w:space="0"/>
              <w:left w:val="single" w:color="auto" w:sz="4" w:space="0"/>
              <w:bottom w:val="single" w:color="auto" w:sz="4" w:space="0"/>
              <w:right w:val="single" w:color="auto" w:sz="4" w:space="0"/>
            </w:tcBorders>
          </w:tcPr>
          <w:p w14:paraId="6CD8D4B9">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tc>
      </w:tr>
    </w:tbl>
    <w:p w14:paraId="664800CB">
      <w:pPr>
        <w:autoSpaceDN w:val="0"/>
        <w:rPr>
          <w:rFonts w:ascii="仿宋" w:hAnsi="仿宋" w:eastAsia="仿宋" w:cs="Times New Roman"/>
          <w:color w:val="auto"/>
          <w:sz w:val="22"/>
          <w:highlight w:val="none"/>
        </w:rPr>
      </w:pPr>
    </w:p>
    <w:p w14:paraId="27D7D3B8">
      <w:pPr>
        <w:widowControl/>
        <w:tabs>
          <w:tab w:val="center" w:pos="4755"/>
          <w:tab w:val="right" w:pos="9070"/>
        </w:tabs>
        <w:autoSpaceDN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注：1.表中列项供参考，（1）、（2）栏由采购人提供，供应商可按工程实际作补充。</w:t>
      </w:r>
    </w:p>
    <w:p w14:paraId="38188092">
      <w:pPr>
        <w:widowControl/>
        <w:tabs>
          <w:tab w:val="center" w:pos="4755"/>
          <w:tab w:val="right" w:pos="9070"/>
        </w:tabs>
        <w:autoSpaceDN w:val="0"/>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措施项目应分整体措施项目和专业工程措施项目，安全文明施工措施项目（包括环境保护、文明施工、安全施工、临时设施）以及工程定位复测费应按采购项目整体报价，其他组织措施项目由供应商根据工程实际自行决定按整体项目还是按专业工程清单报价（专业工程组织措施项目清单见表1-3-B）。</w:t>
      </w:r>
    </w:p>
    <w:p w14:paraId="6E99B624">
      <w:pPr>
        <w:widowControl/>
        <w:tabs>
          <w:tab w:val="center" w:pos="4755"/>
          <w:tab w:val="right" w:pos="9070"/>
        </w:tabs>
        <w:autoSpaceDN w:val="0"/>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 专业工程组织措施项目清单表1-3-B中已报价的组织措施费不得与整体组织措施项目清单表1-3-A中的其他组织措施项目重复报价。</w:t>
      </w:r>
    </w:p>
    <w:p w14:paraId="65E04CB8">
      <w:pPr>
        <w:keepNext/>
        <w:keepLines/>
        <w:autoSpaceDN w:val="0"/>
        <w:spacing w:before="280" w:after="290" w:line="374" w:lineRule="auto"/>
        <w:jc w:val="center"/>
        <w:outlineLvl w:val="3"/>
        <w:rPr>
          <w:rFonts w:ascii="仿宋" w:hAnsi="仿宋" w:eastAsia="仿宋" w:cs="Times New Roman"/>
          <w:bCs/>
          <w:color w:val="auto"/>
          <w:kern w:val="0"/>
          <w:sz w:val="22"/>
          <w:highlight w:val="none"/>
        </w:rPr>
      </w:pPr>
      <w:r>
        <w:rPr>
          <w:rFonts w:hint="eastAsia" w:ascii="仿宋" w:hAnsi="仿宋" w:eastAsia="仿宋" w:cs="Times New Roman"/>
          <w:color w:val="auto"/>
          <w:kern w:val="0"/>
          <w:sz w:val="22"/>
          <w:highlight w:val="none"/>
        </w:rPr>
        <w:br w:type="page"/>
      </w:r>
      <w:r>
        <w:rPr>
          <w:rFonts w:hint="eastAsia" w:ascii="仿宋" w:hAnsi="仿宋" w:eastAsia="仿宋" w:cs="Times New Roman"/>
          <w:b/>
          <w:bCs/>
          <w:color w:val="auto"/>
          <w:kern w:val="0"/>
          <w:sz w:val="28"/>
          <w:szCs w:val="28"/>
          <w:highlight w:val="none"/>
        </w:rPr>
        <w:t>表1-3-B  组织措施项目（专业工程）清单及计价表</w:t>
      </w:r>
    </w:p>
    <w:p w14:paraId="6B32616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4662AF4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单位工程及专业项目名称：                                              第 页共 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3156"/>
        <w:gridCol w:w="1068"/>
        <w:gridCol w:w="929"/>
        <w:gridCol w:w="1806"/>
        <w:gridCol w:w="1831"/>
      </w:tblGrid>
      <w:tr w14:paraId="78BD5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950" w:type="dxa"/>
            <w:tcBorders>
              <w:top w:val="single" w:color="auto" w:sz="4" w:space="0"/>
              <w:left w:val="single" w:color="auto" w:sz="4" w:space="0"/>
              <w:bottom w:val="single" w:color="auto" w:sz="4" w:space="0"/>
              <w:right w:val="single" w:color="auto" w:sz="4" w:space="0"/>
            </w:tcBorders>
            <w:vAlign w:val="center"/>
          </w:tcPr>
          <w:p w14:paraId="5BB5478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156" w:type="dxa"/>
            <w:tcBorders>
              <w:top w:val="single" w:color="auto" w:sz="4" w:space="0"/>
              <w:left w:val="single" w:color="auto" w:sz="4" w:space="0"/>
              <w:bottom w:val="single" w:color="auto" w:sz="4" w:space="0"/>
              <w:right w:val="single" w:color="auto" w:sz="4" w:space="0"/>
            </w:tcBorders>
            <w:vAlign w:val="center"/>
          </w:tcPr>
          <w:p w14:paraId="78A97F0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  目  名  称</w:t>
            </w:r>
          </w:p>
        </w:tc>
        <w:tc>
          <w:tcPr>
            <w:tcW w:w="1068" w:type="dxa"/>
            <w:tcBorders>
              <w:top w:val="single" w:color="auto" w:sz="4" w:space="0"/>
              <w:left w:val="single" w:color="auto" w:sz="4" w:space="0"/>
              <w:bottom w:val="single" w:color="auto" w:sz="4" w:space="0"/>
              <w:right w:val="single" w:color="auto" w:sz="4" w:space="0"/>
            </w:tcBorders>
            <w:vAlign w:val="center"/>
          </w:tcPr>
          <w:p w14:paraId="5C2B2B5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929" w:type="dxa"/>
            <w:tcBorders>
              <w:top w:val="single" w:color="auto" w:sz="4" w:space="0"/>
              <w:left w:val="single" w:color="auto" w:sz="4" w:space="0"/>
              <w:bottom w:val="single" w:color="auto" w:sz="4" w:space="0"/>
              <w:right w:val="single" w:color="auto" w:sz="4" w:space="0"/>
            </w:tcBorders>
            <w:vAlign w:val="center"/>
          </w:tcPr>
          <w:p w14:paraId="73DCDBA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806" w:type="dxa"/>
            <w:tcBorders>
              <w:top w:val="single" w:color="auto" w:sz="4" w:space="0"/>
              <w:left w:val="single" w:color="auto" w:sz="4" w:space="0"/>
              <w:bottom w:val="single" w:color="auto" w:sz="4" w:space="0"/>
              <w:right w:val="single" w:color="auto" w:sz="4" w:space="0"/>
            </w:tcBorders>
            <w:vAlign w:val="center"/>
          </w:tcPr>
          <w:p w14:paraId="499050D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金  额(元)</w:t>
            </w:r>
          </w:p>
        </w:tc>
        <w:tc>
          <w:tcPr>
            <w:tcW w:w="1831" w:type="dxa"/>
            <w:tcBorders>
              <w:top w:val="single" w:color="auto" w:sz="4" w:space="0"/>
              <w:left w:val="single" w:color="auto" w:sz="4" w:space="0"/>
              <w:bottom w:val="single" w:color="auto" w:sz="4" w:space="0"/>
              <w:right w:val="single" w:color="auto" w:sz="4" w:space="0"/>
            </w:tcBorders>
            <w:vAlign w:val="center"/>
          </w:tcPr>
          <w:p w14:paraId="639B9B3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0309B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3" w:hRule="atLeast"/>
        </w:trPr>
        <w:tc>
          <w:tcPr>
            <w:tcW w:w="950" w:type="dxa"/>
            <w:tcBorders>
              <w:top w:val="single" w:color="auto" w:sz="4" w:space="0"/>
              <w:left w:val="single" w:color="auto" w:sz="4" w:space="0"/>
              <w:bottom w:val="single" w:color="auto" w:sz="4" w:space="0"/>
              <w:right w:val="single" w:color="auto" w:sz="4" w:space="0"/>
            </w:tcBorders>
          </w:tcPr>
          <w:p w14:paraId="59B4EE3B">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p w14:paraId="0A9462E2">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1</w:t>
            </w:r>
          </w:p>
          <w:p w14:paraId="72625A28">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2</w:t>
            </w:r>
          </w:p>
          <w:p w14:paraId="71116AA5">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3</w:t>
            </w:r>
          </w:p>
          <w:p w14:paraId="21CE3CFF">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r>
              <w:rPr>
                <w:rFonts w:hint="eastAsia" w:ascii="仿宋" w:hAnsi="仿宋" w:eastAsia="仿宋" w:cs="仿宋"/>
                <w:color w:val="auto"/>
                <w:position w:val="-6"/>
                <w:sz w:val="24"/>
                <w:szCs w:val="24"/>
                <w:highlight w:val="none"/>
              </w:rPr>
              <w:t>4</w:t>
            </w:r>
          </w:p>
          <w:p w14:paraId="2E73C9EA">
            <w:pPr>
              <w:widowControl/>
              <w:tabs>
                <w:tab w:val="center" w:pos="4755"/>
                <w:tab w:val="right" w:pos="9070"/>
              </w:tabs>
              <w:autoSpaceDN w:val="0"/>
              <w:spacing w:before="100" w:beforeAutospacing="1" w:after="100" w:afterAutospacing="1"/>
              <w:jc w:val="center"/>
              <w:rPr>
                <w:rFonts w:ascii="仿宋" w:hAnsi="仿宋" w:eastAsia="仿宋" w:cs="仿宋"/>
                <w:color w:val="auto"/>
                <w:position w:val="-6"/>
                <w:sz w:val="24"/>
                <w:szCs w:val="24"/>
                <w:highlight w:val="none"/>
              </w:rPr>
            </w:pPr>
          </w:p>
          <w:p w14:paraId="0F539A76">
            <w:pPr>
              <w:widowControl/>
              <w:tabs>
                <w:tab w:val="center" w:pos="4755"/>
                <w:tab w:val="right" w:pos="9070"/>
              </w:tabs>
              <w:autoSpaceDN w:val="0"/>
              <w:spacing w:before="100" w:beforeAutospacing="1" w:after="100" w:afterAutospacing="1"/>
              <w:rPr>
                <w:rFonts w:ascii="仿宋" w:hAnsi="仿宋" w:eastAsia="仿宋" w:cs="仿宋"/>
                <w:color w:val="auto"/>
                <w:position w:val="-6"/>
                <w:sz w:val="24"/>
                <w:szCs w:val="24"/>
                <w:highlight w:val="none"/>
              </w:rPr>
            </w:pPr>
          </w:p>
          <w:p w14:paraId="7E3D1C61">
            <w:pPr>
              <w:widowControl/>
              <w:tabs>
                <w:tab w:val="center" w:pos="4755"/>
                <w:tab w:val="right" w:pos="9070"/>
              </w:tabs>
              <w:autoSpaceDN w:val="0"/>
              <w:spacing w:before="100" w:beforeAutospacing="1" w:after="100" w:afterAutospacing="1"/>
              <w:rPr>
                <w:rFonts w:ascii="仿宋" w:hAnsi="仿宋" w:eastAsia="仿宋" w:cs="仿宋"/>
                <w:color w:val="auto"/>
                <w:position w:val="-6"/>
                <w:sz w:val="24"/>
                <w:szCs w:val="24"/>
                <w:highlight w:val="none"/>
              </w:rPr>
            </w:pPr>
          </w:p>
          <w:p w14:paraId="3D4F5F0D">
            <w:pPr>
              <w:widowControl/>
              <w:tabs>
                <w:tab w:val="center" w:pos="4755"/>
                <w:tab w:val="right" w:pos="9070"/>
              </w:tabs>
              <w:autoSpaceDN w:val="0"/>
              <w:spacing w:before="100" w:beforeAutospacing="1" w:after="100" w:afterAutospacing="1"/>
              <w:rPr>
                <w:rFonts w:ascii="仿宋" w:hAnsi="仿宋" w:eastAsia="仿宋" w:cs="仿宋"/>
                <w:color w:val="auto"/>
                <w:position w:val="-6"/>
                <w:sz w:val="24"/>
                <w:szCs w:val="24"/>
                <w:highlight w:val="none"/>
              </w:rPr>
            </w:pPr>
          </w:p>
        </w:tc>
        <w:tc>
          <w:tcPr>
            <w:tcW w:w="3156" w:type="dxa"/>
            <w:tcBorders>
              <w:top w:val="single" w:color="auto" w:sz="4" w:space="0"/>
              <w:left w:val="single" w:color="auto" w:sz="4" w:space="0"/>
              <w:bottom w:val="single" w:color="auto" w:sz="4" w:space="0"/>
              <w:right w:val="single" w:color="auto" w:sz="4" w:space="0"/>
            </w:tcBorders>
          </w:tcPr>
          <w:p w14:paraId="1DB68769">
            <w:pPr>
              <w:widowControl/>
              <w:tabs>
                <w:tab w:val="center" w:pos="4755"/>
                <w:tab w:val="right" w:pos="9070"/>
              </w:tabs>
              <w:autoSpaceDN w:val="0"/>
              <w:adjustRightInd w:val="0"/>
              <w:spacing w:before="100" w:beforeAutospacing="1" w:after="100" w:afterAutospacing="1"/>
              <w:jc w:val="center"/>
              <w:rPr>
                <w:rFonts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（2）</w:t>
            </w:r>
          </w:p>
          <w:p w14:paraId="7E2DC921">
            <w:pPr>
              <w:widowControl/>
              <w:tabs>
                <w:tab w:val="center" w:pos="4755"/>
                <w:tab w:val="right" w:pos="9070"/>
              </w:tabs>
              <w:autoSpaceDN w:val="0"/>
              <w:adjustRightInd w:val="0"/>
              <w:spacing w:before="100" w:beforeAutospacing="1" w:after="100" w:afterAutospacing="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提前竣工增加费</w:t>
            </w:r>
          </w:p>
          <w:p w14:paraId="0CBB9B01">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二次搬运费</w:t>
            </w:r>
          </w:p>
          <w:p w14:paraId="7CB8096A">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冬雨季施工增加费</w:t>
            </w:r>
          </w:p>
          <w:p w14:paraId="06F77D2F">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行车、行人干扰增加费</w:t>
            </w:r>
          </w:p>
          <w:p w14:paraId="22E47BB4">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p>
          <w:p w14:paraId="7C0A0430">
            <w:pPr>
              <w:widowControl/>
              <w:tabs>
                <w:tab w:val="center" w:pos="4755"/>
                <w:tab w:val="right" w:pos="9070"/>
              </w:tabs>
              <w:autoSpaceDN w:val="0"/>
              <w:adjustRightInd w:val="0"/>
              <w:spacing w:before="100" w:beforeAutospacing="1" w:after="100" w:afterAutospacing="1"/>
              <w:rPr>
                <w:rFonts w:ascii="仿宋" w:hAnsi="仿宋" w:eastAsia="仿宋" w:cs="仿宋"/>
                <w:color w:val="auto"/>
                <w:spacing w:val="-16"/>
                <w:sz w:val="24"/>
                <w:szCs w:val="24"/>
                <w:highlight w:val="none"/>
              </w:rPr>
            </w:pPr>
          </w:p>
        </w:tc>
        <w:tc>
          <w:tcPr>
            <w:tcW w:w="1068" w:type="dxa"/>
            <w:tcBorders>
              <w:top w:val="single" w:color="auto" w:sz="4" w:space="0"/>
              <w:left w:val="single" w:color="auto" w:sz="4" w:space="0"/>
              <w:bottom w:val="single" w:color="auto" w:sz="4" w:space="0"/>
              <w:right w:val="single" w:color="auto" w:sz="4" w:space="0"/>
            </w:tcBorders>
          </w:tcPr>
          <w:p w14:paraId="1F67C03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29" w:type="dxa"/>
            <w:tcBorders>
              <w:top w:val="single" w:color="auto" w:sz="4" w:space="0"/>
              <w:left w:val="single" w:color="auto" w:sz="4" w:space="0"/>
              <w:bottom w:val="single" w:color="auto" w:sz="4" w:space="0"/>
              <w:right w:val="single" w:color="auto" w:sz="4" w:space="0"/>
            </w:tcBorders>
          </w:tcPr>
          <w:p w14:paraId="566E6C4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806" w:type="dxa"/>
            <w:tcBorders>
              <w:top w:val="single" w:color="auto" w:sz="4" w:space="0"/>
              <w:left w:val="single" w:color="auto" w:sz="4" w:space="0"/>
              <w:bottom w:val="single" w:color="auto" w:sz="4" w:space="0"/>
              <w:right w:val="single" w:color="auto" w:sz="4" w:space="0"/>
            </w:tcBorders>
            <w:vAlign w:val="center"/>
          </w:tcPr>
          <w:p w14:paraId="485BEEA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831" w:type="dxa"/>
            <w:tcBorders>
              <w:top w:val="single" w:color="auto" w:sz="4" w:space="0"/>
              <w:left w:val="single" w:color="auto" w:sz="4" w:space="0"/>
              <w:bottom w:val="single" w:color="auto" w:sz="4" w:space="0"/>
              <w:right w:val="single" w:color="auto" w:sz="4" w:space="0"/>
            </w:tcBorders>
          </w:tcPr>
          <w:p w14:paraId="0D6796D7">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p w14:paraId="3DE1653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p w14:paraId="3FFC202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6B4F4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103" w:type="dxa"/>
            <w:gridSpan w:val="4"/>
            <w:tcBorders>
              <w:top w:val="single" w:color="auto" w:sz="4" w:space="0"/>
              <w:left w:val="single" w:color="auto" w:sz="4" w:space="0"/>
              <w:bottom w:val="single" w:color="auto" w:sz="4" w:space="0"/>
              <w:right w:val="single" w:color="auto" w:sz="4" w:space="0"/>
            </w:tcBorders>
          </w:tcPr>
          <w:p w14:paraId="0EC19F0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806" w:type="dxa"/>
            <w:tcBorders>
              <w:top w:val="single" w:color="auto" w:sz="4" w:space="0"/>
              <w:left w:val="single" w:color="auto" w:sz="4" w:space="0"/>
              <w:bottom w:val="single" w:color="auto" w:sz="4" w:space="0"/>
              <w:right w:val="single" w:color="auto" w:sz="4" w:space="0"/>
            </w:tcBorders>
          </w:tcPr>
          <w:p w14:paraId="0E31BDB8">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tc>
        <w:tc>
          <w:tcPr>
            <w:tcW w:w="1831" w:type="dxa"/>
            <w:tcBorders>
              <w:top w:val="single" w:color="auto" w:sz="4" w:space="0"/>
              <w:left w:val="single" w:color="auto" w:sz="4" w:space="0"/>
              <w:bottom w:val="single" w:color="auto" w:sz="4" w:space="0"/>
              <w:right w:val="single" w:color="auto" w:sz="4" w:space="0"/>
            </w:tcBorders>
          </w:tcPr>
          <w:p w14:paraId="2105B763">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tc>
      </w:tr>
    </w:tbl>
    <w:p w14:paraId="0E3E95AE">
      <w:pPr>
        <w:widowControl/>
        <w:tabs>
          <w:tab w:val="center" w:pos="4755"/>
          <w:tab w:val="right" w:pos="9070"/>
        </w:tabs>
        <w:autoSpaceDN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注：1.表中列项供参考，（1）、（2）栏由采购人提供，供应商可按工程实际作补充。</w:t>
      </w:r>
    </w:p>
    <w:p w14:paraId="3F04F4E4">
      <w:pPr>
        <w:widowControl/>
        <w:tabs>
          <w:tab w:val="center" w:pos="4755"/>
          <w:tab w:val="right" w:pos="9070"/>
        </w:tabs>
        <w:autoSpaceDN w:val="0"/>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2．当采购项目为单位工程发包且只有1个分部分项工程量清单时，组织措施项目清单应按表1-3-A报价。</w:t>
      </w:r>
    </w:p>
    <w:p w14:paraId="3F1E9DD6">
      <w:pPr>
        <w:widowControl/>
        <w:tabs>
          <w:tab w:val="center" w:pos="4755"/>
          <w:tab w:val="right" w:pos="9070"/>
        </w:tabs>
        <w:autoSpaceDN w:val="0"/>
        <w:rPr>
          <w:rFonts w:ascii="仿宋" w:hAnsi="仿宋" w:eastAsia="仿宋" w:cs="仿宋"/>
          <w:color w:val="auto"/>
          <w:sz w:val="24"/>
          <w:szCs w:val="24"/>
          <w:highlight w:val="none"/>
        </w:rPr>
      </w:pPr>
    </w:p>
    <w:p w14:paraId="1FA5AE90">
      <w:pPr>
        <w:widowControl/>
        <w:spacing w:beforeAutospacing="1" w:afterAutospacing="1"/>
        <w:jc w:val="left"/>
        <w:rPr>
          <w:rFonts w:ascii="仿宋" w:hAnsi="仿宋" w:eastAsia="仿宋" w:cs="Times New Roman"/>
          <w:color w:val="auto"/>
          <w:sz w:val="22"/>
          <w:highlight w:val="none"/>
        </w:rPr>
        <w:sectPr>
          <w:pgSz w:w="11906" w:h="16838"/>
          <w:pgMar w:top="1414" w:right="1191" w:bottom="1361" w:left="1191" w:header="851" w:footer="1077" w:gutter="0"/>
          <w:cols w:space="720" w:num="1"/>
          <w:docGrid w:type="lines" w:linePitch="312" w:charSpace="0"/>
        </w:sectPr>
      </w:pPr>
    </w:p>
    <w:p w14:paraId="68BC0A25">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表1-3-C  技术措施项目清单及计价表</w:t>
      </w:r>
    </w:p>
    <w:p w14:paraId="7EEBD1BF">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单位工程及专业项目名称：                                                第 页共 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272"/>
        <w:gridCol w:w="1440"/>
        <w:gridCol w:w="1440"/>
        <w:gridCol w:w="1260"/>
        <w:gridCol w:w="1260"/>
        <w:gridCol w:w="1236"/>
        <w:gridCol w:w="1026"/>
        <w:gridCol w:w="1260"/>
        <w:gridCol w:w="1260"/>
        <w:gridCol w:w="6"/>
        <w:gridCol w:w="921"/>
        <w:gridCol w:w="921"/>
        <w:gridCol w:w="6"/>
      </w:tblGrid>
      <w:tr w14:paraId="2FE42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816" w:type="dxa"/>
            <w:vMerge w:val="restart"/>
            <w:tcBorders>
              <w:top w:val="single" w:color="auto" w:sz="4" w:space="0"/>
              <w:left w:val="single" w:color="auto" w:sz="4" w:space="0"/>
              <w:bottom w:val="single" w:color="auto" w:sz="4" w:space="0"/>
              <w:right w:val="single" w:color="auto" w:sz="4" w:space="0"/>
            </w:tcBorders>
            <w:noWrap/>
            <w:vAlign w:val="center"/>
          </w:tcPr>
          <w:p w14:paraId="66B3810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272" w:type="dxa"/>
            <w:vMerge w:val="restart"/>
            <w:tcBorders>
              <w:top w:val="single" w:color="auto" w:sz="4" w:space="0"/>
              <w:left w:val="single" w:color="auto" w:sz="4" w:space="0"/>
              <w:bottom w:val="single" w:color="auto" w:sz="4" w:space="0"/>
              <w:right w:val="single" w:color="auto" w:sz="4" w:space="0"/>
            </w:tcBorders>
            <w:noWrap/>
            <w:vAlign w:val="center"/>
          </w:tcPr>
          <w:p w14:paraId="4ACD2DAF">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项目编码</w:t>
            </w:r>
          </w:p>
        </w:tc>
        <w:tc>
          <w:tcPr>
            <w:tcW w:w="1440" w:type="dxa"/>
            <w:vMerge w:val="restart"/>
            <w:tcBorders>
              <w:top w:val="single" w:color="auto" w:sz="4" w:space="0"/>
              <w:left w:val="single" w:color="auto" w:sz="4" w:space="0"/>
              <w:bottom w:val="single" w:color="auto" w:sz="4" w:space="0"/>
              <w:right w:val="single" w:color="auto" w:sz="4" w:space="0"/>
            </w:tcBorders>
            <w:noWrap/>
            <w:vAlign w:val="center"/>
          </w:tcPr>
          <w:p w14:paraId="34A29A62">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440" w:type="dxa"/>
            <w:vMerge w:val="restart"/>
            <w:tcBorders>
              <w:top w:val="single" w:color="auto" w:sz="4" w:space="0"/>
              <w:left w:val="single" w:color="auto" w:sz="4" w:space="0"/>
              <w:bottom w:val="single" w:color="auto" w:sz="4" w:space="0"/>
              <w:right w:val="single" w:color="auto" w:sz="4" w:space="0"/>
            </w:tcBorders>
            <w:noWrap/>
            <w:vAlign w:val="center"/>
          </w:tcPr>
          <w:p w14:paraId="4253059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项目特征</w:t>
            </w:r>
          </w:p>
          <w:p w14:paraId="428CE6C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描述</w:t>
            </w:r>
          </w:p>
        </w:tc>
        <w:tc>
          <w:tcPr>
            <w:tcW w:w="1260" w:type="dxa"/>
            <w:vMerge w:val="restart"/>
            <w:tcBorders>
              <w:top w:val="single" w:color="auto" w:sz="4" w:space="0"/>
              <w:left w:val="single" w:color="auto" w:sz="4" w:space="0"/>
              <w:bottom w:val="single" w:color="auto" w:sz="4" w:space="0"/>
              <w:right w:val="single" w:color="auto" w:sz="4" w:space="0"/>
            </w:tcBorders>
            <w:noWrap/>
            <w:vAlign w:val="center"/>
          </w:tcPr>
          <w:p w14:paraId="5C2B9256">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计量单位</w:t>
            </w:r>
          </w:p>
        </w:tc>
        <w:tc>
          <w:tcPr>
            <w:tcW w:w="1260" w:type="dxa"/>
            <w:vMerge w:val="restart"/>
            <w:tcBorders>
              <w:top w:val="single" w:color="auto" w:sz="4" w:space="0"/>
              <w:left w:val="single" w:color="auto" w:sz="4" w:space="0"/>
              <w:bottom w:val="single" w:color="auto" w:sz="4" w:space="0"/>
              <w:right w:val="single" w:color="auto" w:sz="4" w:space="0"/>
            </w:tcBorders>
            <w:noWrap/>
            <w:vAlign w:val="center"/>
          </w:tcPr>
          <w:p w14:paraId="1314956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工程量</w:t>
            </w:r>
          </w:p>
        </w:tc>
        <w:tc>
          <w:tcPr>
            <w:tcW w:w="1236" w:type="dxa"/>
            <w:vMerge w:val="restart"/>
            <w:tcBorders>
              <w:top w:val="single" w:color="auto" w:sz="4" w:space="0"/>
              <w:left w:val="single" w:color="auto" w:sz="4" w:space="0"/>
              <w:bottom w:val="single" w:color="auto" w:sz="4" w:space="0"/>
              <w:right w:val="single" w:color="auto" w:sz="4" w:space="0"/>
            </w:tcBorders>
            <w:noWrap/>
            <w:vAlign w:val="center"/>
          </w:tcPr>
          <w:p w14:paraId="14272A1B">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综合单价</w:t>
            </w:r>
          </w:p>
          <w:p w14:paraId="44250219">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c>
          <w:tcPr>
            <w:tcW w:w="1026" w:type="dxa"/>
            <w:vMerge w:val="restart"/>
            <w:tcBorders>
              <w:top w:val="single" w:color="auto" w:sz="4" w:space="0"/>
              <w:left w:val="single" w:color="auto" w:sz="4" w:space="0"/>
              <w:bottom w:val="single" w:color="auto" w:sz="4" w:space="0"/>
              <w:right w:val="single" w:color="auto" w:sz="4" w:space="0"/>
            </w:tcBorders>
            <w:noWrap/>
            <w:vAlign w:val="center"/>
          </w:tcPr>
          <w:p w14:paraId="283F33D3">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合价</w:t>
            </w:r>
          </w:p>
          <w:p w14:paraId="5B44A6D2">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c>
          <w:tcPr>
            <w:tcW w:w="3447" w:type="dxa"/>
            <w:gridSpan w:val="4"/>
            <w:tcBorders>
              <w:top w:val="single" w:color="auto" w:sz="4" w:space="0"/>
              <w:left w:val="single" w:color="auto" w:sz="4" w:space="0"/>
              <w:bottom w:val="single" w:color="auto" w:sz="4" w:space="0"/>
              <w:right w:val="single" w:color="auto" w:sz="4" w:space="0"/>
            </w:tcBorders>
            <w:noWrap/>
            <w:vAlign w:val="center"/>
          </w:tcPr>
          <w:p w14:paraId="3AC60CA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其中</w:t>
            </w:r>
          </w:p>
        </w:tc>
        <w:tc>
          <w:tcPr>
            <w:tcW w:w="927" w:type="dxa"/>
            <w:gridSpan w:val="2"/>
            <w:vMerge w:val="restart"/>
            <w:tcBorders>
              <w:top w:val="single" w:color="auto" w:sz="4" w:space="0"/>
              <w:left w:val="single" w:color="auto" w:sz="4" w:space="0"/>
              <w:bottom w:val="single" w:color="auto" w:sz="4" w:space="0"/>
              <w:right w:val="single" w:color="auto" w:sz="4" w:space="0"/>
            </w:tcBorders>
            <w:noWrap/>
            <w:vAlign w:val="center"/>
          </w:tcPr>
          <w:p w14:paraId="1F460EC9">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654B0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8724" w:type="dxa"/>
            <w:vMerge w:val="continue"/>
            <w:tcBorders>
              <w:top w:val="single" w:color="auto" w:sz="4" w:space="0"/>
              <w:left w:val="single" w:color="auto" w:sz="4" w:space="0"/>
              <w:bottom w:val="single" w:color="auto" w:sz="4" w:space="0"/>
              <w:right w:val="single" w:color="auto" w:sz="4" w:space="0"/>
            </w:tcBorders>
            <w:vAlign w:val="center"/>
          </w:tcPr>
          <w:p w14:paraId="415A7594">
            <w:pPr>
              <w:widowControl/>
              <w:jc w:val="left"/>
              <w:rPr>
                <w:rFonts w:ascii="仿宋" w:hAnsi="仿宋" w:eastAsia="仿宋" w:cs="仿宋"/>
                <w:color w:val="auto"/>
                <w:sz w:val="24"/>
                <w:szCs w:val="24"/>
                <w:highlight w:val="none"/>
              </w:rPr>
            </w:pPr>
          </w:p>
        </w:tc>
        <w:tc>
          <w:tcPr>
            <w:tcW w:w="1272" w:type="dxa"/>
            <w:vMerge w:val="continue"/>
            <w:tcBorders>
              <w:top w:val="single" w:color="auto" w:sz="4" w:space="0"/>
              <w:left w:val="single" w:color="auto" w:sz="4" w:space="0"/>
              <w:bottom w:val="single" w:color="auto" w:sz="4" w:space="0"/>
              <w:right w:val="single" w:color="auto" w:sz="4" w:space="0"/>
            </w:tcBorders>
            <w:vAlign w:val="center"/>
          </w:tcPr>
          <w:p w14:paraId="7321DD10">
            <w:pPr>
              <w:widowControl/>
              <w:jc w:val="left"/>
              <w:rPr>
                <w:rFonts w:ascii="仿宋" w:hAnsi="仿宋" w:eastAsia="仿宋" w:cs="仿宋"/>
                <w:color w:val="auto"/>
                <w:sz w:val="24"/>
                <w:szCs w:val="24"/>
                <w:highlight w:val="none"/>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14:paraId="237CCA57">
            <w:pPr>
              <w:widowControl/>
              <w:jc w:val="left"/>
              <w:rPr>
                <w:rFonts w:ascii="仿宋" w:hAnsi="仿宋" w:eastAsia="仿宋" w:cs="仿宋"/>
                <w:color w:val="auto"/>
                <w:sz w:val="24"/>
                <w:szCs w:val="24"/>
                <w:highlight w:val="none"/>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14:paraId="3FC577AB">
            <w:pPr>
              <w:widowControl/>
              <w:jc w:val="left"/>
              <w:rPr>
                <w:rFonts w:ascii="仿宋" w:hAnsi="仿宋" w:eastAsia="仿宋" w:cs="仿宋"/>
                <w:color w:val="auto"/>
                <w:sz w:val="24"/>
                <w:szCs w:val="24"/>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7C833029">
            <w:pPr>
              <w:widowControl/>
              <w:jc w:val="left"/>
              <w:rPr>
                <w:rFonts w:ascii="仿宋" w:hAnsi="仿宋" w:eastAsia="仿宋" w:cs="仿宋"/>
                <w:color w:val="auto"/>
                <w:sz w:val="24"/>
                <w:szCs w:val="24"/>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0B5F9B3D">
            <w:pPr>
              <w:widowControl/>
              <w:jc w:val="left"/>
              <w:rPr>
                <w:rFonts w:ascii="仿宋" w:hAnsi="仿宋" w:eastAsia="仿宋" w:cs="仿宋"/>
                <w:color w:val="auto"/>
                <w:sz w:val="24"/>
                <w:szCs w:val="24"/>
                <w:highlight w:val="none"/>
              </w:rPr>
            </w:pPr>
          </w:p>
        </w:tc>
        <w:tc>
          <w:tcPr>
            <w:tcW w:w="1236" w:type="dxa"/>
            <w:vMerge w:val="continue"/>
            <w:tcBorders>
              <w:top w:val="single" w:color="auto" w:sz="4" w:space="0"/>
              <w:left w:val="single" w:color="auto" w:sz="4" w:space="0"/>
              <w:bottom w:val="single" w:color="auto" w:sz="4" w:space="0"/>
              <w:right w:val="single" w:color="auto" w:sz="4" w:space="0"/>
            </w:tcBorders>
            <w:vAlign w:val="center"/>
          </w:tcPr>
          <w:p w14:paraId="76BD1E26">
            <w:pPr>
              <w:widowControl/>
              <w:jc w:val="left"/>
              <w:rPr>
                <w:rFonts w:ascii="仿宋" w:hAnsi="仿宋" w:eastAsia="仿宋" w:cs="仿宋"/>
                <w:color w:val="auto"/>
                <w:sz w:val="24"/>
                <w:szCs w:val="24"/>
                <w:highlight w:val="none"/>
              </w:rPr>
            </w:pPr>
          </w:p>
        </w:tc>
        <w:tc>
          <w:tcPr>
            <w:tcW w:w="1026" w:type="dxa"/>
            <w:vMerge w:val="continue"/>
            <w:tcBorders>
              <w:top w:val="single" w:color="auto" w:sz="4" w:space="0"/>
              <w:left w:val="single" w:color="auto" w:sz="4" w:space="0"/>
              <w:bottom w:val="single" w:color="auto" w:sz="4" w:space="0"/>
              <w:right w:val="single" w:color="auto" w:sz="4" w:space="0"/>
            </w:tcBorders>
            <w:vAlign w:val="center"/>
          </w:tcPr>
          <w:p w14:paraId="4681EA59">
            <w:pPr>
              <w:widowControl/>
              <w:jc w:val="left"/>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vAlign w:val="center"/>
          </w:tcPr>
          <w:p w14:paraId="151363DA">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人工费</w:t>
            </w:r>
          </w:p>
        </w:tc>
        <w:tc>
          <w:tcPr>
            <w:tcW w:w="1260" w:type="dxa"/>
            <w:tcBorders>
              <w:top w:val="single" w:color="auto" w:sz="4" w:space="0"/>
              <w:left w:val="single" w:color="auto" w:sz="4" w:space="0"/>
              <w:bottom w:val="single" w:color="auto" w:sz="4" w:space="0"/>
              <w:right w:val="single" w:color="auto" w:sz="4" w:space="0"/>
            </w:tcBorders>
            <w:noWrap/>
            <w:vAlign w:val="center"/>
          </w:tcPr>
          <w:p w14:paraId="65637416">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机械费</w:t>
            </w:r>
          </w:p>
        </w:tc>
        <w:tc>
          <w:tcPr>
            <w:tcW w:w="927" w:type="dxa"/>
            <w:gridSpan w:val="2"/>
            <w:tcBorders>
              <w:top w:val="single" w:color="auto" w:sz="4" w:space="0"/>
              <w:left w:val="single" w:color="auto" w:sz="4" w:space="0"/>
              <w:bottom w:val="single" w:color="auto" w:sz="4" w:space="0"/>
              <w:right w:val="single" w:color="auto" w:sz="4" w:space="0"/>
            </w:tcBorders>
            <w:noWrap/>
            <w:vAlign w:val="center"/>
          </w:tcPr>
          <w:p w14:paraId="5A420DD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管理费</w:t>
            </w:r>
          </w:p>
        </w:tc>
        <w:tc>
          <w:tcPr>
            <w:tcW w:w="1071" w:type="dxa"/>
            <w:gridSpan w:val="2"/>
            <w:vMerge w:val="continue"/>
            <w:tcBorders>
              <w:top w:val="single" w:color="auto" w:sz="4" w:space="0"/>
              <w:left w:val="single" w:color="auto" w:sz="4" w:space="0"/>
              <w:bottom w:val="single" w:color="auto" w:sz="4" w:space="0"/>
              <w:right w:val="single" w:color="auto" w:sz="4" w:space="0"/>
            </w:tcBorders>
            <w:vAlign w:val="center"/>
          </w:tcPr>
          <w:p w14:paraId="09A30B1D">
            <w:pPr>
              <w:widowControl/>
              <w:jc w:val="left"/>
              <w:rPr>
                <w:rFonts w:ascii="仿宋" w:hAnsi="仿宋" w:eastAsia="仿宋" w:cs="仿宋"/>
                <w:color w:val="auto"/>
                <w:sz w:val="24"/>
                <w:szCs w:val="24"/>
                <w:highlight w:val="none"/>
              </w:rPr>
            </w:pPr>
          </w:p>
        </w:tc>
      </w:tr>
      <w:tr w14:paraId="2CBF0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8" w:hRule="atLeast"/>
        </w:trPr>
        <w:tc>
          <w:tcPr>
            <w:tcW w:w="816" w:type="dxa"/>
            <w:tcBorders>
              <w:top w:val="single" w:color="auto" w:sz="4" w:space="0"/>
              <w:left w:val="single" w:color="auto" w:sz="4" w:space="0"/>
              <w:bottom w:val="single" w:color="auto" w:sz="4" w:space="0"/>
              <w:right w:val="single" w:color="auto" w:sz="4" w:space="0"/>
            </w:tcBorders>
            <w:noWrap/>
          </w:tcPr>
          <w:p w14:paraId="2D95DC1A">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272" w:type="dxa"/>
            <w:tcBorders>
              <w:top w:val="single" w:color="auto" w:sz="4" w:space="0"/>
              <w:left w:val="single" w:color="auto" w:sz="4" w:space="0"/>
              <w:bottom w:val="single" w:color="auto" w:sz="4" w:space="0"/>
              <w:right w:val="single" w:color="auto" w:sz="4" w:space="0"/>
            </w:tcBorders>
            <w:noWrap/>
          </w:tcPr>
          <w:p w14:paraId="22009798">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440" w:type="dxa"/>
            <w:tcBorders>
              <w:top w:val="single" w:color="auto" w:sz="4" w:space="0"/>
              <w:left w:val="single" w:color="auto" w:sz="4" w:space="0"/>
              <w:bottom w:val="single" w:color="auto" w:sz="4" w:space="0"/>
              <w:right w:val="single" w:color="auto" w:sz="4" w:space="0"/>
            </w:tcBorders>
            <w:noWrap/>
          </w:tcPr>
          <w:p w14:paraId="7EC8EBD9">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440" w:type="dxa"/>
            <w:tcBorders>
              <w:top w:val="single" w:color="auto" w:sz="4" w:space="0"/>
              <w:left w:val="single" w:color="auto" w:sz="4" w:space="0"/>
              <w:bottom w:val="single" w:color="auto" w:sz="4" w:space="0"/>
              <w:right w:val="single" w:color="auto" w:sz="4" w:space="0"/>
            </w:tcBorders>
            <w:noWrap/>
          </w:tcPr>
          <w:p w14:paraId="7C9D268C">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260" w:type="dxa"/>
            <w:tcBorders>
              <w:top w:val="single" w:color="auto" w:sz="4" w:space="0"/>
              <w:left w:val="single" w:color="auto" w:sz="4" w:space="0"/>
              <w:bottom w:val="single" w:color="auto" w:sz="4" w:space="0"/>
              <w:right w:val="single" w:color="auto" w:sz="4" w:space="0"/>
            </w:tcBorders>
            <w:noWrap/>
          </w:tcPr>
          <w:p w14:paraId="40FF2514">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260" w:type="dxa"/>
            <w:tcBorders>
              <w:top w:val="single" w:color="auto" w:sz="4" w:space="0"/>
              <w:left w:val="single" w:color="auto" w:sz="4" w:space="0"/>
              <w:bottom w:val="single" w:color="auto" w:sz="4" w:space="0"/>
              <w:right w:val="single" w:color="auto" w:sz="4" w:space="0"/>
            </w:tcBorders>
            <w:noWrap/>
          </w:tcPr>
          <w:p w14:paraId="237DD13B">
            <w:pPr>
              <w:autoSpaceDN w:val="0"/>
              <w:rPr>
                <w:rFonts w:ascii="仿宋" w:hAnsi="仿宋" w:eastAsia="仿宋" w:cs="仿宋"/>
                <w:color w:val="auto"/>
                <w:sz w:val="24"/>
                <w:szCs w:val="24"/>
                <w:highlight w:val="none"/>
              </w:rPr>
            </w:pPr>
          </w:p>
        </w:tc>
        <w:tc>
          <w:tcPr>
            <w:tcW w:w="1236" w:type="dxa"/>
            <w:tcBorders>
              <w:top w:val="single" w:color="auto" w:sz="4" w:space="0"/>
              <w:left w:val="single" w:color="auto" w:sz="4" w:space="0"/>
              <w:bottom w:val="single" w:color="auto" w:sz="4" w:space="0"/>
              <w:right w:val="single" w:color="auto" w:sz="4" w:space="0"/>
            </w:tcBorders>
            <w:noWrap/>
          </w:tcPr>
          <w:p w14:paraId="70A7D934">
            <w:pPr>
              <w:autoSpaceDN w:val="0"/>
              <w:rPr>
                <w:rFonts w:ascii="仿宋" w:hAnsi="仿宋" w:eastAsia="仿宋" w:cs="仿宋"/>
                <w:color w:val="auto"/>
                <w:sz w:val="24"/>
                <w:szCs w:val="24"/>
                <w:highlight w:val="none"/>
              </w:rPr>
            </w:pPr>
          </w:p>
        </w:tc>
        <w:tc>
          <w:tcPr>
            <w:tcW w:w="1026" w:type="dxa"/>
            <w:tcBorders>
              <w:top w:val="single" w:color="auto" w:sz="4" w:space="0"/>
              <w:left w:val="single" w:color="auto" w:sz="4" w:space="0"/>
              <w:bottom w:val="single" w:color="auto" w:sz="4" w:space="0"/>
              <w:right w:val="single" w:color="auto" w:sz="4" w:space="0"/>
            </w:tcBorders>
            <w:noWrap/>
          </w:tcPr>
          <w:p w14:paraId="06A2CB58">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DB75400">
            <w:pPr>
              <w:autoSpaceDN w:val="0"/>
              <w:rPr>
                <w:rFonts w:ascii="仿宋" w:hAnsi="仿宋" w:eastAsia="仿宋" w:cs="仿宋"/>
                <w:color w:val="auto"/>
                <w:sz w:val="24"/>
                <w:szCs w:val="24"/>
                <w:highlight w:val="none"/>
              </w:rPr>
            </w:pPr>
          </w:p>
        </w:tc>
        <w:tc>
          <w:tcPr>
            <w:tcW w:w="1266" w:type="dxa"/>
            <w:gridSpan w:val="2"/>
            <w:tcBorders>
              <w:top w:val="single" w:color="auto" w:sz="4" w:space="0"/>
              <w:left w:val="single" w:color="auto" w:sz="4" w:space="0"/>
              <w:bottom w:val="single" w:color="auto" w:sz="4" w:space="0"/>
              <w:right w:val="single" w:color="auto" w:sz="4" w:space="0"/>
            </w:tcBorders>
            <w:noWrap/>
          </w:tcPr>
          <w:p w14:paraId="09FFCD65">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50730A29">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042D8B4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r>
      <w:tr w14:paraId="4A170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14:paraId="41E04A7D">
            <w:pPr>
              <w:autoSpaceDN w:val="0"/>
              <w:rPr>
                <w:rFonts w:ascii="仿宋" w:hAnsi="仿宋" w:eastAsia="仿宋" w:cs="仿宋"/>
                <w:color w:val="auto"/>
                <w:sz w:val="24"/>
                <w:szCs w:val="24"/>
                <w:highlight w:val="none"/>
              </w:rPr>
            </w:pPr>
          </w:p>
        </w:tc>
        <w:tc>
          <w:tcPr>
            <w:tcW w:w="1272" w:type="dxa"/>
            <w:tcBorders>
              <w:top w:val="single" w:color="auto" w:sz="4" w:space="0"/>
              <w:left w:val="single" w:color="auto" w:sz="4" w:space="0"/>
              <w:bottom w:val="single" w:color="auto" w:sz="4" w:space="0"/>
              <w:right w:val="single" w:color="auto" w:sz="4" w:space="0"/>
            </w:tcBorders>
            <w:noWrap/>
            <w:vAlign w:val="center"/>
          </w:tcPr>
          <w:p w14:paraId="7AD8874D">
            <w:pPr>
              <w:autoSpaceDN w:val="0"/>
              <w:rPr>
                <w:rFonts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644C7D98">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大型机械设备进出场及安拆</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14:paraId="1875E24C">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D79445B">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5D60D3B">
            <w:pPr>
              <w:autoSpaceDN w:val="0"/>
              <w:rPr>
                <w:rFonts w:ascii="仿宋" w:hAnsi="仿宋" w:eastAsia="仿宋" w:cs="仿宋"/>
                <w:color w:val="auto"/>
                <w:sz w:val="24"/>
                <w:szCs w:val="24"/>
                <w:highlight w:val="none"/>
              </w:rPr>
            </w:pPr>
          </w:p>
        </w:tc>
        <w:tc>
          <w:tcPr>
            <w:tcW w:w="1236" w:type="dxa"/>
            <w:tcBorders>
              <w:top w:val="single" w:color="auto" w:sz="4" w:space="0"/>
              <w:left w:val="single" w:color="auto" w:sz="4" w:space="0"/>
              <w:bottom w:val="single" w:color="auto" w:sz="4" w:space="0"/>
              <w:right w:val="single" w:color="auto" w:sz="4" w:space="0"/>
            </w:tcBorders>
            <w:noWrap/>
          </w:tcPr>
          <w:p w14:paraId="7B72EEDA">
            <w:pPr>
              <w:autoSpaceDN w:val="0"/>
              <w:rPr>
                <w:rFonts w:ascii="仿宋" w:hAnsi="仿宋" w:eastAsia="仿宋" w:cs="仿宋"/>
                <w:color w:val="auto"/>
                <w:sz w:val="24"/>
                <w:szCs w:val="24"/>
                <w:highlight w:val="none"/>
              </w:rPr>
            </w:pPr>
          </w:p>
        </w:tc>
        <w:tc>
          <w:tcPr>
            <w:tcW w:w="1026" w:type="dxa"/>
            <w:tcBorders>
              <w:top w:val="single" w:color="auto" w:sz="4" w:space="0"/>
              <w:left w:val="single" w:color="auto" w:sz="4" w:space="0"/>
              <w:bottom w:val="single" w:color="auto" w:sz="4" w:space="0"/>
              <w:right w:val="single" w:color="auto" w:sz="4" w:space="0"/>
            </w:tcBorders>
            <w:noWrap/>
          </w:tcPr>
          <w:p w14:paraId="3ED2BCC5">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5133A982">
            <w:pPr>
              <w:autoSpaceDN w:val="0"/>
              <w:rPr>
                <w:rFonts w:ascii="仿宋" w:hAnsi="仿宋" w:eastAsia="仿宋" w:cs="仿宋"/>
                <w:color w:val="auto"/>
                <w:sz w:val="24"/>
                <w:szCs w:val="24"/>
                <w:highlight w:val="none"/>
              </w:rPr>
            </w:pPr>
          </w:p>
        </w:tc>
        <w:tc>
          <w:tcPr>
            <w:tcW w:w="1266" w:type="dxa"/>
            <w:gridSpan w:val="2"/>
            <w:tcBorders>
              <w:top w:val="single" w:color="auto" w:sz="4" w:space="0"/>
              <w:left w:val="single" w:color="auto" w:sz="4" w:space="0"/>
              <w:bottom w:val="single" w:color="auto" w:sz="4" w:space="0"/>
              <w:right w:val="single" w:color="auto" w:sz="4" w:space="0"/>
            </w:tcBorders>
            <w:noWrap/>
          </w:tcPr>
          <w:p w14:paraId="75288FA2">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7F7A3144">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6121BF7B">
            <w:pPr>
              <w:autoSpaceDN w:val="0"/>
              <w:rPr>
                <w:rFonts w:ascii="仿宋" w:hAnsi="仿宋" w:eastAsia="仿宋" w:cs="仿宋"/>
                <w:color w:val="auto"/>
                <w:sz w:val="24"/>
                <w:szCs w:val="24"/>
                <w:highlight w:val="none"/>
              </w:rPr>
            </w:pPr>
          </w:p>
        </w:tc>
      </w:tr>
      <w:tr w14:paraId="1A917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14:paraId="526E39D3">
            <w:pPr>
              <w:autoSpaceDN w:val="0"/>
              <w:rPr>
                <w:rFonts w:ascii="仿宋" w:hAnsi="仿宋" w:eastAsia="仿宋" w:cs="仿宋"/>
                <w:color w:val="auto"/>
                <w:sz w:val="24"/>
                <w:szCs w:val="24"/>
                <w:highlight w:val="none"/>
              </w:rPr>
            </w:pPr>
          </w:p>
        </w:tc>
        <w:tc>
          <w:tcPr>
            <w:tcW w:w="1272" w:type="dxa"/>
            <w:tcBorders>
              <w:top w:val="single" w:color="auto" w:sz="4" w:space="0"/>
              <w:left w:val="single" w:color="auto" w:sz="4" w:space="0"/>
              <w:bottom w:val="single" w:color="auto" w:sz="4" w:space="0"/>
              <w:right w:val="single" w:color="auto" w:sz="4" w:space="0"/>
            </w:tcBorders>
            <w:noWrap/>
            <w:vAlign w:val="center"/>
          </w:tcPr>
          <w:p w14:paraId="2507B718">
            <w:pPr>
              <w:autoSpaceDN w:val="0"/>
              <w:rPr>
                <w:rFonts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6EF4E78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施工降水</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14:paraId="027347B8">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DF7F225">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9DE34FD">
            <w:pPr>
              <w:autoSpaceDN w:val="0"/>
              <w:rPr>
                <w:rFonts w:ascii="仿宋" w:hAnsi="仿宋" w:eastAsia="仿宋" w:cs="仿宋"/>
                <w:color w:val="auto"/>
                <w:sz w:val="24"/>
                <w:szCs w:val="24"/>
                <w:highlight w:val="none"/>
              </w:rPr>
            </w:pPr>
          </w:p>
        </w:tc>
        <w:tc>
          <w:tcPr>
            <w:tcW w:w="1236" w:type="dxa"/>
            <w:tcBorders>
              <w:top w:val="single" w:color="auto" w:sz="4" w:space="0"/>
              <w:left w:val="single" w:color="auto" w:sz="4" w:space="0"/>
              <w:bottom w:val="single" w:color="auto" w:sz="4" w:space="0"/>
              <w:right w:val="single" w:color="auto" w:sz="4" w:space="0"/>
            </w:tcBorders>
            <w:noWrap/>
          </w:tcPr>
          <w:p w14:paraId="38024FB3">
            <w:pPr>
              <w:autoSpaceDN w:val="0"/>
              <w:rPr>
                <w:rFonts w:ascii="仿宋" w:hAnsi="仿宋" w:eastAsia="仿宋" w:cs="仿宋"/>
                <w:color w:val="auto"/>
                <w:sz w:val="24"/>
                <w:szCs w:val="24"/>
                <w:highlight w:val="none"/>
              </w:rPr>
            </w:pPr>
          </w:p>
        </w:tc>
        <w:tc>
          <w:tcPr>
            <w:tcW w:w="1026" w:type="dxa"/>
            <w:tcBorders>
              <w:top w:val="single" w:color="auto" w:sz="4" w:space="0"/>
              <w:left w:val="single" w:color="auto" w:sz="4" w:space="0"/>
              <w:bottom w:val="single" w:color="auto" w:sz="4" w:space="0"/>
              <w:right w:val="single" w:color="auto" w:sz="4" w:space="0"/>
            </w:tcBorders>
            <w:noWrap/>
          </w:tcPr>
          <w:p w14:paraId="3B63EC12">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BA33C21">
            <w:pPr>
              <w:autoSpaceDN w:val="0"/>
              <w:rPr>
                <w:rFonts w:ascii="仿宋" w:hAnsi="仿宋" w:eastAsia="仿宋" w:cs="仿宋"/>
                <w:color w:val="auto"/>
                <w:sz w:val="24"/>
                <w:szCs w:val="24"/>
                <w:highlight w:val="none"/>
              </w:rPr>
            </w:pPr>
          </w:p>
        </w:tc>
        <w:tc>
          <w:tcPr>
            <w:tcW w:w="1266" w:type="dxa"/>
            <w:gridSpan w:val="2"/>
            <w:tcBorders>
              <w:top w:val="single" w:color="auto" w:sz="4" w:space="0"/>
              <w:left w:val="single" w:color="auto" w:sz="4" w:space="0"/>
              <w:bottom w:val="single" w:color="auto" w:sz="4" w:space="0"/>
              <w:right w:val="single" w:color="auto" w:sz="4" w:space="0"/>
            </w:tcBorders>
            <w:noWrap/>
          </w:tcPr>
          <w:p w14:paraId="1F9C25E5">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0A9EE7DB">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1E7D3BF8">
            <w:pPr>
              <w:autoSpaceDN w:val="0"/>
              <w:rPr>
                <w:rFonts w:ascii="仿宋" w:hAnsi="仿宋" w:eastAsia="仿宋" w:cs="仿宋"/>
                <w:color w:val="auto"/>
                <w:sz w:val="24"/>
                <w:szCs w:val="24"/>
                <w:highlight w:val="none"/>
              </w:rPr>
            </w:pPr>
          </w:p>
        </w:tc>
      </w:tr>
      <w:tr w14:paraId="61801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14:paraId="4D9D24A6">
            <w:pPr>
              <w:autoSpaceDN w:val="0"/>
              <w:rPr>
                <w:rFonts w:ascii="仿宋" w:hAnsi="仿宋" w:eastAsia="仿宋" w:cs="仿宋"/>
                <w:color w:val="auto"/>
                <w:sz w:val="24"/>
                <w:szCs w:val="24"/>
                <w:highlight w:val="none"/>
              </w:rPr>
            </w:pPr>
          </w:p>
        </w:tc>
        <w:tc>
          <w:tcPr>
            <w:tcW w:w="1272" w:type="dxa"/>
            <w:tcBorders>
              <w:top w:val="single" w:color="auto" w:sz="4" w:space="0"/>
              <w:left w:val="single" w:color="auto" w:sz="4" w:space="0"/>
              <w:bottom w:val="single" w:color="auto" w:sz="4" w:space="0"/>
              <w:right w:val="single" w:color="auto" w:sz="4" w:space="0"/>
            </w:tcBorders>
            <w:noWrap/>
            <w:vAlign w:val="center"/>
          </w:tcPr>
          <w:p w14:paraId="3EF7BF2B">
            <w:pPr>
              <w:autoSpaceDN w:val="0"/>
              <w:rPr>
                <w:rFonts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6FD6D2E2">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施工排水</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14:paraId="1219DFD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D40721A">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99A0B24">
            <w:pPr>
              <w:autoSpaceDN w:val="0"/>
              <w:rPr>
                <w:rFonts w:ascii="仿宋" w:hAnsi="仿宋" w:eastAsia="仿宋" w:cs="仿宋"/>
                <w:color w:val="auto"/>
                <w:sz w:val="24"/>
                <w:szCs w:val="24"/>
                <w:highlight w:val="none"/>
              </w:rPr>
            </w:pPr>
          </w:p>
        </w:tc>
        <w:tc>
          <w:tcPr>
            <w:tcW w:w="1236" w:type="dxa"/>
            <w:tcBorders>
              <w:top w:val="single" w:color="auto" w:sz="4" w:space="0"/>
              <w:left w:val="single" w:color="auto" w:sz="4" w:space="0"/>
              <w:bottom w:val="single" w:color="auto" w:sz="4" w:space="0"/>
              <w:right w:val="single" w:color="auto" w:sz="4" w:space="0"/>
            </w:tcBorders>
            <w:noWrap/>
          </w:tcPr>
          <w:p w14:paraId="0CD0AC10">
            <w:pPr>
              <w:autoSpaceDN w:val="0"/>
              <w:rPr>
                <w:rFonts w:ascii="仿宋" w:hAnsi="仿宋" w:eastAsia="仿宋" w:cs="仿宋"/>
                <w:color w:val="auto"/>
                <w:sz w:val="24"/>
                <w:szCs w:val="24"/>
                <w:highlight w:val="none"/>
              </w:rPr>
            </w:pPr>
          </w:p>
        </w:tc>
        <w:tc>
          <w:tcPr>
            <w:tcW w:w="1026" w:type="dxa"/>
            <w:tcBorders>
              <w:top w:val="single" w:color="auto" w:sz="4" w:space="0"/>
              <w:left w:val="single" w:color="auto" w:sz="4" w:space="0"/>
              <w:bottom w:val="single" w:color="auto" w:sz="4" w:space="0"/>
              <w:right w:val="single" w:color="auto" w:sz="4" w:space="0"/>
            </w:tcBorders>
            <w:noWrap/>
          </w:tcPr>
          <w:p w14:paraId="22FB3467">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A4DBD0A">
            <w:pPr>
              <w:autoSpaceDN w:val="0"/>
              <w:rPr>
                <w:rFonts w:ascii="仿宋" w:hAnsi="仿宋" w:eastAsia="仿宋" w:cs="仿宋"/>
                <w:color w:val="auto"/>
                <w:sz w:val="24"/>
                <w:szCs w:val="24"/>
                <w:highlight w:val="none"/>
              </w:rPr>
            </w:pPr>
          </w:p>
        </w:tc>
        <w:tc>
          <w:tcPr>
            <w:tcW w:w="1266" w:type="dxa"/>
            <w:gridSpan w:val="2"/>
            <w:tcBorders>
              <w:top w:val="single" w:color="auto" w:sz="4" w:space="0"/>
              <w:left w:val="single" w:color="auto" w:sz="4" w:space="0"/>
              <w:bottom w:val="single" w:color="auto" w:sz="4" w:space="0"/>
              <w:right w:val="single" w:color="auto" w:sz="4" w:space="0"/>
            </w:tcBorders>
            <w:noWrap/>
          </w:tcPr>
          <w:p w14:paraId="41FD8AFF">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5479F9FF">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43C1C64B">
            <w:pPr>
              <w:autoSpaceDN w:val="0"/>
              <w:rPr>
                <w:rFonts w:ascii="仿宋" w:hAnsi="仿宋" w:eastAsia="仿宋" w:cs="仿宋"/>
                <w:color w:val="auto"/>
                <w:sz w:val="24"/>
                <w:szCs w:val="24"/>
                <w:highlight w:val="none"/>
              </w:rPr>
            </w:pPr>
          </w:p>
        </w:tc>
      </w:tr>
      <w:tr w14:paraId="36FE1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14:paraId="720CBFA2">
            <w:pPr>
              <w:autoSpaceDN w:val="0"/>
              <w:rPr>
                <w:rFonts w:ascii="仿宋" w:hAnsi="仿宋" w:eastAsia="仿宋" w:cs="仿宋"/>
                <w:color w:val="auto"/>
                <w:sz w:val="24"/>
                <w:szCs w:val="24"/>
                <w:highlight w:val="none"/>
              </w:rPr>
            </w:pPr>
          </w:p>
        </w:tc>
        <w:tc>
          <w:tcPr>
            <w:tcW w:w="1272" w:type="dxa"/>
            <w:tcBorders>
              <w:top w:val="single" w:color="auto" w:sz="4" w:space="0"/>
              <w:left w:val="single" w:color="auto" w:sz="4" w:space="0"/>
              <w:bottom w:val="single" w:color="auto" w:sz="4" w:space="0"/>
              <w:right w:val="single" w:color="auto" w:sz="4" w:space="0"/>
            </w:tcBorders>
            <w:noWrap/>
            <w:vAlign w:val="center"/>
          </w:tcPr>
          <w:p w14:paraId="0E44F7A8">
            <w:pPr>
              <w:autoSpaceDN w:val="0"/>
              <w:rPr>
                <w:rFonts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5BC21BE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地下、地下设施或建筑物的临时保护措施</w:t>
            </w:r>
          </w:p>
        </w:tc>
        <w:tc>
          <w:tcPr>
            <w:tcW w:w="1440" w:type="dxa"/>
            <w:tcBorders>
              <w:top w:val="single" w:color="auto" w:sz="4" w:space="0"/>
              <w:left w:val="single" w:color="auto" w:sz="4" w:space="0"/>
              <w:bottom w:val="single" w:color="auto" w:sz="4" w:space="0"/>
              <w:right w:val="single" w:color="auto" w:sz="4" w:space="0"/>
              <w:tr2bl w:val="single" w:color="auto" w:sz="4" w:space="0"/>
            </w:tcBorders>
            <w:noWrap/>
          </w:tcPr>
          <w:p w14:paraId="21A9483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E244AF0">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FCED2C3">
            <w:pPr>
              <w:autoSpaceDN w:val="0"/>
              <w:rPr>
                <w:rFonts w:ascii="仿宋" w:hAnsi="仿宋" w:eastAsia="仿宋" w:cs="仿宋"/>
                <w:color w:val="auto"/>
                <w:sz w:val="24"/>
                <w:szCs w:val="24"/>
                <w:highlight w:val="none"/>
              </w:rPr>
            </w:pPr>
          </w:p>
        </w:tc>
        <w:tc>
          <w:tcPr>
            <w:tcW w:w="1236" w:type="dxa"/>
            <w:tcBorders>
              <w:top w:val="single" w:color="auto" w:sz="4" w:space="0"/>
              <w:left w:val="single" w:color="auto" w:sz="4" w:space="0"/>
              <w:bottom w:val="single" w:color="auto" w:sz="4" w:space="0"/>
              <w:right w:val="single" w:color="auto" w:sz="4" w:space="0"/>
            </w:tcBorders>
            <w:noWrap/>
          </w:tcPr>
          <w:p w14:paraId="230AA6E7">
            <w:pPr>
              <w:autoSpaceDN w:val="0"/>
              <w:rPr>
                <w:rFonts w:ascii="仿宋" w:hAnsi="仿宋" w:eastAsia="仿宋" w:cs="仿宋"/>
                <w:color w:val="auto"/>
                <w:sz w:val="24"/>
                <w:szCs w:val="24"/>
                <w:highlight w:val="none"/>
              </w:rPr>
            </w:pPr>
          </w:p>
        </w:tc>
        <w:tc>
          <w:tcPr>
            <w:tcW w:w="1026" w:type="dxa"/>
            <w:tcBorders>
              <w:top w:val="single" w:color="auto" w:sz="4" w:space="0"/>
              <w:left w:val="single" w:color="auto" w:sz="4" w:space="0"/>
              <w:bottom w:val="single" w:color="auto" w:sz="4" w:space="0"/>
              <w:right w:val="single" w:color="auto" w:sz="4" w:space="0"/>
            </w:tcBorders>
            <w:noWrap/>
          </w:tcPr>
          <w:p w14:paraId="285B767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282446E">
            <w:pPr>
              <w:autoSpaceDN w:val="0"/>
              <w:rPr>
                <w:rFonts w:ascii="仿宋" w:hAnsi="仿宋" w:eastAsia="仿宋" w:cs="仿宋"/>
                <w:color w:val="auto"/>
                <w:sz w:val="24"/>
                <w:szCs w:val="24"/>
                <w:highlight w:val="none"/>
              </w:rPr>
            </w:pPr>
          </w:p>
        </w:tc>
        <w:tc>
          <w:tcPr>
            <w:tcW w:w="1266" w:type="dxa"/>
            <w:gridSpan w:val="2"/>
            <w:tcBorders>
              <w:top w:val="single" w:color="auto" w:sz="4" w:space="0"/>
              <w:left w:val="single" w:color="auto" w:sz="4" w:space="0"/>
              <w:bottom w:val="single" w:color="auto" w:sz="4" w:space="0"/>
              <w:right w:val="single" w:color="auto" w:sz="4" w:space="0"/>
            </w:tcBorders>
            <w:noWrap/>
          </w:tcPr>
          <w:p w14:paraId="0450EFA9">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1EF93DC7">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3D2858F3">
            <w:pPr>
              <w:autoSpaceDN w:val="0"/>
              <w:rPr>
                <w:rFonts w:ascii="仿宋" w:hAnsi="仿宋" w:eastAsia="仿宋" w:cs="仿宋"/>
                <w:color w:val="auto"/>
                <w:sz w:val="24"/>
                <w:szCs w:val="24"/>
                <w:highlight w:val="none"/>
              </w:rPr>
            </w:pPr>
          </w:p>
        </w:tc>
      </w:tr>
      <w:tr w14:paraId="4D97D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14:paraId="42C21D7B">
            <w:pPr>
              <w:autoSpaceDN w:val="0"/>
              <w:rPr>
                <w:rFonts w:ascii="仿宋" w:hAnsi="仿宋" w:eastAsia="仿宋" w:cs="仿宋"/>
                <w:color w:val="auto"/>
                <w:sz w:val="24"/>
                <w:szCs w:val="24"/>
                <w:highlight w:val="none"/>
              </w:rPr>
            </w:pPr>
          </w:p>
        </w:tc>
        <w:tc>
          <w:tcPr>
            <w:tcW w:w="1272" w:type="dxa"/>
            <w:tcBorders>
              <w:top w:val="single" w:color="auto" w:sz="4" w:space="0"/>
              <w:left w:val="single" w:color="auto" w:sz="4" w:space="0"/>
              <w:bottom w:val="single" w:color="auto" w:sz="4" w:space="0"/>
              <w:right w:val="single" w:color="auto" w:sz="4" w:space="0"/>
            </w:tcBorders>
            <w:noWrap/>
            <w:vAlign w:val="center"/>
          </w:tcPr>
          <w:p w14:paraId="1FFF65C5">
            <w:pPr>
              <w:autoSpaceDN w:val="0"/>
              <w:rPr>
                <w:rFonts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7EEC9EB3">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440" w:type="dxa"/>
            <w:tcBorders>
              <w:top w:val="single" w:color="auto" w:sz="4" w:space="0"/>
              <w:left w:val="single" w:color="auto" w:sz="4" w:space="0"/>
              <w:bottom w:val="single" w:color="auto" w:sz="4" w:space="0"/>
              <w:right w:val="single" w:color="auto" w:sz="4" w:space="0"/>
            </w:tcBorders>
            <w:noWrap/>
          </w:tcPr>
          <w:p w14:paraId="6A9959E4">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43AA456E">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3D6595C">
            <w:pPr>
              <w:autoSpaceDN w:val="0"/>
              <w:rPr>
                <w:rFonts w:ascii="仿宋" w:hAnsi="仿宋" w:eastAsia="仿宋" w:cs="仿宋"/>
                <w:color w:val="auto"/>
                <w:sz w:val="24"/>
                <w:szCs w:val="24"/>
                <w:highlight w:val="none"/>
              </w:rPr>
            </w:pPr>
          </w:p>
        </w:tc>
        <w:tc>
          <w:tcPr>
            <w:tcW w:w="1236" w:type="dxa"/>
            <w:tcBorders>
              <w:top w:val="single" w:color="auto" w:sz="4" w:space="0"/>
              <w:left w:val="single" w:color="auto" w:sz="4" w:space="0"/>
              <w:bottom w:val="single" w:color="auto" w:sz="4" w:space="0"/>
              <w:right w:val="single" w:color="auto" w:sz="4" w:space="0"/>
            </w:tcBorders>
            <w:noWrap/>
          </w:tcPr>
          <w:p w14:paraId="6F7C5C54">
            <w:pPr>
              <w:autoSpaceDN w:val="0"/>
              <w:rPr>
                <w:rFonts w:ascii="仿宋" w:hAnsi="仿宋" w:eastAsia="仿宋" w:cs="仿宋"/>
                <w:color w:val="auto"/>
                <w:sz w:val="24"/>
                <w:szCs w:val="24"/>
                <w:highlight w:val="none"/>
              </w:rPr>
            </w:pPr>
          </w:p>
        </w:tc>
        <w:tc>
          <w:tcPr>
            <w:tcW w:w="1026" w:type="dxa"/>
            <w:tcBorders>
              <w:top w:val="single" w:color="auto" w:sz="4" w:space="0"/>
              <w:left w:val="single" w:color="auto" w:sz="4" w:space="0"/>
              <w:bottom w:val="single" w:color="auto" w:sz="4" w:space="0"/>
              <w:right w:val="single" w:color="auto" w:sz="4" w:space="0"/>
            </w:tcBorders>
            <w:noWrap/>
          </w:tcPr>
          <w:p w14:paraId="4948298B">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6D9CD83">
            <w:pPr>
              <w:autoSpaceDN w:val="0"/>
              <w:rPr>
                <w:rFonts w:ascii="仿宋" w:hAnsi="仿宋" w:eastAsia="仿宋" w:cs="仿宋"/>
                <w:color w:val="auto"/>
                <w:sz w:val="24"/>
                <w:szCs w:val="24"/>
                <w:highlight w:val="none"/>
              </w:rPr>
            </w:pPr>
          </w:p>
        </w:tc>
        <w:tc>
          <w:tcPr>
            <w:tcW w:w="1266" w:type="dxa"/>
            <w:gridSpan w:val="2"/>
            <w:tcBorders>
              <w:top w:val="single" w:color="auto" w:sz="4" w:space="0"/>
              <w:left w:val="single" w:color="auto" w:sz="4" w:space="0"/>
              <w:bottom w:val="single" w:color="auto" w:sz="4" w:space="0"/>
              <w:right w:val="single" w:color="auto" w:sz="4" w:space="0"/>
            </w:tcBorders>
            <w:noWrap/>
          </w:tcPr>
          <w:p w14:paraId="03058016">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65FDD2A2">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4DB064E9">
            <w:pPr>
              <w:autoSpaceDN w:val="0"/>
              <w:rPr>
                <w:rFonts w:ascii="仿宋" w:hAnsi="仿宋" w:eastAsia="仿宋" w:cs="仿宋"/>
                <w:color w:val="auto"/>
                <w:sz w:val="24"/>
                <w:szCs w:val="24"/>
                <w:highlight w:val="none"/>
              </w:rPr>
            </w:pPr>
          </w:p>
        </w:tc>
      </w:tr>
      <w:tr w14:paraId="6DFD3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67" w:hRule="atLeast"/>
        </w:trPr>
        <w:tc>
          <w:tcPr>
            <w:tcW w:w="816" w:type="dxa"/>
            <w:tcBorders>
              <w:top w:val="single" w:color="auto" w:sz="4" w:space="0"/>
              <w:left w:val="single" w:color="auto" w:sz="4" w:space="0"/>
              <w:bottom w:val="single" w:color="auto" w:sz="4" w:space="0"/>
              <w:right w:val="single" w:color="auto" w:sz="4" w:space="0"/>
            </w:tcBorders>
            <w:noWrap/>
          </w:tcPr>
          <w:p w14:paraId="060A0C5C">
            <w:pPr>
              <w:autoSpaceDN w:val="0"/>
              <w:rPr>
                <w:rFonts w:ascii="仿宋" w:hAnsi="仿宋" w:eastAsia="仿宋" w:cs="仿宋"/>
                <w:color w:val="auto"/>
                <w:sz w:val="24"/>
                <w:szCs w:val="24"/>
                <w:highlight w:val="none"/>
              </w:rPr>
            </w:pPr>
          </w:p>
        </w:tc>
        <w:tc>
          <w:tcPr>
            <w:tcW w:w="1272" w:type="dxa"/>
            <w:tcBorders>
              <w:top w:val="single" w:color="auto" w:sz="4" w:space="0"/>
              <w:left w:val="single" w:color="auto" w:sz="4" w:space="0"/>
              <w:bottom w:val="single" w:color="auto" w:sz="4" w:space="0"/>
              <w:right w:val="single" w:color="auto" w:sz="4" w:space="0"/>
            </w:tcBorders>
            <w:noWrap/>
          </w:tcPr>
          <w:p w14:paraId="1F72343B">
            <w:pPr>
              <w:autoSpaceDN w:val="0"/>
              <w:rPr>
                <w:rFonts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noWrap/>
            <w:vAlign w:val="center"/>
          </w:tcPr>
          <w:p w14:paraId="74BBDCAF">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模板</w:t>
            </w:r>
          </w:p>
        </w:tc>
        <w:tc>
          <w:tcPr>
            <w:tcW w:w="1440" w:type="dxa"/>
            <w:tcBorders>
              <w:top w:val="single" w:color="auto" w:sz="4" w:space="0"/>
              <w:left w:val="single" w:color="auto" w:sz="4" w:space="0"/>
              <w:bottom w:val="single" w:color="auto" w:sz="4" w:space="0"/>
              <w:right w:val="single" w:color="auto" w:sz="4" w:space="0"/>
            </w:tcBorders>
            <w:noWrap/>
          </w:tcPr>
          <w:p w14:paraId="10F194A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1974D3C">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59149BB">
            <w:pPr>
              <w:autoSpaceDN w:val="0"/>
              <w:rPr>
                <w:rFonts w:ascii="仿宋" w:hAnsi="仿宋" w:eastAsia="仿宋" w:cs="仿宋"/>
                <w:color w:val="auto"/>
                <w:sz w:val="24"/>
                <w:szCs w:val="24"/>
                <w:highlight w:val="none"/>
              </w:rPr>
            </w:pPr>
          </w:p>
        </w:tc>
        <w:tc>
          <w:tcPr>
            <w:tcW w:w="1236" w:type="dxa"/>
            <w:tcBorders>
              <w:top w:val="single" w:color="auto" w:sz="4" w:space="0"/>
              <w:left w:val="single" w:color="auto" w:sz="4" w:space="0"/>
              <w:bottom w:val="single" w:color="auto" w:sz="4" w:space="0"/>
              <w:right w:val="single" w:color="auto" w:sz="4" w:space="0"/>
            </w:tcBorders>
            <w:noWrap/>
          </w:tcPr>
          <w:p w14:paraId="23E62395">
            <w:pPr>
              <w:autoSpaceDN w:val="0"/>
              <w:rPr>
                <w:rFonts w:ascii="仿宋" w:hAnsi="仿宋" w:eastAsia="仿宋" w:cs="仿宋"/>
                <w:color w:val="auto"/>
                <w:sz w:val="24"/>
                <w:szCs w:val="24"/>
                <w:highlight w:val="none"/>
              </w:rPr>
            </w:pPr>
          </w:p>
        </w:tc>
        <w:tc>
          <w:tcPr>
            <w:tcW w:w="1026" w:type="dxa"/>
            <w:tcBorders>
              <w:top w:val="single" w:color="auto" w:sz="4" w:space="0"/>
              <w:left w:val="single" w:color="auto" w:sz="4" w:space="0"/>
              <w:bottom w:val="single" w:color="auto" w:sz="4" w:space="0"/>
              <w:right w:val="single" w:color="auto" w:sz="4" w:space="0"/>
            </w:tcBorders>
            <w:noWrap/>
          </w:tcPr>
          <w:p w14:paraId="7D6F7CD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48E28971">
            <w:pPr>
              <w:autoSpaceDN w:val="0"/>
              <w:rPr>
                <w:rFonts w:ascii="仿宋" w:hAnsi="仿宋" w:eastAsia="仿宋" w:cs="仿宋"/>
                <w:color w:val="auto"/>
                <w:sz w:val="24"/>
                <w:szCs w:val="24"/>
                <w:highlight w:val="none"/>
              </w:rPr>
            </w:pPr>
          </w:p>
        </w:tc>
        <w:tc>
          <w:tcPr>
            <w:tcW w:w="1266" w:type="dxa"/>
            <w:gridSpan w:val="2"/>
            <w:tcBorders>
              <w:top w:val="single" w:color="auto" w:sz="4" w:space="0"/>
              <w:left w:val="single" w:color="auto" w:sz="4" w:space="0"/>
              <w:bottom w:val="single" w:color="auto" w:sz="4" w:space="0"/>
              <w:right w:val="single" w:color="auto" w:sz="4" w:space="0"/>
            </w:tcBorders>
            <w:noWrap/>
          </w:tcPr>
          <w:p w14:paraId="58178206">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62500BA1">
            <w:pPr>
              <w:autoSpaceDN w:val="0"/>
              <w:rPr>
                <w:rFonts w:ascii="仿宋" w:hAnsi="仿宋" w:eastAsia="仿宋" w:cs="仿宋"/>
                <w:color w:val="auto"/>
                <w:sz w:val="24"/>
                <w:szCs w:val="24"/>
                <w:highlight w:val="none"/>
              </w:rPr>
            </w:pPr>
          </w:p>
        </w:tc>
        <w:tc>
          <w:tcPr>
            <w:tcW w:w="921" w:type="dxa"/>
            <w:tcBorders>
              <w:top w:val="single" w:color="auto" w:sz="4" w:space="0"/>
              <w:left w:val="single" w:color="auto" w:sz="4" w:space="0"/>
              <w:bottom w:val="single" w:color="auto" w:sz="4" w:space="0"/>
              <w:right w:val="single" w:color="auto" w:sz="4" w:space="0"/>
            </w:tcBorders>
            <w:noWrap/>
          </w:tcPr>
          <w:p w14:paraId="57E91071">
            <w:pPr>
              <w:autoSpaceDN w:val="0"/>
              <w:rPr>
                <w:rFonts w:ascii="仿宋" w:hAnsi="仿宋" w:eastAsia="仿宋" w:cs="仿宋"/>
                <w:color w:val="auto"/>
                <w:sz w:val="24"/>
                <w:szCs w:val="24"/>
                <w:highlight w:val="none"/>
              </w:rPr>
            </w:pPr>
          </w:p>
        </w:tc>
      </w:tr>
      <w:tr w14:paraId="6AAAB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24" w:type="dxa"/>
            <w:gridSpan w:val="7"/>
            <w:tcBorders>
              <w:top w:val="nil"/>
              <w:left w:val="single" w:color="auto" w:sz="4" w:space="0"/>
              <w:bottom w:val="single" w:color="auto" w:sz="4" w:space="0"/>
              <w:right w:val="single" w:color="auto" w:sz="4" w:space="0"/>
            </w:tcBorders>
            <w:noWrap/>
            <w:vAlign w:val="center"/>
          </w:tcPr>
          <w:p w14:paraId="49173E0A">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026" w:type="dxa"/>
            <w:tcBorders>
              <w:top w:val="single" w:color="auto" w:sz="4" w:space="0"/>
              <w:left w:val="single" w:color="auto" w:sz="4" w:space="0"/>
              <w:bottom w:val="single" w:color="auto" w:sz="4" w:space="0"/>
              <w:right w:val="single" w:color="auto" w:sz="4" w:space="0"/>
            </w:tcBorders>
            <w:noWrap/>
          </w:tcPr>
          <w:p w14:paraId="5F544431">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D6C4220">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7E331BA">
            <w:pPr>
              <w:autoSpaceDN w:val="0"/>
              <w:rPr>
                <w:rFonts w:ascii="仿宋" w:hAnsi="仿宋" w:eastAsia="仿宋" w:cs="仿宋"/>
                <w:color w:val="auto"/>
                <w:sz w:val="24"/>
                <w:szCs w:val="24"/>
                <w:highlight w:val="none"/>
              </w:rPr>
            </w:pPr>
          </w:p>
        </w:tc>
        <w:tc>
          <w:tcPr>
            <w:tcW w:w="927" w:type="dxa"/>
            <w:gridSpan w:val="2"/>
            <w:tcBorders>
              <w:top w:val="single" w:color="auto" w:sz="4" w:space="0"/>
              <w:left w:val="single" w:color="auto" w:sz="4" w:space="0"/>
              <w:bottom w:val="single" w:color="auto" w:sz="4" w:space="0"/>
              <w:right w:val="single" w:color="auto" w:sz="4" w:space="0"/>
            </w:tcBorders>
            <w:noWrap/>
          </w:tcPr>
          <w:p w14:paraId="4B7B8C4E">
            <w:pPr>
              <w:autoSpaceDN w:val="0"/>
              <w:rPr>
                <w:rFonts w:ascii="仿宋" w:hAnsi="仿宋" w:eastAsia="仿宋" w:cs="仿宋"/>
                <w:color w:val="auto"/>
                <w:sz w:val="24"/>
                <w:szCs w:val="24"/>
                <w:highlight w:val="none"/>
              </w:rPr>
            </w:pPr>
          </w:p>
        </w:tc>
        <w:tc>
          <w:tcPr>
            <w:tcW w:w="927" w:type="dxa"/>
            <w:gridSpan w:val="2"/>
            <w:tcBorders>
              <w:top w:val="single" w:color="auto" w:sz="4" w:space="0"/>
              <w:left w:val="single" w:color="auto" w:sz="4" w:space="0"/>
              <w:bottom w:val="single" w:color="auto" w:sz="4" w:space="0"/>
              <w:right w:val="single" w:color="auto" w:sz="4" w:space="0"/>
            </w:tcBorders>
            <w:noWrap/>
          </w:tcPr>
          <w:p w14:paraId="3753222F">
            <w:pPr>
              <w:autoSpaceDN w:val="0"/>
              <w:rPr>
                <w:rFonts w:ascii="仿宋" w:hAnsi="仿宋" w:eastAsia="仿宋" w:cs="仿宋"/>
                <w:color w:val="auto"/>
                <w:sz w:val="24"/>
                <w:szCs w:val="24"/>
                <w:highlight w:val="none"/>
              </w:rPr>
            </w:pPr>
          </w:p>
        </w:tc>
      </w:tr>
    </w:tbl>
    <w:p w14:paraId="1970E7FD">
      <w:pPr>
        <w:widowControl/>
        <w:tabs>
          <w:tab w:val="center" w:pos="4755"/>
          <w:tab w:val="right" w:pos="9070"/>
        </w:tabs>
        <w:autoSpaceDN w:val="0"/>
        <w:jc w:val="left"/>
        <w:rPr>
          <w:rFonts w:ascii="仿宋" w:hAnsi="仿宋" w:eastAsia="仿宋" w:cs="仿宋"/>
          <w:color w:val="auto"/>
          <w:sz w:val="15"/>
          <w:szCs w:val="15"/>
          <w:highlight w:val="none"/>
        </w:rPr>
      </w:pPr>
      <w:r>
        <w:rPr>
          <w:rFonts w:hint="eastAsia" w:ascii="仿宋" w:hAnsi="仿宋" w:eastAsia="仿宋" w:cs="仿宋"/>
          <w:color w:val="auto"/>
          <w:sz w:val="15"/>
          <w:szCs w:val="15"/>
          <w:highlight w:val="none"/>
        </w:rPr>
        <w:t>注：1．本表适用于以“项”为单位计价和以“分部分项工程量清单项目综合单价”方式计价的技术措施项目。</w:t>
      </w:r>
    </w:p>
    <w:p w14:paraId="6D53E31B">
      <w:pPr>
        <w:widowControl/>
        <w:tabs>
          <w:tab w:val="center" w:pos="4755"/>
          <w:tab w:val="right" w:pos="9070"/>
        </w:tabs>
        <w:autoSpaceDN w:val="0"/>
        <w:ind w:firstLine="300" w:firstLineChars="200"/>
        <w:jc w:val="left"/>
        <w:rPr>
          <w:rFonts w:ascii="仿宋" w:hAnsi="仿宋" w:eastAsia="仿宋" w:cs="仿宋"/>
          <w:color w:val="auto"/>
          <w:sz w:val="15"/>
          <w:szCs w:val="15"/>
          <w:highlight w:val="none"/>
        </w:rPr>
      </w:pPr>
      <w:r>
        <w:rPr>
          <w:rFonts w:hint="eastAsia" w:ascii="仿宋" w:hAnsi="仿宋" w:eastAsia="仿宋" w:cs="仿宋"/>
          <w:color w:val="auto"/>
          <w:sz w:val="15"/>
          <w:szCs w:val="15"/>
          <w:highlight w:val="none"/>
        </w:rPr>
        <w:t>2．措施项目应分整体措施项目和专业工程措施项目。如应用于整体措施项目，表头中只须填报项目名称；如应用于专业工程措施项目，表头中应分别填写项目名称、单位工程及专业项目名称。</w:t>
      </w:r>
    </w:p>
    <w:p w14:paraId="65B81058">
      <w:pPr>
        <w:widowControl/>
        <w:tabs>
          <w:tab w:val="center" w:pos="4755"/>
          <w:tab w:val="right" w:pos="9070"/>
        </w:tabs>
        <w:autoSpaceDN w:val="0"/>
        <w:ind w:firstLine="300" w:firstLineChars="200"/>
        <w:jc w:val="left"/>
        <w:rPr>
          <w:rFonts w:ascii="仿宋" w:hAnsi="仿宋" w:eastAsia="仿宋" w:cs="仿宋"/>
          <w:color w:val="auto"/>
          <w:sz w:val="15"/>
          <w:szCs w:val="15"/>
          <w:highlight w:val="none"/>
        </w:rPr>
      </w:pPr>
      <w:r>
        <w:rPr>
          <w:rFonts w:hint="eastAsia" w:ascii="仿宋" w:hAnsi="仿宋" w:eastAsia="仿宋" w:cs="仿宋"/>
          <w:color w:val="auto"/>
          <w:sz w:val="15"/>
          <w:szCs w:val="15"/>
          <w:highlight w:val="none"/>
        </w:rPr>
        <w:t>3．以“分部分项工程量清单项目综合单价”方式计价的技术措施项目，表中第（1）～（5）栏由采购人提供；以“项”为单位计价的技术措施项目，表中第（4）栏项目特征不需要提供和填写。供应商根据施工方案对具体项目可作补充。</w:t>
      </w:r>
    </w:p>
    <w:p w14:paraId="04AD478F">
      <w:pPr>
        <w:widowControl/>
        <w:tabs>
          <w:tab w:val="center" w:pos="4755"/>
          <w:tab w:val="right" w:pos="9070"/>
        </w:tabs>
        <w:autoSpaceDN w:val="0"/>
        <w:jc w:val="left"/>
        <w:rPr>
          <w:rFonts w:ascii="仿宋" w:hAnsi="仿宋" w:eastAsia="仿宋" w:cs="仿宋"/>
          <w:color w:val="auto"/>
          <w:sz w:val="15"/>
          <w:szCs w:val="15"/>
          <w:highlight w:val="none"/>
        </w:rPr>
      </w:pPr>
      <w:r>
        <w:rPr>
          <w:rFonts w:hint="eastAsia" w:ascii="仿宋" w:hAnsi="仿宋" w:eastAsia="仿宋" w:cs="仿宋"/>
          <w:color w:val="auto"/>
          <w:sz w:val="15"/>
          <w:szCs w:val="15"/>
          <w:highlight w:val="none"/>
        </w:rPr>
        <w:t>4．第（6）栏由采购人按需出要求，如采购人需要供应商提供清单项目综合单价的计算分析和工料机分析，请在备注中明确。</w:t>
      </w:r>
    </w:p>
    <w:p w14:paraId="240C0B5B">
      <w:pPr>
        <w:widowControl/>
        <w:spacing w:beforeAutospacing="1" w:afterAutospacing="1"/>
        <w:jc w:val="left"/>
        <w:rPr>
          <w:rFonts w:ascii="仿宋" w:hAnsi="仿宋" w:eastAsia="仿宋" w:cs="Times New Roman"/>
          <w:color w:val="auto"/>
          <w:sz w:val="18"/>
          <w:szCs w:val="18"/>
          <w:highlight w:val="none"/>
        </w:rPr>
        <w:sectPr>
          <w:pgSz w:w="16838" w:h="11906" w:orient="landscape"/>
          <w:pgMar w:top="1191" w:right="1814" w:bottom="1191" w:left="1361" w:header="851" w:footer="1134" w:gutter="0"/>
          <w:cols w:space="720" w:num="1"/>
          <w:docGrid w:type="linesAndChars" w:linePitch="312" w:charSpace="0"/>
        </w:sectPr>
      </w:pPr>
    </w:p>
    <w:p w14:paraId="1CD29526">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表1-3-A-1  安全文明施工措施项目清单及计价表</w:t>
      </w:r>
    </w:p>
    <w:p w14:paraId="289297B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第 页共 页</w:t>
      </w:r>
    </w:p>
    <w:tbl>
      <w:tblPr>
        <w:tblStyle w:val="61"/>
        <w:tblW w:w="8775" w:type="dxa"/>
        <w:jc w:val="center"/>
        <w:tblLayout w:type="fixed"/>
        <w:tblCellMar>
          <w:top w:w="0" w:type="dxa"/>
          <w:left w:w="108" w:type="dxa"/>
          <w:bottom w:w="0" w:type="dxa"/>
          <w:right w:w="108" w:type="dxa"/>
        </w:tblCellMar>
      </w:tblPr>
      <w:tblGrid>
        <w:gridCol w:w="900"/>
        <w:gridCol w:w="2160"/>
        <w:gridCol w:w="647"/>
        <w:gridCol w:w="877"/>
        <w:gridCol w:w="877"/>
        <w:gridCol w:w="877"/>
        <w:gridCol w:w="2437"/>
      </w:tblGrid>
      <w:tr w14:paraId="46E56CAC">
        <w:tblPrEx>
          <w:tblCellMar>
            <w:top w:w="0" w:type="dxa"/>
            <w:left w:w="108" w:type="dxa"/>
            <w:bottom w:w="0" w:type="dxa"/>
            <w:right w:w="108" w:type="dxa"/>
          </w:tblCellMar>
        </w:tblPrEx>
        <w:trPr>
          <w:cantSplit/>
          <w:trHeight w:val="340" w:hRule="atLeast"/>
          <w:tblHeader/>
          <w:jc w:val="center"/>
        </w:trPr>
        <w:tc>
          <w:tcPr>
            <w:tcW w:w="900" w:type="dxa"/>
            <w:tcBorders>
              <w:top w:val="single" w:color="auto" w:sz="4" w:space="0"/>
              <w:left w:val="single" w:color="auto" w:sz="4" w:space="0"/>
              <w:bottom w:val="single" w:color="auto" w:sz="4" w:space="0"/>
              <w:right w:val="single" w:color="auto" w:sz="4" w:space="0"/>
            </w:tcBorders>
            <w:vAlign w:val="center"/>
          </w:tcPr>
          <w:p w14:paraId="29E8A80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2162" w:type="dxa"/>
            <w:tcBorders>
              <w:top w:val="single" w:color="auto" w:sz="4" w:space="0"/>
              <w:left w:val="nil"/>
              <w:bottom w:val="single" w:color="auto" w:sz="4" w:space="0"/>
              <w:right w:val="single" w:color="auto" w:sz="4" w:space="0"/>
            </w:tcBorders>
            <w:vAlign w:val="center"/>
          </w:tcPr>
          <w:p w14:paraId="7291F38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措施项目名称</w:t>
            </w:r>
          </w:p>
        </w:tc>
        <w:tc>
          <w:tcPr>
            <w:tcW w:w="647" w:type="dxa"/>
            <w:tcBorders>
              <w:top w:val="single" w:color="auto" w:sz="4" w:space="0"/>
              <w:left w:val="nil"/>
              <w:bottom w:val="single" w:color="auto" w:sz="4" w:space="0"/>
              <w:right w:val="single" w:color="auto" w:sz="4" w:space="0"/>
            </w:tcBorders>
            <w:vAlign w:val="center"/>
          </w:tcPr>
          <w:p w14:paraId="1E8A211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单位</w:t>
            </w:r>
          </w:p>
        </w:tc>
        <w:tc>
          <w:tcPr>
            <w:tcW w:w="878" w:type="dxa"/>
            <w:tcBorders>
              <w:top w:val="single" w:color="auto" w:sz="4" w:space="0"/>
              <w:left w:val="nil"/>
              <w:bottom w:val="single" w:color="auto" w:sz="4" w:space="0"/>
              <w:right w:val="single" w:color="auto" w:sz="4" w:space="0"/>
            </w:tcBorders>
            <w:vAlign w:val="center"/>
          </w:tcPr>
          <w:p w14:paraId="6AF2BC4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数量</w:t>
            </w:r>
          </w:p>
        </w:tc>
        <w:tc>
          <w:tcPr>
            <w:tcW w:w="878" w:type="dxa"/>
            <w:tcBorders>
              <w:top w:val="single" w:color="auto" w:sz="4" w:space="0"/>
              <w:left w:val="nil"/>
              <w:bottom w:val="single" w:color="auto" w:sz="4" w:space="0"/>
              <w:right w:val="single" w:color="auto" w:sz="4" w:space="0"/>
            </w:tcBorders>
            <w:vAlign w:val="center"/>
          </w:tcPr>
          <w:p w14:paraId="2D72A2F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单价（元）</w:t>
            </w:r>
          </w:p>
        </w:tc>
        <w:tc>
          <w:tcPr>
            <w:tcW w:w="878" w:type="dxa"/>
            <w:tcBorders>
              <w:top w:val="single" w:color="auto" w:sz="4" w:space="0"/>
              <w:left w:val="nil"/>
              <w:bottom w:val="single" w:color="auto" w:sz="4" w:space="0"/>
              <w:right w:val="single" w:color="auto" w:sz="4" w:space="0"/>
            </w:tcBorders>
            <w:vAlign w:val="center"/>
          </w:tcPr>
          <w:p w14:paraId="759AC39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合价（元）</w:t>
            </w:r>
          </w:p>
        </w:tc>
        <w:tc>
          <w:tcPr>
            <w:tcW w:w="2439" w:type="dxa"/>
            <w:tcBorders>
              <w:top w:val="single" w:color="auto" w:sz="4" w:space="0"/>
              <w:left w:val="nil"/>
              <w:bottom w:val="single" w:color="auto" w:sz="4" w:space="0"/>
              <w:right w:val="single" w:color="auto" w:sz="4" w:space="0"/>
            </w:tcBorders>
            <w:vAlign w:val="center"/>
          </w:tcPr>
          <w:p w14:paraId="3BB6659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备注</w:t>
            </w:r>
          </w:p>
        </w:tc>
      </w:tr>
      <w:tr w14:paraId="3AA9D34C">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D4E698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6A97248">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color w:val="auto"/>
                <w:szCs w:val="21"/>
                <w:highlight w:val="none"/>
              </w:rPr>
              <w:t>（2）</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346A82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878" w:type="dxa"/>
            <w:tcBorders>
              <w:top w:val="single" w:color="auto" w:sz="4" w:space="0"/>
              <w:left w:val="nil"/>
              <w:bottom w:val="single" w:color="auto" w:sz="4" w:space="0"/>
              <w:right w:val="single" w:color="auto" w:sz="4" w:space="0"/>
            </w:tcBorders>
            <w:shd w:val="clear" w:color="auto" w:fill="FFFFFF"/>
            <w:vAlign w:val="center"/>
          </w:tcPr>
          <w:p w14:paraId="1ADCB2C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B09641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4D7FB42">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9DC89A0">
            <w:pPr>
              <w:autoSpaceDN w:val="0"/>
              <w:spacing w:line="300" w:lineRule="exact"/>
              <w:ind w:left="-53" w:leftChars="-25" w:right="-53" w:rightChars="-25"/>
              <w:jc w:val="center"/>
              <w:rPr>
                <w:rFonts w:ascii="仿宋" w:hAnsi="仿宋" w:eastAsia="仿宋" w:cs="仿宋"/>
                <w:color w:val="auto"/>
                <w:szCs w:val="21"/>
                <w:highlight w:val="none"/>
              </w:rPr>
            </w:pPr>
          </w:p>
        </w:tc>
      </w:tr>
      <w:tr w14:paraId="6525F59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342F1B2">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一</w:t>
            </w:r>
          </w:p>
        </w:tc>
        <w:tc>
          <w:tcPr>
            <w:tcW w:w="2162" w:type="dxa"/>
            <w:tcBorders>
              <w:top w:val="single" w:color="auto" w:sz="4" w:space="0"/>
              <w:left w:val="nil"/>
              <w:bottom w:val="single" w:color="auto" w:sz="4" w:space="0"/>
              <w:right w:val="single" w:color="auto" w:sz="4" w:space="0"/>
            </w:tcBorders>
            <w:vAlign w:val="center"/>
          </w:tcPr>
          <w:p w14:paraId="460DED12">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安全施工措施项目</w:t>
            </w:r>
          </w:p>
        </w:tc>
        <w:tc>
          <w:tcPr>
            <w:tcW w:w="647" w:type="dxa"/>
            <w:tcBorders>
              <w:top w:val="single" w:color="auto" w:sz="4" w:space="0"/>
              <w:left w:val="nil"/>
              <w:bottom w:val="single" w:color="auto" w:sz="4" w:space="0"/>
              <w:right w:val="single" w:color="auto" w:sz="4" w:space="0"/>
            </w:tcBorders>
            <w:vAlign w:val="center"/>
          </w:tcPr>
          <w:p w14:paraId="510C9E53">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BBE64A5">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E49BB4A">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7DE6750">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7A53E28C">
            <w:pPr>
              <w:autoSpaceDN w:val="0"/>
              <w:spacing w:line="300" w:lineRule="exact"/>
              <w:ind w:left="-53" w:leftChars="-25" w:right="-53" w:rightChars="-25"/>
              <w:jc w:val="center"/>
              <w:rPr>
                <w:rFonts w:ascii="仿宋" w:hAnsi="仿宋" w:eastAsia="仿宋" w:cs="仿宋"/>
                <w:b/>
                <w:bCs/>
                <w:color w:val="auto"/>
                <w:szCs w:val="21"/>
                <w:highlight w:val="none"/>
              </w:rPr>
            </w:pPr>
          </w:p>
        </w:tc>
      </w:tr>
      <w:tr w14:paraId="6BD3D2E1">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68C1CF0">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（一）</w:t>
            </w:r>
          </w:p>
        </w:tc>
        <w:tc>
          <w:tcPr>
            <w:tcW w:w="2162" w:type="dxa"/>
            <w:tcBorders>
              <w:top w:val="single" w:color="auto" w:sz="4" w:space="0"/>
              <w:left w:val="nil"/>
              <w:bottom w:val="single" w:color="auto" w:sz="4" w:space="0"/>
              <w:right w:val="single" w:color="auto" w:sz="4" w:space="0"/>
            </w:tcBorders>
            <w:vAlign w:val="center"/>
          </w:tcPr>
          <w:p w14:paraId="70D00663">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基本安全防护</w:t>
            </w:r>
          </w:p>
        </w:tc>
        <w:tc>
          <w:tcPr>
            <w:tcW w:w="647" w:type="dxa"/>
            <w:tcBorders>
              <w:top w:val="single" w:color="auto" w:sz="4" w:space="0"/>
              <w:left w:val="nil"/>
              <w:bottom w:val="single" w:color="auto" w:sz="4" w:space="0"/>
              <w:right w:val="single" w:color="auto" w:sz="4" w:space="0"/>
            </w:tcBorders>
            <w:vAlign w:val="center"/>
          </w:tcPr>
          <w:p w14:paraId="691719EA">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E9E569B">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0D57BF8">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4665BBC">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31784791">
            <w:pPr>
              <w:autoSpaceDN w:val="0"/>
              <w:spacing w:line="300" w:lineRule="exact"/>
              <w:ind w:left="-53" w:leftChars="-25" w:right="-53" w:rightChars="-25"/>
              <w:jc w:val="center"/>
              <w:rPr>
                <w:rFonts w:ascii="仿宋" w:hAnsi="仿宋" w:eastAsia="仿宋" w:cs="仿宋"/>
                <w:b/>
                <w:bCs/>
                <w:color w:val="auto"/>
                <w:szCs w:val="21"/>
                <w:highlight w:val="none"/>
              </w:rPr>
            </w:pPr>
          </w:p>
        </w:tc>
      </w:tr>
      <w:tr w14:paraId="24F25B4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460FDC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4B8FEA6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安全网</w:t>
            </w:r>
          </w:p>
        </w:tc>
        <w:tc>
          <w:tcPr>
            <w:tcW w:w="647" w:type="dxa"/>
            <w:tcBorders>
              <w:top w:val="single" w:color="auto" w:sz="4" w:space="0"/>
              <w:left w:val="nil"/>
              <w:bottom w:val="single" w:color="auto" w:sz="4" w:space="0"/>
              <w:right w:val="single" w:color="auto" w:sz="4" w:space="0"/>
            </w:tcBorders>
            <w:vAlign w:val="center"/>
          </w:tcPr>
          <w:p w14:paraId="77481C1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B00ECE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97B422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7B2420F">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3240165D">
            <w:pPr>
              <w:autoSpaceDN w:val="0"/>
              <w:spacing w:line="300" w:lineRule="exact"/>
              <w:ind w:left="-53" w:leftChars="-25" w:right="-53" w:rightChars="-25"/>
              <w:jc w:val="center"/>
              <w:rPr>
                <w:rFonts w:ascii="仿宋" w:hAnsi="仿宋" w:eastAsia="仿宋" w:cs="仿宋"/>
                <w:color w:val="auto"/>
                <w:szCs w:val="21"/>
                <w:highlight w:val="none"/>
              </w:rPr>
            </w:pPr>
          </w:p>
        </w:tc>
      </w:tr>
      <w:tr w14:paraId="2F7ECB4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E33680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200440B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安全平网</w:t>
            </w:r>
          </w:p>
        </w:tc>
        <w:tc>
          <w:tcPr>
            <w:tcW w:w="647" w:type="dxa"/>
            <w:tcBorders>
              <w:top w:val="single" w:color="auto" w:sz="4" w:space="0"/>
              <w:left w:val="nil"/>
              <w:bottom w:val="single" w:color="auto" w:sz="4" w:space="0"/>
              <w:right w:val="single" w:color="auto" w:sz="4" w:space="0"/>
            </w:tcBorders>
            <w:vAlign w:val="center"/>
          </w:tcPr>
          <w:p w14:paraId="5D8AAB8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5E4ABA3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3A4A2A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787769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01C7254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平面面积</w:t>
            </w:r>
          </w:p>
        </w:tc>
      </w:tr>
      <w:tr w14:paraId="0A8DA92A">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7F25DA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74A1CB3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密目式立网</w:t>
            </w:r>
          </w:p>
        </w:tc>
        <w:tc>
          <w:tcPr>
            <w:tcW w:w="647" w:type="dxa"/>
            <w:tcBorders>
              <w:top w:val="single" w:color="auto" w:sz="4" w:space="0"/>
              <w:left w:val="nil"/>
              <w:bottom w:val="single" w:color="auto" w:sz="4" w:space="0"/>
              <w:right w:val="single" w:color="auto" w:sz="4" w:space="0"/>
            </w:tcBorders>
            <w:vAlign w:val="center"/>
          </w:tcPr>
          <w:p w14:paraId="4A00948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2FFE070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789E2E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92CE8E1">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A07D7C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垂直立面</w:t>
            </w:r>
          </w:p>
        </w:tc>
      </w:tr>
      <w:tr w14:paraId="791B808A">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38E548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349982A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防护栏杆</w:t>
            </w:r>
          </w:p>
        </w:tc>
        <w:tc>
          <w:tcPr>
            <w:tcW w:w="647" w:type="dxa"/>
            <w:tcBorders>
              <w:top w:val="single" w:color="auto" w:sz="4" w:space="0"/>
              <w:left w:val="nil"/>
              <w:bottom w:val="single" w:color="auto" w:sz="4" w:space="0"/>
              <w:right w:val="single" w:color="auto" w:sz="4" w:space="0"/>
            </w:tcBorders>
            <w:vAlign w:val="center"/>
          </w:tcPr>
          <w:p w14:paraId="5C3C166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A506F5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BB5838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4C1701C">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D7B063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按栏杆长度</w:t>
            </w:r>
          </w:p>
        </w:tc>
      </w:tr>
      <w:tr w14:paraId="0A9846D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BAEEC8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5B001CC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高处作业临边防护栏杆</w:t>
            </w:r>
          </w:p>
        </w:tc>
        <w:tc>
          <w:tcPr>
            <w:tcW w:w="647" w:type="dxa"/>
            <w:tcBorders>
              <w:top w:val="single" w:color="auto" w:sz="4" w:space="0"/>
              <w:left w:val="nil"/>
              <w:bottom w:val="single" w:color="auto" w:sz="4" w:space="0"/>
              <w:right w:val="single" w:color="auto" w:sz="4" w:space="0"/>
            </w:tcBorders>
            <w:vAlign w:val="center"/>
          </w:tcPr>
          <w:p w14:paraId="39299F7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vAlign w:val="center"/>
          </w:tcPr>
          <w:p w14:paraId="07C8AA6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78DFBC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5B5868E">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0A170B8D">
            <w:pPr>
              <w:autoSpaceDN w:val="0"/>
              <w:spacing w:line="300" w:lineRule="exact"/>
              <w:ind w:left="-53" w:leftChars="-25" w:right="-53" w:rightChars="-25"/>
              <w:jc w:val="center"/>
              <w:rPr>
                <w:rFonts w:ascii="仿宋" w:hAnsi="仿宋" w:eastAsia="仿宋" w:cs="仿宋"/>
                <w:color w:val="auto"/>
                <w:szCs w:val="21"/>
                <w:highlight w:val="none"/>
              </w:rPr>
            </w:pPr>
          </w:p>
        </w:tc>
      </w:tr>
      <w:tr w14:paraId="4AE15BD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6D9242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26F43E2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深基坑（槽）临边护栏</w:t>
            </w:r>
          </w:p>
        </w:tc>
        <w:tc>
          <w:tcPr>
            <w:tcW w:w="647" w:type="dxa"/>
            <w:tcBorders>
              <w:top w:val="single" w:color="auto" w:sz="4" w:space="0"/>
              <w:left w:val="nil"/>
              <w:bottom w:val="single" w:color="auto" w:sz="4" w:space="0"/>
              <w:right w:val="single" w:color="auto" w:sz="4" w:space="0"/>
            </w:tcBorders>
            <w:vAlign w:val="center"/>
          </w:tcPr>
          <w:p w14:paraId="43CFA49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vAlign w:val="center"/>
          </w:tcPr>
          <w:p w14:paraId="751D217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392F88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A36DCF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3B565C25">
            <w:pPr>
              <w:autoSpaceDN w:val="0"/>
              <w:spacing w:line="300" w:lineRule="exact"/>
              <w:ind w:left="-53" w:leftChars="-25" w:right="-53" w:rightChars="-25"/>
              <w:jc w:val="center"/>
              <w:rPr>
                <w:rFonts w:ascii="仿宋" w:hAnsi="仿宋" w:eastAsia="仿宋" w:cs="仿宋"/>
                <w:color w:val="auto"/>
                <w:szCs w:val="21"/>
                <w:highlight w:val="none"/>
              </w:rPr>
            </w:pPr>
          </w:p>
        </w:tc>
      </w:tr>
      <w:tr w14:paraId="607933A4">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5BE000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102B7CD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其他防护栏杆</w:t>
            </w:r>
          </w:p>
        </w:tc>
        <w:tc>
          <w:tcPr>
            <w:tcW w:w="647" w:type="dxa"/>
            <w:tcBorders>
              <w:top w:val="single" w:color="auto" w:sz="4" w:space="0"/>
              <w:left w:val="nil"/>
              <w:bottom w:val="single" w:color="auto" w:sz="4" w:space="0"/>
              <w:right w:val="single" w:color="auto" w:sz="4" w:space="0"/>
            </w:tcBorders>
            <w:vAlign w:val="center"/>
          </w:tcPr>
          <w:p w14:paraId="080C88E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vAlign w:val="center"/>
          </w:tcPr>
          <w:p w14:paraId="63720EE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D94DD9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EFF8A6E">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6C7B7A63">
            <w:pPr>
              <w:autoSpaceDN w:val="0"/>
              <w:spacing w:line="300" w:lineRule="exact"/>
              <w:ind w:left="-53" w:leftChars="-25" w:right="-53" w:rightChars="-25"/>
              <w:jc w:val="center"/>
              <w:rPr>
                <w:rFonts w:ascii="仿宋" w:hAnsi="仿宋" w:eastAsia="仿宋" w:cs="仿宋"/>
                <w:color w:val="auto"/>
                <w:szCs w:val="21"/>
                <w:highlight w:val="none"/>
              </w:rPr>
            </w:pPr>
          </w:p>
        </w:tc>
      </w:tr>
      <w:tr w14:paraId="1C77640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A59A4B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43012F4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防护门</w:t>
            </w:r>
          </w:p>
        </w:tc>
        <w:tc>
          <w:tcPr>
            <w:tcW w:w="647" w:type="dxa"/>
            <w:tcBorders>
              <w:top w:val="single" w:color="auto" w:sz="4" w:space="0"/>
              <w:left w:val="nil"/>
              <w:bottom w:val="single" w:color="auto" w:sz="4" w:space="0"/>
              <w:right w:val="single" w:color="auto" w:sz="4" w:space="0"/>
            </w:tcBorders>
            <w:vAlign w:val="center"/>
          </w:tcPr>
          <w:p w14:paraId="59AA201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4B903F2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86AF10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EC8A103">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67E763B0">
            <w:pPr>
              <w:autoSpaceDN w:val="0"/>
              <w:spacing w:line="300" w:lineRule="exact"/>
              <w:ind w:left="-53" w:leftChars="-25" w:right="-53" w:rightChars="-25"/>
              <w:jc w:val="center"/>
              <w:rPr>
                <w:rFonts w:ascii="仿宋" w:hAnsi="仿宋" w:eastAsia="仿宋" w:cs="仿宋"/>
                <w:color w:val="auto"/>
                <w:szCs w:val="21"/>
                <w:highlight w:val="none"/>
              </w:rPr>
            </w:pPr>
          </w:p>
        </w:tc>
      </w:tr>
      <w:tr w14:paraId="43F73A2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45154F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vAlign w:val="center"/>
          </w:tcPr>
          <w:p w14:paraId="13E1C2D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防护棚</w:t>
            </w:r>
          </w:p>
        </w:tc>
        <w:tc>
          <w:tcPr>
            <w:tcW w:w="647" w:type="dxa"/>
            <w:tcBorders>
              <w:top w:val="single" w:color="auto" w:sz="4" w:space="0"/>
              <w:left w:val="nil"/>
              <w:bottom w:val="single" w:color="auto" w:sz="4" w:space="0"/>
              <w:right w:val="single" w:color="auto" w:sz="4" w:space="0"/>
            </w:tcBorders>
            <w:vAlign w:val="center"/>
          </w:tcPr>
          <w:p w14:paraId="373CAF3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226622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6810B5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BBCD1C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729F51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按防护面积</w:t>
            </w:r>
          </w:p>
        </w:tc>
      </w:tr>
      <w:tr w14:paraId="28BF3F4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DB2A3C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0F1D779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通道防护棚</w:t>
            </w:r>
          </w:p>
        </w:tc>
        <w:tc>
          <w:tcPr>
            <w:tcW w:w="647" w:type="dxa"/>
            <w:tcBorders>
              <w:top w:val="single" w:color="auto" w:sz="4" w:space="0"/>
              <w:left w:val="nil"/>
              <w:bottom w:val="single" w:color="auto" w:sz="4" w:space="0"/>
              <w:right w:val="single" w:color="auto" w:sz="4" w:space="0"/>
            </w:tcBorders>
            <w:vAlign w:val="center"/>
          </w:tcPr>
          <w:p w14:paraId="0BF4453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55132DB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7538A2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8C8A69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00FF239">
            <w:pPr>
              <w:autoSpaceDN w:val="0"/>
              <w:spacing w:line="300" w:lineRule="exact"/>
              <w:ind w:left="-53" w:leftChars="-25" w:right="-53" w:rightChars="-25"/>
              <w:jc w:val="center"/>
              <w:rPr>
                <w:rFonts w:ascii="仿宋" w:hAnsi="仿宋" w:eastAsia="仿宋" w:cs="仿宋"/>
                <w:color w:val="auto"/>
                <w:szCs w:val="21"/>
                <w:highlight w:val="none"/>
              </w:rPr>
            </w:pPr>
          </w:p>
        </w:tc>
      </w:tr>
      <w:tr w14:paraId="522C1FB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58DA24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3ED91AD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井架防护棚</w:t>
            </w:r>
          </w:p>
        </w:tc>
        <w:tc>
          <w:tcPr>
            <w:tcW w:w="647" w:type="dxa"/>
            <w:tcBorders>
              <w:top w:val="single" w:color="auto" w:sz="4" w:space="0"/>
              <w:left w:val="nil"/>
              <w:bottom w:val="single" w:color="auto" w:sz="4" w:space="0"/>
              <w:right w:val="single" w:color="auto" w:sz="4" w:space="0"/>
            </w:tcBorders>
            <w:vAlign w:val="center"/>
          </w:tcPr>
          <w:p w14:paraId="5EB8FF9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6170BFE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CC0049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902A15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36C2E749">
            <w:pPr>
              <w:autoSpaceDN w:val="0"/>
              <w:spacing w:line="300" w:lineRule="exact"/>
              <w:ind w:left="-53" w:leftChars="-25" w:right="-53" w:rightChars="-25"/>
              <w:jc w:val="center"/>
              <w:rPr>
                <w:rFonts w:ascii="仿宋" w:hAnsi="仿宋" w:eastAsia="仿宋" w:cs="仿宋"/>
                <w:color w:val="auto"/>
                <w:szCs w:val="21"/>
                <w:highlight w:val="none"/>
              </w:rPr>
            </w:pPr>
          </w:p>
        </w:tc>
      </w:tr>
      <w:tr w14:paraId="253B862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72513D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4FF3154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升降机防护棚</w:t>
            </w:r>
          </w:p>
        </w:tc>
        <w:tc>
          <w:tcPr>
            <w:tcW w:w="647" w:type="dxa"/>
            <w:tcBorders>
              <w:top w:val="single" w:color="auto" w:sz="4" w:space="0"/>
              <w:left w:val="nil"/>
              <w:bottom w:val="single" w:color="auto" w:sz="4" w:space="0"/>
              <w:right w:val="single" w:color="auto" w:sz="4" w:space="0"/>
            </w:tcBorders>
            <w:vAlign w:val="center"/>
          </w:tcPr>
          <w:p w14:paraId="0FDD4E3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530B5DB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AD25B4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55AC25E">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43F0512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含人货两用升降机、货用</w:t>
            </w:r>
          </w:p>
          <w:p w14:paraId="62D24F6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升降机</w:t>
            </w:r>
          </w:p>
        </w:tc>
      </w:tr>
      <w:tr w14:paraId="2ACB8CC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8EC2A8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vAlign w:val="center"/>
          </w:tcPr>
          <w:p w14:paraId="04CC992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断头路阻挡墙</w:t>
            </w:r>
          </w:p>
        </w:tc>
        <w:tc>
          <w:tcPr>
            <w:tcW w:w="647" w:type="dxa"/>
            <w:tcBorders>
              <w:top w:val="single" w:color="auto" w:sz="4" w:space="0"/>
              <w:left w:val="nil"/>
              <w:bottom w:val="single" w:color="auto" w:sz="4" w:space="0"/>
              <w:right w:val="single" w:color="auto" w:sz="4" w:space="0"/>
            </w:tcBorders>
            <w:vAlign w:val="center"/>
          </w:tcPr>
          <w:p w14:paraId="12738E1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3</w:t>
            </w:r>
          </w:p>
        </w:tc>
        <w:tc>
          <w:tcPr>
            <w:tcW w:w="878" w:type="dxa"/>
            <w:tcBorders>
              <w:top w:val="single" w:color="auto" w:sz="4" w:space="0"/>
              <w:left w:val="nil"/>
              <w:bottom w:val="single" w:color="auto" w:sz="4" w:space="0"/>
              <w:right w:val="single" w:color="auto" w:sz="4" w:space="0"/>
            </w:tcBorders>
            <w:vAlign w:val="center"/>
          </w:tcPr>
          <w:p w14:paraId="1E60601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8E4F48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6BD95C1">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67649F61">
            <w:pPr>
              <w:autoSpaceDN w:val="0"/>
              <w:spacing w:line="300" w:lineRule="exact"/>
              <w:ind w:left="-53" w:leftChars="-25" w:right="-53" w:rightChars="-25"/>
              <w:jc w:val="center"/>
              <w:rPr>
                <w:rFonts w:ascii="仿宋" w:hAnsi="仿宋" w:eastAsia="仿宋" w:cs="仿宋"/>
                <w:color w:val="auto"/>
                <w:szCs w:val="21"/>
                <w:highlight w:val="none"/>
              </w:rPr>
            </w:pPr>
          </w:p>
        </w:tc>
      </w:tr>
      <w:tr w14:paraId="39215406">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A456E1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162" w:type="dxa"/>
            <w:tcBorders>
              <w:top w:val="single" w:color="auto" w:sz="4" w:space="0"/>
              <w:left w:val="nil"/>
              <w:bottom w:val="single" w:color="auto" w:sz="4" w:space="0"/>
              <w:right w:val="single" w:color="auto" w:sz="4" w:space="0"/>
            </w:tcBorders>
            <w:vAlign w:val="center"/>
          </w:tcPr>
          <w:p w14:paraId="2183D33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安全隔离网</w:t>
            </w:r>
          </w:p>
        </w:tc>
        <w:tc>
          <w:tcPr>
            <w:tcW w:w="647" w:type="dxa"/>
            <w:tcBorders>
              <w:top w:val="single" w:color="auto" w:sz="4" w:space="0"/>
              <w:left w:val="nil"/>
              <w:bottom w:val="single" w:color="auto" w:sz="4" w:space="0"/>
              <w:right w:val="single" w:color="auto" w:sz="4" w:space="0"/>
            </w:tcBorders>
            <w:vAlign w:val="center"/>
          </w:tcPr>
          <w:p w14:paraId="2D4A33A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384BED0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3BFFFA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5B81AD8">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F1E7C2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爆破工程</w:t>
            </w:r>
          </w:p>
        </w:tc>
      </w:tr>
      <w:tr w14:paraId="72C1C3A5">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5CF481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162" w:type="dxa"/>
            <w:tcBorders>
              <w:top w:val="single" w:color="auto" w:sz="4" w:space="0"/>
              <w:left w:val="nil"/>
              <w:bottom w:val="single" w:color="auto" w:sz="4" w:space="0"/>
              <w:right w:val="single" w:color="auto" w:sz="4" w:space="0"/>
            </w:tcBorders>
            <w:vAlign w:val="center"/>
          </w:tcPr>
          <w:p w14:paraId="0C8EBAD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对讲机</w:t>
            </w:r>
          </w:p>
        </w:tc>
        <w:tc>
          <w:tcPr>
            <w:tcW w:w="647" w:type="dxa"/>
            <w:tcBorders>
              <w:top w:val="single" w:color="auto" w:sz="4" w:space="0"/>
              <w:left w:val="nil"/>
              <w:bottom w:val="single" w:color="auto" w:sz="4" w:space="0"/>
              <w:right w:val="single" w:color="auto" w:sz="4" w:space="0"/>
            </w:tcBorders>
            <w:vAlign w:val="center"/>
          </w:tcPr>
          <w:p w14:paraId="1E67340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vAlign w:val="center"/>
          </w:tcPr>
          <w:p w14:paraId="04667DC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4FAAF2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C5DF8B7">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62CC44D">
            <w:pPr>
              <w:autoSpaceDN w:val="0"/>
              <w:spacing w:line="300" w:lineRule="exact"/>
              <w:ind w:left="-53" w:leftChars="-25" w:right="-53" w:rightChars="-25"/>
              <w:jc w:val="center"/>
              <w:rPr>
                <w:rFonts w:ascii="仿宋" w:hAnsi="仿宋" w:eastAsia="仿宋" w:cs="仿宋"/>
                <w:color w:val="auto"/>
                <w:szCs w:val="21"/>
                <w:highlight w:val="none"/>
              </w:rPr>
            </w:pPr>
          </w:p>
        </w:tc>
      </w:tr>
      <w:tr w14:paraId="33A60A6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1FAB335">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（二）</w:t>
            </w:r>
          </w:p>
        </w:tc>
        <w:tc>
          <w:tcPr>
            <w:tcW w:w="2162" w:type="dxa"/>
            <w:tcBorders>
              <w:top w:val="single" w:color="auto" w:sz="4" w:space="0"/>
              <w:left w:val="nil"/>
              <w:bottom w:val="single" w:color="auto" w:sz="4" w:space="0"/>
              <w:right w:val="single" w:color="auto" w:sz="4" w:space="0"/>
            </w:tcBorders>
            <w:vAlign w:val="center"/>
          </w:tcPr>
          <w:p w14:paraId="4AFE25F8">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高处作业</w:t>
            </w:r>
          </w:p>
        </w:tc>
        <w:tc>
          <w:tcPr>
            <w:tcW w:w="647" w:type="dxa"/>
            <w:tcBorders>
              <w:top w:val="single" w:color="auto" w:sz="4" w:space="0"/>
              <w:left w:val="nil"/>
              <w:bottom w:val="single" w:color="auto" w:sz="4" w:space="0"/>
              <w:right w:val="single" w:color="auto" w:sz="4" w:space="0"/>
            </w:tcBorders>
            <w:vAlign w:val="center"/>
          </w:tcPr>
          <w:p w14:paraId="7B9FFE14">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0007BF3">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9644EDB">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6CF6391">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31F599F3">
            <w:pPr>
              <w:autoSpaceDN w:val="0"/>
              <w:spacing w:line="300" w:lineRule="exact"/>
              <w:ind w:left="-53" w:leftChars="-25" w:right="-53" w:rightChars="-25"/>
              <w:jc w:val="center"/>
              <w:rPr>
                <w:rFonts w:ascii="仿宋" w:hAnsi="仿宋" w:eastAsia="仿宋" w:cs="仿宋"/>
                <w:b/>
                <w:bCs/>
                <w:color w:val="auto"/>
                <w:szCs w:val="21"/>
                <w:highlight w:val="none"/>
              </w:rPr>
            </w:pPr>
          </w:p>
        </w:tc>
      </w:tr>
      <w:tr w14:paraId="124F165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41B3E59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54D51DB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洞口水平隔离防护</w:t>
            </w:r>
          </w:p>
        </w:tc>
        <w:tc>
          <w:tcPr>
            <w:tcW w:w="647" w:type="dxa"/>
            <w:tcBorders>
              <w:top w:val="single" w:color="auto" w:sz="4" w:space="0"/>
              <w:left w:val="nil"/>
              <w:bottom w:val="single" w:color="auto" w:sz="4" w:space="0"/>
              <w:right w:val="single" w:color="auto" w:sz="4" w:space="0"/>
            </w:tcBorders>
            <w:vAlign w:val="center"/>
          </w:tcPr>
          <w:p w14:paraId="4E856C0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0E14EA9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10EBEC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C67F9C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0489672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按洞口水平面积</w:t>
            </w:r>
          </w:p>
        </w:tc>
      </w:tr>
      <w:tr w14:paraId="45BDD10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4B4A49C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0CA7D04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高压线安全措施</w:t>
            </w:r>
          </w:p>
        </w:tc>
        <w:tc>
          <w:tcPr>
            <w:tcW w:w="647" w:type="dxa"/>
            <w:tcBorders>
              <w:top w:val="single" w:color="auto" w:sz="4" w:space="0"/>
              <w:left w:val="nil"/>
              <w:bottom w:val="single" w:color="auto" w:sz="4" w:space="0"/>
              <w:right w:val="single" w:color="auto" w:sz="4" w:space="0"/>
            </w:tcBorders>
            <w:vAlign w:val="center"/>
          </w:tcPr>
          <w:p w14:paraId="1F255C0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370A04E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E4EADB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43F957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7216C723">
            <w:pPr>
              <w:autoSpaceDN w:val="0"/>
              <w:spacing w:line="300" w:lineRule="exact"/>
              <w:ind w:left="-53" w:leftChars="-25" w:right="-53" w:rightChars="-25"/>
              <w:jc w:val="center"/>
              <w:rPr>
                <w:rFonts w:ascii="仿宋" w:hAnsi="仿宋" w:eastAsia="仿宋" w:cs="仿宋"/>
                <w:color w:val="auto"/>
                <w:szCs w:val="21"/>
                <w:highlight w:val="none"/>
              </w:rPr>
            </w:pPr>
          </w:p>
        </w:tc>
      </w:tr>
      <w:tr w14:paraId="60EF208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DD96B3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3432F15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起重设备防护措施</w:t>
            </w:r>
          </w:p>
        </w:tc>
        <w:tc>
          <w:tcPr>
            <w:tcW w:w="647" w:type="dxa"/>
            <w:tcBorders>
              <w:top w:val="single" w:color="auto" w:sz="4" w:space="0"/>
              <w:left w:val="nil"/>
              <w:bottom w:val="single" w:color="auto" w:sz="4" w:space="0"/>
              <w:right w:val="single" w:color="auto" w:sz="4" w:space="0"/>
            </w:tcBorders>
            <w:vAlign w:val="center"/>
          </w:tcPr>
          <w:p w14:paraId="3743838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215065F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AB3757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B072B4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449343E1">
            <w:pPr>
              <w:autoSpaceDN w:val="0"/>
              <w:spacing w:line="300" w:lineRule="exact"/>
              <w:ind w:left="-53" w:leftChars="-25" w:right="-53" w:rightChars="-25"/>
              <w:jc w:val="center"/>
              <w:rPr>
                <w:rFonts w:ascii="仿宋" w:hAnsi="仿宋" w:eastAsia="仿宋" w:cs="仿宋"/>
                <w:color w:val="auto"/>
                <w:szCs w:val="21"/>
                <w:highlight w:val="none"/>
              </w:rPr>
            </w:pPr>
          </w:p>
        </w:tc>
      </w:tr>
      <w:tr w14:paraId="33FDA9A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4267634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vAlign w:val="center"/>
          </w:tcPr>
          <w:p w14:paraId="300BA9E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楼层呼唤器</w:t>
            </w:r>
          </w:p>
        </w:tc>
        <w:tc>
          <w:tcPr>
            <w:tcW w:w="647" w:type="dxa"/>
            <w:tcBorders>
              <w:top w:val="single" w:color="auto" w:sz="4" w:space="0"/>
              <w:left w:val="nil"/>
              <w:bottom w:val="single" w:color="auto" w:sz="4" w:space="0"/>
              <w:right w:val="single" w:color="auto" w:sz="4" w:space="0"/>
            </w:tcBorders>
            <w:vAlign w:val="center"/>
          </w:tcPr>
          <w:p w14:paraId="6E172EC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vAlign w:val="center"/>
          </w:tcPr>
          <w:p w14:paraId="5B5FC66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E97A9F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D8BD778">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7358E1AA">
            <w:pPr>
              <w:autoSpaceDN w:val="0"/>
              <w:spacing w:line="300" w:lineRule="exact"/>
              <w:ind w:left="-53" w:leftChars="-25" w:right="-53" w:rightChars="-25"/>
              <w:jc w:val="center"/>
              <w:rPr>
                <w:rFonts w:ascii="仿宋" w:hAnsi="仿宋" w:eastAsia="仿宋" w:cs="仿宋"/>
                <w:color w:val="auto"/>
                <w:szCs w:val="21"/>
                <w:highlight w:val="none"/>
              </w:rPr>
            </w:pPr>
          </w:p>
        </w:tc>
      </w:tr>
      <w:tr w14:paraId="72D9DEA0">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AB25A5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vAlign w:val="center"/>
          </w:tcPr>
          <w:p w14:paraId="0617814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其他高处作业安全防护</w:t>
            </w:r>
          </w:p>
        </w:tc>
        <w:tc>
          <w:tcPr>
            <w:tcW w:w="647" w:type="dxa"/>
            <w:tcBorders>
              <w:top w:val="single" w:color="auto" w:sz="4" w:space="0"/>
              <w:left w:val="nil"/>
              <w:bottom w:val="single" w:color="auto" w:sz="4" w:space="0"/>
              <w:right w:val="single" w:color="auto" w:sz="4" w:space="0"/>
            </w:tcBorders>
            <w:vAlign w:val="center"/>
          </w:tcPr>
          <w:p w14:paraId="3291245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9F0E63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AB6D1C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8A5FF5C">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0C58EA40">
            <w:pPr>
              <w:autoSpaceDN w:val="0"/>
              <w:spacing w:line="300" w:lineRule="exact"/>
              <w:ind w:left="-53" w:leftChars="-25" w:right="-53" w:rightChars="-25"/>
              <w:jc w:val="center"/>
              <w:rPr>
                <w:rFonts w:ascii="仿宋" w:hAnsi="仿宋" w:eastAsia="仿宋" w:cs="仿宋"/>
                <w:color w:val="auto"/>
                <w:szCs w:val="21"/>
                <w:highlight w:val="none"/>
              </w:rPr>
            </w:pPr>
          </w:p>
        </w:tc>
      </w:tr>
      <w:tr w14:paraId="16C6B5FD">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938544B">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（三）</w:t>
            </w:r>
          </w:p>
        </w:tc>
        <w:tc>
          <w:tcPr>
            <w:tcW w:w="2162" w:type="dxa"/>
            <w:tcBorders>
              <w:top w:val="single" w:color="auto" w:sz="4" w:space="0"/>
              <w:left w:val="nil"/>
              <w:bottom w:val="single" w:color="auto" w:sz="4" w:space="0"/>
              <w:right w:val="single" w:color="auto" w:sz="4" w:space="0"/>
            </w:tcBorders>
            <w:vAlign w:val="center"/>
          </w:tcPr>
          <w:p w14:paraId="6F1D8A1C">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深基坑（槽）</w:t>
            </w:r>
          </w:p>
        </w:tc>
        <w:tc>
          <w:tcPr>
            <w:tcW w:w="647" w:type="dxa"/>
            <w:tcBorders>
              <w:top w:val="single" w:color="auto" w:sz="4" w:space="0"/>
              <w:left w:val="nil"/>
              <w:bottom w:val="single" w:color="auto" w:sz="4" w:space="0"/>
              <w:right w:val="single" w:color="auto" w:sz="4" w:space="0"/>
            </w:tcBorders>
            <w:vAlign w:val="center"/>
          </w:tcPr>
          <w:p w14:paraId="54953011">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1F92503">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C0AFB58">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735CEAB">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913B91C">
            <w:pPr>
              <w:autoSpaceDN w:val="0"/>
              <w:spacing w:line="300" w:lineRule="exact"/>
              <w:ind w:left="-53" w:leftChars="-25" w:right="-53" w:rightChars="-25"/>
              <w:jc w:val="center"/>
              <w:rPr>
                <w:rFonts w:ascii="仿宋" w:hAnsi="仿宋" w:eastAsia="仿宋" w:cs="仿宋"/>
                <w:b/>
                <w:bCs/>
                <w:color w:val="auto"/>
                <w:szCs w:val="21"/>
                <w:highlight w:val="none"/>
              </w:rPr>
            </w:pPr>
          </w:p>
        </w:tc>
      </w:tr>
      <w:tr w14:paraId="06042916">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71613E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436AE02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上下专用通道</w:t>
            </w:r>
          </w:p>
        </w:tc>
        <w:tc>
          <w:tcPr>
            <w:tcW w:w="647" w:type="dxa"/>
            <w:tcBorders>
              <w:top w:val="single" w:color="auto" w:sz="4" w:space="0"/>
              <w:left w:val="nil"/>
              <w:bottom w:val="single" w:color="auto" w:sz="4" w:space="0"/>
              <w:right w:val="single" w:color="auto" w:sz="4" w:space="0"/>
            </w:tcBorders>
            <w:vAlign w:val="center"/>
          </w:tcPr>
          <w:p w14:paraId="0CD2A3B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35C307A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F454BC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8D5533A">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2554C0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含安全爬梯</w:t>
            </w:r>
          </w:p>
        </w:tc>
      </w:tr>
      <w:tr w14:paraId="55C7EDE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460213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1B63F96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基坑支护变形监测</w:t>
            </w:r>
          </w:p>
        </w:tc>
        <w:tc>
          <w:tcPr>
            <w:tcW w:w="647" w:type="dxa"/>
            <w:tcBorders>
              <w:top w:val="single" w:color="auto" w:sz="4" w:space="0"/>
              <w:left w:val="nil"/>
              <w:bottom w:val="single" w:color="auto" w:sz="4" w:space="0"/>
              <w:right w:val="single" w:color="auto" w:sz="4" w:space="0"/>
            </w:tcBorders>
            <w:vAlign w:val="center"/>
          </w:tcPr>
          <w:p w14:paraId="42C2A82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2C2F569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DEAFDA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3E1E8B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A5B141D">
            <w:pPr>
              <w:autoSpaceDN w:val="0"/>
              <w:spacing w:line="300" w:lineRule="exact"/>
              <w:ind w:left="-53" w:leftChars="-25" w:right="-53" w:rightChars="-25"/>
              <w:jc w:val="center"/>
              <w:rPr>
                <w:rFonts w:ascii="仿宋" w:hAnsi="仿宋" w:eastAsia="仿宋" w:cs="仿宋"/>
                <w:color w:val="auto"/>
                <w:szCs w:val="21"/>
                <w:highlight w:val="none"/>
              </w:rPr>
            </w:pPr>
          </w:p>
        </w:tc>
      </w:tr>
      <w:tr w14:paraId="2891DE22">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2FDDF5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27AC934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其他深基坑安全防护</w:t>
            </w:r>
          </w:p>
        </w:tc>
        <w:tc>
          <w:tcPr>
            <w:tcW w:w="647" w:type="dxa"/>
            <w:tcBorders>
              <w:top w:val="single" w:color="auto" w:sz="4" w:space="0"/>
              <w:left w:val="nil"/>
              <w:bottom w:val="single" w:color="auto" w:sz="4" w:space="0"/>
              <w:right w:val="single" w:color="auto" w:sz="4" w:space="0"/>
            </w:tcBorders>
            <w:vAlign w:val="center"/>
          </w:tcPr>
          <w:p w14:paraId="4FD842E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7E88D1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165B97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EFD533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3C10372">
            <w:pPr>
              <w:autoSpaceDN w:val="0"/>
              <w:spacing w:line="300" w:lineRule="exact"/>
              <w:ind w:left="-53" w:leftChars="-25" w:right="-53" w:rightChars="-25"/>
              <w:jc w:val="center"/>
              <w:rPr>
                <w:rFonts w:ascii="仿宋" w:hAnsi="仿宋" w:eastAsia="仿宋" w:cs="仿宋"/>
                <w:color w:val="auto"/>
                <w:szCs w:val="21"/>
                <w:highlight w:val="none"/>
              </w:rPr>
            </w:pPr>
          </w:p>
        </w:tc>
      </w:tr>
      <w:tr w14:paraId="4A94E48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F41574A">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（四）</w:t>
            </w:r>
          </w:p>
        </w:tc>
        <w:tc>
          <w:tcPr>
            <w:tcW w:w="2162" w:type="dxa"/>
            <w:tcBorders>
              <w:top w:val="single" w:color="auto" w:sz="4" w:space="0"/>
              <w:left w:val="nil"/>
              <w:bottom w:val="single" w:color="auto" w:sz="4" w:space="0"/>
              <w:right w:val="single" w:color="auto" w:sz="4" w:space="0"/>
            </w:tcBorders>
            <w:vAlign w:val="center"/>
          </w:tcPr>
          <w:p w14:paraId="317FF7D6">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脚手架</w:t>
            </w:r>
          </w:p>
        </w:tc>
        <w:tc>
          <w:tcPr>
            <w:tcW w:w="647" w:type="dxa"/>
            <w:tcBorders>
              <w:top w:val="single" w:color="auto" w:sz="4" w:space="0"/>
              <w:left w:val="nil"/>
              <w:bottom w:val="single" w:color="auto" w:sz="4" w:space="0"/>
              <w:right w:val="single" w:color="auto" w:sz="4" w:space="0"/>
            </w:tcBorders>
            <w:vAlign w:val="center"/>
          </w:tcPr>
          <w:p w14:paraId="5414F666">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51CFF5C">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3CABA8D">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8E7304B">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452DCB68">
            <w:pPr>
              <w:autoSpaceDN w:val="0"/>
              <w:spacing w:line="300" w:lineRule="exact"/>
              <w:ind w:left="-53" w:leftChars="-25" w:right="-53" w:rightChars="-25"/>
              <w:jc w:val="center"/>
              <w:rPr>
                <w:rFonts w:ascii="仿宋" w:hAnsi="仿宋" w:eastAsia="仿宋" w:cs="仿宋"/>
                <w:b/>
                <w:bCs/>
                <w:color w:val="auto"/>
                <w:szCs w:val="21"/>
                <w:highlight w:val="none"/>
              </w:rPr>
            </w:pPr>
          </w:p>
        </w:tc>
      </w:tr>
      <w:tr w14:paraId="377DBECC">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50DE03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520C758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水平隔离封闭设施</w:t>
            </w:r>
          </w:p>
        </w:tc>
        <w:tc>
          <w:tcPr>
            <w:tcW w:w="647" w:type="dxa"/>
            <w:tcBorders>
              <w:top w:val="single" w:color="auto" w:sz="4" w:space="0"/>
              <w:left w:val="nil"/>
              <w:bottom w:val="single" w:color="auto" w:sz="4" w:space="0"/>
              <w:right w:val="single" w:color="auto" w:sz="4" w:space="0"/>
            </w:tcBorders>
            <w:vAlign w:val="center"/>
          </w:tcPr>
          <w:p w14:paraId="37710ED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vAlign w:val="center"/>
          </w:tcPr>
          <w:p w14:paraId="212F941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8AE501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A3E5FE7">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6FD6B39E">
            <w:pPr>
              <w:autoSpaceDN w:val="0"/>
              <w:spacing w:line="300" w:lineRule="exact"/>
              <w:ind w:left="-53" w:leftChars="-25" w:right="-53" w:rightChars="-25"/>
              <w:jc w:val="center"/>
              <w:rPr>
                <w:rFonts w:ascii="仿宋" w:hAnsi="仿宋" w:eastAsia="仿宋" w:cs="仿宋"/>
                <w:color w:val="auto"/>
                <w:szCs w:val="21"/>
                <w:highlight w:val="none"/>
              </w:rPr>
            </w:pPr>
          </w:p>
        </w:tc>
      </w:tr>
      <w:tr w14:paraId="16A59DD1">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2BCDAB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4F844D7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其他脚手架安全防护</w:t>
            </w:r>
          </w:p>
        </w:tc>
        <w:tc>
          <w:tcPr>
            <w:tcW w:w="647" w:type="dxa"/>
            <w:tcBorders>
              <w:top w:val="single" w:color="auto" w:sz="4" w:space="0"/>
              <w:left w:val="nil"/>
              <w:bottom w:val="single" w:color="auto" w:sz="4" w:space="0"/>
              <w:right w:val="single" w:color="auto" w:sz="4" w:space="0"/>
            </w:tcBorders>
            <w:vAlign w:val="center"/>
          </w:tcPr>
          <w:p w14:paraId="2C9248A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F437EB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DAC768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37A9FAF">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5A4D3E8">
            <w:pPr>
              <w:autoSpaceDN w:val="0"/>
              <w:spacing w:line="300" w:lineRule="exact"/>
              <w:ind w:left="-53" w:leftChars="-25" w:right="-53" w:rightChars="-25"/>
              <w:jc w:val="center"/>
              <w:rPr>
                <w:rFonts w:ascii="仿宋" w:hAnsi="仿宋" w:eastAsia="仿宋" w:cs="仿宋"/>
                <w:color w:val="auto"/>
                <w:szCs w:val="21"/>
                <w:highlight w:val="none"/>
              </w:rPr>
            </w:pPr>
          </w:p>
        </w:tc>
      </w:tr>
      <w:tr w14:paraId="51615AC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D5C25A5">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（五）</w:t>
            </w:r>
          </w:p>
        </w:tc>
        <w:tc>
          <w:tcPr>
            <w:tcW w:w="2162" w:type="dxa"/>
            <w:tcBorders>
              <w:top w:val="single" w:color="auto" w:sz="4" w:space="0"/>
              <w:left w:val="nil"/>
              <w:bottom w:val="single" w:color="auto" w:sz="4" w:space="0"/>
              <w:right w:val="single" w:color="auto" w:sz="4" w:space="0"/>
            </w:tcBorders>
            <w:vAlign w:val="center"/>
          </w:tcPr>
          <w:p w14:paraId="57B85395">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井架</w:t>
            </w:r>
          </w:p>
        </w:tc>
        <w:tc>
          <w:tcPr>
            <w:tcW w:w="647" w:type="dxa"/>
            <w:tcBorders>
              <w:top w:val="single" w:color="auto" w:sz="4" w:space="0"/>
              <w:left w:val="nil"/>
              <w:bottom w:val="single" w:color="auto" w:sz="4" w:space="0"/>
              <w:right w:val="single" w:color="auto" w:sz="4" w:space="0"/>
            </w:tcBorders>
            <w:vAlign w:val="center"/>
          </w:tcPr>
          <w:p w14:paraId="4B01263A">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1D1FFE3">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9A5C31C">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92D6D35">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EB2FC5D">
            <w:pPr>
              <w:autoSpaceDN w:val="0"/>
              <w:spacing w:line="300" w:lineRule="exact"/>
              <w:ind w:left="-53" w:leftChars="-25" w:right="-53" w:rightChars="-25"/>
              <w:jc w:val="center"/>
              <w:rPr>
                <w:rFonts w:ascii="仿宋" w:hAnsi="仿宋" w:eastAsia="仿宋" w:cs="仿宋"/>
                <w:b/>
                <w:bCs/>
                <w:color w:val="auto"/>
                <w:szCs w:val="21"/>
                <w:highlight w:val="none"/>
              </w:rPr>
            </w:pPr>
          </w:p>
        </w:tc>
      </w:tr>
      <w:tr w14:paraId="0E1A3D1D">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A35009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0131F8E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架体围护</w:t>
            </w:r>
          </w:p>
        </w:tc>
        <w:tc>
          <w:tcPr>
            <w:tcW w:w="647" w:type="dxa"/>
            <w:tcBorders>
              <w:top w:val="single" w:color="auto" w:sz="4" w:space="0"/>
              <w:left w:val="nil"/>
              <w:bottom w:val="single" w:color="auto" w:sz="4" w:space="0"/>
              <w:right w:val="single" w:color="auto" w:sz="4" w:space="0"/>
            </w:tcBorders>
            <w:vAlign w:val="center"/>
          </w:tcPr>
          <w:p w14:paraId="73A8DFD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702BD70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007FBA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2DF47A4">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4BC07488">
            <w:pPr>
              <w:autoSpaceDN w:val="0"/>
              <w:spacing w:line="300" w:lineRule="exact"/>
              <w:ind w:left="-53" w:leftChars="-25" w:right="-53" w:rightChars="-25"/>
              <w:jc w:val="center"/>
              <w:rPr>
                <w:rFonts w:ascii="仿宋" w:hAnsi="仿宋" w:eastAsia="仿宋" w:cs="仿宋"/>
                <w:color w:val="auto"/>
                <w:szCs w:val="21"/>
                <w:highlight w:val="none"/>
              </w:rPr>
            </w:pPr>
          </w:p>
        </w:tc>
      </w:tr>
      <w:tr w14:paraId="184A3542">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E822AC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20A1175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货用升降机操作室</w:t>
            </w:r>
          </w:p>
        </w:tc>
        <w:tc>
          <w:tcPr>
            <w:tcW w:w="647" w:type="dxa"/>
            <w:tcBorders>
              <w:top w:val="single" w:color="auto" w:sz="4" w:space="0"/>
              <w:left w:val="nil"/>
              <w:bottom w:val="single" w:color="auto" w:sz="4" w:space="0"/>
              <w:right w:val="single" w:color="auto" w:sz="4" w:space="0"/>
            </w:tcBorders>
            <w:vAlign w:val="center"/>
          </w:tcPr>
          <w:p w14:paraId="5689812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76A93F8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09675A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58747AD">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6198CC8">
            <w:pPr>
              <w:autoSpaceDN w:val="0"/>
              <w:spacing w:line="300" w:lineRule="exact"/>
              <w:ind w:left="-53" w:leftChars="-25" w:right="-53" w:rightChars="-25"/>
              <w:jc w:val="center"/>
              <w:rPr>
                <w:rFonts w:ascii="仿宋" w:hAnsi="仿宋" w:eastAsia="仿宋" w:cs="仿宋"/>
                <w:color w:val="auto"/>
                <w:szCs w:val="21"/>
                <w:highlight w:val="none"/>
              </w:rPr>
            </w:pPr>
          </w:p>
        </w:tc>
      </w:tr>
      <w:tr w14:paraId="2EE136B1">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E3591D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514D2CA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其他井架防护</w:t>
            </w:r>
          </w:p>
        </w:tc>
        <w:tc>
          <w:tcPr>
            <w:tcW w:w="647" w:type="dxa"/>
            <w:tcBorders>
              <w:top w:val="single" w:color="auto" w:sz="4" w:space="0"/>
              <w:left w:val="nil"/>
              <w:bottom w:val="single" w:color="auto" w:sz="4" w:space="0"/>
              <w:right w:val="single" w:color="auto" w:sz="4" w:space="0"/>
            </w:tcBorders>
            <w:vAlign w:val="center"/>
          </w:tcPr>
          <w:p w14:paraId="2069676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E32738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DCFC10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BAF0C1D">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6752E3F6">
            <w:pPr>
              <w:autoSpaceDN w:val="0"/>
              <w:spacing w:line="300" w:lineRule="exact"/>
              <w:ind w:left="-53" w:leftChars="-25" w:right="-53" w:rightChars="-25"/>
              <w:jc w:val="center"/>
              <w:rPr>
                <w:rFonts w:ascii="仿宋" w:hAnsi="仿宋" w:eastAsia="仿宋" w:cs="仿宋"/>
                <w:color w:val="auto"/>
                <w:szCs w:val="21"/>
                <w:highlight w:val="none"/>
              </w:rPr>
            </w:pPr>
          </w:p>
        </w:tc>
      </w:tr>
      <w:tr w14:paraId="07EC3C3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611CECB">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（六）</w:t>
            </w:r>
          </w:p>
        </w:tc>
        <w:tc>
          <w:tcPr>
            <w:tcW w:w="2162" w:type="dxa"/>
            <w:tcBorders>
              <w:top w:val="single" w:color="auto" w:sz="4" w:space="0"/>
              <w:left w:val="nil"/>
              <w:bottom w:val="single" w:color="auto" w:sz="4" w:space="0"/>
              <w:right w:val="single" w:color="auto" w:sz="4" w:space="0"/>
            </w:tcBorders>
            <w:vAlign w:val="center"/>
          </w:tcPr>
          <w:p w14:paraId="6394A248">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消防器材、设施</w:t>
            </w:r>
          </w:p>
        </w:tc>
        <w:tc>
          <w:tcPr>
            <w:tcW w:w="647" w:type="dxa"/>
            <w:tcBorders>
              <w:top w:val="single" w:color="auto" w:sz="4" w:space="0"/>
              <w:left w:val="nil"/>
              <w:bottom w:val="single" w:color="auto" w:sz="4" w:space="0"/>
              <w:right w:val="single" w:color="auto" w:sz="4" w:space="0"/>
            </w:tcBorders>
            <w:vAlign w:val="center"/>
          </w:tcPr>
          <w:p w14:paraId="6E27A863">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45F903F">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9DECD45">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FDA693F">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FCDBD52">
            <w:pPr>
              <w:autoSpaceDN w:val="0"/>
              <w:spacing w:line="300" w:lineRule="exact"/>
              <w:ind w:left="-53" w:leftChars="-25" w:right="-53" w:rightChars="-25"/>
              <w:jc w:val="center"/>
              <w:rPr>
                <w:rFonts w:ascii="仿宋" w:hAnsi="仿宋" w:eastAsia="仿宋" w:cs="仿宋"/>
                <w:b/>
                <w:bCs/>
                <w:color w:val="auto"/>
                <w:szCs w:val="21"/>
                <w:highlight w:val="none"/>
              </w:rPr>
            </w:pPr>
          </w:p>
        </w:tc>
      </w:tr>
      <w:tr w14:paraId="19BACE5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DA74F2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1BB76FE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灭火器</w:t>
            </w:r>
          </w:p>
        </w:tc>
        <w:tc>
          <w:tcPr>
            <w:tcW w:w="647" w:type="dxa"/>
            <w:tcBorders>
              <w:top w:val="single" w:color="auto" w:sz="4" w:space="0"/>
              <w:left w:val="nil"/>
              <w:bottom w:val="single" w:color="auto" w:sz="4" w:space="0"/>
              <w:right w:val="single" w:color="auto" w:sz="4" w:space="0"/>
            </w:tcBorders>
            <w:vAlign w:val="center"/>
          </w:tcPr>
          <w:p w14:paraId="3ED2A72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只</w:t>
            </w:r>
          </w:p>
        </w:tc>
        <w:tc>
          <w:tcPr>
            <w:tcW w:w="878" w:type="dxa"/>
            <w:tcBorders>
              <w:top w:val="single" w:color="auto" w:sz="4" w:space="0"/>
              <w:left w:val="nil"/>
              <w:bottom w:val="single" w:color="auto" w:sz="4" w:space="0"/>
              <w:right w:val="single" w:color="auto" w:sz="4" w:space="0"/>
            </w:tcBorders>
            <w:vAlign w:val="center"/>
          </w:tcPr>
          <w:p w14:paraId="7CBEE53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F5A887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460CFD8">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03821433">
            <w:pPr>
              <w:autoSpaceDN w:val="0"/>
              <w:spacing w:line="300" w:lineRule="exact"/>
              <w:ind w:left="-53" w:leftChars="-25" w:right="-53" w:rightChars="-25"/>
              <w:jc w:val="center"/>
              <w:rPr>
                <w:rFonts w:ascii="仿宋" w:hAnsi="仿宋" w:eastAsia="仿宋" w:cs="仿宋"/>
                <w:color w:val="auto"/>
                <w:szCs w:val="21"/>
                <w:highlight w:val="none"/>
              </w:rPr>
            </w:pPr>
          </w:p>
        </w:tc>
      </w:tr>
      <w:tr w14:paraId="57BA645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C0AABF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4D9E0EF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消防水泵</w:t>
            </w:r>
          </w:p>
        </w:tc>
        <w:tc>
          <w:tcPr>
            <w:tcW w:w="647" w:type="dxa"/>
            <w:tcBorders>
              <w:top w:val="single" w:color="auto" w:sz="4" w:space="0"/>
              <w:left w:val="nil"/>
              <w:bottom w:val="single" w:color="auto" w:sz="4" w:space="0"/>
              <w:right w:val="single" w:color="auto" w:sz="4" w:space="0"/>
            </w:tcBorders>
            <w:vAlign w:val="center"/>
          </w:tcPr>
          <w:p w14:paraId="011EA30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878" w:type="dxa"/>
            <w:tcBorders>
              <w:top w:val="single" w:color="auto" w:sz="4" w:space="0"/>
              <w:left w:val="nil"/>
              <w:bottom w:val="single" w:color="auto" w:sz="4" w:space="0"/>
              <w:right w:val="single" w:color="auto" w:sz="4" w:space="0"/>
            </w:tcBorders>
            <w:vAlign w:val="center"/>
          </w:tcPr>
          <w:p w14:paraId="0D91696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C5261F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3DC07BD">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75269DDB">
            <w:pPr>
              <w:autoSpaceDN w:val="0"/>
              <w:spacing w:line="300" w:lineRule="exact"/>
              <w:ind w:left="-53" w:leftChars="-25" w:right="-53" w:rightChars="-25"/>
              <w:jc w:val="center"/>
              <w:rPr>
                <w:rFonts w:ascii="仿宋" w:hAnsi="仿宋" w:eastAsia="仿宋" w:cs="仿宋"/>
                <w:color w:val="auto"/>
                <w:szCs w:val="21"/>
                <w:highlight w:val="none"/>
              </w:rPr>
            </w:pPr>
          </w:p>
        </w:tc>
      </w:tr>
      <w:tr w14:paraId="36893DE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2C69DB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193B3C7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水枪、水带</w:t>
            </w:r>
          </w:p>
        </w:tc>
        <w:tc>
          <w:tcPr>
            <w:tcW w:w="647" w:type="dxa"/>
            <w:tcBorders>
              <w:top w:val="single" w:color="auto" w:sz="4" w:space="0"/>
              <w:left w:val="nil"/>
              <w:bottom w:val="single" w:color="auto" w:sz="4" w:space="0"/>
              <w:right w:val="single" w:color="auto" w:sz="4" w:space="0"/>
            </w:tcBorders>
            <w:vAlign w:val="center"/>
          </w:tcPr>
          <w:p w14:paraId="0E70F16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vAlign w:val="center"/>
          </w:tcPr>
          <w:p w14:paraId="6A4BF57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CB8E29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5FE184D">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1876F24">
            <w:pPr>
              <w:autoSpaceDN w:val="0"/>
              <w:spacing w:line="300" w:lineRule="exact"/>
              <w:ind w:left="-53" w:leftChars="-25" w:right="-53" w:rightChars="-25"/>
              <w:jc w:val="center"/>
              <w:rPr>
                <w:rFonts w:ascii="仿宋" w:hAnsi="仿宋" w:eastAsia="仿宋" w:cs="仿宋"/>
                <w:color w:val="auto"/>
                <w:szCs w:val="21"/>
                <w:highlight w:val="none"/>
              </w:rPr>
            </w:pPr>
          </w:p>
        </w:tc>
      </w:tr>
      <w:tr w14:paraId="34DF3F52">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26C0B0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vAlign w:val="center"/>
          </w:tcPr>
          <w:p w14:paraId="7245D8D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消防箱</w:t>
            </w:r>
          </w:p>
        </w:tc>
        <w:tc>
          <w:tcPr>
            <w:tcW w:w="647" w:type="dxa"/>
            <w:tcBorders>
              <w:top w:val="single" w:color="auto" w:sz="4" w:space="0"/>
              <w:left w:val="nil"/>
              <w:bottom w:val="single" w:color="auto" w:sz="4" w:space="0"/>
              <w:right w:val="single" w:color="auto" w:sz="4" w:space="0"/>
            </w:tcBorders>
            <w:vAlign w:val="center"/>
          </w:tcPr>
          <w:p w14:paraId="3BD5E3C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只</w:t>
            </w:r>
          </w:p>
        </w:tc>
        <w:tc>
          <w:tcPr>
            <w:tcW w:w="878" w:type="dxa"/>
            <w:tcBorders>
              <w:top w:val="single" w:color="auto" w:sz="4" w:space="0"/>
              <w:left w:val="nil"/>
              <w:bottom w:val="single" w:color="auto" w:sz="4" w:space="0"/>
              <w:right w:val="single" w:color="auto" w:sz="4" w:space="0"/>
            </w:tcBorders>
            <w:vAlign w:val="center"/>
          </w:tcPr>
          <w:p w14:paraId="33B7746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5D106C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32424C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357A3795">
            <w:pPr>
              <w:autoSpaceDN w:val="0"/>
              <w:spacing w:line="300" w:lineRule="exact"/>
              <w:ind w:left="-53" w:leftChars="-25" w:right="-53" w:rightChars="-25"/>
              <w:jc w:val="center"/>
              <w:rPr>
                <w:rFonts w:ascii="仿宋" w:hAnsi="仿宋" w:eastAsia="仿宋" w:cs="仿宋"/>
                <w:color w:val="auto"/>
                <w:szCs w:val="21"/>
                <w:highlight w:val="none"/>
              </w:rPr>
            </w:pPr>
          </w:p>
        </w:tc>
      </w:tr>
      <w:tr w14:paraId="6C69BF22">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CD2F03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vAlign w:val="center"/>
          </w:tcPr>
          <w:p w14:paraId="402A256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消防立管</w:t>
            </w:r>
          </w:p>
        </w:tc>
        <w:tc>
          <w:tcPr>
            <w:tcW w:w="647" w:type="dxa"/>
            <w:tcBorders>
              <w:top w:val="single" w:color="auto" w:sz="4" w:space="0"/>
              <w:left w:val="nil"/>
              <w:bottom w:val="single" w:color="auto" w:sz="4" w:space="0"/>
              <w:right w:val="single" w:color="auto" w:sz="4" w:space="0"/>
            </w:tcBorders>
            <w:vAlign w:val="center"/>
          </w:tcPr>
          <w:p w14:paraId="32CD66B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vAlign w:val="center"/>
          </w:tcPr>
          <w:p w14:paraId="3E56850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1B9E55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1D763D5">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7E184116">
            <w:pPr>
              <w:autoSpaceDN w:val="0"/>
              <w:spacing w:line="300" w:lineRule="exact"/>
              <w:ind w:left="-53" w:leftChars="-25" w:right="-53" w:rightChars="-25"/>
              <w:jc w:val="center"/>
              <w:rPr>
                <w:rFonts w:ascii="仿宋" w:hAnsi="仿宋" w:eastAsia="仿宋" w:cs="仿宋"/>
                <w:color w:val="auto"/>
                <w:szCs w:val="21"/>
                <w:highlight w:val="none"/>
              </w:rPr>
            </w:pPr>
          </w:p>
        </w:tc>
      </w:tr>
      <w:tr w14:paraId="78536C9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6687D2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162" w:type="dxa"/>
            <w:tcBorders>
              <w:top w:val="single" w:color="auto" w:sz="4" w:space="0"/>
              <w:left w:val="nil"/>
              <w:bottom w:val="single" w:color="auto" w:sz="4" w:space="0"/>
              <w:right w:val="single" w:color="auto" w:sz="4" w:space="0"/>
            </w:tcBorders>
            <w:vAlign w:val="center"/>
          </w:tcPr>
          <w:p w14:paraId="1DF3739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危险品仓库搭建</w:t>
            </w:r>
          </w:p>
        </w:tc>
        <w:tc>
          <w:tcPr>
            <w:tcW w:w="647" w:type="dxa"/>
            <w:tcBorders>
              <w:top w:val="single" w:color="auto" w:sz="4" w:space="0"/>
              <w:left w:val="nil"/>
              <w:bottom w:val="single" w:color="auto" w:sz="4" w:space="0"/>
              <w:right w:val="single" w:color="auto" w:sz="4" w:space="0"/>
            </w:tcBorders>
            <w:vAlign w:val="center"/>
          </w:tcPr>
          <w:p w14:paraId="5D0ABDE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vAlign w:val="center"/>
          </w:tcPr>
          <w:p w14:paraId="5ACAAC3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81F10C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D041C4C">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74E43060">
            <w:pPr>
              <w:autoSpaceDN w:val="0"/>
              <w:spacing w:line="300" w:lineRule="exact"/>
              <w:ind w:left="-53" w:leftChars="-25" w:right="-53" w:rightChars="-25"/>
              <w:jc w:val="center"/>
              <w:rPr>
                <w:rFonts w:ascii="仿宋" w:hAnsi="仿宋" w:eastAsia="仿宋" w:cs="仿宋"/>
                <w:color w:val="auto"/>
                <w:szCs w:val="21"/>
                <w:highlight w:val="none"/>
              </w:rPr>
            </w:pPr>
          </w:p>
        </w:tc>
      </w:tr>
      <w:tr w14:paraId="3A249756">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07B6E2B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162" w:type="dxa"/>
            <w:tcBorders>
              <w:top w:val="single" w:color="auto" w:sz="4" w:space="0"/>
              <w:left w:val="nil"/>
              <w:bottom w:val="single" w:color="auto" w:sz="4" w:space="0"/>
              <w:right w:val="single" w:color="auto" w:sz="4" w:space="0"/>
            </w:tcBorders>
            <w:vAlign w:val="center"/>
          </w:tcPr>
          <w:p w14:paraId="456B575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防雷设施</w:t>
            </w:r>
          </w:p>
        </w:tc>
        <w:tc>
          <w:tcPr>
            <w:tcW w:w="647" w:type="dxa"/>
            <w:tcBorders>
              <w:top w:val="single" w:color="auto" w:sz="4" w:space="0"/>
              <w:left w:val="nil"/>
              <w:bottom w:val="single" w:color="auto" w:sz="4" w:space="0"/>
              <w:right w:val="single" w:color="auto" w:sz="4" w:space="0"/>
            </w:tcBorders>
            <w:vAlign w:val="center"/>
          </w:tcPr>
          <w:p w14:paraId="57BC858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57FC2F5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E3F908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1BF0965">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050D85C5">
            <w:pPr>
              <w:autoSpaceDN w:val="0"/>
              <w:spacing w:line="300" w:lineRule="exact"/>
              <w:ind w:left="-53" w:leftChars="-25" w:right="-53" w:rightChars="-25"/>
              <w:jc w:val="center"/>
              <w:rPr>
                <w:rFonts w:ascii="仿宋" w:hAnsi="仿宋" w:eastAsia="仿宋" w:cs="仿宋"/>
                <w:color w:val="auto"/>
                <w:szCs w:val="21"/>
                <w:highlight w:val="none"/>
              </w:rPr>
            </w:pPr>
          </w:p>
        </w:tc>
      </w:tr>
      <w:tr w14:paraId="61D0085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CF9FB2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162" w:type="dxa"/>
            <w:tcBorders>
              <w:top w:val="single" w:color="auto" w:sz="4" w:space="0"/>
              <w:left w:val="nil"/>
              <w:bottom w:val="single" w:color="auto" w:sz="4" w:space="0"/>
              <w:right w:val="single" w:color="auto" w:sz="4" w:space="0"/>
            </w:tcBorders>
            <w:vAlign w:val="center"/>
          </w:tcPr>
          <w:p w14:paraId="41DBEDF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w:t>
            </w:r>
          </w:p>
        </w:tc>
        <w:tc>
          <w:tcPr>
            <w:tcW w:w="647" w:type="dxa"/>
            <w:tcBorders>
              <w:top w:val="single" w:color="auto" w:sz="4" w:space="0"/>
              <w:left w:val="nil"/>
              <w:bottom w:val="single" w:color="auto" w:sz="4" w:space="0"/>
              <w:right w:val="single" w:color="auto" w:sz="4" w:space="0"/>
            </w:tcBorders>
            <w:vAlign w:val="center"/>
          </w:tcPr>
          <w:p w14:paraId="3754072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4A9721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CB127E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75672C2">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85A3299">
            <w:pPr>
              <w:autoSpaceDN w:val="0"/>
              <w:spacing w:line="300" w:lineRule="exact"/>
              <w:ind w:left="-53" w:leftChars="-25" w:right="-53" w:rightChars="-25"/>
              <w:jc w:val="center"/>
              <w:rPr>
                <w:rFonts w:ascii="仿宋" w:hAnsi="仿宋" w:eastAsia="仿宋" w:cs="仿宋"/>
                <w:color w:val="auto"/>
                <w:szCs w:val="21"/>
                <w:highlight w:val="none"/>
              </w:rPr>
            </w:pPr>
          </w:p>
        </w:tc>
      </w:tr>
      <w:tr w14:paraId="4312CB1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3011ADA4">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（七）</w:t>
            </w:r>
          </w:p>
        </w:tc>
        <w:tc>
          <w:tcPr>
            <w:tcW w:w="2162" w:type="dxa"/>
            <w:tcBorders>
              <w:top w:val="single" w:color="auto" w:sz="4" w:space="0"/>
              <w:left w:val="nil"/>
              <w:bottom w:val="single" w:color="auto" w:sz="4" w:space="0"/>
              <w:right w:val="single" w:color="auto" w:sz="4" w:space="0"/>
            </w:tcBorders>
            <w:vAlign w:val="center"/>
          </w:tcPr>
          <w:p w14:paraId="374D9086">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特殊工程安全措施</w:t>
            </w:r>
          </w:p>
        </w:tc>
        <w:tc>
          <w:tcPr>
            <w:tcW w:w="647" w:type="dxa"/>
            <w:tcBorders>
              <w:top w:val="single" w:color="auto" w:sz="4" w:space="0"/>
              <w:left w:val="nil"/>
              <w:bottom w:val="single" w:color="auto" w:sz="4" w:space="0"/>
              <w:right w:val="single" w:color="auto" w:sz="4" w:space="0"/>
            </w:tcBorders>
            <w:vAlign w:val="center"/>
          </w:tcPr>
          <w:p w14:paraId="60EF92C1">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85A480E">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5B0D4C0">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3500986">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FE9C5F5">
            <w:pPr>
              <w:autoSpaceDN w:val="0"/>
              <w:spacing w:line="300" w:lineRule="exact"/>
              <w:ind w:left="-53" w:leftChars="-25" w:right="-53" w:rightChars="-25"/>
              <w:jc w:val="center"/>
              <w:rPr>
                <w:rFonts w:ascii="仿宋" w:hAnsi="仿宋" w:eastAsia="仿宋" w:cs="仿宋"/>
                <w:b/>
                <w:bCs/>
                <w:color w:val="auto"/>
                <w:szCs w:val="21"/>
                <w:highlight w:val="none"/>
              </w:rPr>
            </w:pPr>
          </w:p>
        </w:tc>
      </w:tr>
      <w:tr w14:paraId="462E95B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4ECBE70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1EDAEE7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特殊作业防护用品</w:t>
            </w:r>
          </w:p>
        </w:tc>
        <w:tc>
          <w:tcPr>
            <w:tcW w:w="647" w:type="dxa"/>
            <w:tcBorders>
              <w:top w:val="single" w:color="auto" w:sz="4" w:space="0"/>
              <w:left w:val="nil"/>
              <w:bottom w:val="single" w:color="auto" w:sz="4" w:space="0"/>
              <w:right w:val="single" w:color="auto" w:sz="4" w:space="0"/>
            </w:tcBorders>
            <w:vAlign w:val="center"/>
          </w:tcPr>
          <w:p w14:paraId="5FDAA36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5BEC06C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1FCE11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C6213C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FBA87F6">
            <w:pPr>
              <w:autoSpaceDN w:val="0"/>
              <w:spacing w:line="300" w:lineRule="exact"/>
              <w:ind w:left="-53" w:leftChars="-25" w:right="-53" w:rightChars="-25"/>
              <w:jc w:val="center"/>
              <w:rPr>
                <w:rFonts w:ascii="仿宋" w:hAnsi="仿宋" w:eastAsia="仿宋" w:cs="仿宋"/>
                <w:color w:val="auto"/>
                <w:szCs w:val="21"/>
                <w:highlight w:val="none"/>
              </w:rPr>
            </w:pPr>
          </w:p>
        </w:tc>
      </w:tr>
      <w:tr w14:paraId="2C93039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0F9531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53B354A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救生设施</w:t>
            </w:r>
          </w:p>
        </w:tc>
        <w:tc>
          <w:tcPr>
            <w:tcW w:w="647" w:type="dxa"/>
            <w:tcBorders>
              <w:top w:val="single" w:color="auto" w:sz="4" w:space="0"/>
              <w:left w:val="nil"/>
              <w:bottom w:val="single" w:color="auto" w:sz="4" w:space="0"/>
              <w:right w:val="single" w:color="auto" w:sz="4" w:space="0"/>
            </w:tcBorders>
            <w:vAlign w:val="center"/>
          </w:tcPr>
          <w:p w14:paraId="316AD56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4E9DC68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76CA5C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CB90DC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4EEFE0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含救生衣、救生圈等</w:t>
            </w:r>
          </w:p>
        </w:tc>
      </w:tr>
      <w:tr w14:paraId="1322018D">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8C5278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269EF1E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防毒面具</w:t>
            </w:r>
          </w:p>
        </w:tc>
        <w:tc>
          <w:tcPr>
            <w:tcW w:w="647" w:type="dxa"/>
            <w:tcBorders>
              <w:top w:val="single" w:color="auto" w:sz="4" w:space="0"/>
              <w:left w:val="nil"/>
              <w:bottom w:val="single" w:color="auto" w:sz="4" w:space="0"/>
              <w:right w:val="single" w:color="auto" w:sz="4" w:space="0"/>
            </w:tcBorders>
            <w:vAlign w:val="center"/>
          </w:tcPr>
          <w:p w14:paraId="3F0AEE8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付</w:t>
            </w:r>
          </w:p>
        </w:tc>
        <w:tc>
          <w:tcPr>
            <w:tcW w:w="878" w:type="dxa"/>
            <w:tcBorders>
              <w:top w:val="single" w:color="auto" w:sz="4" w:space="0"/>
              <w:left w:val="nil"/>
              <w:bottom w:val="single" w:color="auto" w:sz="4" w:space="0"/>
              <w:right w:val="single" w:color="auto" w:sz="4" w:space="0"/>
            </w:tcBorders>
            <w:vAlign w:val="center"/>
          </w:tcPr>
          <w:p w14:paraId="2DFC663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540604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BA4257C">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522171F">
            <w:pPr>
              <w:autoSpaceDN w:val="0"/>
              <w:spacing w:line="300" w:lineRule="exact"/>
              <w:ind w:left="-53" w:leftChars="-25" w:right="-53" w:rightChars="-25"/>
              <w:jc w:val="center"/>
              <w:rPr>
                <w:rFonts w:ascii="仿宋" w:hAnsi="仿宋" w:eastAsia="仿宋" w:cs="仿宋"/>
                <w:color w:val="auto"/>
                <w:szCs w:val="21"/>
                <w:highlight w:val="none"/>
              </w:rPr>
            </w:pPr>
          </w:p>
        </w:tc>
      </w:tr>
      <w:tr w14:paraId="2A28E83C">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45BED2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vAlign w:val="center"/>
          </w:tcPr>
          <w:p w14:paraId="0809798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有毒气体检测仪器</w:t>
            </w:r>
          </w:p>
        </w:tc>
        <w:tc>
          <w:tcPr>
            <w:tcW w:w="647" w:type="dxa"/>
            <w:tcBorders>
              <w:top w:val="single" w:color="auto" w:sz="4" w:space="0"/>
              <w:left w:val="nil"/>
              <w:bottom w:val="single" w:color="auto" w:sz="4" w:space="0"/>
              <w:right w:val="single" w:color="auto" w:sz="4" w:space="0"/>
            </w:tcBorders>
            <w:vAlign w:val="center"/>
          </w:tcPr>
          <w:p w14:paraId="627AE6F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vAlign w:val="center"/>
          </w:tcPr>
          <w:p w14:paraId="0AE477C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6D0233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E6B1041">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42025B1">
            <w:pPr>
              <w:autoSpaceDN w:val="0"/>
              <w:spacing w:line="300" w:lineRule="exact"/>
              <w:ind w:left="-53" w:leftChars="-25" w:right="-53" w:rightChars="-25"/>
              <w:jc w:val="center"/>
              <w:rPr>
                <w:rFonts w:ascii="仿宋" w:hAnsi="仿宋" w:eastAsia="仿宋" w:cs="仿宋"/>
                <w:color w:val="auto"/>
                <w:szCs w:val="21"/>
                <w:highlight w:val="none"/>
              </w:rPr>
            </w:pPr>
          </w:p>
        </w:tc>
      </w:tr>
      <w:tr w14:paraId="1D1BAC4C">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83B291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vAlign w:val="center"/>
          </w:tcPr>
          <w:p w14:paraId="3DA0428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其他特殊安全防护</w:t>
            </w:r>
          </w:p>
        </w:tc>
        <w:tc>
          <w:tcPr>
            <w:tcW w:w="647" w:type="dxa"/>
            <w:tcBorders>
              <w:top w:val="single" w:color="auto" w:sz="4" w:space="0"/>
              <w:left w:val="nil"/>
              <w:bottom w:val="single" w:color="auto" w:sz="4" w:space="0"/>
              <w:right w:val="single" w:color="auto" w:sz="4" w:space="0"/>
            </w:tcBorders>
            <w:vAlign w:val="center"/>
          </w:tcPr>
          <w:p w14:paraId="31ADE51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628E08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87493B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9953087">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746AD219">
            <w:pPr>
              <w:autoSpaceDN w:val="0"/>
              <w:spacing w:line="300" w:lineRule="exact"/>
              <w:ind w:left="-53" w:leftChars="-25" w:right="-53" w:rightChars="-25"/>
              <w:jc w:val="center"/>
              <w:rPr>
                <w:rFonts w:ascii="仿宋" w:hAnsi="仿宋" w:eastAsia="仿宋" w:cs="仿宋"/>
                <w:color w:val="auto"/>
                <w:szCs w:val="21"/>
                <w:highlight w:val="none"/>
              </w:rPr>
            </w:pPr>
          </w:p>
        </w:tc>
      </w:tr>
      <w:tr w14:paraId="56AEEAD0">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9662A81">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（八）</w:t>
            </w:r>
          </w:p>
        </w:tc>
        <w:tc>
          <w:tcPr>
            <w:tcW w:w="2162" w:type="dxa"/>
            <w:tcBorders>
              <w:top w:val="single" w:color="auto" w:sz="4" w:space="0"/>
              <w:left w:val="nil"/>
              <w:bottom w:val="single" w:color="auto" w:sz="4" w:space="0"/>
              <w:right w:val="single" w:color="auto" w:sz="4" w:space="0"/>
            </w:tcBorders>
            <w:vAlign w:val="center"/>
          </w:tcPr>
          <w:p w14:paraId="005CAC9C">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安全标志</w:t>
            </w:r>
          </w:p>
        </w:tc>
        <w:tc>
          <w:tcPr>
            <w:tcW w:w="647" w:type="dxa"/>
            <w:tcBorders>
              <w:top w:val="single" w:color="auto" w:sz="4" w:space="0"/>
              <w:left w:val="nil"/>
              <w:bottom w:val="single" w:color="auto" w:sz="4" w:space="0"/>
              <w:right w:val="single" w:color="auto" w:sz="4" w:space="0"/>
            </w:tcBorders>
            <w:vAlign w:val="center"/>
          </w:tcPr>
          <w:p w14:paraId="1398F4A5">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B8CC0B4">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0D80843">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920CB26">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378943A3">
            <w:pPr>
              <w:autoSpaceDN w:val="0"/>
              <w:spacing w:line="300" w:lineRule="exact"/>
              <w:ind w:left="-53" w:leftChars="-25" w:right="-53" w:rightChars="-25"/>
              <w:jc w:val="center"/>
              <w:rPr>
                <w:rFonts w:ascii="仿宋" w:hAnsi="仿宋" w:eastAsia="仿宋" w:cs="仿宋"/>
                <w:b/>
                <w:bCs/>
                <w:color w:val="auto"/>
                <w:szCs w:val="21"/>
                <w:highlight w:val="none"/>
              </w:rPr>
            </w:pPr>
          </w:p>
        </w:tc>
      </w:tr>
      <w:tr w14:paraId="61091F7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5C9D5F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0B699C4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安全警示标牌、标识</w:t>
            </w:r>
          </w:p>
        </w:tc>
        <w:tc>
          <w:tcPr>
            <w:tcW w:w="647" w:type="dxa"/>
            <w:tcBorders>
              <w:top w:val="single" w:color="auto" w:sz="4" w:space="0"/>
              <w:left w:val="nil"/>
              <w:bottom w:val="single" w:color="auto" w:sz="4" w:space="0"/>
              <w:right w:val="single" w:color="auto" w:sz="4" w:space="0"/>
            </w:tcBorders>
            <w:vAlign w:val="center"/>
          </w:tcPr>
          <w:p w14:paraId="55B7D74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1814FAB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34D31C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5F8D885">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32D243A">
            <w:pPr>
              <w:autoSpaceDN w:val="0"/>
              <w:spacing w:line="300" w:lineRule="exact"/>
              <w:ind w:left="-53" w:leftChars="-25" w:right="-53" w:rightChars="-25"/>
              <w:jc w:val="center"/>
              <w:rPr>
                <w:rFonts w:ascii="仿宋" w:hAnsi="仿宋" w:eastAsia="仿宋" w:cs="仿宋"/>
                <w:color w:val="auto"/>
                <w:szCs w:val="21"/>
                <w:highlight w:val="none"/>
              </w:rPr>
            </w:pPr>
          </w:p>
        </w:tc>
      </w:tr>
      <w:tr w14:paraId="5960F9B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6CA723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5BEA5A5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警示灯</w:t>
            </w:r>
          </w:p>
        </w:tc>
        <w:tc>
          <w:tcPr>
            <w:tcW w:w="647" w:type="dxa"/>
            <w:tcBorders>
              <w:top w:val="single" w:color="auto" w:sz="4" w:space="0"/>
              <w:left w:val="nil"/>
              <w:bottom w:val="single" w:color="auto" w:sz="4" w:space="0"/>
              <w:right w:val="single" w:color="auto" w:sz="4" w:space="0"/>
            </w:tcBorders>
            <w:vAlign w:val="center"/>
          </w:tcPr>
          <w:p w14:paraId="1F97D89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处</w:t>
            </w:r>
          </w:p>
        </w:tc>
        <w:tc>
          <w:tcPr>
            <w:tcW w:w="878" w:type="dxa"/>
            <w:tcBorders>
              <w:top w:val="single" w:color="auto" w:sz="4" w:space="0"/>
              <w:left w:val="nil"/>
              <w:bottom w:val="single" w:color="auto" w:sz="4" w:space="0"/>
              <w:right w:val="single" w:color="auto" w:sz="4" w:space="0"/>
            </w:tcBorders>
            <w:vAlign w:val="center"/>
          </w:tcPr>
          <w:p w14:paraId="3B5F329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12F7BD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F2B3C26">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D02AF5E">
            <w:pPr>
              <w:autoSpaceDN w:val="0"/>
              <w:spacing w:line="300" w:lineRule="exact"/>
              <w:ind w:left="-53" w:leftChars="-25" w:right="-53" w:rightChars="-25"/>
              <w:jc w:val="center"/>
              <w:rPr>
                <w:rFonts w:ascii="仿宋" w:hAnsi="仿宋" w:eastAsia="仿宋" w:cs="仿宋"/>
                <w:color w:val="auto"/>
                <w:szCs w:val="21"/>
                <w:highlight w:val="none"/>
              </w:rPr>
            </w:pPr>
          </w:p>
        </w:tc>
      </w:tr>
      <w:tr w14:paraId="73261115">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187AC0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46E660B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航标灯</w:t>
            </w:r>
          </w:p>
        </w:tc>
        <w:tc>
          <w:tcPr>
            <w:tcW w:w="647" w:type="dxa"/>
            <w:tcBorders>
              <w:top w:val="single" w:color="auto" w:sz="4" w:space="0"/>
              <w:left w:val="nil"/>
              <w:bottom w:val="single" w:color="auto" w:sz="4" w:space="0"/>
              <w:right w:val="single" w:color="auto" w:sz="4" w:space="0"/>
            </w:tcBorders>
            <w:vAlign w:val="center"/>
          </w:tcPr>
          <w:p w14:paraId="3C8F452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处</w:t>
            </w:r>
          </w:p>
        </w:tc>
        <w:tc>
          <w:tcPr>
            <w:tcW w:w="878" w:type="dxa"/>
            <w:tcBorders>
              <w:top w:val="single" w:color="auto" w:sz="4" w:space="0"/>
              <w:left w:val="nil"/>
              <w:bottom w:val="single" w:color="auto" w:sz="4" w:space="0"/>
              <w:right w:val="single" w:color="auto" w:sz="4" w:space="0"/>
            </w:tcBorders>
            <w:vAlign w:val="center"/>
          </w:tcPr>
          <w:p w14:paraId="67EE003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920BB2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F3CFC21">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8C2470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通航要求</w:t>
            </w:r>
          </w:p>
        </w:tc>
      </w:tr>
      <w:tr w14:paraId="50C6B47A">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2F38CD8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vAlign w:val="center"/>
          </w:tcPr>
          <w:p w14:paraId="170A279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其他安全标志</w:t>
            </w:r>
          </w:p>
        </w:tc>
        <w:tc>
          <w:tcPr>
            <w:tcW w:w="647" w:type="dxa"/>
            <w:tcBorders>
              <w:top w:val="single" w:color="auto" w:sz="4" w:space="0"/>
              <w:left w:val="nil"/>
              <w:bottom w:val="single" w:color="auto" w:sz="4" w:space="0"/>
              <w:right w:val="single" w:color="auto" w:sz="4" w:space="0"/>
            </w:tcBorders>
            <w:vAlign w:val="center"/>
          </w:tcPr>
          <w:p w14:paraId="6647D7C5">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B7E01A3">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4CD072E">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C0BFF82">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5CC6D4A7">
            <w:pPr>
              <w:autoSpaceDN w:val="0"/>
              <w:spacing w:line="300" w:lineRule="exact"/>
              <w:ind w:left="-53" w:leftChars="-25" w:right="-53" w:rightChars="-25"/>
              <w:jc w:val="center"/>
              <w:rPr>
                <w:rFonts w:ascii="仿宋" w:hAnsi="仿宋" w:eastAsia="仿宋" w:cs="仿宋"/>
                <w:b/>
                <w:bCs/>
                <w:color w:val="auto"/>
                <w:szCs w:val="21"/>
                <w:highlight w:val="none"/>
              </w:rPr>
            </w:pPr>
          </w:p>
        </w:tc>
      </w:tr>
      <w:tr w14:paraId="5249E62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6CDC8230">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（九）</w:t>
            </w:r>
          </w:p>
        </w:tc>
        <w:tc>
          <w:tcPr>
            <w:tcW w:w="2162" w:type="dxa"/>
            <w:tcBorders>
              <w:top w:val="single" w:color="auto" w:sz="4" w:space="0"/>
              <w:left w:val="nil"/>
              <w:bottom w:val="single" w:color="auto" w:sz="4" w:space="0"/>
              <w:right w:val="single" w:color="auto" w:sz="4" w:space="0"/>
            </w:tcBorders>
            <w:vAlign w:val="center"/>
          </w:tcPr>
          <w:p w14:paraId="28DE03AE">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安全专项检测</w:t>
            </w:r>
          </w:p>
        </w:tc>
        <w:tc>
          <w:tcPr>
            <w:tcW w:w="647" w:type="dxa"/>
            <w:tcBorders>
              <w:top w:val="single" w:color="auto" w:sz="4" w:space="0"/>
              <w:left w:val="nil"/>
              <w:bottom w:val="single" w:color="auto" w:sz="4" w:space="0"/>
              <w:right w:val="single" w:color="auto" w:sz="4" w:space="0"/>
            </w:tcBorders>
            <w:vAlign w:val="center"/>
          </w:tcPr>
          <w:p w14:paraId="3BDB7728">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31B1824">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173D99FF">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64AAC54">
            <w:pPr>
              <w:autoSpaceDN w:val="0"/>
              <w:spacing w:line="300" w:lineRule="exact"/>
              <w:ind w:left="-53" w:leftChars="-25" w:right="-53" w:rightChars="-25"/>
              <w:jc w:val="center"/>
              <w:rPr>
                <w:rFonts w:ascii="仿宋" w:hAnsi="仿宋" w:eastAsia="仿宋" w:cs="仿宋"/>
                <w:b/>
                <w:bCs/>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4B7228BF">
            <w:pPr>
              <w:autoSpaceDN w:val="0"/>
              <w:spacing w:line="300" w:lineRule="exact"/>
              <w:ind w:left="-53" w:leftChars="-25" w:right="-53" w:rightChars="-25"/>
              <w:jc w:val="center"/>
              <w:rPr>
                <w:rFonts w:ascii="仿宋" w:hAnsi="仿宋" w:eastAsia="仿宋" w:cs="仿宋"/>
                <w:b/>
                <w:bCs/>
                <w:color w:val="auto"/>
                <w:szCs w:val="21"/>
                <w:highlight w:val="none"/>
              </w:rPr>
            </w:pPr>
          </w:p>
        </w:tc>
      </w:tr>
      <w:tr w14:paraId="3E45F3B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14EB486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vAlign w:val="center"/>
          </w:tcPr>
          <w:p w14:paraId="7208E2D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起重机械检测费</w:t>
            </w:r>
          </w:p>
        </w:tc>
        <w:tc>
          <w:tcPr>
            <w:tcW w:w="647" w:type="dxa"/>
            <w:tcBorders>
              <w:top w:val="single" w:color="auto" w:sz="4" w:space="0"/>
              <w:left w:val="nil"/>
              <w:bottom w:val="single" w:color="auto" w:sz="4" w:space="0"/>
              <w:right w:val="single" w:color="auto" w:sz="4" w:space="0"/>
            </w:tcBorders>
            <w:vAlign w:val="center"/>
          </w:tcPr>
          <w:p w14:paraId="132070D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313AC1B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69538E4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C71E09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473953E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塔吊、升降机等</w:t>
            </w:r>
          </w:p>
        </w:tc>
      </w:tr>
      <w:tr w14:paraId="10E05D9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4BD3CAA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vAlign w:val="center"/>
          </w:tcPr>
          <w:p w14:paraId="25D6A1F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钢管、扣件检测费</w:t>
            </w:r>
          </w:p>
        </w:tc>
        <w:tc>
          <w:tcPr>
            <w:tcW w:w="647" w:type="dxa"/>
            <w:tcBorders>
              <w:top w:val="single" w:color="auto" w:sz="4" w:space="0"/>
              <w:left w:val="nil"/>
              <w:bottom w:val="single" w:color="auto" w:sz="4" w:space="0"/>
              <w:right w:val="single" w:color="auto" w:sz="4" w:space="0"/>
            </w:tcBorders>
            <w:vAlign w:val="center"/>
          </w:tcPr>
          <w:p w14:paraId="75C6410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52DEB69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5596759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B40D55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1D8DB092">
            <w:pPr>
              <w:autoSpaceDN w:val="0"/>
              <w:spacing w:line="300" w:lineRule="exact"/>
              <w:ind w:left="-53" w:leftChars="-25" w:right="-53" w:rightChars="-25"/>
              <w:jc w:val="center"/>
              <w:rPr>
                <w:rFonts w:ascii="仿宋" w:hAnsi="仿宋" w:eastAsia="仿宋" w:cs="仿宋"/>
                <w:color w:val="auto"/>
                <w:szCs w:val="21"/>
                <w:highlight w:val="none"/>
              </w:rPr>
            </w:pPr>
          </w:p>
        </w:tc>
      </w:tr>
      <w:tr w14:paraId="3FB8F200">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44C97AB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vAlign w:val="center"/>
          </w:tcPr>
          <w:p w14:paraId="0637EA3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高处作业吊篮检测费</w:t>
            </w:r>
          </w:p>
        </w:tc>
        <w:tc>
          <w:tcPr>
            <w:tcW w:w="647" w:type="dxa"/>
            <w:tcBorders>
              <w:top w:val="single" w:color="auto" w:sz="4" w:space="0"/>
              <w:left w:val="nil"/>
              <w:bottom w:val="single" w:color="auto" w:sz="4" w:space="0"/>
              <w:right w:val="single" w:color="auto" w:sz="4" w:space="0"/>
            </w:tcBorders>
            <w:vAlign w:val="center"/>
          </w:tcPr>
          <w:p w14:paraId="23B65CD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303B6FB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630BF4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0AE75CA">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676B3E03">
            <w:pPr>
              <w:autoSpaceDN w:val="0"/>
              <w:spacing w:line="300" w:lineRule="exact"/>
              <w:ind w:left="-53" w:leftChars="-25" w:right="-53" w:rightChars="-25"/>
              <w:jc w:val="center"/>
              <w:rPr>
                <w:rFonts w:ascii="仿宋" w:hAnsi="仿宋" w:eastAsia="仿宋" w:cs="仿宋"/>
                <w:color w:val="auto"/>
                <w:szCs w:val="21"/>
                <w:highlight w:val="none"/>
              </w:rPr>
            </w:pPr>
          </w:p>
        </w:tc>
      </w:tr>
      <w:tr w14:paraId="67596A1D">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78E934A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vAlign w:val="center"/>
          </w:tcPr>
          <w:p w14:paraId="3193D6D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防坠器专项检测费</w:t>
            </w:r>
          </w:p>
        </w:tc>
        <w:tc>
          <w:tcPr>
            <w:tcW w:w="647" w:type="dxa"/>
            <w:tcBorders>
              <w:top w:val="single" w:color="auto" w:sz="4" w:space="0"/>
              <w:left w:val="nil"/>
              <w:bottom w:val="single" w:color="auto" w:sz="4" w:space="0"/>
              <w:right w:val="single" w:color="auto" w:sz="4" w:space="0"/>
            </w:tcBorders>
            <w:vAlign w:val="center"/>
          </w:tcPr>
          <w:p w14:paraId="6342444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vAlign w:val="center"/>
          </w:tcPr>
          <w:p w14:paraId="57A03E7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7372D37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3ABA42A8">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434619DD">
            <w:pPr>
              <w:autoSpaceDN w:val="0"/>
              <w:spacing w:line="300" w:lineRule="exact"/>
              <w:ind w:left="-53" w:leftChars="-25" w:right="-53" w:rightChars="-25"/>
              <w:jc w:val="center"/>
              <w:rPr>
                <w:rFonts w:ascii="仿宋" w:hAnsi="仿宋" w:eastAsia="仿宋" w:cs="仿宋"/>
                <w:color w:val="auto"/>
                <w:szCs w:val="21"/>
                <w:highlight w:val="none"/>
              </w:rPr>
            </w:pPr>
          </w:p>
        </w:tc>
      </w:tr>
      <w:tr w14:paraId="263984E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14:paraId="583E7B7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vAlign w:val="center"/>
          </w:tcPr>
          <w:p w14:paraId="2DF9945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其他安全检测</w:t>
            </w:r>
          </w:p>
        </w:tc>
        <w:tc>
          <w:tcPr>
            <w:tcW w:w="647" w:type="dxa"/>
            <w:tcBorders>
              <w:top w:val="single" w:color="auto" w:sz="4" w:space="0"/>
              <w:left w:val="nil"/>
              <w:bottom w:val="single" w:color="auto" w:sz="4" w:space="0"/>
              <w:right w:val="single" w:color="auto" w:sz="4" w:space="0"/>
            </w:tcBorders>
            <w:vAlign w:val="center"/>
          </w:tcPr>
          <w:p w14:paraId="1433B56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049FA63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2C31883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vAlign w:val="center"/>
          </w:tcPr>
          <w:p w14:paraId="4C81B617">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vAlign w:val="center"/>
          </w:tcPr>
          <w:p w14:paraId="2AC3911C">
            <w:pPr>
              <w:autoSpaceDN w:val="0"/>
              <w:spacing w:line="300" w:lineRule="exact"/>
              <w:ind w:left="-53" w:leftChars="-25" w:right="-53" w:rightChars="-25"/>
              <w:jc w:val="center"/>
              <w:rPr>
                <w:rFonts w:ascii="仿宋" w:hAnsi="仿宋" w:eastAsia="仿宋" w:cs="仿宋"/>
                <w:color w:val="auto"/>
                <w:szCs w:val="21"/>
                <w:highlight w:val="none"/>
              </w:rPr>
            </w:pPr>
          </w:p>
        </w:tc>
      </w:tr>
      <w:tr w14:paraId="2E3F329E">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56ED15E">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（十）</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5026E976">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智慧工地</w:t>
            </w:r>
          </w:p>
        </w:tc>
        <w:tc>
          <w:tcPr>
            <w:tcW w:w="647" w:type="dxa"/>
            <w:tcBorders>
              <w:top w:val="single" w:color="auto" w:sz="4" w:space="0"/>
              <w:left w:val="nil"/>
              <w:bottom w:val="single" w:color="auto" w:sz="4" w:space="0"/>
              <w:right w:val="single" w:color="auto" w:sz="4" w:space="0"/>
            </w:tcBorders>
            <w:shd w:val="clear" w:color="auto" w:fill="FFFFFF"/>
            <w:vAlign w:val="center"/>
          </w:tcPr>
          <w:p w14:paraId="6CCD095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6426B2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80BE35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09FD6D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566B736">
            <w:pPr>
              <w:autoSpaceDN w:val="0"/>
              <w:spacing w:line="300" w:lineRule="exact"/>
              <w:ind w:left="-53" w:leftChars="-25" w:right="-53" w:rightChars="-25"/>
              <w:jc w:val="center"/>
              <w:rPr>
                <w:rFonts w:ascii="仿宋" w:hAnsi="仿宋" w:eastAsia="仿宋" w:cs="仿宋"/>
                <w:color w:val="auto"/>
                <w:szCs w:val="21"/>
                <w:highlight w:val="none"/>
              </w:rPr>
            </w:pPr>
          </w:p>
        </w:tc>
      </w:tr>
      <w:tr w14:paraId="481FD04C">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64BB8F73">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8AFD24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实名制信息采集及考勤设备、软件及管理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02AE81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6464B5C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83B9E1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E619CF1">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06ECA017">
            <w:pPr>
              <w:autoSpaceDN w:val="0"/>
              <w:spacing w:line="300" w:lineRule="exact"/>
              <w:ind w:left="-53" w:leftChars="-25" w:right="-53" w:rightChars="-25"/>
              <w:jc w:val="center"/>
              <w:rPr>
                <w:rFonts w:ascii="仿宋" w:hAnsi="仿宋" w:eastAsia="仿宋" w:cs="仿宋"/>
                <w:color w:val="auto"/>
                <w:szCs w:val="21"/>
                <w:highlight w:val="none"/>
              </w:rPr>
            </w:pPr>
          </w:p>
        </w:tc>
      </w:tr>
      <w:tr w14:paraId="6CEC195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149B0030">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F738F4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扬尘在线视频监测设备、软件及管理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452894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4790C1C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281E74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D5C9918">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BE79D78">
            <w:pPr>
              <w:autoSpaceDN w:val="0"/>
              <w:spacing w:line="300" w:lineRule="exact"/>
              <w:ind w:left="-53" w:leftChars="-25" w:right="-53" w:rightChars="-25"/>
              <w:jc w:val="center"/>
              <w:rPr>
                <w:rFonts w:ascii="仿宋" w:hAnsi="仿宋" w:eastAsia="仿宋" w:cs="仿宋"/>
                <w:color w:val="auto"/>
                <w:szCs w:val="21"/>
                <w:highlight w:val="none"/>
              </w:rPr>
            </w:pPr>
          </w:p>
        </w:tc>
      </w:tr>
      <w:tr w14:paraId="4AA15421">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D8AF3EC">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66E20B4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远程高清视频监控设备、软件及管理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60AF55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474185C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0C8714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0ABE081">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0D2F6F8B">
            <w:pPr>
              <w:autoSpaceDN w:val="0"/>
              <w:spacing w:line="300" w:lineRule="exact"/>
              <w:ind w:left="-53" w:leftChars="-25" w:right="-53" w:rightChars="-25"/>
              <w:jc w:val="center"/>
              <w:rPr>
                <w:rFonts w:ascii="仿宋" w:hAnsi="仿宋" w:eastAsia="仿宋" w:cs="仿宋"/>
                <w:color w:val="auto"/>
                <w:szCs w:val="21"/>
                <w:highlight w:val="none"/>
              </w:rPr>
            </w:pPr>
          </w:p>
        </w:tc>
      </w:tr>
      <w:tr w14:paraId="484A5102">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1C25535B">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65F1866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起重机械安全监控设备、软件及管理</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7A6ECB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1AF0C3A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3F7EA4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0688961">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A8BC2D0">
            <w:pPr>
              <w:autoSpaceDN w:val="0"/>
              <w:spacing w:line="300" w:lineRule="exact"/>
              <w:ind w:left="-53" w:leftChars="-25" w:right="-53" w:rightChars="-25"/>
              <w:jc w:val="center"/>
              <w:rPr>
                <w:rFonts w:ascii="仿宋" w:hAnsi="仿宋" w:eastAsia="仿宋" w:cs="仿宋"/>
                <w:color w:val="auto"/>
                <w:szCs w:val="21"/>
                <w:highlight w:val="none"/>
              </w:rPr>
            </w:pPr>
          </w:p>
        </w:tc>
      </w:tr>
      <w:tr w14:paraId="232C4CA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1B8F77FB">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3204C94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其他管理设施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4842826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0720BF5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813D1D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362BF33">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FE76A97">
            <w:pPr>
              <w:autoSpaceDN w:val="0"/>
              <w:spacing w:line="300" w:lineRule="exact"/>
              <w:ind w:left="-53" w:leftChars="-25" w:right="-53" w:rightChars="-25"/>
              <w:jc w:val="center"/>
              <w:rPr>
                <w:rFonts w:ascii="仿宋" w:hAnsi="仿宋" w:eastAsia="仿宋" w:cs="仿宋"/>
                <w:color w:val="auto"/>
                <w:szCs w:val="21"/>
                <w:highlight w:val="none"/>
              </w:rPr>
            </w:pPr>
          </w:p>
        </w:tc>
      </w:tr>
      <w:tr w14:paraId="0A965E34">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087D02D2">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（十一）</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8C04DB6">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安全教育培训</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2619DA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09E49BB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4D420E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CB82C3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127BC17">
            <w:pPr>
              <w:autoSpaceDN w:val="0"/>
              <w:spacing w:line="300" w:lineRule="exact"/>
              <w:ind w:left="-53" w:leftChars="-25" w:right="-53" w:rightChars="-25"/>
              <w:jc w:val="center"/>
              <w:rPr>
                <w:rFonts w:ascii="仿宋" w:hAnsi="仿宋" w:eastAsia="仿宋" w:cs="仿宋"/>
                <w:color w:val="auto"/>
                <w:szCs w:val="21"/>
                <w:highlight w:val="none"/>
              </w:rPr>
            </w:pPr>
          </w:p>
        </w:tc>
      </w:tr>
      <w:tr w14:paraId="5B6D03C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0C28B65">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（十二）</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C68DD1E">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现场安全保卫</w:t>
            </w:r>
          </w:p>
        </w:tc>
        <w:tc>
          <w:tcPr>
            <w:tcW w:w="647" w:type="dxa"/>
            <w:tcBorders>
              <w:top w:val="single" w:color="auto" w:sz="4" w:space="0"/>
              <w:left w:val="nil"/>
              <w:bottom w:val="single" w:color="auto" w:sz="4" w:space="0"/>
              <w:right w:val="single" w:color="auto" w:sz="4" w:space="0"/>
            </w:tcBorders>
            <w:shd w:val="clear" w:color="auto" w:fill="FFFFFF"/>
            <w:vAlign w:val="center"/>
          </w:tcPr>
          <w:p w14:paraId="43ACBD0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10B8345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8812A6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673358E">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4C4E9E4">
            <w:pPr>
              <w:autoSpaceDN w:val="0"/>
              <w:spacing w:line="300" w:lineRule="exact"/>
              <w:ind w:left="-53" w:leftChars="-25" w:right="-53" w:rightChars="-25"/>
              <w:jc w:val="center"/>
              <w:rPr>
                <w:rFonts w:ascii="仿宋" w:hAnsi="仿宋" w:eastAsia="仿宋" w:cs="仿宋"/>
                <w:color w:val="auto"/>
                <w:szCs w:val="21"/>
                <w:highlight w:val="none"/>
              </w:rPr>
            </w:pPr>
          </w:p>
        </w:tc>
      </w:tr>
      <w:tr w14:paraId="1119803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80AE32B">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（十三）</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772F2CB9">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其他安全施工措施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F47EF3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D4387A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AD88F5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E869BF6">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A001AD2">
            <w:pPr>
              <w:autoSpaceDN w:val="0"/>
              <w:spacing w:line="300" w:lineRule="exact"/>
              <w:ind w:left="-53" w:leftChars="-25" w:right="-53" w:rightChars="-25"/>
              <w:jc w:val="center"/>
              <w:rPr>
                <w:rFonts w:ascii="仿宋" w:hAnsi="仿宋" w:eastAsia="仿宋" w:cs="仿宋"/>
                <w:color w:val="auto"/>
                <w:szCs w:val="21"/>
                <w:highlight w:val="none"/>
              </w:rPr>
            </w:pPr>
          </w:p>
        </w:tc>
      </w:tr>
      <w:tr w14:paraId="6538C764">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651532A4">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二</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2380F256">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文明施工措施项目</w:t>
            </w:r>
          </w:p>
        </w:tc>
        <w:tc>
          <w:tcPr>
            <w:tcW w:w="647" w:type="dxa"/>
            <w:tcBorders>
              <w:top w:val="single" w:color="auto" w:sz="4" w:space="0"/>
              <w:left w:val="nil"/>
              <w:bottom w:val="single" w:color="auto" w:sz="4" w:space="0"/>
              <w:right w:val="single" w:color="auto" w:sz="4" w:space="0"/>
            </w:tcBorders>
            <w:shd w:val="clear" w:color="auto" w:fill="FFFFFF"/>
            <w:vAlign w:val="center"/>
          </w:tcPr>
          <w:p w14:paraId="381C5A0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499FFF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9638E0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3C92EF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7F5030B">
            <w:pPr>
              <w:autoSpaceDN w:val="0"/>
              <w:spacing w:line="300" w:lineRule="exact"/>
              <w:ind w:left="-53" w:leftChars="-25" w:right="-53" w:rightChars="-25"/>
              <w:jc w:val="center"/>
              <w:rPr>
                <w:rFonts w:ascii="仿宋" w:hAnsi="仿宋" w:eastAsia="仿宋" w:cs="仿宋"/>
                <w:color w:val="auto"/>
                <w:szCs w:val="21"/>
                <w:highlight w:val="none"/>
              </w:rPr>
            </w:pPr>
          </w:p>
        </w:tc>
      </w:tr>
      <w:tr w14:paraId="5C20ED4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5DF9F9D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201FAFE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围墙</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0E366E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14:paraId="2BD2227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F48CB8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94613B8">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C7EBE1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按标准设置</w:t>
            </w:r>
          </w:p>
        </w:tc>
      </w:tr>
      <w:tr w14:paraId="04C318A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380FA6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E32AC6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大门、门楼</w:t>
            </w:r>
          </w:p>
        </w:tc>
        <w:tc>
          <w:tcPr>
            <w:tcW w:w="647" w:type="dxa"/>
            <w:tcBorders>
              <w:top w:val="single" w:color="auto" w:sz="4" w:space="0"/>
              <w:left w:val="nil"/>
              <w:bottom w:val="single" w:color="auto" w:sz="4" w:space="0"/>
              <w:right w:val="single" w:color="auto" w:sz="4" w:space="0"/>
            </w:tcBorders>
            <w:shd w:val="clear" w:color="auto" w:fill="FFFFFF"/>
            <w:vAlign w:val="center"/>
          </w:tcPr>
          <w:p w14:paraId="6B4B33B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DCE61C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573082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10C16A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DE4B979">
            <w:pPr>
              <w:autoSpaceDN w:val="0"/>
              <w:spacing w:line="300" w:lineRule="exact"/>
              <w:ind w:left="-53" w:leftChars="-25" w:right="-53" w:rightChars="-25"/>
              <w:jc w:val="center"/>
              <w:rPr>
                <w:rFonts w:ascii="仿宋" w:hAnsi="仿宋" w:eastAsia="仿宋" w:cs="仿宋"/>
                <w:color w:val="auto"/>
                <w:szCs w:val="21"/>
                <w:highlight w:val="none"/>
              </w:rPr>
            </w:pPr>
          </w:p>
        </w:tc>
      </w:tr>
      <w:tr w14:paraId="38E137AD">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3AFB8C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3ABA07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标牌</w:t>
            </w:r>
          </w:p>
        </w:tc>
        <w:tc>
          <w:tcPr>
            <w:tcW w:w="647" w:type="dxa"/>
            <w:tcBorders>
              <w:top w:val="single" w:color="auto" w:sz="4" w:space="0"/>
              <w:left w:val="nil"/>
              <w:bottom w:val="single" w:color="auto" w:sz="4" w:space="0"/>
              <w:right w:val="single" w:color="auto" w:sz="4" w:space="0"/>
            </w:tcBorders>
            <w:shd w:val="clear" w:color="auto" w:fill="FFFFFF"/>
            <w:vAlign w:val="center"/>
          </w:tcPr>
          <w:p w14:paraId="52AAA62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621315D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2EA02A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2BD0216">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2D91699">
            <w:pPr>
              <w:autoSpaceDN w:val="0"/>
              <w:spacing w:line="300" w:lineRule="exact"/>
              <w:ind w:left="-53" w:leftChars="-25" w:right="-53" w:rightChars="-25"/>
              <w:jc w:val="center"/>
              <w:rPr>
                <w:rFonts w:ascii="仿宋" w:hAnsi="仿宋" w:eastAsia="仿宋" w:cs="仿宋"/>
                <w:color w:val="auto"/>
                <w:szCs w:val="21"/>
                <w:highlight w:val="none"/>
              </w:rPr>
            </w:pPr>
          </w:p>
        </w:tc>
      </w:tr>
      <w:tr w14:paraId="48F0FC5A">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6D4165B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76C290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效果图</w:t>
            </w:r>
          </w:p>
        </w:tc>
        <w:tc>
          <w:tcPr>
            <w:tcW w:w="647" w:type="dxa"/>
            <w:tcBorders>
              <w:top w:val="single" w:color="auto" w:sz="4" w:space="0"/>
              <w:left w:val="nil"/>
              <w:bottom w:val="single" w:color="auto" w:sz="4" w:space="0"/>
              <w:right w:val="single" w:color="auto" w:sz="4" w:space="0"/>
            </w:tcBorders>
            <w:shd w:val="clear" w:color="auto" w:fill="FFFFFF"/>
            <w:vAlign w:val="center"/>
          </w:tcPr>
          <w:p w14:paraId="624E450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6DD109E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79481D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BE3B995">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0E41E78">
            <w:pPr>
              <w:autoSpaceDN w:val="0"/>
              <w:spacing w:line="300" w:lineRule="exact"/>
              <w:ind w:left="-53" w:leftChars="-25" w:right="-53" w:rightChars="-25"/>
              <w:jc w:val="center"/>
              <w:rPr>
                <w:rFonts w:ascii="仿宋" w:hAnsi="仿宋" w:eastAsia="仿宋" w:cs="仿宋"/>
                <w:color w:val="auto"/>
                <w:szCs w:val="21"/>
                <w:highlight w:val="none"/>
              </w:rPr>
            </w:pPr>
          </w:p>
        </w:tc>
      </w:tr>
      <w:tr w14:paraId="13FC63F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28D47D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CE3FE7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彩钢板围档</w:t>
            </w:r>
          </w:p>
        </w:tc>
        <w:tc>
          <w:tcPr>
            <w:tcW w:w="647" w:type="dxa"/>
            <w:tcBorders>
              <w:top w:val="single" w:color="auto" w:sz="4" w:space="0"/>
              <w:left w:val="nil"/>
              <w:bottom w:val="single" w:color="auto" w:sz="4" w:space="0"/>
              <w:right w:val="single" w:color="auto" w:sz="4" w:space="0"/>
            </w:tcBorders>
            <w:shd w:val="clear" w:color="auto" w:fill="FFFFFF"/>
            <w:vAlign w:val="center"/>
          </w:tcPr>
          <w:p w14:paraId="4D6CC2D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14:paraId="0FF1DA9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FA933D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1CAFA12">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7F59119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按标准设置</w:t>
            </w:r>
          </w:p>
        </w:tc>
      </w:tr>
      <w:tr w14:paraId="42307B95">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5678A2B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52CE64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地坪硬化</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7BBB52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677229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D1C0E8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5A98B5E">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75D428B1">
            <w:pPr>
              <w:autoSpaceDN w:val="0"/>
              <w:spacing w:line="300" w:lineRule="exact"/>
              <w:ind w:left="-53" w:leftChars="-25" w:right="-53" w:rightChars="-25"/>
              <w:jc w:val="center"/>
              <w:rPr>
                <w:rFonts w:ascii="仿宋" w:hAnsi="仿宋" w:eastAsia="仿宋" w:cs="仿宋"/>
                <w:color w:val="auto"/>
                <w:szCs w:val="21"/>
                <w:highlight w:val="none"/>
              </w:rPr>
            </w:pPr>
          </w:p>
        </w:tc>
      </w:tr>
      <w:tr w14:paraId="25DF60D6">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773FEB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B3A235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其他文明施工措施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22FE15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CEF3B4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194751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E40BBDE">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3FF45670">
            <w:pPr>
              <w:autoSpaceDN w:val="0"/>
              <w:spacing w:line="300" w:lineRule="exact"/>
              <w:ind w:left="-53" w:leftChars="-25" w:right="-53" w:rightChars="-25"/>
              <w:jc w:val="center"/>
              <w:rPr>
                <w:rFonts w:ascii="仿宋" w:hAnsi="仿宋" w:eastAsia="仿宋" w:cs="仿宋"/>
                <w:color w:val="auto"/>
                <w:szCs w:val="21"/>
                <w:highlight w:val="none"/>
              </w:rPr>
            </w:pPr>
          </w:p>
        </w:tc>
      </w:tr>
      <w:tr w14:paraId="5D2E0190">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11FAC3C6">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三</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2E3F6321">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环境保护措施项目</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3249CA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F0E8AB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F5B34A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3E3DC72">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B4A0C4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含扬尘污染防治措施</w:t>
            </w:r>
          </w:p>
        </w:tc>
      </w:tr>
      <w:tr w14:paraId="1760112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0F0C28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2542FB2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现场绿化</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6AA01C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2CD4D0F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DA581E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08C55E5">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EFC253C">
            <w:pPr>
              <w:autoSpaceDN w:val="0"/>
              <w:spacing w:line="300" w:lineRule="exact"/>
              <w:ind w:left="-53" w:leftChars="-25" w:right="-53" w:rightChars="-25"/>
              <w:jc w:val="center"/>
              <w:rPr>
                <w:rFonts w:ascii="仿宋" w:hAnsi="仿宋" w:eastAsia="仿宋" w:cs="仿宋"/>
                <w:color w:val="auto"/>
                <w:szCs w:val="21"/>
                <w:highlight w:val="none"/>
              </w:rPr>
            </w:pPr>
          </w:p>
        </w:tc>
      </w:tr>
      <w:tr w14:paraId="7CDEDB7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747251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398FAD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防尘网布</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15A794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02614BD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99F410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235655C">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6D04514B">
            <w:pPr>
              <w:autoSpaceDN w:val="0"/>
              <w:spacing w:line="300" w:lineRule="exact"/>
              <w:ind w:left="-53" w:leftChars="-25" w:right="-53" w:rightChars="-25"/>
              <w:jc w:val="center"/>
              <w:rPr>
                <w:rFonts w:ascii="仿宋" w:hAnsi="仿宋" w:eastAsia="仿宋" w:cs="仿宋"/>
                <w:color w:val="auto"/>
                <w:szCs w:val="21"/>
                <w:highlight w:val="none"/>
              </w:rPr>
            </w:pPr>
          </w:p>
        </w:tc>
      </w:tr>
      <w:tr w14:paraId="3BEA6EF0">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64C6129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BB2628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车辆冲洗设施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3786170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50AF174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2388DE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B651D22">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976EE4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含洗车槽、自动冲洗或</w:t>
            </w:r>
          </w:p>
          <w:p w14:paraId="464CA93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其他冲洗设备等</w:t>
            </w:r>
          </w:p>
        </w:tc>
      </w:tr>
      <w:tr w14:paraId="712B1350">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0BC60F8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749FD75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喷淋设施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258493B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9FD19B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E3C124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FA103CA">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6DB955EE">
            <w:pPr>
              <w:autoSpaceDN w:val="0"/>
              <w:spacing w:line="300" w:lineRule="exact"/>
              <w:ind w:left="-53" w:leftChars="-25" w:right="-53" w:rightChars="-25"/>
              <w:jc w:val="center"/>
              <w:rPr>
                <w:rFonts w:ascii="仿宋" w:hAnsi="仿宋" w:eastAsia="仿宋" w:cs="仿宋"/>
                <w:color w:val="auto"/>
                <w:szCs w:val="21"/>
                <w:highlight w:val="none"/>
              </w:rPr>
            </w:pPr>
          </w:p>
        </w:tc>
      </w:tr>
      <w:tr w14:paraId="123055C1">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8F9D8F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F2572E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塔吊喷淋</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DEFF44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14A6AC2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E2607A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8409C8F">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464B82B">
            <w:pPr>
              <w:autoSpaceDN w:val="0"/>
              <w:spacing w:line="300" w:lineRule="exact"/>
              <w:ind w:left="-53" w:leftChars="-25" w:right="-53" w:rightChars="-25"/>
              <w:jc w:val="center"/>
              <w:rPr>
                <w:rFonts w:ascii="仿宋" w:hAnsi="仿宋" w:eastAsia="仿宋" w:cs="仿宋"/>
                <w:color w:val="auto"/>
                <w:szCs w:val="21"/>
                <w:highlight w:val="none"/>
              </w:rPr>
            </w:pPr>
          </w:p>
        </w:tc>
      </w:tr>
      <w:tr w14:paraId="794FEE84">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0A76882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4E127C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外架喷淋</w:t>
            </w:r>
          </w:p>
        </w:tc>
        <w:tc>
          <w:tcPr>
            <w:tcW w:w="647" w:type="dxa"/>
            <w:tcBorders>
              <w:top w:val="single" w:color="auto" w:sz="4" w:space="0"/>
              <w:left w:val="nil"/>
              <w:bottom w:val="single" w:color="auto" w:sz="4" w:space="0"/>
              <w:right w:val="single" w:color="auto" w:sz="4" w:space="0"/>
            </w:tcBorders>
            <w:shd w:val="clear" w:color="auto" w:fill="FFFFFF"/>
            <w:vAlign w:val="center"/>
          </w:tcPr>
          <w:p w14:paraId="3169139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057E62E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17B849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075E6A5">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70A47A0B">
            <w:pPr>
              <w:autoSpaceDN w:val="0"/>
              <w:spacing w:line="300" w:lineRule="exact"/>
              <w:ind w:left="-53" w:leftChars="-25" w:right="-53" w:rightChars="-25"/>
              <w:jc w:val="center"/>
              <w:rPr>
                <w:rFonts w:ascii="仿宋" w:hAnsi="仿宋" w:eastAsia="仿宋" w:cs="仿宋"/>
                <w:color w:val="auto"/>
                <w:szCs w:val="21"/>
                <w:highlight w:val="none"/>
              </w:rPr>
            </w:pPr>
          </w:p>
        </w:tc>
      </w:tr>
      <w:tr w14:paraId="777C555A">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59D7561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46EC88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场地喷淋</w:t>
            </w:r>
          </w:p>
        </w:tc>
        <w:tc>
          <w:tcPr>
            <w:tcW w:w="647" w:type="dxa"/>
            <w:tcBorders>
              <w:top w:val="single" w:color="auto" w:sz="4" w:space="0"/>
              <w:left w:val="nil"/>
              <w:bottom w:val="single" w:color="auto" w:sz="4" w:space="0"/>
              <w:right w:val="single" w:color="auto" w:sz="4" w:space="0"/>
            </w:tcBorders>
            <w:shd w:val="clear" w:color="auto" w:fill="FFFFFF"/>
            <w:vAlign w:val="center"/>
          </w:tcPr>
          <w:p w14:paraId="2C02D34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06A847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B77B3E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49E586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3557EE0">
            <w:pPr>
              <w:autoSpaceDN w:val="0"/>
              <w:spacing w:line="300" w:lineRule="exact"/>
              <w:ind w:left="-53" w:leftChars="-25" w:right="-53" w:rightChars="-25"/>
              <w:jc w:val="center"/>
              <w:rPr>
                <w:rFonts w:ascii="仿宋" w:hAnsi="仿宋" w:eastAsia="仿宋" w:cs="仿宋"/>
                <w:color w:val="auto"/>
                <w:szCs w:val="21"/>
                <w:highlight w:val="none"/>
              </w:rPr>
            </w:pPr>
          </w:p>
        </w:tc>
      </w:tr>
      <w:tr w14:paraId="15C86C3E">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468F72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65322F7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防尘雾炮</w:t>
            </w:r>
          </w:p>
        </w:tc>
        <w:tc>
          <w:tcPr>
            <w:tcW w:w="647" w:type="dxa"/>
            <w:tcBorders>
              <w:top w:val="single" w:color="auto" w:sz="4" w:space="0"/>
              <w:left w:val="nil"/>
              <w:bottom w:val="single" w:color="auto" w:sz="4" w:space="0"/>
              <w:right w:val="single" w:color="auto" w:sz="4" w:space="0"/>
            </w:tcBorders>
            <w:shd w:val="clear" w:color="auto" w:fill="FFFFFF"/>
            <w:vAlign w:val="center"/>
          </w:tcPr>
          <w:p w14:paraId="2A35E6F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878" w:type="dxa"/>
            <w:tcBorders>
              <w:top w:val="single" w:color="auto" w:sz="4" w:space="0"/>
              <w:left w:val="nil"/>
              <w:bottom w:val="single" w:color="auto" w:sz="4" w:space="0"/>
              <w:right w:val="single" w:color="auto" w:sz="4" w:space="0"/>
            </w:tcBorders>
            <w:shd w:val="clear" w:color="auto" w:fill="FFFFFF"/>
            <w:vAlign w:val="center"/>
          </w:tcPr>
          <w:p w14:paraId="4EB9CE8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702369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25140ED">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98817B4">
            <w:pPr>
              <w:autoSpaceDN w:val="0"/>
              <w:spacing w:line="300" w:lineRule="exact"/>
              <w:ind w:left="-53" w:leftChars="-25" w:right="-53" w:rightChars="-25"/>
              <w:jc w:val="center"/>
              <w:rPr>
                <w:rFonts w:ascii="仿宋" w:hAnsi="仿宋" w:eastAsia="仿宋" w:cs="仿宋"/>
                <w:color w:val="auto"/>
                <w:szCs w:val="21"/>
                <w:highlight w:val="none"/>
              </w:rPr>
            </w:pPr>
          </w:p>
        </w:tc>
      </w:tr>
      <w:tr w14:paraId="4DA1AFFC">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599B8F0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332BB2F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其他扬尘控制费用</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DF2D33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585495A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3C1879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A2A4F8A">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8BDBABD">
            <w:pPr>
              <w:autoSpaceDN w:val="0"/>
              <w:spacing w:line="300" w:lineRule="exact"/>
              <w:ind w:left="-53" w:leftChars="-25" w:right="-53" w:rightChars="-25"/>
              <w:jc w:val="center"/>
              <w:rPr>
                <w:rFonts w:ascii="仿宋" w:hAnsi="仿宋" w:eastAsia="仿宋" w:cs="仿宋"/>
                <w:color w:val="auto"/>
                <w:szCs w:val="21"/>
                <w:highlight w:val="none"/>
              </w:rPr>
            </w:pPr>
          </w:p>
        </w:tc>
      </w:tr>
      <w:tr w14:paraId="0CB5A3F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96AB02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664FD95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噪声控制费用</w:t>
            </w:r>
          </w:p>
        </w:tc>
        <w:tc>
          <w:tcPr>
            <w:tcW w:w="647" w:type="dxa"/>
            <w:tcBorders>
              <w:top w:val="single" w:color="auto" w:sz="4" w:space="0"/>
              <w:left w:val="nil"/>
              <w:bottom w:val="single" w:color="auto" w:sz="4" w:space="0"/>
              <w:right w:val="single" w:color="auto" w:sz="4" w:space="0"/>
            </w:tcBorders>
            <w:shd w:val="clear" w:color="auto" w:fill="FFFFFF"/>
            <w:vAlign w:val="center"/>
          </w:tcPr>
          <w:p w14:paraId="22ACAAD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66D64DD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D879D8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B106DE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730A1A12">
            <w:pPr>
              <w:autoSpaceDN w:val="0"/>
              <w:spacing w:line="300" w:lineRule="exact"/>
              <w:ind w:left="-53" w:leftChars="-25" w:right="-53" w:rightChars="-25"/>
              <w:jc w:val="center"/>
              <w:rPr>
                <w:rFonts w:ascii="仿宋" w:hAnsi="仿宋" w:eastAsia="仿宋" w:cs="仿宋"/>
                <w:color w:val="auto"/>
                <w:szCs w:val="21"/>
                <w:highlight w:val="none"/>
              </w:rPr>
            </w:pPr>
          </w:p>
        </w:tc>
      </w:tr>
      <w:tr w14:paraId="3C801B0E">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F9BB3C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24414DF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污水处理费用</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75E327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58851CD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378B6C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E7EAECC">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EA8541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特殊工程要求</w:t>
            </w:r>
          </w:p>
        </w:tc>
      </w:tr>
      <w:tr w14:paraId="5CB18EC7">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024BB6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604B4E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车辆密封费用</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D1D72B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元</w:t>
            </w:r>
          </w:p>
        </w:tc>
        <w:tc>
          <w:tcPr>
            <w:tcW w:w="878" w:type="dxa"/>
            <w:tcBorders>
              <w:top w:val="single" w:color="auto" w:sz="4" w:space="0"/>
              <w:left w:val="nil"/>
              <w:bottom w:val="single" w:color="auto" w:sz="4" w:space="0"/>
              <w:right w:val="single" w:color="auto" w:sz="4" w:space="0"/>
            </w:tcBorders>
            <w:shd w:val="clear" w:color="auto" w:fill="FFFFFF"/>
            <w:vAlign w:val="center"/>
          </w:tcPr>
          <w:p w14:paraId="5AD5E8E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752FF8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41F2427">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7AEFA5E5">
            <w:pPr>
              <w:autoSpaceDN w:val="0"/>
              <w:spacing w:line="300" w:lineRule="exact"/>
              <w:ind w:left="-53" w:leftChars="-25" w:right="-53" w:rightChars="-25"/>
              <w:jc w:val="center"/>
              <w:rPr>
                <w:rFonts w:ascii="仿宋" w:hAnsi="仿宋" w:eastAsia="仿宋" w:cs="仿宋"/>
                <w:color w:val="auto"/>
                <w:szCs w:val="21"/>
                <w:highlight w:val="none"/>
              </w:rPr>
            </w:pPr>
          </w:p>
        </w:tc>
      </w:tr>
      <w:tr w14:paraId="057C4F8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0C10AA4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08C808C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工地食堂油烟净化设备</w:t>
            </w:r>
          </w:p>
        </w:tc>
        <w:tc>
          <w:tcPr>
            <w:tcW w:w="647" w:type="dxa"/>
            <w:tcBorders>
              <w:top w:val="single" w:color="auto" w:sz="4" w:space="0"/>
              <w:left w:val="nil"/>
              <w:bottom w:val="single" w:color="auto" w:sz="4" w:space="0"/>
              <w:right w:val="single" w:color="auto" w:sz="4" w:space="0"/>
            </w:tcBorders>
            <w:shd w:val="clear" w:color="auto" w:fill="FFFFFF"/>
            <w:vAlign w:val="center"/>
          </w:tcPr>
          <w:p w14:paraId="674440B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套</w:t>
            </w:r>
          </w:p>
        </w:tc>
        <w:tc>
          <w:tcPr>
            <w:tcW w:w="878" w:type="dxa"/>
            <w:tcBorders>
              <w:top w:val="single" w:color="auto" w:sz="4" w:space="0"/>
              <w:left w:val="nil"/>
              <w:bottom w:val="single" w:color="auto" w:sz="4" w:space="0"/>
              <w:right w:val="single" w:color="auto" w:sz="4" w:space="0"/>
            </w:tcBorders>
            <w:shd w:val="clear" w:color="auto" w:fill="FFFFFF"/>
            <w:vAlign w:val="center"/>
          </w:tcPr>
          <w:p w14:paraId="5D0F732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5E9306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8D79A8A">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74926ABC">
            <w:pPr>
              <w:autoSpaceDN w:val="0"/>
              <w:spacing w:line="300" w:lineRule="exact"/>
              <w:ind w:left="-53" w:leftChars="-25" w:right="-53" w:rightChars="-25"/>
              <w:jc w:val="center"/>
              <w:rPr>
                <w:rFonts w:ascii="仿宋" w:hAnsi="仿宋" w:eastAsia="仿宋" w:cs="仿宋"/>
                <w:color w:val="auto"/>
                <w:szCs w:val="21"/>
                <w:highlight w:val="none"/>
              </w:rPr>
            </w:pPr>
          </w:p>
        </w:tc>
      </w:tr>
      <w:tr w14:paraId="2B05C98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D2BE3F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48DA59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其他环境保护措施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AF2543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EFAC9A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16481E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9442FC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B1D63FB">
            <w:pPr>
              <w:autoSpaceDN w:val="0"/>
              <w:spacing w:line="300" w:lineRule="exact"/>
              <w:ind w:left="-53" w:leftChars="-25" w:right="-53" w:rightChars="-25"/>
              <w:jc w:val="center"/>
              <w:rPr>
                <w:rFonts w:ascii="仿宋" w:hAnsi="仿宋" w:eastAsia="仿宋" w:cs="仿宋"/>
                <w:color w:val="auto"/>
                <w:szCs w:val="21"/>
                <w:highlight w:val="none"/>
              </w:rPr>
            </w:pPr>
          </w:p>
        </w:tc>
      </w:tr>
      <w:tr w14:paraId="538C9B76">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C1A24B0">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四</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58D63F47">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临时设施措施项目</w:t>
            </w:r>
          </w:p>
        </w:tc>
        <w:tc>
          <w:tcPr>
            <w:tcW w:w="647" w:type="dxa"/>
            <w:tcBorders>
              <w:top w:val="single" w:color="auto" w:sz="4" w:space="0"/>
              <w:left w:val="nil"/>
              <w:bottom w:val="single" w:color="auto" w:sz="4" w:space="0"/>
              <w:right w:val="single" w:color="auto" w:sz="4" w:space="0"/>
            </w:tcBorders>
            <w:shd w:val="clear" w:color="auto" w:fill="FFFFFF"/>
            <w:vAlign w:val="center"/>
          </w:tcPr>
          <w:p w14:paraId="646645E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700C8C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0A44BA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C3ACF2F">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07A355AF">
            <w:pPr>
              <w:autoSpaceDN w:val="0"/>
              <w:spacing w:line="300" w:lineRule="exact"/>
              <w:ind w:left="-53" w:leftChars="-25" w:right="-53" w:rightChars="-25"/>
              <w:jc w:val="center"/>
              <w:rPr>
                <w:rFonts w:ascii="仿宋" w:hAnsi="仿宋" w:eastAsia="仿宋" w:cs="仿宋"/>
                <w:color w:val="auto"/>
                <w:szCs w:val="21"/>
                <w:highlight w:val="none"/>
              </w:rPr>
            </w:pPr>
          </w:p>
        </w:tc>
      </w:tr>
      <w:tr w14:paraId="6BCFE3B2">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8FE301A">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（一）</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9462BE1">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办公用房</w:t>
            </w:r>
          </w:p>
        </w:tc>
        <w:tc>
          <w:tcPr>
            <w:tcW w:w="647" w:type="dxa"/>
            <w:tcBorders>
              <w:top w:val="single" w:color="auto" w:sz="4" w:space="0"/>
              <w:left w:val="nil"/>
              <w:bottom w:val="single" w:color="auto" w:sz="4" w:space="0"/>
              <w:right w:val="single" w:color="auto" w:sz="4" w:space="0"/>
            </w:tcBorders>
            <w:shd w:val="clear" w:color="auto" w:fill="FFFFFF"/>
            <w:vAlign w:val="center"/>
          </w:tcPr>
          <w:p w14:paraId="3D6724B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321B77E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B411B5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FDC9F14">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62B3F373">
            <w:pPr>
              <w:autoSpaceDN w:val="0"/>
              <w:spacing w:line="300" w:lineRule="exact"/>
              <w:ind w:left="-53" w:leftChars="-25" w:right="-53" w:rightChars="-25"/>
              <w:jc w:val="center"/>
              <w:rPr>
                <w:rFonts w:ascii="仿宋" w:hAnsi="仿宋" w:eastAsia="仿宋" w:cs="仿宋"/>
                <w:color w:val="auto"/>
                <w:szCs w:val="21"/>
                <w:highlight w:val="none"/>
              </w:rPr>
            </w:pPr>
          </w:p>
        </w:tc>
      </w:tr>
      <w:tr w14:paraId="291C5896">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F8F8E74">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（二）</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6A0D0FD0">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生活用房</w:t>
            </w:r>
          </w:p>
        </w:tc>
        <w:tc>
          <w:tcPr>
            <w:tcW w:w="647" w:type="dxa"/>
            <w:tcBorders>
              <w:top w:val="single" w:color="auto" w:sz="4" w:space="0"/>
              <w:left w:val="nil"/>
              <w:bottom w:val="single" w:color="auto" w:sz="4" w:space="0"/>
              <w:right w:val="single" w:color="auto" w:sz="4" w:space="0"/>
            </w:tcBorders>
            <w:shd w:val="clear" w:color="auto" w:fill="FFFFFF"/>
            <w:vAlign w:val="center"/>
          </w:tcPr>
          <w:p w14:paraId="2566DFE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4758D7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4095AB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F3FD207">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0BCD64ED">
            <w:pPr>
              <w:autoSpaceDN w:val="0"/>
              <w:spacing w:line="300" w:lineRule="exact"/>
              <w:ind w:left="-53" w:leftChars="-25" w:right="-53" w:rightChars="-25"/>
              <w:jc w:val="center"/>
              <w:rPr>
                <w:rFonts w:ascii="仿宋" w:hAnsi="仿宋" w:eastAsia="仿宋" w:cs="仿宋"/>
                <w:color w:val="auto"/>
                <w:szCs w:val="21"/>
                <w:highlight w:val="none"/>
              </w:rPr>
            </w:pPr>
          </w:p>
        </w:tc>
      </w:tr>
      <w:tr w14:paraId="55AA14AE">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70F8ED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6F60026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宿舍</w:t>
            </w:r>
          </w:p>
        </w:tc>
        <w:tc>
          <w:tcPr>
            <w:tcW w:w="647" w:type="dxa"/>
            <w:tcBorders>
              <w:top w:val="single" w:color="auto" w:sz="4" w:space="0"/>
              <w:left w:val="nil"/>
              <w:bottom w:val="single" w:color="auto" w:sz="4" w:space="0"/>
              <w:right w:val="single" w:color="auto" w:sz="4" w:space="0"/>
            </w:tcBorders>
            <w:shd w:val="clear" w:color="auto" w:fill="FFFFFF"/>
            <w:vAlign w:val="center"/>
          </w:tcPr>
          <w:p w14:paraId="3FE0FF6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2ED5D49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A816E7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9D069A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DF06F8D">
            <w:pPr>
              <w:autoSpaceDN w:val="0"/>
              <w:spacing w:line="300" w:lineRule="exact"/>
              <w:ind w:left="-53" w:leftChars="-25" w:right="-53" w:rightChars="-25"/>
              <w:jc w:val="center"/>
              <w:rPr>
                <w:rFonts w:ascii="仿宋" w:hAnsi="仿宋" w:eastAsia="仿宋" w:cs="仿宋"/>
                <w:color w:val="auto"/>
                <w:szCs w:val="21"/>
                <w:highlight w:val="none"/>
              </w:rPr>
            </w:pPr>
          </w:p>
        </w:tc>
      </w:tr>
      <w:tr w14:paraId="690B987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7EE499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36119D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食堂</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B23BA47">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5D5455A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FC806A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89A34CE">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37C67972">
            <w:pPr>
              <w:autoSpaceDN w:val="0"/>
              <w:spacing w:line="300" w:lineRule="exact"/>
              <w:ind w:left="-53" w:leftChars="-25" w:right="-53" w:rightChars="-25"/>
              <w:jc w:val="center"/>
              <w:rPr>
                <w:rFonts w:ascii="仿宋" w:hAnsi="仿宋" w:eastAsia="仿宋" w:cs="仿宋"/>
                <w:color w:val="auto"/>
                <w:szCs w:val="21"/>
                <w:highlight w:val="none"/>
              </w:rPr>
            </w:pPr>
          </w:p>
        </w:tc>
      </w:tr>
      <w:tr w14:paraId="79E17A4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718A5BB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770A63E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厕所</w:t>
            </w:r>
          </w:p>
        </w:tc>
        <w:tc>
          <w:tcPr>
            <w:tcW w:w="647" w:type="dxa"/>
            <w:tcBorders>
              <w:top w:val="single" w:color="auto" w:sz="4" w:space="0"/>
              <w:left w:val="nil"/>
              <w:bottom w:val="single" w:color="auto" w:sz="4" w:space="0"/>
              <w:right w:val="single" w:color="auto" w:sz="4" w:space="0"/>
            </w:tcBorders>
            <w:shd w:val="clear" w:color="auto" w:fill="FFFFFF"/>
            <w:vAlign w:val="center"/>
          </w:tcPr>
          <w:p w14:paraId="3056340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3B7011A3">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378940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B031385">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68EB40AB">
            <w:pPr>
              <w:autoSpaceDN w:val="0"/>
              <w:spacing w:line="300" w:lineRule="exact"/>
              <w:ind w:left="-53" w:leftChars="-25" w:right="-53" w:rightChars="-25"/>
              <w:jc w:val="center"/>
              <w:rPr>
                <w:rFonts w:ascii="仿宋" w:hAnsi="仿宋" w:eastAsia="仿宋" w:cs="仿宋"/>
                <w:color w:val="auto"/>
                <w:szCs w:val="21"/>
                <w:highlight w:val="none"/>
              </w:rPr>
            </w:pPr>
          </w:p>
        </w:tc>
      </w:tr>
      <w:tr w14:paraId="6CDD3421">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EBE094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50312F5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浴室</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771693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2D55F7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552DF4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A66375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22E6B7EB">
            <w:pPr>
              <w:autoSpaceDN w:val="0"/>
              <w:spacing w:line="300" w:lineRule="exact"/>
              <w:ind w:left="-53" w:leftChars="-25" w:right="-53" w:rightChars="-25"/>
              <w:jc w:val="center"/>
              <w:rPr>
                <w:rFonts w:ascii="仿宋" w:hAnsi="仿宋" w:eastAsia="仿宋" w:cs="仿宋"/>
                <w:color w:val="auto"/>
                <w:szCs w:val="21"/>
                <w:highlight w:val="none"/>
              </w:rPr>
            </w:pPr>
          </w:p>
        </w:tc>
      </w:tr>
      <w:tr w14:paraId="0CF8A695">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EB0362A">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612686F4">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其他生活设施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96D9C1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C0C862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C9698D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D66A052">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08D5D51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休息场所、文化娱乐设施等</w:t>
            </w:r>
          </w:p>
        </w:tc>
      </w:tr>
      <w:tr w14:paraId="726AFF4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0BD65DEC">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（三）</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26820327">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生产用房（仓库）</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8404A89">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r>
              <w:rPr>
                <w:rFonts w:hint="eastAsia" w:ascii="仿宋" w:hAnsi="仿宋" w:eastAsia="仿宋" w:cs="仿宋"/>
                <w:color w:val="auto"/>
                <w:szCs w:val="21"/>
                <w:highlight w:val="none"/>
                <w:vertAlign w:val="superscript"/>
              </w:rPr>
              <w:t>2</w:t>
            </w:r>
          </w:p>
        </w:tc>
        <w:tc>
          <w:tcPr>
            <w:tcW w:w="878" w:type="dxa"/>
            <w:tcBorders>
              <w:top w:val="single" w:color="auto" w:sz="4" w:space="0"/>
              <w:left w:val="nil"/>
              <w:bottom w:val="single" w:color="auto" w:sz="4" w:space="0"/>
              <w:right w:val="single" w:color="auto" w:sz="4" w:space="0"/>
            </w:tcBorders>
            <w:shd w:val="clear" w:color="auto" w:fill="FFFFFF"/>
            <w:vAlign w:val="center"/>
          </w:tcPr>
          <w:p w14:paraId="49B0EC9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479D30F">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1ACD9BD">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E15498E">
            <w:pPr>
              <w:autoSpaceDN w:val="0"/>
              <w:spacing w:line="300" w:lineRule="exact"/>
              <w:ind w:left="-53" w:leftChars="-25" w:right="-53" w:rightChars="-25"/>
              <w:jc w:val="center"/>
              <w:rPr>
                <w:rFonts w:ascii="仿宋" w:hAnsi="仿宋" w:eastAsia="仿宋" w:cs="仿宋"/>
                <w:color w:val="auto"/>
                <w:szCs w:val="21"/>
                <w:highlight w:val="none"/>
              </w:rPr>
            </w:pPr>
          </w:p>
        </w:tc>
      </w:tr>
      <w:tr w14:paraId="2C025CAF">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61863CD1">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（四）</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CB1F28E">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临时用电设施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8DE8FE5">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33031B9">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233BD37">
            <w:pPr>
              <w:autoSpaceDN w:val="0"/>
              <w:spacing w:line="300" w:lineRule="exact"/>
              <w:ind w:left="-53" w:leftChars="-25" w:right="-53" w:rightChars="-25"/>
              <w:jc w:val="center"/>
              <w:rPr>
                <w:rFonts w:ascii="仿宋" w:hAnsi="仿宋" w:eastAsia="仿宋" w:cs="仿宋"/>
                <w:b/>
                <w:bCs/>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D0E6FD4">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9BCAC37">
            <w:pPr>
              <w:autoSpaceDN w:val="0"/>
              <w:spacing w:line="300" w:lineRule="exact"/>
              <w:ind w:left="-53" w:leftChars="-25" w:right="-53" w:rightChars="-25"/>
              <w:jc w:val="center"/>
              <w:rPr>
                <w:rFonts w:ascii="仿宋" w:hAnsi="仿宋" w:eastAsia="仿宋" w:cs="仿宋"/>
                <w:color w:val="auto"/>
                <w:szCs w:val="21"/>
                <w:highlight w:val="none"/>
              </w:rPr>
            </w:pPr>
          </w:p>
        </w:tc>
      </w:tr>
      <w:tr w14:paraId="2DC1F76E">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926A79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3CC9245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总配电箱</w:t>
            </w:r>
          </w:p>
        </w:tc>
        <w:tc>
          <w:tcPr>
            <w:tcW w:w="647" w:type="dxa"/>
            <w:tcBorders>
              <w:top w:val="single" w:color="auto" w:sz="4" w:space="0"/>
              <w:left w:val="nil"/>
              <w:bottom w:val="single" w:color="auto" w:sz="4" w:space="0"/>
              <w:right w:val="single" w:color="auto" w:sz="4" w:space="0"/>
            </w:tcBorders>
            <w:shd w:val="clear" w:color="auto" w:fill="FFFFFF"/>
            <w:vAlign w:val="center"/>
          </w:tcPr>
          <w:p w14:paraId="4449AE9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只</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0ED343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1F54ADD">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6B6F66A">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3F86C6FF">
            <w:pPr>
              <w:autoSpaceDN w:val="0"/>
              <w:spacing w:line="300" w:lineRule="exact"/>
              <w:ind w:left="-53" w:leftChars="-25" w:right="-53" w:rightChars="-25"/>
              <w:jc w:val="center"/>
              <w:rPr>
                <w:rFonts w:ascii="仿宋" w:hAnsi="仿宋" w:eastAsia="仿宋" w:cs="仿宋"/>
                <w:color w:val="auto"/>
                <w:szCs w:val="21"/>
                <w:highlight w:val="none"/>
              </w:rPr>
            </w:pPr>
          </w:p>
        </w:tc>
      </w:tr>
      <w:tr w14:paraId="2BB88AF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3D2A670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7FDEFEE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分配电箱</w:t>
            </w:r>
          </w:p>
        </w:tc>
        <w:tc>
          <w:tcPr>
            <w:tcW w:w="647" w:type="dxa"/>
            <w:tcBorders>
              <w:top w:val="single" w:color="auto" w:sz="4" w:space="0"/>
              <w:left w:val="nil"/>
              <w:bottom w:val="single" w:color="auto" w:sz="4" w:space="0"/>
              <w:right w:val="single" w:color="auto" w:sz="4" w:space="0"/>
            </w:tcBorders>
            <w:shd w:val="clear" w:color="auto" w:fill="FFFFFF"/>
            <w:vAlign w:val="center"/>
          </w:tcPr>
          <w:p w14:paraId="3B23EFD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只</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EC657F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D869A8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04EE397">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32B4A8E7">
            <w:pPr>
              <w:autoSpaceDN w:val="0"/>
              <w:spacing w:line="300" w:lineRule="exact"/>
              <w:ind w:left="-53" w:leftChars="-25" w:right="-53" w:rightChars="-25"/>
              <w:jc w:val="center"/>
              <w:rPr>
                <w:rFonts w:ascii="仿宋" w:hAnsi="仿宋" w:eastAsia="仿宋" w:cs="仿宋"/>
                <w:color w:val="auto"/>
                <w:szCs w:val="21"/>
                <w:highlight w:val="none"/>
              </w:rPr>
            </w:pPr>
          </w:p>
        </w:tc>
      </w:tr>
      <w:tr w14:paraId="78E70E7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1184F63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3641DC53">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开关箱</w:t>
            </w:r>
          </w:p>
        </w:tc>
        <w:tc>
          <w:tcPr>
            <w:tcW w:w="647" w:type="dxa"/>
            <w:tcBorders>
              <w:top w:val="single" w:color="auto" w:sz="4" w:space="0"/>
              <w:left w:val="nil"/>
              <w:bottom w:val="single" w:color="auto" w:sz="4" w:space="0"/>
              <w:right w:val="single" w:color="auto" w:sz="4" w:space="0"/>
            </w:tcBorders>
            <w:shd w:val="clear" w:color="auto" w:fill="FFFFFF"/>
            <w:vAlign w:val="center"/>
          </w:tcPr>
          <w:p w14:paraId="137EE14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只</w:t>
            </w:r>
          </w:p>
        </w:tc>
        <w:tc>
          <w:tcPr>
            <w:tcW w:w="878" w:type="dxa"/>
            <w:tcBorders>
              <w:top w:val="single" w:color="auto" w:sz="4" w:space="0"/>
              <w:left w:val="nil"/>
              <w:bottom w:val="single" w:color="auto" w:sz="4" w:space="0"/>
              <w:right w:val="single" w:color="auto" w:sz="4" w:space="0"/>
            </w:tcBorders>
            <w:shd w:val="clear" w:color="auto" w:fill="FFFFFF"/>
            <w:vAlign w:val="center"/>
          </w:tcPr>
          <w:p w14:paraId="354E1B4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634852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803A9A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161E73B">
            <w:pPr>
              <w:autoSpaceDN w:val="0"/>
              <w:spacing w:line="300" w:lineRule="exact"/>
              <w:ind w:left="-53" w:leftChars="-25" w:right="-53" w:rightChars="-25"/>
              <w:jc w:val="center"/>
              <w:rPr>
                <w:rFonts w:ascii="仿宋" w:hAnsi="仿宋" w:eastAsia="仿宋" w:cs="仿宋"/>
                <w:color w:val="auto"/>
                <w:szCs w:val="21"/>
                <w:highlight w:val="none"/>
              </w:rPr>
            </w:pPr>
          </w:p>
        </w:tc>
      </w:tr>
      <w:tr w14:paraId="78A7437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76461F38">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7BF30F4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临时用电线路</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70C5D11">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14:paraId="3F762BE9">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DA3A44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A4654D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383C93C1">
            <w:pPr>
              <w:autoSpaceDN w:val="0"/>
              <w:spacing w:line="300" w:lineRule="exact"/>
              <w:ind w:left="-53" w:leftChars="-25" w:right="-53" w:rightChars="-25"/>
              <w:jc w:val="center"/>
              <w:rPr>
                <w:rFonts w:ascii="仿宋" w:hAnsi="仿宋" w:eastAsia="仿宋" w:cs="仿宋"/>
                <w:color w:val="auto"/>
                <w:szCs w:val="21"/>
                <w:highlight w:val="none"/>
              </w:rPr>
            </w:pPr>
          </w:p>
        </w:tc>
      </w:tr>
      <w:tr w14:paraId="2ACEADA5">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0506196F">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5875C87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用电保护装置</w:t>
            </w:r>
          </w:p>
        </w:tc>
        <w:tc>
          <w:tcPr>
            <w:tcW w:w="647" w:type="dxa"/>
            <w:tcBorders>
              <w:top w:val="single" w:color="auto" w:sz="4" w:space="0"/>
              <w:left w:val="nil"/>
              <w:bottom w:val="single" w:color="auto" w:sz="4" w:space="0"/>
              <w:right w:val="single" w:color="auto" w:sz="4" w:space="0"/>
            </w:tcBorders>
            <w:shd w:val="clear" w:color="auto" w:fill="FFFFFF"/>
            <w:vAlign w:val="center"/>
          </w:tcPr>
          <w:p w14:paraId="7AF9DD4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处</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D43497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9B93CD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BF03BA2">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68947263">
            <w:pPr>
              <w:autoSpaceDN w:val="0"/>
              <w:spacing w:line="300" w:lineRule="exact"/>
              <w:ind w:left="-53" w:leftChars="-25" w:right="-53" w:rightChars="-25"/>
              <w:jc w:val="center"/>
              <w:rPr>
                <w:rFonts w:ascii="仿宋" w:hAnsi="仿宋" w:eastAsia="仿宋" w:cs="仿宋"/>
                <w:color w:val="auto"/>
                <w:szCs w:val="21"/>
                <w:highlight w:val="none"/>
              </w:rPr>
            </w:pPr>
          </w:p>
        </w:tc>
      </w:tr>
      <w:tr w14:paraId="0BF0CBD3">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7BC52136">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DE964A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发电机</w:t>
            </w:r>
          </w:p>
        </w:tc>
        <w:tc>
          <w:tcPr>
            <w:tcW w:w="647" w:type="dxa"/>
            <w:tcBorders>
              <w:top w:val="single" w:color="auto" w:sz="4" w:space="0"/>
              <w:left w:val="nil"/>
              <w:bottom w:val="single" w:color="auto" w:sz="4" w:space="0"/>
              <w:right w:val="single" w:color="auto" w:sz="4" w:space="0"/>
            </w:tcBorders>
            <w:shd w:val="clear" w:color="auto" w:fill="FFFFFF"/>
            <w:vAlign w:val="center"/>
          </w:tcPr>
          <w:p w14:paraId="5D2EF6FD">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878" w:type="dxa"/>
            <w:tcBorders>
              <w:top w:val="single" w:color="auto" w:sz="4" w:space="0"/>
              <w:left w:val="nil"/>
              <w:bottom w:val="single" w:color="auto" w:sz="4" w:space="0"/>
              <w:right w:val="single" w:color="auto" w:sz="4" w:space="0"/>
            </w:tcBorders>
            <w:shd w:val="clear" w:color="auto" w:fill="FFFFFF"/>
            <w:vAlign w:val="center"/>
          </w:tcPr>
          <w:p w14:paraId="28AE9B7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E5CC31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8889F73">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CEFFABE">
            <w:pPr>
              <w:autoSpaceDN w:val="0"/>
              <w:spacing w:line="300" w:lineRule="exact"/>
              <w:ind w:left="-53" w:leftChars="-25" w:right="-53" w:rightChars="-25"/>
              <w:jc w:val="center"/>
              <w:rPr>
                <w:rFonts w:ascii="仿宋" w:hAnsi="仿宋" w:eastAsia="仿宋" w:cs="仿宋"/>
                <w:color w:val="auto"/>
                <w:szCs w:val="21"/>
                <w:highlight w:val="none"/>
              </w:rPr>
            </w:pPr>
          </w:p>
        </w:tc>
      </w:tr>
      <w:tr w14:paraId="483A4BCC">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634BF8DB">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48E0F8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其他临时用电设施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2F0223B1">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F74888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1C478B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B3A200B">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611261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附近外电线路</w:t>
            </w:r>
          </w:p>
          <w:p w14:paraId="079227A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防护设施等</w:t>
            </w:r>
          </w:p>
        </w:tc>
      </w:tr>
      <w:tr w14:paraId="188A455E">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4E38E496">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（五）</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1AF2BA51">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临时供水</w:t>
            </w:r>
          </w:p>
        </w:tc>
        <w:tc>
          <w:tcPr>
            <w:tcW w:w="647" w:type="dxa"/>
            <w:tcBorders>
              <w:top w:val="single" w:color="auto" w:sz="4" w:space="0"/>
              <w:left w:val="nil"/>
              <w:bottom w:val="single" w:color="auto" w:sz="4" w:space="0"/>
              <w:right w:val="single" w:color="auto" w:sz="4" w:space="0"/>
            </w:tcBorders>
            <w:shd w:val="clear" w:color="auto" w:fill="FFFFFF"/>
            <w:vAlign w:val="center"/>
          </w:tcPr>
          <w:p w14:paraId="04834CF5">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14:paraId="20CF94E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32FBA1A7">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535EC2A">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37FE040">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按管道长度</w:t>
            </w:r>
          </w:p>
        </w:tc>
      </w:tr>
      <w:tr w14:paraId="55E8360B">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1F97AC6F">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（六）</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4A6E5465">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临时排水</w:t>
            </w:r>
          </w:p>
        </w:tc>
        <w:tc>
          <w:tcPr>
            <w:tcW w:w="647" w:type="dxa"/>
            <w:tcBorders>
              <w:top w:val="single" w:color="auto" w:sz="4" w:space="0"/>
              <w:left w:val="nil"/>
              <w:bottom w:val="single" w:color="auto" w:sz="4" w:space="0"/>
              <w:right w:val="single" w:color="auto" w:sz="4" w:space="0"/>
            </w:tcBorders>
            <w:shd w:val="clear" w:color="auto" w:fill="FFFFFF"/>
            <w:vAlign w:val="center"/>
          </w:tcPr>
          <w:p w14:paraId="4B661C7C">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m</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E7995E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4E5F855E">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561F3A80">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54409FD2">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按管道长度</w:t>
            </w:r>
          </w:p>
        </w:tc>
      </w:tr>
      <w:tr w14:paraId="51170729">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C8646EE">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（七）</w:t>
            </w:r>
          </w:p>
        </w:tc>
        <w:tc>
          <w:tcPr>
            <w:tcW w:w="2162" w:type="dxa"/>
            <w:tcBorders>
              <w:top w:val="single" w:color="auto" w:sz="4" w:space="0"/>
              <w:left w:val="nil"/>
              <w:bottom w:val="single" w:color="auto" w:sz="4" w:space="0"/>
              <w:right w:val="single" w:color="auto" w:sz="4" w:space="0"/>
            </w:tcBorders>
            <w:shd w:val="clear" w:color="auto" w:fill="FFFFFF"/>
            <w:vAlign w:val="center"/>
          </w:tcPr>
          <w:p w14:paraId="70F464E0">
            <w:pPr>
              <w:autoSpaceDN w:val="0"/>
              <w:spacing w:line="300" w:lineRule="exact"/>
              <w:ind w:left="-53" w:leftChars="-25" w:right="-53" w:rightChars="-25"/>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其他临时设施</w:t>
            </w:r>
          </w:p>
        </w:tc>
        <w:tc>
          <w:tcPr>
            <w:tcW w:w="647" w:type="dxa"/>
            <w:tcBorders>
              <w:top w:val="single" w:color="auto" w:sz="4" w:space="0"/>
              <w:left w:val="nil"/>
              <w:bottom w:val="single" w:color="auto" w:sz="4" w:space="0"/>
              <w:right w:val="single" w:color="auto" w:sz="4" w:space="0"/>
            </w:tcBorders>
            <w:shd w:val="clear" w:color="auto" w:fill="FFFFFF"/>
            <w:vAlign w:val="center"/>
          </w:tcPr>
          <w:p w14:paraId="4D4D2500">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11BD038">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103FC9DA">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7125F35F">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3567747D">
            <w:pPr>
              <w:autoSpaceDN w:val="0"/>
              <w:spacing w:line="300" w:lineRule="exact"/>
              <w:ind w:left="-53" w:leftChars="-25" w:right="-53" w:rightChars="-25"/>
              <w:jc w:val="center"/>
              <w:rPr>
                <w:rFonts w:ascii="仿宋" w:hAnsi="仿宋" w:eastAsia="仿宋" w:cs="仿宋"/>
                <w:color w:val="auto"/>
                <w:szCs w:val="21"/>
                <w:highlight w:val="none"/>
              </w:rPr>
            </w:pPr>
          </w:p>
        </w:tc>
      </w:tr>
      <w:tr w14:paraId="52452EB6">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1BD0001C">
            <w:pPr>
              <w:autoSpaceDN w:val="0"/>
              <w:spacing w:line="300" w:lineRule="exact"/>
              <w:ind w:left="-53" w:leftChars="-25" w:right="-53" w:rightChars="-25"/>
              <w:jc w:val="center"/>
              <w:rPr>
                <w:rFonts w:ascii="仿宋" w:hAnsi="仿宋" w:eastAsia="仿宋" w:cs="仿宋"/>
                <w:b/>
                <w:bCs/>
                <w:color w:val="auto"/>
                <w:szCs w:val="21"/>
                <w:highlight w:val="none"/>
              </w:rPr>
            </w:pPr>
          </w:p>
        </w:tc>
        <w:tc>
          <w:tcPr>
            <w:tcW w:w="2162" w:type="dxa"/>
            <w:tcBorders>
              <w:top w:val="single" w:color="auto" w:sz="4" w:space="0"/>
              <w:left w:val="nil"/>
              <w:bottom w:val="single" w:color="auto" w:sz="4" w:space="0"/>
              <w:right w:val="single" w:color="auto" w:sz="4" w:space="0"/>
            </w:tcBorders>
            <w:shd w:val="clear" w:color="auto" w:fill="FFFFFF"/>
            <w:vAlign w:val="center"/>
          </w:tcPr>
          <w:p w14:paraId="163650C3">
            <w:pPr>
              <w:autoSpaceDN w:val="0"/>
              <w:spacing w:line="300" w:lineRule="exact"/>
              <w:ind w:left="-53" w:leftChars="-25" w:right="-53" w:rightChars="-25"/>
              <w:jc w:val="center"/>
              <w:rPr>
                <w:rFonts w:ascii="仿宋" w:hAnsi="仿宋" w:eastAsia="仿宋" w:cs="仿宋"/>
                <w:b/>
                <w:bCs/>
                <w:color w:val="auto"/>
                <w:szCs w:val="21"/>
                <w:highlight w:val="none"/>
              </w:rPr>
            </w:pPr>
          </w:p>
        </w:tc>
        <w:tc>
          <w:tcPr>
            <w:tcW w:w="647" w:type="dxa"/>
            <w:tcBorders>
              <w:top w:val="single" w:color="auto" w:sz="4" w:space="0"/>
              <w:left w:val="nil"/>
              <w:bottom w:val="single" w:color="auto" w:sz="4" w:space="0"/>
              <w:right w:val="single" w:color="auto" w:sz="4" w:space="0"/>
            </w:tcBorders>
            <w:shd w:val="clear" w:color="auto" w:fill="FFFFFF"/>
            <w:vAlign w:val="center"/>
          </w:tcPr>
          <w:p w14:paraId="1CA0D206">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600987EC">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03DBBAB">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F1D880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4B74D041">
            <w:pPr>
              <w:autoSpaceDN w:val="0"/>
              <w:spacing w:line="300" w:lineRule="exact"/>
              <w:ind w:left="-53" w:leftChars="-25" w:right="-53" w:rightChars="-25"/>
              <w:jc w:val="center"/>
              <w:rPr>
                <w:rFonts w:ascii="仿宋" w:hAnsi="仿宋" w:eastAsia="仿宋" w:cs="仿宋"/>
                <w:color w:val="auto"/>
                <w:szCs w:val="21"/>
                <w:highlight w:val="none"/>
              </w:rPr>
            </w:pPr>
          </w:p>
        </w:tc>
      </w:tr>
      <w:tr w14:paraId="487C6AA8">
        <w:tblPrEx>
          <w:tblCellMar>
            <w:top w:w="0" w:type="dxa"/>
            <w:left w:w="108" w:type="dxa"/>
            <w:bottom w:w="0" w:type="dxa"/>
            <w:right w:w="108" w:type="dxa"/>
          </w:tblCellMar>
        </w:tblPrEx>
        <w:trPr>
          <w:cantSplit/>
          <w:trHeight w:val="340" w:hRule="atLeast"/>
          <w:jc w:val="center"/>
        </w:trPr>
        <w:tc>
          <w:tcPr>
            <w:tcW w:w="900" w:type="dxa"/>
            <w:tcBorders>
              <w:top w:val="single" w:color="auto" w:sz="4" w:space="0"/>
              <w:left w:val="single" w:color="auto" w:sz="4" w:space="0"/>
              <w:bottom w:val="single" w:color="auto" w:sz="4" w:space="0"/>
              <w:right w:val="single" w:color="auto" w:sz="4" w:space="0"/>
            </w:tcBorders>
            <w:shd w:val="clear" w:color="auto" w:fill="FFFFFF"/>
            <w:vAlign w:val="center"/>
          </w:tcPr>
          <w:p w14:paraId="25D11366">
            <w:pPr>
              <w:autoSpaceDN w:val="0"/>
              <w:spacing w:line="300" w:lineRule="exact"/>
              <w:ind w:left="-53" w:leftChars="-25" w:right="-53" w:rightChars="-25"/>
              <w:jc w:val="center"/>
              <w:rPr>
                <w:rFonts w:ascii="仿宋" w:hAnsi="仿宋" w:eastAsia="仿宋" w:cs="仿宋"/>
                <w:b/>
                <w:bCs/>
                <w:color w:val="auto"/>
                <w:szCs w:val="21"/>
                <w:highlight w:val="none"/>
              </w:rPr>
            </w:pPr>
          </w:p>
        </w:tc>
        <w:tc>
          <w:tcPr>
            <w:tcW w:w="2162" w:type="dxa"/>
            <w:tcBorders>
              <w:top w:val="single" w:color="auto" w:sz="4" w:space="0"/>
              <w:left w:val="nil"/>
              <w:bottom w:val="single" w:color="auto" w:sz="4" w:space="0"/>
              <w:right w:val="single" w:color="auto" w:sz="4" w:space="0"/>
            </w:tcBorders>
            <w:shd w:val="clear" w:color="auto" w:fill="FFFFFF"/>
            <w:vAlign w:val="center"/>
          </w:tcPr>
          <w:p w14:paraId="2576ED43">
            <w:pPr>
              <w:autoSpaceDN w:val="0"/>
              <w:spacing w:line="300" w:lineRule="exact"/>
              <w:ind w:left="-53" w:leftChars="-25" w:right="-53" w:rightChars="-25"/>
              <w:jc w:val="center"/>
              <w:rPr>
                <w:rFonts w:ascii="仿宋" w:hAnsi="仿宋" w:eastAsia="仿宋" w:cs="仿宋"/>
                <w:b/>
                <w:bCs/>
                <w:color w:val="auto"/>
                <w:szCs w:val="21"/>
                <w:highlight w:val="none"/>
              </w:rPr>
            </w:pPr>
          </w:p>
        </w:tc>
        <w:tc>
          <w:tcPr>
            <w:tcW w:w="647" w:type="dxa"/>
            <w:tcBorders>
              <w:top w:val="single" w:color="auto" w:sz="4" w:space="0"/>
              <w:left w:val="nil"/>
              <w:bottom w:val="single" w:color="auto" w:sz="4" w:space="0"/>
              <w:right w:val="single" w:color="auto" w:sz="4" w:space="0"/>
            </w:tcBorders>
            <w:shd w:val="clear" w:color="auto" w:fill="FFFFFF"/>
            <w:vAlign w:val="center"/>
          </w:tcPr>
          <w:p w14:paraId="388CD8A2">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0835D9B4">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BA8D905">
            <w:pPr>
              <w:autoSpaceDN w:val="0"/>
              <w:spacing w:line="300" w:lineRule="exact"/>
              <w:ind w:left="-53" w:leftChars="-25" w:right="-53" w:rightChars="-25"/>
              <w:jc w:val="center"/>
              <w:rPr>
                <w:rFonts w:ascii="仿宋" w:hAnsi="仿宋" w:eastAsia="仿宋" w:cs="仿宋"/>
                <w:color w:val="auto"/>
                <w:szCs w:val="21"/>
                <w:highlight w:val="none"/>
              </w:rPr>
            </w:pPr>
          </w:p>
        </w:tc>
        <w:tc>
          <w:tcPr>
            <w:tcW w:w="878" w:type="dxa"/>
            <w:tcBorders>
              <w:top w:val="single" w:color="auto" w:sz="4" w:space="0"/>
              <w:left w:val="nil"/>
              <w:bottom w:val="single" w:color="auto" w:sz="4" w:space="0"/>
              <w:right w:val="single" w:color="auto" w:sz="4" w:space="0"/>
            </w:tcBorders>
            <w:shd w:val="clear" w:color="auto" w:fill="FFFFFF"/>
            <w:vAlign w:val="center"/>
          </w:tcPr>
          <w:p w14:paraId="22C1711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3C447640">
            <w:pPr>
              <w:autoSpaceDN w:val="0"/>
              <w:spacing w:line="300" w:lineRule="exact"/>
              <w:ind w:left="-53" w:leftChars="-25" w:right="-53" w:rightChars="-25"/>
              <w:jc w:val="center"/>
              <w:rPr>
                <w:rFonts w:ascii="仿宋" w:hAnsi="仿宋" w:eastAsia="仿宋" w:cs="仿宋"/>
                <w:color w:val="auto"/>
                <w:szCs w:val="21"/>
                <w:highlight w:val="none"/>
              </w:rPr>
            </w:pPr>
          </w:p>
        </w:tc>
      </w:tr>
      <w:tr w14:paraId="2AD3FC6E">
        <w:tblPrEx>
          <w:tblCellMar>
            <w:top w:w="0" w:type="dxa"/>
            <w:left w:w="108" w:type="dxa"/>
            <w:bottom w:w="0" w:type="dxa"/>
            <w:right w:w="108" w:type="dxa"/>
          </w:tblCellMar>
        </w:tblPrEx>
        <w:trPr>
          <w:cantSplit/>
          <w:trHeight w:val="340" w:hRule="atLeast"/>
          <w:jc w:val="center"/>
        </w:trPr>
        <w:tc>
          <w:tcPr>
            <w:tcW w:w="5465" w:type="dxa"/>
            <w:gridSpan w:val="5"/>
            <w:tcBorders>
              <w:top w:val="single" w:color="auto" w:sz="4" w:space="0"/>
              <w:left w:val="single" w:color="auto" w:sz="4" w:space="0"/>
              <w:bottom w:val="single" w:color="auto" w:sz="4" w:space="0"/>
              <w:right w:val="single" w:color="auto" w:sz="4" w:space="0"/>
            </w:tcBorders>
            <w:shd w:val="clear" w:color="auto" w:fill="FFFFFF"/>
            <w:vAlign w:val="center"/>
          </w:tcPr>
          <w:p w14:paraId="2CF1F5BE">
            <w:pPr>
              <w:autoSpaceDN w:val="0"/>
              <w:spacing w:line="300" w:lineRule="exact"/>
              <w:ind w:left="-53" w:leftChars="-25" w:right="-53" w:rightChars="-25"/>
              <w:jc w:val="center"/>
              <w:rPr>
                <w:rFonts w:ascii="仿宋" w:hAnsi="仿宋" w:eastAsia="仿宋" w:cs="仿宋"/>
                <w:color w:val="auto"/>
                <w:szCs w:val="21"/>
                <w:highlight w:val="none"/>
              </w:rPr>
            </w:pPr>
            <w:r>
              <w:rPr>
                <w:rFonts w:hint="eastAsia" w:ascii="仿宋" w:hAnsi="仿宋" w:eastAsia="仿宋" w:cs="仿宋"/>
                <w:color w:val="auto"/>
                <w:szCs w:val="21"/>
                <w:highlight w:val="none"/>
              </w:rPr>
              <w:t>合计</w:t>
            </w:r>
          </w:p>
        </w:tc>
        <w:tc>
          <w:tcPr>
            <w:tcW w:w="878" w:type="dxa"/>
            <w:tcBorders>
              <w:top w:val="single" w:color="auto" w:sz="4" w:space="0"/>
              <w:left w:val="nil"/>
              <w:bottom w:val="single" w:color="auto" w:sz="4" w:space="0"/>
              <w:right w:val="single" w:color="auto" w:sz="4" w:space="0"/>
            </w:tcBorders>
            <w:shd w:val="clear" w:color="auto" w:fill="FFFFFF"/>
            <w:vAlign w:val="center"/>
          </w:tcPr>
          <w:p w14:paraId="78015D59">
            <w:pPr>
              <w:autoSpaceDN w:val="0"/>
              <w:spacing w:line="300" w:lineRule="exact"/>
              <w:ind w:left="-53" w:leftChars="-25" w:right="-53" w:rightChars="-25"/>
              <w:jc w:val="center"/>
              <w:rPr>
                <w:rFonts w:ascii="仿宋" w:hAnsi="仿宋" w:eastAsia="仿宋" w:cs="仿宋"/>
                <w:color w:val="auto"/>
                <w:szCs w:val="21"/>
                <w:highlight w:val="none"/>
              </w:rPr>
            </w:pPr>
          </w:p>
        </w:tc>
        <w:tc>
          <w:tcPr>
            <w:tcW w:w="2439" w:type="dxa"/>
            <w:tcBorders>
              <w:top w:val="single" w:color="auto" w:sz="4" w:space="0"/>
              <w:left w:val="nil"/>
              <w:bottom w:val="single" w:color="auto" w:sz="4" w:space="0"/>
              <w:right w:val="single" w:color="auto" w:sz="4" w:space="0"/>
            </w:tcBorders>
            <w:shd w:val="clear" w:color="auto" w:fill="FFFFFF"/>
            <w:vAlign w:val="center"/>
          </w:tcPr>
          <w:p w14:paraId="1A7278DB">
            <w:pPr>
              <w:autoSpaceDN w:val="0"/>
              <w:spacing w:line="300" w:lineRule="exact"/>
              <w:ind w:left="-53" w:leftChars="-25" w:right="-53" w:rightChars="-25"/>
              <w:jc w:val="center"/>
              <w:rPr>
                <w:rFonts w:ascii="仿宋" w:hAnsi="仿宋" w:eastAsia="仿宋" w:cs="仿宋"/>
                <w:color w:val="auto"/>
                <w:szCs w:val="21"/>
                <w:highlight w:val="none"/>
              </w:rPr>
            </w:pPr>
          </w:p>
        </w:tc>
      </w:tr>
    </w:tbl>
    <w:p w14:paraId="2C50ACCB">
      <w:pPr>
        <w:autoSpaceDN w:val="0"/>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注：表中（1）～（3）栏由采购人根据具体工程特点提供，供应商可补充。安全文明施工措施项目及费用应按采购项目整体报价。</w:t>
      </w:r>
    </w:p>
    <w:p w14:paraId="20542C64">
      <w:pPr>
        <w:keepNext/>
        <w:keepLines/>
        <w:autoSpaceDN w:val="0"/>
        <w:spacing w:before="280" w:after="290" w:line="374" w:lineRule="auto"/>
        <w:jc w:val="center"/>
        <w:outlineLvl w:val="3"/>
        <w:rPr>
          <w:rFonts w:ascii="仿宋" w:hAnsi="仿宋" w:eastAsia="仿宋" w:cs="Times New Roman"/>
          <w:bCs/>
          <w:color w:val="auto"/>
          <w:kern w:val="0"/>
          <w:sz w:val="22"/>
          <w:highlight w:val="none"/>
        </w:rPr>
      </w:pPr>
      <w:r>
        <w:rPr>
          <w:rFonts w:hint="eastAsia" w:ascii="仿宋" w:hAnsi="仿宋" w:eastAsia="仿宋" w:cs="Times New Roman"/>
          <w:color w:val="auto"/>
          <w:kern w:val="0"/>
          <w:sz w:val="22"/>
          <w:highlight w:val="none"/>
        </w:rPr>
        <w:br w:type="page"/>
      </w:r>
      <w:r>
        <w:rPr>
          <w:rFonts w:hint="eastAsia" w:ascii="仿宋" w:hAnsi="仿宋" w:eastAsia="仿宋" w:cs="Times New Roman"/>
          <w:b/>
          <w:bCs/>
          <w:color w:val="auto"/>
          <w:kern w:val="0"/>
          <w:sz w:val="28"/>
          <w:szCs w:val="28"/>
          <w:highlight w:val="none"/>
        </w:rPr>
        <w:t>1-4  其他项目清单及计价表</w:t>
      </w:r>
    </w:p>
    <w:p w14:paraId="290600C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3F2759EA">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单位项目名称：                                                 第 页共 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2687"/>
        <w:gridCol w:w="3178"/>
        <w:gridCol w:w="2546"/>
      </w:tblGrid>
      <w:tr w14:paraId="7753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6C999CEB">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687" w:type="dxa"/>
            <w:tcBorders>
              <w:top w:val="single" w:color="auto" w:sz="4" w:space="0"/>
              <w:left w:val="single" w:color="auto" w:sz="4" w:space="0"/>
              <w:bottom w:val="single" w:color="auto" w:sz="4" w:space="0"/>
              <w:right w:val="single" w:color="auto" w:sz="4" w:space="0"/>
            </w:tcBorders>
            <w:noWrap/>
            <w:vAlign w:val="center"/>
          </w:tcPr>
          <w:p w14:paraId="3E838F1B">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3178" w:type="dxa"/>
            <w:tcBorders>
              <w:top w:val="single" w:color="auto" w:sz="4" w:space="0"/>
              <w:left w:val="single" w:color="auto" w:sz="4" w:space="0"/>
              <w:bottom w:val="single" w:color="auto" w:sz="4" w:space="0"/>
              <w:right w:val="single" w:color="auto" w:sz="4" w:space="0"/>
            </w:tcBorders>
            <w:noWrap/>
            <w:vAlign w:val="center"/>
          </w:tcPr>
          <w:p w14:paraId="4D30FFFF">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金额(元)</w:t>
            </w:r>
          </w:p>
        </w:tc>
        <w:tc>
          <w:tcPr>
            <w:tcW w:w="2546" w:type="dxa"/>
            <w:tcBorders>
              <w:top w:val="single" w:color="auto" w:sz="4" w:space="0"/>
              <w:left w:val="single" w:color="auto" w:sz="4" w:space="0"/>
              <w:bottom w:val="single" w:color="auto" w:sz="4" w:space="0"/>
              <w:right w:val="single" w:color="auto" w:sz="4" w:space="0"/>
            </w:tcBorders>
            <w:noWrap/>
            <w:vAlign w:val="center"/>
          </w:tcPr>
          <w:p w14:paraId="25653255">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79F42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1FDC1F8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687" w:type="dxa"/>
            <w:tcBorders>
              <w:top w:val="single" w:color="auto" w:sz="4" w:space="0"/>
              <w:left w:val="single" w:color="auto" w:sz="4" w:space="0"/>
              <w:bottom w:val="single" w:color="auto" w:sz="4" w:space="0"/>
              <w:right w:val="single" w:color="auto" w:sz="4" w:space="0"/>
            </w:tcBorders>
            <w:noWrap/>
            <w:vAlign w:val="center"/>
          </w:tcPr>
          <w:p w14:paraId="4B2108C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暂列金额</w:t>
            </w:r>
          </w:p>
        </w:tc>
        <w:tc>
          <w:tcPr>
            <w:tcW w:w="3178" w:type="dxa"/>
            <w:tcBorders>
              <w:top w:val="single" w:color="auto" w:sz="4" w:space="0"/>
              <w:left w:val="single" w:color="auto" w:sz="4" w:space="0"/>
              <w:bottom w:val="single" w:color="auto" w:sz="4" w:space="0"/>
              <w:right w:val="single" w:color="auto" w:sz="4" w:space="0"/>
            </w:tcBorders>
            <w:noWrap/>
            <w:vAlign w:val="center"/>
          </w:tcPr>
          <w:p w14:paraId="466FA8F9">
            <w:pPr>
              <w:widowControl/>
              <w:tabs>
                <w:tab w:val="left" w:pos="1000"/>
              </w:tabs>
              <w:autoSpaceDN w:val="0"/>
              <w:spacing w:before="100" w:beforeAutospacing="1" w:after="100" w:afterAutospacing="1"/>
              <w:jc w:val="center"/>
              <w:rPr>
                <w:rFonts w:ascii="仿宋" w:hAnsi="仿宋" w:eastAsia="仿宋" w:cs="仿宋"/>
                <w:color w:val="auto"/>
                <w:sz w:val="24"/>
                <w:szCs w:val="24"/>
                <w:highlight w:val="none"/>
              </w:rPr>
            </w:pPr>
          </w:p>
        </w:tc>
        <w:tc>
          <w:tcPr>
            <w:tcW w:w="2546" w:type="dxa"/>
            <w:tcBorders>
              <w:top w:val="single" w:color="auto" w:sz="4" w:space="0"/>
              <w:left w:val="single" w:color="auto" w:sz="4" w:space="0"/>
              <w:bottom w:val="single" w:color="auto" w:sz="4" w:space="0"/>
              <w:right w:val="single" w:color="auto" w:sz="4" w:space="0"/>
            </w:tcBorders>
            <w:noWrap/>
            <w:vAlign w:val="center"/>
          </w:tcPr>
          <w:p w14:paraId="2DA79D3D">
            <w:pPr>
              <w:widowControl/>
              <w:tabs>
                <w:tab w:val="left" w:pos="1000"/>
              </w:tabs>
              <w:autoSpaceDN w:val="0"/>
              <w:spacing w:before="100" w:beforeAutospacing="1" w:after="100" w:afterAutospacing="1"/>
              <w:jc w:val="center"/>
              <w:rPr>
                <w:rFonts w:ascii="仿宋" w:hAnsi="仿宋" w:eastAsia="仿宋" w:cs="仿宋"/>
                <w:color w:val="auto"/>
                <w:sz w:val="24"/>
                <w:szCs w:val="24"/>
                <w:highlight w:val="none"/>
              </w:rPr>
            </w:pPr>
          </w:p>
        </w:tc>
      </w:tr>
      <w:tr w14:paraId="3A168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0533BF4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687" w:type="dxa"/>
            <w:tcBorders>
              <w:top w:val="single" w:color="auto" w:sz="4" w:space="0"/>
              <w:left w:val="single" w:color="auto" w:sz="4" w:space="0"/>
              <w:bottom w:val="single" w:color="auto" w:sz="4" w:space="0"/>
              <w:right w:val="single" w:color="auto" w:sz="4" w:space="0"/>
            </w:tcBorders>
            <w:noWrap/>
            <w:vAlign w:val="center"/>
          </w:tcPr>
          <w:p w14:paraId="528D798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计日工</w:t>
            </w:r>
          </w:p>
        </w:tc>
        <w:tc>
          <w:tcPr>
            <w:tcW w:w="3178" w:type="dxa"/>
            <w:tcBorders>
              <w:top w:val="single" w:color="auto" w:sz="4" w:space="0"/>
              <w:left w:val="single" w:color="auto" w:sz="4" w:space="0"/>
              <w:bottom w:val="single" w:color="auto" w:sz="4" w:space="0"/>
              <w:right w:val="single" w:color="auto" w:sz="4" w:space="0"/>
            </w:tcBorders>
            <w:noWrap/>
            <w:vAlign w:val="center"/>
          </w:tcPr>
          <w:p w14:paraId="0383092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2546" w:type="dxa"/>
            <w:tcBorders>
              <w:top w:val="single" w:color="auto" w:sz="4" w:space="0"/>
              <w:left w:val="single" w:color="auto" w:sz="4" w:space="0"/>
              <w:bottom w:val="single" w:color="auto" w:sz="4" w:space="0"/>
              <w:right w:val="single" w:color="auto" w:sz="4" w:space="0"/>
            </w:tcBorders>
            <w:noWrap/>
            <w:vAlign w:val="center"/>
          </w:tcPr>
          <w:p w14:paraId="6B6898B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明细表详见1-4-1</w:t>
            </w:r>
          </w:p>
        </w:tc>
      </w:tr>
      <w:tr w14:paraId="34322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5B48277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687" w:type="dxa"/>
            <w:tcBorders>
              <w:top w:val="single" w:color="auto" w:sz="4" w:space="0"/>
              <w:left w:val="single" w:color="auto" w:sz="4" w:space="0"/>
              <w:bottom w:val="single" w:color="auto" w:sz="4" w:space="0"/>
              <w:right w:val="single" w:color="auto" w:sz="4" w:space="0"/>
            </w:tcBorders>
            <w:noWrap/>
            <w:vAlign w:val="center"/>
          </w:tcPr>
          <w:p w14:paraId="2A03C91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总承包服务费</w:t>
            </w:r>
          </w:p>
        </w:tc>
        <w:tc>
          <w:tcPr>
            <w:tcW w:w="3178" w:type="dxa"/>
            <w:tcBorders>
              <w:top w:val="single" w:color="auto" w:sz="4" w:space="0"/>
              <w:left w:val="single" w:color="auto" w:sz="4" w:space="0"/>
              <w:bottom w:val="single" w:color="auto" w:sz="4" w:space="0"/>
              <w:right w:val="single" w:color="auto" w:sz="4" w:space="0"/>
            </w:tcBorders>
            <w:noWrap/>
            <w:vAlign w:val="center"/>
          </w:tcPr>
          <w:p w14:paraId="3F079A9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2546" w:type="dxa"/>
            <w:tcBorders>
              <w:top w:val="single" w:color="auto" w:sz="4" w:space="0"/>
              <w:left w:val="single" w:color="auto" w:sz="4" w:space="0"/>
              <w:bottom w:val="single" w:color="auto" w:sz="4" w:space="0"/>
              <w:right w:val="single" w:color="auto" w:sz="4" w:space="0"/>
            </w:tcBorders>
            <w:noWrap/>
            <w:vAlign w:val="center"/>
          </w:tcPr>
          <w:p w14:paraId="576203E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明细表详见1-4-2</w:t>
            </w:r>
          </w:p>
        </w:tc>
      </w:tr>
      <w:tr w14:paraId="07446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0B87F3C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687" w:type="dxa"/>
            <w:tcBorders>
              <w:top w:val="single" w:color="auto" w:sz="4" w:space="0"/>
              <w:left w:val="single" w:color="auto" w:sz="4" w:space="0"/>
              <w:bottom w:val="single" w:color="auto" w:sz="4" w:space="0"/>
              <w:right w:val="single" w:color="auto" w:sz="4" w:space="0"/>
            </w:tcBorders>
            <w:noWrap/>
            <w:vAlign w:val="center"/>
          </w:tcPr>
          <w:p w14:paraId="747E18E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标化工地增加费</w:t>
            </w:r>
          </w:p>
        </w:tc>
        <w:tc>
          <w:tcPr>
            <w:tcW w:w="3178" w:type="dxa"/>
            <w:tcBorders>
              <w:top w:val="single" w:color="auto" w:sz="4" w:space="0"/>
              <w:left w:val="single" w:color="auto" w:sz="4" w:space="0"/>
              <w:bottom w:val="single" w:color="auto" w:sz="4" w:space="0"/>
              <w:right w:val="single" w:color="auto" w:sz="4" w:space="0"/>
            </w:tcBorders>
            <w:noWrap/>
            <w:vAlign w:val="center"/>
          </w:tcPr>
          <w:p w14:paraId="3460831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2546" w:type="dxa"/>
            <w:tcBorders>
              <w:top w:val="single" w:color="auto" w:sz="4" w:space="0"/>
              <w:left w:val="single" w:color="auto" w:sz="4" w:space="0"/>
              <w:bottom w:val="single" w:color="auto" w:sz="4" w:space="0"/>
              <w:right w:val="single" w:color="auto" w:sz="4" w:space="0"/>
            </w:tcBorders>
            <w:noWrap/>
            <w:vAlign w:val="center"/>
          </w:tcPr>
          <w:p w14:paraId="18166C2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暂列费用</w:t>
            </w:r>
          </w:p>
        </w:tc>
      </w:tr>
      <w:tr w14:paraId="0CB0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4EBBB01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2687" w:type="dxa"/>
            <w:tcBorders>
              <w:top w:val="single" w:color="auto" w:sz="4" w:space="0"/>
              <w:left w:val="single" w:color="auto" w:sz="4" w:space="0"/>
              <w:bottom w:val="single" w:color="auto" w:sz="4" w:space="0"/>
              <w:right w:val="single" w:color="auto" w:sz="4" w:space="0"/>
            </w:tcBorders>
            <w:noWrap/>
            <w:vAlign w:val="center"/>
          </w:tcPr>
          <w:p w14:paraId="099F22E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优质工程增加费</w:t>
            </w:r>
          </w:p>
        </w:tc>
        <w:tc>
          <w:tcPr>
            <w:tcW w:w="3178" w:type="dxa"/>
            <w:tcBorders>
              <w:top w:val="single" w:color="auto" w:sz="4" w:space="0"/>
              <w:left w:val="single" w:color="auto" w:sz="4" w:space="0"/>
              <w:bottom w:val="single" w:color="auto" w:sz="4" w:space="0"/>
              <w:right w:val="single" w:color="auto" w:sz="4" w:space="0"/>
            </w:tcBorders>
            <w:noWrap/>
            <w:vAlign w:val="center"/>
          </w:tcPr>
          <w:p w14:paraId="18D1699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2546" w:type="dxa"/>
            <w:tcBorders>
              <w:top w:val="single" w:color="auto" w:sz="4" w:space="0"/>
              <w:left w:val="single" w:color="auto" w:sz="4" w:space="0"/>
              <w:bottom w:val="single" w:color="auto" w:sz="4" w:space="0"/>
              <w:right w:val="single" w:color="auto" w:sz="4" w:space="0"/>
            </w:tcBorders>
            <w:noWrap/>
            <w:vAlign w:val="center"/>
          </w:tcPr>
          <w:p w14:paraId="6AB2B3A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暂列费用</w:t>
            </w:r>
          </w:p>
        </w:tc>
      </w:tr>
      <w:tr w14:paraId="5F709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3C1831C3">
            <w:pPr>
              <w:autoSpaceDN w:val="0"/>
              <w:rPr>
                <w:rFonts w:ascii="仿宋" w:hAnsi="仿宋" w:eastAsia="仿宋" w:cs="仿宋"/>
                <w:color w:val="auto"/>
                <w:sz w:val="24"/>
                <w:szCs w:val="24"/>
                <w:highlight w:val="none"/>
              </w:rPr>
            </w:pPr>
          </w:p>
        </w:tc>
        <w:tc>
          <w:tcPr>
            <w:tcW w:w="2687" w:type="dxa"/>
            <w:tcBorders>
              <w:top w:val="single" w:color="auto" w:sz="4" w:space="0"/>
              <w:left w:val="single" w:color="auto" w:sz="4" w:space="0"/>
              <w:bottom w:val="single" w:color="auto" w:sz="4" w:space="0"/>
              <w:right w:val="single" w:color="auto" w:sz="4" w:space="0"/>
            </w:tcBorders>
            <w:noWrap/>
            <w:vAlign w:val="center"/>
          </w:tcPr>
          <w:p w14:paraId="6AC53906">
            <w:pPr>
              <w:autoSpaceDN w:val="0"/>
              <w:rPr>
                <w:rFonts w:ascii="仿宋" w:hAnsi="仿宋" w:eastAsia="仿宋" w:cs="仿宋"/>
                <w:color w:val="auto"/>
                <w:sz w:val="24"/>
                <w:szCs w:val="24"/>
                <w:highlight w:val="none"/>
              </w:rPr>
            </w:pPr>
          </w:p>
        </w:tc>
        <w:tc>
          <w:tcPr>
            <w:tcW w:w="3178" w:type="dxa"/>
            <w:tcBorders>
              <w:top w:val="single" w:color="auto" w:sz="4" w:space="0"/>
              <w:left w:val="single" w:color="auto" w:sz="4" w:space="0"/>
              <w:bottom w:val="single" w:color="auto" w:sz="4" w:space="0"/>
              <w:right w:val="single" w:color="auto" w:sz="4" w:space="0"/>
            </w:tcBorders>
            <w:noWrap/>
            <w:vAlign w:val="center"/>
          </w:tcPr>
          <w:p w14:paraId="6BE4D5B6">
            <w:pPr>
              <w:autoSpaceDN w:val="0"/>
              <w:rPr>
                <w:rFonts w:ascii="仿宋" w:hAnsi="仿宋" w:eastAsia="仿宋" w:cs="仿宋"/>
                <w:color w:val="auto"/>
                <w:sz w:val="24"/>
                <w:szCs w:val="24"/>
                <w:highlight w:val="none"/>
              </w:rPr>
            </w:pPr>
          </w:p>
        </w:tc>
        <w:tc>
          <w:tcPr>
            <w:tcW w:w="2546" w:type="dxa"/>
            <w:tcBorders>
              <w:top w:val="single" w:color="auto" w:sz="4" w:space="0"/>
              <w:left w:val="single" w:color="auto" w:sz="4" w:space="0"/>
              <w:bottom w:val="single" w:color="auto" w:sz="4" w:space="0"/>
              <w:right w:val="single" w:color="auto" w:sz="4" w:space="0"/>
            </w:tcBorders>
            <w:noWrap/>
            <w:vAlign w:val="center"/>
          </w:tcPr>
          <w:p w14:paraId="60ECE486">
            <w:pPr>
              <w:autoSpaceDN w:val="0"/>
              <w:rPr>
                <w:rFonts w:ascii="仿宋" w:hAnsi="仿宋" w:eastAsia="仿宋" w:cs="仿宋"/>
                <w:color w:val="auto"/>
                <w:sz w:val="24"/>
                <w:szCs w:val="24"/>
                <w:highlight w:val="none"/>
              </w:rPr>
            </w:pPr>
          </w:p>
        </w:tc>
      </w:tr>
      <w:tr w14:paraId="71BC2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57" w:type="dxa"/>
            <w:tcBorders>
              <w:top w:val="single" w:color="auto" w:sz="4" w:space="0"/>
              <w:left w:val="single" w:color="auto" w:sz="4" w:space="0"/>
              <w:bottom w:val="single" w:color="auto" w:sz="4" w:space="0"/>
              <w:right w:val="single" w:color="auto" w:sz="4" w:space="0"/>
            </w:tcBorders>
            <w:noWrap/>
            <w:vAlign w:val="center"/>
          </w:tcPr>
          <w:p w14:paraId="6F51BDF3">
            <w:pPr>
              <w:autoSpaceDN w:val="0"/>
              <w:rPr>
                <w:rFonts w:ascii="仿宋" w:hAnsi="仿宋" w:eastAsia="仿宋" w:cs="仿宋"/>
                <w:color w:val="auto"/>
                <w:sz w:val="24"/>
                <w:szCs w:val="24"/>
                <w:highlight w:val="none"/>
              </w:rPr>
            </w:pPr>
          </w:p>
        </w:tc>
        <w:tc>
          <w:tcPr>
            <w:tcW w:w="2687" w:type="dxa"/>
            <w:tcBorders>
              <w:top w:val="single" w:color="auto" w:sz="4" w:space="0"/>
              <w:left w:val="single" w:color="auto" w:sz="4" w:space="0"/>
              <w:bottom w:val="single" w:color="auto" w:sz="4" w:space="0"/>
              <w:right w:val="single" w:color="auto" w:sz="4" w:space="0"/>
            </w:tcBorders>
            <w:noWrap/>
            <w:vAlign w:val="center"/>
          </w:tcPr>
          <w:p w14:paraId="6A6AAF21">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3178" w:type="dxa"/>
            <w:tcBorders>
              <w:top w:val="single" w:color="auto" w:sz="4" w:space="0"/>
              <w:left w:val="single" w:color="auto" w:sz="4" w:space="0"/>
              <w:bottom w:val="single" w:color="auto" w:sz="4" w:space="0"/>
              <w:right w:val="single" w:color="auto" w:sz="4" w:space="0"/>
            </w:tcBorders>
            <w:noWrap/>
            <w:vAlign w:val="center"/>
          </w:tcPr>
          <w:p w14:paraId="77DF3604">
            <w:pPr>
              <w:autoSpaceDN w:val="0"/>
              <w:rPr>
                <w:rFonts w:ascii="仿宋" w:hAnsi="仿宋" w:eastAsia="仿宋" w:cs="仿宋"/>
                <w:color w:val="auto"/>
                <w:sz w:val="24"/>
                <w:szCs w:val="24"/>
                <w:highlight w:val="none"/>
              </w:rPr>
            </w:pPr>
          </w:p>
        </w:tc>
        <w:tc>
          <w:tcPr>
            <w:tcW w:w="2546" w:type="dxa"/>
            <w:tcBorders>
              <w:top w:val="single" w:color="auto" w:sz="4" w:space="0"/>
              <w:left w:val="single" w:color="auto" w:sz="4" w:space="0"/>
              <w:bottom w:val="single" w:color="auto" w:sz="4" w:space="0"/>
              <w:right w:val="single" w:color="auto" w:sz="4" w:space="0"/>
            </w:tcBorders>
            <w:noWrap/>
            <w:vAlign w:val="center"/>
          </w:tcPr>
          <w:p w14:paraId="196213C4">
            <w:pPr>
              <w:autoSpaceDN w:val="0"/>
              <w:rPr>
                <w:rFonts w:ascii="仿宋" w:hAnsi="仿宋" w:eastAsia="仿宋" w:cs="仿宋"/>
                <w:color w:val="auto"/>
                <w:sz w:val="24"/>
                <w:szCs w:val="24"/>
                <w:highlight w:val="none"/>
              </w:rPr>
            </w:pPr>
          </w:p>
        </w:tc>
      </w:tr>
    </w:tbl>
    <w:p w14:paraId="5FE6192F">
      <w:pPr>
        <w:keepNext/>
        <w:keepLines/>
        <w:autoSpaceDN w:val="0"/>
        <w:spacing w:before="280" w:after="290" w:line="374" w:lineRule="auto"/>
        <w:jc w:val="center"/>
        <w:outlineLvl w:val="3"/>
        <w:rPr>
          <w:rFonts w:ascii="仿宋" w:hAnsi="仿宋" w:eastAsia="仿宋" w:cs="Times New Roman"/>
          <w:bCs/>
          <w:color w:val="auto"/>
          <w:kern w:val="0"/>
          <w:sz w:val="22"/>
          <w:highlight w:val="none"/>
        </w:rPr>
      </w:pPr>
      <w:r>
        <w:rPr>
          <w:rFonts w:hint="eastAsia" w:ascii="仿宋" w:hAnsi="仿宋" w:eastAsia="仿宋" w:cs="Times New Roman"/>
          <w:color w:val="auto"/>
          <w:kern w:val="0"/>
          <w:sz w:val="22"/>
          <w:highlight w:val="none"/>
        </w:rPr>
        <w:br w:type="page"/>
      </w:r>
      <w:r>
        <w:rPr>
          <w:rFonts w:hint="eastAsia" w:ascii="仿宋" w:hAnsi="仿宋" w:eastAsia="仿宋" w:cs="Times New Roman"/>
          <w:b/>
          <w:bCs/>
          <w:color w:val="auto"/>
          <w:kern w:val="0"/>
          <w:sz w:val="28"/>
          <w:szCs w:val="28"/>
          <w:highlight w:val="none"/>
        </w:rPr>
        <w:t>表1-4-1  计日工表</w:t>
      </w:r>
    </w:p>
    <w:p w14:paraId="4892BB6C">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53BC0113">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单位项目名称：                                                        第 页共 页</w:t>
      </w:r>
    </w:p>
    <w:tbl>
      <w:tblPr>
        <w:tblStyle w:val="61"/>
        <w:tblW w:w="0" w:type="auto"/>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49"/>
        <w:gridCol w:w="2957"/>
        <w:gridCol w:w="1293"/>
        <w:gridCol w:w="1547"/>
        <w:gridCol w:w="1547"/>
        <w:gridCol w:w="1547"/>
      </w:tblGrid>
      <w:tr w14:paraId="03B3E88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8" w:space="0"/>
              <w:left w:val="single" w:color="auto" w:sz="8" w:space="0"/>
              <w:bottom w:val="single" w:color="auto" w:sz="6" w:space="0"/>
              <w:right w:val="single" w:color="auto" w:sz="6" w:space="0"/>
            </w:tcBorders>
            <w:vAlign w:val="center"/>
          </w:tcPr>
          <w:p w14:paraId="0D68364D">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编号</w:t>
            </w:r>
          </w:p>
        </w:tc>
        <w:tc>
          <w:tcPr>
            <w:tcW w:w="2957" w:type="dxa"/>
            <w:tcBorders>
              <w:top w:val="single" w:color="auto" w:sz="8" w:space="0"/>
              <w:left w:val="single" w:color="auto" w:sz="6" w:space="0"/>
              <w:bottom w:val="single" w:color="auto" w:sz="6" w:space="0"/>
              <w:right w:val="single" w:color="auto" w:sz="6" w:space="0"/>
            </w:tcBorders>
            <w:vAlign w:val="center"/>
          </w:tcPr>
          <w:p w14:paraId="7290F130">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 目 名 称</w:t>
            </w:r>
          </w:p>
        </w:tc>
        <w:tc>
          <w:tcPr>
            <w:tcW w:w="1293" w:type="dxa"/>
            <w:tcBorders>
              <w:top w:val="single" w:color="auto" w:sz="8" w:space="0"/>
              <w:left w:val="single" w:color="auto" w:sz="6" w:space="0"/>
              <w:bottom w:val="single" w:color="auto" w:sz="6" w:space="0"/>
              <w:right w:val="single" w:color="auto" w:sz="6" w:space="0"/>
            </w:tcBorders>
            <w:vAlign w:val="center"/>
          </w:tcPr>
          <w:p w14:paraId="4915B6AA">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547" w:type="dxa"/>
            <w:tcBorders>
              <w:top w:val="single" w:color="auto" w:sz="8" w:space="0"/>
              <w:left w:val="single" w:color="auto" w:sz="6" w:space="0"/>
              <w:bottom w:val="single" w:color="auto" w:sz="6" w:space="0"/>
              <w:right w:val="single" w:color="auto" w:sz="6" w:space="0"/>
            </w:tcBorders>
            <w:vAlign w:val="center"/>
          </w:tcPr>
          <w:p w14:paraId="71738865">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547" w:type="dxa"/>
            <w:tcBorders>
              <w:top w:val="single" w:color="auto" w:sz="8" w:space="0"/>
              <w:left w:val="single" w:color="auto" w:sz="6" w:space="0"/>
              <w:bottom w:val="single" w:color="auto" w:sz="6" w:space="0"/>
              <w:right w:val="single" w:color="auto" w:sz="6" w:space="0"/>
            </w:tcBorders>
            <w:vAlign w:val="center"/>
          </w:tcPr>
          <w:p w14:paraId="35CCB4C6">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综合单价（元）</w:t>
            </w:r>
          </w:p>
        </w:tc>
        <w:tc>
          <w:tcPr>
            <w:tcW w:w="1547" w:type="dxa"/>
            <w:tcBorders>
              <w:top w:val="single" w:color="auto" w:sz="8" w:space="0"/>
              <w:left w:val="single" w:color="auto" w:sz="6" w:space="0"/>
              <w:bottom w:val="single" w:color="auto" w:sz="6" w:space="0"/>
              <w:right w:val="single" w:color="auto" w:sz="8" w:space="0"/>
            </w:tcBorders>
            <w:vAlign w:val="center"/>
          </w:tcPr>
          <w:p w14:paraId="35FC5200">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合价（元）</w:t>
            </w:r>
          </w:p>
        </w:tc>
      </w:tr>
      <w:tr w14:paraId="1C863C2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52E2A3DA">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57" w:type="dxa"/>
            <w:tcBorders>
              <w:top w:val="single" w:color="auto" w:sz="6" w:space="0"/>
              <w:left w:val="single" w:color="auto" w:sz="6" w:space="0"/>
              <w:bottom w:val="single" w:color="auto" w:sz="6" w:space="0"/>
              <w:right w:val="single" w:color="auto" w:sz="6" w:space="0"/>
            </w:tcBorders>
            <w:vAlign w:val="center"/>
          </w:tcPr>
          <w:p w14:paraId="0BD53AAE">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293" w:type="dxa"/>
            <w:tcBorders>
              <w:top w:val="single" w:color="auto" w:sz="6" w:space="0"/>
              <w:left w:val="single" w:color="auto" w:sz="6" w:space="0"/>
              <w:bottom w:val="single" w:color="auto" w:sz="6" w:space="0"/>
              <w:right w:val="single" w:color="auto" w:sz="6" w:space="0"/>
            </w:tcBorders>
            <w:vAlign w:val="center"/>
          </w:tcPr>
          <w:p w14:paraId="423DF7E4">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547" w:type="dxa"/>
            <w:tcBorders>
              <w:top w:val="single" w:color="auto" w:sz="6" w:space="0"/>
              <w:left w:val="single" w:color="auto" w:sz="6" w:space="0"/>
              <w:bottom w:val="single" w:color="auto" w:sz="6" w:space="0"/>
              <w:right w:val="single" w:color="auto" w:sz="6" w:space="0"/>
            </w:tcBorders>
            <w:vAlign w:val="center"/>
          </w:tcPr>
          <w:p w14:paraId="13876FA2">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547" w:type="dxa"/>
            <w:tcBorders>
              <w:top w:val="single" w:color="auto" w:sz="6" w:space="0"/>
              <w:left w:val="single" w:color="auto" w:sz="6" w:space="0"/>
              <w:bottom w:val="single" w:color="auto" w:sz="6" w:space="0"/>
              <w:right w:val="single" w:color="auto" w:sz="6" w:space="0"/>
            </w:tcBorders>
            <w:vAlign w:val="center"/>
          </w:tcPr>
          <w:p w14:paraId="312499F7">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69274635">
            <w:pPr>
              <w:tabs>
                <w:tab w:val="left" w:pos="3780"/>
              </w:tabs>
              <w:autoSpaceDN w:val="0"/>
              <w:jc w:val="center"/>
              <w:rPr>
                <w:rFonts w:ascii="仿宋" w:hAnsi="仿宋" w:eastAsia="仿宋" w:cs="仿宋"/>
                <w:color w:val="auto"/>
                <w:sz w:val="24"/>
                <w:szCs w:val="24"/>
                <w:highlight w:val="none"/>
              </w:rPr>
            </w:pPr>
          </w:p>
        </w:tc>
      </w:tr>
      <w:tr w14:paraId="78B4496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4D20D35B">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2957" w:type="dxa"/>
            <w:tcBorders>
              <w:top w:val="single" w:color="auto" w:sz="6" w:space="0"/>
              <w:left w:val="single" w:color="auto" w:sz="6" w:space="0"/>
              <w:bottom w:val="single" w:color="auto" w:sz="6" w:space="0"/>
              <w:right w:val="single" w:color="auto" w:sz="6" w:space="0"/>
            </w:tcBorders>
            <w:vAlign w:val="center"/>
          </w:tcPr>
          <w:p w14:paraId="0B010B41">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    工</w:t>
            </w:r>
          </w:p>
        </w:tc>
        <w:tc>
          <w:tcPr>
            <w:tcW w:w="1293" w:type="dxa"/>
            <w:tcBorders>
              <w:top w:val="single" w:color="auto" w:sz="6" w:space="0"/>
              <w:left w:val="single" w:color="auto" w:sz="6" w:space="0"/>
              <w:bottom w:val="single" w:color="auto" w:sz="6" w:space="0"/>
              <w:right w:val="single" w:color="auto" w:sz="6" w:space="0"/>
            </w:tcBorders>
            <w:vAlign w:val="center"/>
          </w:tcPr>
          <w:p w14:paraId="39C85D54">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3120D168">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3A3DF9AE">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71BBD4BA">
            <w:pPr>
              <w:tabs>
                <w:tab w:val="left" w:pos="3780"/>
              </w:tabs>
              <w:autoSpaceDN w:val="0"/>
              <w:jc w:val="center"/>
              <w:rPr>
                <w:rFonts w:ascii="仿宋" w:hAnsi="仿宋" w:eastAsia="仿宋" w:cs="仿宋"/>
                <w:color w:val="auto"/>
                <w:sz w:val="24"/>
                <w:szCs w:val="24"/>
                <w:highlight w:val="none"/>
              </w:rPr>
            </w:pPr>
          </w:p>
        </w:tc>
      </w:tr>
      <w:tr w14:paraId="07DC74D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07DE446A">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57" w:type="dxa"/>
            <w:tcBorders>
              <w:top w:val="single" w:color="auto" w:sz="6" w:space="0"/>
              <w:left w:val="single" w:color="auto" w:sz="6" w:space="0"/>
              <w:bottom w:val="single" w:color="auto" w:sz="6" w:space="0"/>
              <w:right w:val="single" w:color="auto" w:sz="6" w:space="0"/>
            </w:tcBorders>
            <w:vAlign w:val="center"/>
          </w:tcPr>
          <w:p w14:paraId="4FDB5A7C">
            <w:pPr>
              <w:tabs>
                <w:tab w:val="left" w:pos="3780"/>
              </w:tabs>
              <w:autoSpaceDN w:val="0"/>
              <w:jc w:val="center"/>
              <w:rPr>
                <w:rFonts w:ascii="仿宋" w:hAnsi="仿宋" w:eastAsia="仿宋" w:cs="仿宋"/>
                <w:color w:val="auto"/>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vAlign w:val="center"/>
          </w:tcPr>
          <w:p w14:paraId="14BBFF0E">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21CE4C4E">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54323279">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019CBC72">
            <w:pPr>
              <w:tabs>
                <w:tab w:val="left" w:pos="3780"/>
              </w:tabs>
              <w:autoSpaceDN w:val="0"/>
              <w:jc w:val="center"/>
              <w:rPr>
                <w:rFonts w:ascii="仿宋" w:hAnsi="仿宋" w:eastAsia="仿宋" w:cs="仿宋"/>
                <w:color w:val="auto"/>
                <w:sz w:val="24"/>
                <w:szCs w:val="24"/>
                <w:highlight w:val="none"/>
              </w:rPr>
            </w:pPr>
          </w:p>
        </w:tc>
      </w:tr>
      <w:tr w14:paraId="34380DC9">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18E2751A">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957" w:type="dxa"/>
            <w:tcBorders>
              <w:top w:val="single" w:color="auto" w:sz="6" w:space="0"/>
              <w:left w:val="single" w:color="auto" w:sz="6" w:space="0"/>
              <w:bottom w:val="single" w:color="auto" w:sz="6" w:space="0"/>
              <w:right w:val="single" w:color="auto" w:sz="6" w:space="0"/>
            </w:tcBorders>
            <w:vAlign w:val="center"/>
          </w:tcPr>
          <w:p w14:paraId="6913C69B">
            <w:pPr>
              <w:tabs>
                <w:tab w:val="left" w:pos="3780"/>
              </w:tabs>
              <w:autoSpaceDN w:val="0"/>
              <w:jc w:val="center"/>
              <w:rPr>
                <w:rFonts w:ascii="仿宋" w:hAnsi="仿宋" w:eastAsia="仿宋" w:cs="仿宋"/>
                <w:color w:val="auto"/>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vAlign w:val="center"/>
          </w:tcPr>
          <w:p w14:paraId="55791986">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7AB963E3">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140CA3A0">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2A439AD2">
            <w:pPr>
              <w:tabs>
                <w:tab w:val="left" w:pos="3780"/>
              </w:tabs>
              <w:autoSpaceDN w:val="0"/>
              <w:jc w:val="center"/>
              <w:rPr>
                <w:rFonts w:ascii="仿宋" w:hAnsi="仿宋" w:eastAsia="仿宋" w:cs="仿宋"/>
                <w:color w:val="auto"/>
                <w:sz w:val="24"/>
                <w:szCs w:val="24"/>
                <w:highlight w:val="none"/>
              </w:rPr>
            </w:pPr>
          </w:p>
        </w:tc>
      </w:tr>
      <w:tr w14:paraId="180B042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193" w:type="dxa"/>
            <w:gridSpan w:val="5"/>
            <w:tcBorders>
              <w:top w:val="single" w:color="auto" w:sz="6" w:space="0"/>
              <w:left w:val="single" w:color="auto" w:sz="8" w:space="0"/>
              <w:bottom w:val="single" w:color="auto" w:sz="6" w:space="0"/>
              <w:right w:val="single" w:color="auto" w:sz="6" w:space="0"/>
            </w:tcBorders>
            <w:vAlign w:val="center"/>
          </w:tcPr>
          <w:p w14:paraId="426D72D0">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 工 小 计</w:t>
            </w:r>
          </w:p>
        </w:tc>
        <w:tc>
          <w:tcPr>
            <w:tcW w:w="1547" w:type="dxa"/>
            <w:tcBorders>
              <w:top w:val="single" w:color="auto" w:sz="6" w:space="0"/>
              <w:left w:val="single" w:color="auto" w:sz="6" w:space="0"/>
              <w:bottom w:val="single" w:color="auto" w:sz="6" w:space="0"/>
              <w:right w:val="single" w:color="auto" w:sz="8" w:space="0"/>
            </w:tcBorders>
            <w:vAlign w:val="center"/>
          </w:tcPr>
          <w:p w14:paraId="6A7741CB">
            <w:pPr>
              <w:tabs>
                <w:tab w:val="left" w:pos="3780"/>
              </w:tabs>
              <w:autoSpaceDN w:val="0"/>
              <w:jc w:val="center"/>
              <w:rPr>
                <w:rFonts w:ascii="仿宋" w:hAnsi="仿宋" w:eastAsia="仿宋" w:cs="仿宋"/>
                <w:color w:val="auto"/>
                <w:sz w:val="24"/>
                <w:szCs w:val="24"/>
                <w:highlight w:val="none"/>
              </w:rPr>
            </w:pPr>
          </w:p>
        </w:tc>
      </w:tr>
      <w:tr w14:paraId="5A09DF0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32013FCE">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2957" w:type="dxa"/>
            <w:tcBorders>
              <w:top w:val="single" w:color="auto" w:sz="6" w:space="0"/>
              <w:left w:val="single" w:color="auto" w:sz="6" w:space="0"/>
              <w:bottom w:val="single" w:color="auto" w:sz="6" w:space="0"/>
              <w:right w:val="single" w:color="auto" w:sz="6" w:space="0"/>
            </w:tcBorders>
            <w:vAlign w:val="center"/>
          </w:tcPr>
          <w:p w14:paraId="3C235F70">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    料</w:t>
            </w:r>
          </w:p>
        </w:tc>
        <w:tc>
          <w:tcPr>
            <w:tcW w:w="1293" w:type="dxa"/>
            <w:tcBorders>
              <w:top w:val="single" w:color="auto" w:sz="6" w:space="0"/>
              <w:left w:val="single" w:color="auto" w:sz="6" w:space="0"/>
              <w:bottom w:val="single" w:color="auto" w:sz="6" w:space="0"/>
              <w:right w:val="single" w:color="auto" w:sz="6" w:space="0"/>
            </w:tcBorders>
            <w:vAlign w:val="center"/>
          </w:tcPr>
          <w:p w14:paraId="3FDEBC27">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2A04C402">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17F439E2">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195726E7">
            <w:pPr>
              <w:tabs>
                <w:tab w:val="left" w:pos="3780"/>
              </w:tabs>
              <w:autoSpaceDN w:val="0"/>
              <w:jc w:val="center"/>
              <w:rPr>
                <w:rFonts w:ascii="仿宋" w:hAnsi="仿宋" w:eastAsia="仿宋" w:cs="仿宋"/>
                <w:color w:val="auto"/>
                <w:sz w:val="24"/>
                <w:szCs w:val="24"/>
                <w:highlight w:val="none"/>
              </w:rPr>
            </w:pPr>
          </w:p>
        </w:tc>
      </w:tr>
      <w:tr w14:paraId="497AB84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7F961752">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57" w:type="dxa"/>
            <w:tcBorders>
              <w:top w:val="single" w:color="auto" w:sz="6" w:space="0"/>
              <w:left w:val="single" w:color="auto" w:sz="6" w:space="0"/>
              <w:bottom w:val="single" w:color="auto" w:sz="6" w:space="0"/>
              <w:right w:val="single" w:color="auto" w:sz="6" w:space="0"/>
            </w:tcBorders>
            <w:vAlign w:val="center"/>
          </w:tcPr>
          <w:p w14:paraId="4CE7CBC9">
            <w:pPr>
              <w:tabs>
                <w:tab w:val="left" w:pos="3780"/>
              </w:tabs>
              <w:autoSpaceDN w:val="0"/>
              <w:jc w:val="center"/>
              <w:rPr>
                <w:rFonts w:ascii="仿宋" w:hAnsi="仿宋" w:eastAsia="仿宋" w:cs="仿宋"/>
                <w:color w:val="auto"/>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vAlign w:val="center"/>
          </w:tcPr>
          <w:p w14:paraId="52DC2A4D">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6F7DB7C9">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3821348C">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4562B332">
            <w:pPr>
              <w:tabs>
                <w:tab w:val="left" w:pos="3780"/>
              </w:tabs>
              <w:autoSpaceDN w:val="0"/>
              <w:jc w:val="center"/>
              <w:rPr>
                <w:rFonts w:ascii="仿宋" w:hAnsi="仿宋" w:eastAsia="仿宋" w:cs="仿宋"/>
                <w:color w:val="auto"/>
                <w:sz w:val="24"/>
                <w:szCs w:val="24"/>
                <w:highlight w:val="none"/>
              </w:rPr>
            </w:pPr>
          </w:p>
        </w:tc>
      </w:tr>
      <w:tr w14:paraId="5FAFCE99">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75D56ABD">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957" w:type="dxa"/>
            <w:tcBorders>
              <w:top w:val="single" w:color="auto" w:sz="6" w:space="0"/>
              <w:left w:val="single" w:color="auto" w:sz="6" w:space="0"/>
              <w:bottom w:val="single" w:color="auto" w:sz="6" w:space="0"/>
              <w:right w:val="single" w:color="auto" w:sz="6" w:space="0"/>
            </w:tcBorders>
            <w:vAlign w:val="center"/>
          </w:tcPr>
          <w:p w14:paraId="13AB79F7">
            <w:pPr>
              <w:tabs>
                <w:tab w:val="left" w:pos="3780"/>
              </w:tabs>
              <w:autoSpaceDN w:val="0"/>
              <w:jc w:val="center"/>
              <w:rPr>
                <w:rFonts w:ascii="仿宋" w:hAnsi="仿宋" w:eastAsia="仿宋" w:cs="仿宋"/>
                <w:color w:val="auto"/>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vAlign w:val="center"/>
          </w:tcPr>
          <w:p w14:paraId="57834D87">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47616959">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03D2E718">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71B05D79">
            <w:pPr>
              <w:tabs>
                <w:tab w:val="left" w:pos="3780"/>
              </w:tabs>
              <w:autoSpaceDN w:val="0"/>
              <w:jc w:val="center"/>
              <w:rPr>
                <w:rFonts w:ascii="仿宋" w:hAnsi="仿宋" w:eastAsia="仿宋" w:cs="仿宋"/>
                <w:color w:val="auto"/>
                <w:sz w:val="24"/>
                <w:szCs w:val="24"/>
                <w:highlight w:val="none"/>
              </w:rPr>
            </w:pPr>
          </w:p>
        </w:tc>
      </w:tr>
      <w:tr w14:paraId="45BF98B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93" w:hRule="atLeast"/>
        </w:trPr>
        <w:tc>
          <w:tcPr>
            <w:tcW w:w="8193" w:type="dxa"/>
            <w:gridSpan w:val="5"/>
            <w:tcBorders>
              <w:top w:val="single" w:color="auto" w:sz="6" w:space="0"/>
              <w:left w:val="single" w:color="auto" w:sz="8" w:space="0"/>
              <w:bottom w:val="single" w:color="auto" w:sz="6" w:space="0"/>
              <w:right w:val="single" w:color="auto" w:sz="6" w:space="0"/>
            </w:tcBorders>
            <w:vAlign w:val="center"/>
          </w:tcPr>
          <w:p w14:paraId="19489BC7">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 料 小 计</w:t>
            </w:r>
          </w:p>
        </w:tc>
        <w:tc>
          <w:tcPr>
            <w:tcW w:w="1547" w:type="dxa"/>
            <w:tcBorders>
              <w:top w:val="single" w:color="auto" w:sz="6" w:space="0"/>
              <w:left w:val="single" w:color="auto" w:sz="6" w:space="0"/>
              <w:bottom w:val="single" w:color="auto" w:sz="6" w:space="0"/>
              <w:right w:val="single" w:color="auto" w:sz="8" w:space="0"/>
            </w:tcBorders>
            <w:vAlign w:val="center"/>
          </w:tcPr>
          <w:p w14:paraId="37BDEEDE">
            <w:pPr>
              <w:tabs>
                <w:tab w:val="left" w:pos="3780"/>
              </w:tabs>
              <w:autoSpaceDN w:val="0"/>
              <w:jc w:val="center"/>
              <w:rPr>
                <w:rFonts w:ascii="仿宋" w:hAnsi="仿宋" w:eastAsia="仿宋" w:cs="仿宋"/>
                <w:color w:val="auto"/>
                <w:sz w:val="24"/>
                <w:szCs w:val="24"/>
                <w:highlight w:val="none"/>
              </w:rPr>
            </w:pPr>
          </w:p>
        </w:tc>
      </w:tr>
      <w:tr w14:paraId="68338719">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15026F60">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2957" w:type="dxa"/>
            <w:tcBorders>
              <w:top w:val="single" w:color="auto" w:sz="6" w:space="0"/>
              <w:left w:val="single" w:color="auto" w:sz="6" w:space="0"/>
              <w:bottom w:val="single" w:color="auto" w:sz="6" w:space="0"/>
              <w:right w:val="single" w:color="auto" w:sz="6" w:space="0"/>
            </w:tcBorders>
            <w:vAlign w:val="center"/>
          </w:tcPr>
          <w:p w14:paraId="37FF61EB">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施工机械</w:t>
            </w:r>
          </w:p>
        </w:tc>
        <w:tc>
          <w:tcPr>
            <w:tcW w:w="1293" w:type="dxa"/>
            <w:tcBorders>
              <w:top w:val="single" w:color="auto" w:sz="6" w:space="0"/>
              <w:left w:val="single" w:color="auto" w:sz="6" w:space="0"/>
              <w:bottom w:val="single" w:color="auto" w:sz="6" w:space="0"/>
              <w:right w:val="single" w:color="auto" w:sz="6" w:space="0"/>
            </w:tcBorders>
            <w:vAlign w:val="center"/>
          </w:tcPr>
          <w:p w14:paraId="5F213151">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53167BB4">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1EA332D6">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5A487FFC">
            <w:pPr>
              <w:tabs>
                <w:tab w:val="left" w:pos="3780"/>
              </w:tabs>
              <w:autoSpaceDN w:val="0"/>
              <w:jc w:val="center"/>
              <w:rPr>
                <w:rFonts w:ascii="仿宋" w:hAnsi="仿宋" w:eastAsia="仿宋" w:cs="仿宋"/>
                <w:color w:val="auto"/>
                <w:sz w:val="24"/>
                <w:szCs w:val="24"/>
                <w:highlight w:val="none"/>
              </w:rPr>
            </w:pPr>
          </w:p>
        </w:tc>
      </w:tr>
      <w:tr w14:paraId="0419BA5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1303CC3B">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57" w:type="dxa"/>
            <w:tcBorders>
              <w:top w:val="single" w:color="auto" w:sz="6" w:space="0"/>
              <w:left w:val="single" w:color="auto" w:sz="6" w:space="0"/>
              <w:bottom w:val="single" w:color="auto" w:sz="6" w:space="0"/>
              <w:right w:val="single" w:color="auto" w:sz="6" w:space="0"/>
            </w:tcBorders>
            <w:vAlign w:val="center"/>
          </w:tcPr>
          <w:p w14:paraId="599B1893">
            <w:pPr>
              <w:tabs>
                <w:tab w:val="left" w:pos="3780"/>
              </w:tabs>
              <w:autoSpaceDN w:val="0"/>
              <w:jc w:val="center"/>
              <w:rPr>
                <w:rFonts w:ascii="仿宋" w:hAnsi="仿宋" w:eastAsia="仿宋" w:cs="仿宋"/>
                <w:color w:val="auto"/>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vAlign w:val="center"/>
          </w:tcPr>
          <w:p w14:paraId="54329C55">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7E396871">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2588C077">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5ACC8C7F">
            <w:pPr>
              <w:tabs>
                <w:tab w:val="left" w:pos="3780"/>
              </w:tabs>
              <w:autoSpaceDN w:val="0"/>
              <w:jc w:val="center"/>
              <w:rPr>
                <w:rFonts w:ascii="仿宋" w:hAnsi="仿宋" w:eastAsia="仿宋" w:cs="仿宋"/>
                <w:color w:val="auto"/>
                <w:sz w:val="24"/>
                <w:szCs w:val="24"/>
                <w:highlight w:val="none"/>
              </w:rPr>
            </w:pPr>
          </w:p>
        </w:tc>
      </w:tr>
      <w:tr w14:paraId="7CD04786">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9" w:type="dxa"/>
            <w:tcBorders>
              <w:top w:val="single" w:color="auto" w:sz="6" w:space="0"/>
              <w:left w:val="single" w:color="auto" w:sz="8" w:space="0"/>
              <w:bottom w:val="single" w:color="auto" w:sz="6" w:space="0"/>
              <w:right w:val="single" w:color="auto" w:sz="6" w:space="0"/>
            </w:tcBorders>
            <w:vAlign w:val="center"/>
          </w:tcPr>
          <w:p w14:paraId="6B90AFF8">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957" w:type="dxa"/>
            <w:tcBorders>
              <w:top w:val="single" w:color="auto" w:sz="6" w:space="0"/>
              <w:left w:val="single" w:color="auto" w:sz="6" w:space="0"/>
              <w:bottom w:val="single" w:color="auto" w:sz="6" w:space="0"/>
              <w:right w:val="single" w:color="auto" w:sz="6" w:space="0"/>
            </w:tcBorders>
            <w:vAlign w:val="center"/>
          </w:tcPr>
          <w:p w14:paraId="1F7D93E4">
            <w:pPr>
              <w:tabs>
                <w:tab w:val="left" w:pos="3780"/>
              </w:tabs>
              <w:autoSpaceDN w:val="0"/>
              <w:jc w:val="center"/>
              <w:rPr>
                <w:rFonts w:ascii="仿宋" w:hAnsi="仿宋" w:eastAsia="仿宋" w:cs="仿宋"/>
                <w:color w:val="auto"/>
                <w:sz w:val="24"/>
                <w:szCs w:val="24"/>
                <w:highlight w:val="none"/>
              </w:rPr>
            </w:pPr>
          </w:p>
        </w:tc>
        <w:tc>
          <w:tcPr>
            <w:tcW w:w="1293" w:type="dxa"/>
            <w:tcBorders>
              <w:top w:val="single" w:color="auto" w:sz="6" w:space="0"/>
              <w:left w:val="single" w:color="auto" w:sz="6" w:space="0"/>
              <w:bottom w:val="single" w:color="auto" w:sz="6" w:space="0"/>
              <w:right w:val="single" w:color="auto" w:sz="6" w:space="0"/>
            </w:tcBorders>
            <w:vAlign w:val="center"/>
          </w:tcPr>
          <w:p w14:paraId="4D90B1A0">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612C61B5">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6" w:space="0"/>
            </w:tcBorders>
            <w:vAlign w:val="center"/>
          </w:tcPr>
          <w:p w14:paraId="3B8E9A43">
            <w:pPr>
              <w:tabs>
                <w:tab w:val="left" w:pos="3780"/>
              </w:tabs>
              <w:autoSpaceDN w:val="0"/>
              <w:jc w:val="center"/>
              <w:rPr>
                <w:rFonts w:ascii="仿宋" w:hAnsi="仿宋" w:eastAsia="仿宋" w:cs="仿宋"/>
                <w:color w:val="auto"/>
                <w:sz w:val="24"/>
                <w:szCs w:val="24"/>
                <w:highlight w:val="none"/>
              </w:rPr>
            </w:pPr>
          </w:p>
        </w:tc>
        <w:tc>
          <w:tcPr>
            <w:tcW w:w="1547" w:type="dxa"/>
            <w:tcBorders>
              <w:top w:val="single" w:color="auto" w:sz="6" w:space="0"/>
              <w:left w:val="single" w:color="auto" w:sz="6" w:space="0"/>
              <w:bottom w:val="single" w:color="auto" w:sz="6" w:space="0"/>
              <w:right w:val="single" w:color="auto" w:sz="8" w:space="0"/>
            </w:tcBorders>
            <w:vAlign w:val="center"/>
          </w:tcPr>
          <w:p w14:paraId="1907C787">
            <w:pPr>
              <w:tabs>
                <w:tab w:val="left" w:pos="3780"/>
              </w:tabs>
              <w:autoSpaceDN w:val="0"/>
              <w:jc w:val="center"/>
              <w:rPr>
                <w:rFonts w:ascii="仿宋" w:hAnsi="仿宋" w:eastAsia="仿宋" w:cs="仿宋"/>
                <w:color w:val="auto"/>
                <w:sz w:val="24"/>
                <w:szCs w:val="24"/>
                <w:highlight w:val="none"/>
              </w:rPr>
            </w:pPr>
          </w:p>
        </w:tc>
      </w:tr>
      <w:tr w14:paraId="158FB333">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6" w:hRule="atLeast"/>
        </w:trPr>
        <w:tc>
          <w:tcPr>
            <w:tcW w:w="8193" w:type="dxa"/>
            <w:gridSpan w:val="5"/>
            <w:tcBorders>
              <w:top w:val="single" w:color="auto" w:sz="6" w:space="0"/>
              <w:left w:val="single" w:color="auto" w:sz="8" w:space="0"/>
              <w:bottom w:val="single" w:color="auto" w:sz="6" w:space="0"/>
              <w:right w:val="single" w:color="auto" w:sz="6" w:space="0"/>
            </w:tcBorders>
            <w:vAlign w:val="center"/>
          </w:tcPr>
          <w:p w14:paraId="68B20172">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施工机械小计</w:t>
            </w:r>
          </w:p>
        </w:tc>
        <w:tc>
          <w:tcPr>
            <w:tcW w:w="1547" w:type="dxa"/>
            <w:tcBorders>
              <w:top w:val="single" w:color="auto" w:sz="6" w:space="0"/>
              <w:left w:val="single" w:color="auto" w:sz="6" w:space="0"/>
              <w:bottom w:val="single" w:color="auto" w:sz="6" w:space="0"/>
              <w:right w:val="single" w:color="auto" w:sz="8" w:space="0"/>
            </w:tcBorders>
            <w:vAlign w:val="center"/>
          </w:tcPr>
          <w:p w14:paraId="37C1D4C3">
            <w:pPr>
              <w:tabs>
                <w:tab w:val="left" w:pos="3780"/>
              </w:tabs>
              <w:autoSpaceDN w:val="0"/>
              <w:jc w:val="center"/>
              <w:rPr>
                <w:rFonts w:ascii="仿宋" w:hAnsi="仿宋" w:eastAsia="仿宋" w:cs="仿宋"/>
                <w:color w:val="auto"/>
                <w:sz w:val="24"/>
                <w:szCs w:val="24"/>
                <w:highlight w:val="none"/>
              </w:rPr>
            </w:pPr>
          </w:p>
        </w:tc>
      </w:tr>
      <w:tr w14:paraId="0E11788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193" w:type="dxa"/>
            <w:gridSpan w:val="5"/>
            <w:tcBorders>
              <w:top w:val="single" w:color="auto" w:sz="6" w:space="0"/>
              <w:left w:val="single" w:color="auto" w:sz="8" w:space="0"/>
              <w:bottom w:val="single" w:color="auto" w:sz="8" w:space="0"/>
              <w:right w:val="single" w:color="auto" w:sz="6" w:space="0"/>
            </w:tcBorders>
            <w:vAlign w:val="center"/>
          </w:tcPr>
          <w:p w14:paraId="0563443A">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    计</w:t>
            </w:r>
          </w:p>
        </w:tc>
        <w:tc>
          <w:tcPr>
            <w:tcW w:w="1547" w:type="dxa"/>
            <w:tcBorders>
              <w:top w:val="single" w:color="auto" w:sz="6" w:space="0"/>
              <w:left w:val="single" w:color="auto" w:sz="6" w:space="0"/>
              <w:bottom w:val="single" w:color="auto" w:sz="8" w:space="0"/>
              <w:right w:val="single" w:color="auto" w:sz="8" w:space="0"/>
            </w:tcBorders>
            <w:vAlign w:val="center"/>
          </w:tcPr>
          <w:p w14:paraId="64D6450A">
            <w:pPr>
              <w:tabs>
                <w:tab w:val="left" w:pos="3780"/>
              </w:tabs>
              <w:autoSpaceDN w:val="0"/>
              <w:jc w:val="center"/>
              <w:rPr>
                <w:rFonts w:ascii="仿宋" w:hAnsi="仿宋" w:eastAsia="仿宋" w:cs="仿宋"/>
                <w:color w:val="auto"/>
                <w:sz w:val="24"/>
                <w:szCs w:val="24"/>
                <w:highlight w:val="none"/>
              </w:rPr>
            </w:pPr>
          </w:p>
        </w:tc>
      </w:tr>
    </w:tbl>
    <w:p w14:paraId="0A565D7C">
      <w:pPr>
        <w:widowControl/>
        <w:tabs>
          <w:tab w:val="center" w:pos="4755"/>
          <w:tab w:val="right" w:pos="9070"/>
        </w:tabs>
        <w:autoSpaceDN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注：表中（1）～（4）由采购人按需要提出，其中第（4）栏数量为暂定。</w:t>
      </w:r>
    </w:p>
    <w:p w14:paraId="15A340FD">
      <w:pPr>
        <w:keepNext/>
        <w:keepLines/>
        <w:autoSpaceDN w:val="0"/>
        <w:spacing w:before="280" w:after="290" w:line="374" w:lineRule="auto"/>
        <w:jc w:val="center"/>
        <w:outlineLvl w:val="3"/>
        <w:rPr>
          <w:rFonts w:ascii="仿宋" w:hAnsi="仿宋" w:eastAsia="仿宋" w:cs="Times New Roman"/>
          <w:b/>
          <w:bCs/>
          <w:color w:val="auto"/>
          <w:kern w:val="0"/>
          <w:sz w:val="22"/>
          <w:highlight w:val="none"/>
        </w:rPr>
      </w:pPr>
      <w:r>
        <w:rPr>
          <w:rFonts w:hint="eastAsia" w:ascii="仿宋" w:hAnsi="仿宋" w:eastAsia="仿宋" w:cs="Times New Roman"/>
          <w:color w:val="auto"/>
          <w:kern w:val="0"/>
          <w:sz w:val="22"/>
          <w:highlight w:val="none"/>
        </w:rPr>
        <w:br w:type="page"/>
      </w:r>
      <w:r>
        <w:rPr>
          <w:rFonts w:hint="eastAsia" w:ascii="仿宋" w:hAnsi="仿宋" w:eastAsia="仿宋" w:cs="Times New Roman"/>
          <w:b/>
          <w:bCs/>
          <w:color w:val="auto"/>
          <w:kern w:val="0"/>
          <w:sz w:val="28"/>
          <w:szCs w:val="28"/>
          <w:highlight w:val="none"/>
        </w:rPr>
        <w:t>1-4-2   总承包服务费项目及计价表</w:t>
      </w:r>
    </w:p>
    <w:p w14:paraId="53572DC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第 页共 页</w:t>
      </w:r>
    </w:p>
    <w:tbl>
      <w:tblPr>
        <w:tblStyle w:val="61"/>
        <w:tblW w:w="0" w:type="auto"/>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19"/>
        <w:gridCol w:w="2709"/>
        <w:gridCol w:w="1620"/>
        <w:gridCol w:w="1440"/>
        <w:gridCol w:w="1440"/>
        <w:gridCol w:w="1440"/>
      </w:tblGrid>
      <w:tr w14:paraId="041EFFAB">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8" w:space="0"/>
              <w:left w:val="single" w:color="auto" w:sz="8" w:space="0"/>
              <w:bottom w:val="single" w:color="auto" w:sz="6" w:space="0"/>
              <w:right w:val="single" w:color="auto" w:sz="6" w:space="0"/>
            </w:tcBorders>
            <w:noWrap/>
            <w:vAlign w:val="center"/>
          </w:tcPr>
          <w:p w14:paraId="3F51262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709" w:type="dxa"/>
            <w:tcBorders>
              <w:top w:val="single" w:color="auto" w:sz="8" w:space="0"/>
              <w:left w:val="single" w:color="auto" w:sz="6" w:space="0"/>
              <w:bottom w:val="single" w:color="auto" w:sz="6" w:space="0"/>
              <w:right w:val="single" w:color="auto" w:sz="6" w:space="0"/>
            </w:tcBorders>
            <w:noWrap/>
            <w:vAlign w:val="center"/>
          </w:tcPr>
          <w:p w14:paraId="2F3C5DD2">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620" w:type="dxa"/>
            <w:tcBorders>
              <w:top w:val="single" w:color="auto" w:sz="8" w:space="0"/>
              <w:left w:val="single" w:color="auto" w:sz="6" w:space="0"/>
              <w:bottom w:val="single" w:color="auto" w:sz="6" w:space="0"/>
              <w:right w:val="single" w:color="auto" w:sz="6" w:space="0"/>
            </w:tcBorders>
            <w:noWrap/>
            <w:vAlign w:val="center"/>
          </w:tcPr>
          <w:p w14:paraId="2498EF56">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项目价值（元）</w:t>
            </w:r>
          </w:p>
        </w:tc>
        <w:tc>
          <w:tcPr>
            <w:tcW w:w="1440" w:type="dxa"/>
            <w:tcBorders>
              <w:top w:val="single" w:color="auto" w:sz="8" w:space="0"/>
              <w:left w:val="single" w:color="auto" w:sz="6" w:space="0"/>
              <w:bottom w:val="single" w:color="auto" w:sz="6" w:space="0"/>
              <w:right w:val="single" w:color="auto" w:sz="6" w:space="0"/>
            </w:tcBorders>
            <w:noWrap/>
            <w:vAlign w:val="center"/>
          </w:tcPr>
          <w:p w14:paraId="6CDBFE8C">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服务内容</w:t>
            </w:r>
          </w:p>
        </w:tc>
        <w:tc>
          <w:tcPr>
            <w:tcW w:w="1440" w:type="dxa"/>
            <w:tcBorders>
              <w:top w:val="single" w:color="auto" w:sz="8" w:space="0"/>
              <w:left w:val="single" w:color="auto" w:sz="6" w:space="0"/>
              <w:bottom w:val="single" w:color="auto" w:sz="6" w:space="0"/>
              <w:right w:val="single" w:color="auto" w:sz="6" w:space="0"/>
            </w:tcBorders>
            <w:noWrap/>
            <w:vAlign w:val="center"/>
          </w:tcPr>
          <w:p w14:paraId="7E51BE95">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费率（%）</w:t>
            </w:r>
          </w:p>
        </w:tc>
        <w:tc>
          <w:tcPr>
            <w:tcW w:w="1440" w:type="dxa"/>
            <w:tcBorders>
              <w:top w:val="single" w:color="auto" w:sz="8" w:space="0"/>
              <w:left w:val="single" w:color="auto" w:sz="6" w:space="0"/>
              <w:bottom w:val="single" w:color="auto" w:sz="6" w:space="0"/>
              <w:right w:val="single" w:color="auto" w:sz="8" w:space="0"/>
            </w:tcBorders>
            <w:noWrap/>
            <w:vAlign w:val="center"/>
          </w:tcPr>
          <w:p w14:paraId="0500A67C">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金额（元）</w:t>
            </w:r>
          </w:p>
        </w:tc>
      </w:tr>
      <w:tr w14:paraId="1A0D1B3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504714D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709" w:type="dxa"/>
            <w:tcBorders>
              <w:top w:val="single" w:color="auto" w:sz="6" w:space="0"/>
              <w:left w:val="single" w:color="auto" w:sz="6" w:space="0"/>
              <w:bottom w:val="single" w:color="auto" w:sz="6" w:space="0"/>
              <w:right w:val="single" w:color="auto" w:sz="6" w:space="0"/>
            </w:tcBorders>
            <w:noWrap/>
            <w:vAlign w:val="center"/>
          </w:tcPr>
          <w:p w14:paraId="030A1E29">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20" w:type="dxa"/>
            <w:tcBorders>
              <w:top w:val="single" w:color="auto" w:sz="6" w:space="0"/>
              <w:left w:val="single" w:color="auto" w:sz="6" w:space="0"/>
              <w:bottom w:val="single" w:color="auto" w:sz="6" w:space="0"/>
              <w:right w:val="single" w:color="auto" w:sz="6" w:space="0"/>
            </w:tcBorders>
            <w:noWrap/>
            <w:vAlign w:val="center"/>
          </w:tcPr>
          <w:p w14:paraId="5FA0225C">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440" w:type="dxa"/>
            <w:tcBorders>
              <w:top w:val="single" w:color="auto" w:sz="6" w:space="0"/>
              <w:left w:val="single" w:color="auto" w:sz="6" w:space="0"/>
              <w:bottom w:val="single" w:color="auto" w:sz="6" w:space="0"/>
              <w:right w:val="single" w:color="auto" w:sz="6" w:space="0"/>
            </w:tcBorders>
            <w:noWrap/>
            <w:vAlign w:val="center"/>
          </w:tcPr>
          <w:p w14:paraId="22080E6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440" w:type="dxa"/>
            <w:tcBorders>
              <w:top w:val="single" w:color="auto" w:sz="6" w:space="0"/>
              <w:left w:val="single" w:color="auto" w:sz="6" w:space="0"/>
              <w:bottom w:val="single" w:color="auto" w:sz="6" w:space="0"/>
              <w:right w:val="single" w:color="auto" w:sz="6" w:space="0"/>
            </w:tcBorders>
            <w:noWrap/>
            <w:vAlign w:val="center"/>
          </w:tcPr>
          <w:p w14:paraId="69D63915">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55775A26">
            <w:pPr>
              <w:autoSpaceDN w:val="0"/>
              <w:rPr>
                <w:rFonts w:ascii="仿宋" w:hAnsi="仿宋" w:eastAsia="仿宋" w:cs="仿宋"/>
                <w:color w:val="auto"/>
                <w:sz w:val="24"/>
                <w:szCs w:val="24"/>
                <w:highlight w:val="none"/>
              </w:rPr>
            </w:pPr>
          </w:p>
        </w:tc>
      </w:tr>
      <w:tr w14:paraId="0BF68AA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741C5E03">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709" w:type="dxa"/>
            <w:tcBorders>
              <w:top w:val="single" w:color="auto" w:sz="6" w:space="0"/>
              <w:left w:val="single" w:color="auto" w:sz="6" w:space="0"/>
              <w:bottom w:val="single" w:color="auto" w:sz="6" w:space="0"/>
              <w:right w:val="single" w:color="auto" w:sz="6" w:space="0"/>
            </w:tcBorders>
            <w:noWrap/>
            <w:vAlign w:val="center"/>
          </w:tcPr>
          <w:p w14:paraId="63345B0B">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发包人分包专业工程</w:t>
            </w:r>
          </w:p>
        </w:tc>
        <w:tc>
          <w:tcPr>
            <w:tcW w:w="1620" w:type="dxa"/>
            <w:tcBorders>
              <w:top w:val="single" w:color="auto" w:sz="6" w:space="0"/>
              <w:left w:val="single" w:color="auto" w:sz="6" w:space="0"/>
              <w:bottom w:val="single" w:color="auto" w:sz="6" w:space="0"/>
              <w:right w:val="single" w:color="auto" w:sz="6" w:space="0"/>
            </w:tcBorders>
            <w:noWrap/>
            <w:vAlign w:val="center"/>
          </w:tcPr>
          <w:p w14:paraId="3866ECFA">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42C3CAD0">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249A0C1B">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7E261145">
            <w:pPr>
              <w:autoSpaceDN w:val="0"/>
              <w:rPr>
                <w:rFonts w:ascii="仿宋" w:hAnsi="仿宋" w:eastAsia="仿宋" w:cs="仿宋"/>
                <w:color w:val="auto"/>
                <w:sz w:val="24"/>
                <w:szCs w:val="24"/>
                <w:highlight w:val="none"/>
              </w:rPr>
            </w:pPr>
          </w:p>
        </w:tc>
      </w:tr>
      <w:tr w14:paraId="52CD3E69">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44BDC56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709" w:type="dxa"/>
            <w:tcBorders>
              <w:top w:val="single" w:color="auto" w:sz="6" w:space="0"/>
              <w:left w:val="single" w:color="auto" w:sz="6" w:space="0"/>
              <w:bottom w:val="single" w:color="auto" w:sz="6" w:space="0"/>
              <w:right w:val="single" w:color="auto" w:sz="6" w:space="0"/>
            </w:tcBorders>
            <w:noWrap/>
            <w:vAlign w:val="center"/>
          </w:tcPr>
          <w:p w14:paraId="7532C8CF">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发包人供应材料</w:t>
            </w:r>
          </w:p>
        </w:tc>
        <w:tc>
          <w:tcPr>
            <w:tcW w:w="1620" w:type="dxa"/>
            <w:tcBorders>
              <w:top w:val="single" w:color="auto" w:sz="6" w:space="0"/>
              <w:left w:val="single" w:color="auto" w:sz="6" w:space="0"/>
              <w:bottom w:val="single" w:color="auto" w:sz="6" w:space="0"/>
              <w:right w:val="single" w:color="auto" w:sz="6" w:space="0"/>
            </w:tcBorders>
            <w:noWrap/>
            <w:vAlign w:val="center"/>
          </w:tcPr>
          <w:p w14:paraId="551AFB36">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28491FB3">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2016BF9D">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051E20D9">
            <w:pPr>
              <w:autoSpaceDN w:val="0"/>
              <w:rPr>
                <w:rFonts w:ascii="仿宋" w:hAnsi="仿宋" w:eastAsia="仿宋" w:cs="仿宋"/>
                <w:color w:val="auto"/>
                <w:sz w:val="24"/>
                <w:szCs w:val="24"/>
                <w:highlight w:val="none"/>
              </w:rPr>
            </w:pPr>
          </w:p>
        </w:tc>
      </w:tr>
      <w:tr w14:paraId="148ABB9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7E31D89F">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1D05B2DA">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3B4D6327">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64B6C17D">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45464CBA">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1B1979EB">
            <w:pPr>
              <w:autoSpaceDN w:val="0"/>
              <w:rPr>
                <w:rFonts w:ascii="仿宋" w:hAnsi="仿宋" w:eastAsia="仿宋" w:cs="仿宋"/>
                <w:color w:val="auto"/>
                <w:sz w:val="24"/>
                <w:szCs w:val="24"/>
                <w:highlight w:val="none"/>
              </w:rPr>
            </w:pPr>
          </w:p>
        </w:tc>
      </w:tr>
      <w:tr w14:paraId="557CA186">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22F29B57">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2F9C3E07">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3218BE17">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626700E7">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70DA367E">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1825A7DB">
            <w:pPr>
              <w:autoSpaceDN w:val="0"/>
              <w:rPr>
                <w:rFonts w:ascii="仿宋" w:hAnsi="仿宋" w:eastAsia="仿宋" w:cs="仿宋"/>
                <w:color w:val="auto"/>
                <w:sz w:val="24"/>
                <w:szCs w:val="24"/>
                <w:highlight w:val="none"/>
              </w:rPr>
            </w:pPr>
          </w:p>
        </w:tc>
      </w:tr>
      <w:tr w14:paraId="5748FCA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2DC5C406">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3523054B">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682FCC05">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71030A6D">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11F3A3BA">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032C99D8">
            <w:pPr>
              <w:autoSpaceDN w:val="0"/>
              <w:rPr>
                <w:rFonts w:ascii="仿宋" w:hAnsi="仿宋" w:eastAsia="仿宋" w:cs="仿宋"/>
                <w:color w:val="auto"/>
                <w:sz w:val="24"/>
                <w:szCs w:val="24"/>
                <w:highlight w:val="none"/>
              </w:rPr>
            </w:pPr>
          </w:p>
        </w:tc>
      </w:tr>
      <w:tr w14:paraId="1A18612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78A9DC3F">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039DE677">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5D06DB87">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2D64FE98">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049F88B7">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1FC02615">
            <w:pPr>
              <w:autoSpaceDN w:val="0"/>
              <w:rPr>
                <w:rFonts w:ascii="仿宋" w:hAnsi="仿宋" w:eastAsia="仿宋" w:cs="仿宋"/>
                <w:color w:val="auto"/>
                <w:sz w:val="24"/>
                <w:szCs w:val="24"/>
                <w:highlight w:val="none"/>
              </w:rPr>
            </w:pPr>
          </w:p>
        </w:tc>
      </w:tr>
      <w:tr w14:paraId="472FC9B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1157E273">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21A41AF7">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52CBA656">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11A94504">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26BC2DFC">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23B7DD7B">
            <w:pPr>
              <w:autoSpaceDN w:val="0"/>
              <w:rPr>
                <w:rFonts w:ascii="仿宋" w:hAnsi="仿宋" w:eastAsia="仿宋" w:cs="仿宋"/>
                <w:color w:val="auto"/>
                <w:sz w:val="24"/>
                <w:szCs w:val="24"/>
                <w:highlight w:val="none"/>
              </w:rPr>
            </w:pPr>
          </w:p>
        </w:tc>
      </w:tr>
      <w:tr w14:paraId="11314F15">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4932AE7B">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06E33932">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096D897B">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39EA0D63">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182EDDF4">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69C4E614">
            <w:pPr>
              <w:autoSpaceDN w:val="0"/>
              <w:rPr>
                <w:rFonts w:ascii="仿宋" w:hAnsi="仿宋" w:eastAsia="仿宋" w:cs="仿宋"/>
                <w:color w:val="auto"/>
                <w:sz w:val="24"/>
                <w:szCs w:val="24"/>
                <w:highlight w:val="none"/>
              </w:rPr>
            </w:pPr>
          </w:p>
        </w:tc>
      </w:tr>
      <w:tr w14:paraId="38A5634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647AE5A7">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38F8A4C6">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46706E99">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6A6828BC">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1F0ED91E">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4B7B6308">
            <w:pPr>
              <w:autoSpaceDN w:val="0"/>
              <w:rPr>
                <w:rFonts w:ascii="仿宋" w:hAnsi="仿宋" w:eastAsia="仿宋" w:cs="仿宋"/>
                <w:color w:val="auto"/>
                <w:sz w:val="24"/>
                <w:szCs w:val="24"/>
                <w:highlight w:val="none"/>
              </w:rPr>
            </w:pPr>
          </w:p>
        </w:tc>
      </w:tr>
      <w:tr w14:paraId="44EC5AE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21E8DC22">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44D4BE4E">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45B98516">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578912B6">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36E2798C">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468EA43B">
            <w:pPr>
              <w:autoSpaceDN w:val="0"/>
              <w:rPr>
                <w:rFonts w:ascii="仿宋" w:hAnsi="仿宋" w:eastAsia="仿宋" w:cs="仿宋"/>
                <w:color w:val="auto"/>
                <w:sz w:val="24"/>
                <w:szCs w:val="24"/>
                <w:highlight w:val="none"/>
              </w:rPr>
            </w:pPr>
          </w:p>
        </w:tc>
      </w:tr>
      <w:tr w14:paraId="5881922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0" w:hRule="atLeast"/>
        </w:trPr>
        <w:tc>
          <w:tcPr>
            <w:tcW w:w="819" w:type="dxa"/>
            <w:tcBorders>
              <w:top w:val="single" w:color="auto" w:sz="6" w:space="0"/>
              <w:left w:val="single" w:color="auto" w:sz="8" w:space="0"/>
              <w:bottom w:val="single" w:color="auto" w:sz="6" w:space="0"/>
              <w:right w:val="single" w:color="auto" w:sz="6" w:space="0"/>
            </w:tcBorders>
            <w:noWrap/>
            <w:vAlign w:val="center"/>
          </w:tcPr>
          <w:p w14:paraId="7C188E46">
            <w:pPr>
              <w:autoSpaceDN w:val="0"/>
              <w:rPr>
                <w:rFonts w:ascii="仿宋" w:hAnsi="仿宋" w:eastAsia="仿宋" w:cs="仿宋"/>
                <w:color w:val="auto"/>
                <w:sz w:val="24"/>
                <w:szCs w:val="24"/>
                <w:highlight w:val="none"/>
              </w:rPr>
            </w:pPr>
          </w:p>
        </w:tc>
        <w:tc>
          <w:tcPr>
            <w:tcW w:w="2709" w:type="dxa"/>
            <w:tcBorders>
              <w:top w:val="single" w:color="auto" w:sz="6" w:space="0"/>
              <w:left w:val="single" w:color="auto" w:sz="6" w:space="0"/>
              <w:bottom w:val="single" w:color="auto" w:sz="6" w:space="0"/>
              <w:right w:val="single" w:color="auto" w:sz="6" w:space="0"/>
            </w:tcBorders>
            <w:noWrap/>
            <w:vAlign w:val="center"/>
          </w:tcPr>
          <w:p w14:paraId="07882C92">
            <w:pPr>
              <w:autoSpaceDN w:val="0"/>
              <w:rPr>
                <w:rFonts w:ascii="仿宋" w:hAnsi="仿宋" w:eastAsia="仿宋" w:cs="仿宋"/>
                <w:color w:val="auto"/>
                <w:sz w:val="24"/>
                <w:szCs w:val="24"/>
                <w:highlight w:val="none"/>
              </w:rPr>
            </w:pPr>
          </w:p>
        </w:tc>
        <w:tc>
          <w:tcPr>
            <w:tcW w:w="1620" w:type="dxa"/>
            <w:tcBorders>
              <w:top w:val="single" w:color="auto" w:sz="6" w:space="0"/>
              <w:left w:val="single" w:color="auto" w:sz="6" w:space="0"/>
              <w:bottom w:val="single" w:color="auto" w:sz="6" w:space="0"/>
              <w:right w:val="single" w:color="auto" w:sz="6" w:space="0"/>
            </w:tcBorders>
            <w:noWrap/>
            <w:vAlign w:val="center"/>
          </w:tcPr>
          <w:p w14:paraId="25CD24BD">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3F5B9378">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6" w:space="0"/>
            </w:tcBorders>
            <w:noWrap/>
            <w:vAlign w:val="center"/>
          </w:tcPr>
          <w:p w14:paraId="6BBDE8BC">
            <w:pPr>
              <w:autoSpaceDN w:val="0"/>
              <w:rPr>
                <w:rFonts w:ascii="仿宋" w:hAnsi="仿宋" w:eastAsia="仿宋" w:cs="仿宋"/>
                <w:color w:val="auto"/>
                <w:sz w:val="24"/>
                <w:szCs w:val="24"/>
                <w:highlight w:val="none"/>
              </w:rPr>
            </w:pPr>
          </w:p>
        </w:tc>
        <w:tc>
          <w:tcPr>
            <w:tcW w:w="1440" w:type="dxa"/>
            <w:tcBorders>
              <w:top w:val="single" w:color="auto" w:sz="6" w:space="0"/>
              <w:left w:val="single" w:color="auto" w:sz="6" w:space="0"/>
              <w:bottom w:val="single" w:color="auto" w:sz="6" w:space="0"/>
              <w:right w:val="single" w:color="auto" w:sz="8" w:space="0"/>
            </w:tcBorders>
            <w:noWrap/>
            <w:vAlign w:val="center"/>
          </w:tcPr>
          <w:p w14:paraId="2055A688">
            <w:pPr>
              <w:autoSpaceDN w:val="0"/>
              <w:rPr>
                <w:rFonts w:ascii="仿宋" w:hAnsi="仿宋" w:eastAsia="仿宋" w:cs="仿宋"/>
                <w:color w:val="auto"/>
                <w:sz w:val="24"/>
                <w:szCs w:val="24"/>
                <w:highlight w:val="none"/>
              </w:rPr>
            </w:pPr>
          </w:p>
        </w:tc>
      </w:tr>
      <w:tr w14:paraId="5187DADC">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0" w:hRule="atLeast"/>
        </w:trPr>
        <w:tc>
          <w:tcPr>
            <w:tcW w:w="8028" w:type="dxa"/>
            <w:gridSpan w:val="5"/>
            <w:tcBorders>
              <w:top w:val="single" w:color="auto" w:sz="6" w:space="0"/>
              <w:left w:val="single" w:color="auto" w:sz="8" w:space="0"/>
              <w:bottom w:val="single" w:color="auto" w:sz="8" w:space="0"/>
              <w:right w:val="single" w:color="auto" w:sz="6" w:space="0"/>
            </w:tcBorders>
            <w:noWrap/>
            <w:vAlign w:val="center"/>
          </w:tcPr>
          <w:p w14:paraId="3A09F4B1">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440" w:type="dxa"/>
            <w:tcBorders>
              <w:top w:val="single" w:color="auto" w:sz="6" w:space="0"/>
              <w:left w:val="single" w:color="auto" w:sz="6" w:space="0"/>
              <w:bottom w:val="single" w:color="auto" w:sz="8" w:space="0"/>
              <w:right w:val="single" w:color="auto" w:sz="8" w:space="0"/>
            </w:tcBorders>
            <w:noWrap/>
            <w:vAlign w:val="center"/>
          </w:tcPr>
          <w:p w14:paraId="069698D9">
            <w:pPr>
              <w:autoSpaceDN w:val="0"/>
              <w:rPr>
                <w:rFonts w:ascii="仿宋" w:hAnsi="仿宋" w:eastAsia="仿宋" w:cs="仿宋"/>
                <w:color w:val="auto"/>
                <w:sz w:val="24"/>
                <w:szCs w:val="24"/>
                <w:highlight w:val="none"/>
              </w:rPr>
            </w:pPr>
          </w:p>
        </w:tc>
      </w:tr>
    </w:tbl>
    <w:p w14:paraId="731F3AA1">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注：表中（1）～（4）由采购人按需要提出。</w:t>
      </w:r>
    </w:p>
    <w:p w14:paraId="29A6D9E9">
      <w:pPr>
        <w:autoSpaceDN w:val="0"/>
        <w:rPr>
          <w:rFonts w:ascii="仿宋" w:hAnsi="仿宋" w:eastAsia="仿宋" w:cs="Times New Roman"/>
          <w:color w:val="auto"/>
          <w:sz w:val="22"/>
          <w:highlight w:val="none"/>
        </w:rPr>
      </w:pPr>
    </w:p>
    <w:p w14:paraId="4AF54838">
      <w:pPr>
        <w:keepNext/>
        <w:keepLines/>
        <w:autoSpaceDN w:val="0"/>
        <w:spacing w:before="280" w:after="290" w:line="374" w:lineRule="auto"/>
        <w:jc w:val="center"/>
        <w:outlineLvl w:val="3"/>
        <w:rPr>
          <w:rFonts w:ascii="仿宋" w:hAnsi="仿宋" w:eastAsia="仿宋" w:cs="Times New Roman"/>
          <w:bCs/>
          <w:color w:val="auto"/>
          <w:kern w:val="0"/>
          <w:sz w:val="22"/>
          <w:highlight w:val="none"/>
        </w:rPr>
      </w:pPr>
      <w:r>
        <w:rPr>
          <w:rFonts w:hint="eastAsia" w:ascii="仿宋" w:hAnsi="仿宋" w:eastAsia="仿宋" w:cs="Times New Roman"/>
          <w:color w:val="auto"/>
          <w:kern w:val="0"/>
          <w:sz w:val="22"/>
          <w:highlight w:val="none"/>
        </w:rPr>
        <w:br w:type="page"/>
      </w:r>
      <w:r>
        <w:rPr>
          <w:rFonts w:hint="eastAsia" w:ascii="仿宋" w:hAnsi="仿宋" w:eastAsia="仿宋" w:cs="Times New Roman"/>
          <w:b/>
          <w:bCs/>
          <w:color w:val="auto"/>
          <w:kern w:val="0"/>
          <w:sz w:val="28"/>
          <w:szCs w:val="28"/>
          <w:highlight w:val="none"/>
        </w:rPr>
        <w:t>表1-5  主要工日价格表</w:t>
      </w:r>
    </w:p>
    <w:p w14:paraId="317A494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第 页共 页</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3068"/>
        <w:gridCol w:w="1323"/>
        <w:gridCol w:w="1764"/>
        <w:gridCol w:w="2425"/>
      </w:tblGrid>
      <w:tr w14:paraId="5863E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vAlign w:val="center"/>
          </w:tcPr>
          <w:p w14:paraId="0483A91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68" w:type="dxa"/>
            <w:tcBorders>
              <w:top w:val="single" w:color="auto" w:sz="4" w:space="0"/>
              <w:left w:val="single" w:color="auto" w:sz="4" w:space="0"/>
              <w:bottom w:val="single" w:color="auto" w:sz="4" w:space="0"/>
              <w:right w:val="single" w:color="auto" w:sz="4" w:space="0"/>
            </w:tcBorders>
            <w:noWrap/>
            <w:vAlign w:val="center"/>
          </w:tcPr>
          <w:p w14:paraId="00653385">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工种</w:t>
            </w:r>
          </w:p>
        </w:tc>
        <w:tc>
          <w:tcPr>
            <w:tcW w:w="1323" w:type="dxa"/>
            <w:tcBorders>
              <w:top w:val="single" w:color="auto" w:sz="4" w:space="0"/>
              <w:left w:val="single" w:color="auto" w:sz="4" w:space="0"/>
              <w:bottom w:val="single" w:color="auto" w:sz="4" w:space="0"/>
              <w:right w:val="single" w:color="auto" w:sz="4" w:space="0"/>
            </w:tcBorders>
            <w:noWrap/>
            <w:vAlign w:val="center"/>
          </w:tcPr>
          <w:p w14:paraId="7D00750C">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764" w:type="dxa"/>
            <w:tcBorders>
              <w:top w:val="single" w:color="auto" w:sz="4" w:space="0"/>
              <w:left w:val="single" w:color="auto" w:sz="4" w:space="0"/>
              <w:bottom w:val="single" w:color="auto" w:sz="4" w:space="0"/>
              <w:right w:val="single" w:color="auto" w:sz="4" w:space="0"/>
            </w:tcBorders>
            <w:noWrap/>
            <w:vAlign w:val="center"/>
          </w:tcPr>
          <w:p w14:paraId="08A71F8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2425" w:type="dxa"/>
            <w:tcBorders>
              <w:top w:val="single" w:color="auto" w:sz="4" w:space="0"/>
              <w:left w:val="single" w:color="auto" w:sz="4" w:space="0"/>
              <w:bottom w:val="single" w:color="auto" w:sz="4" w:space="0"/>
              <w:right w:val="single" w:color="auto" w:sz="4" w:space="0"/>
            </w:tcBorders>
            <w:noWrap/>
            <w:vAlign w:val="center"/>
          </w:tcPr>
          <w:p w14:paraId="50396F7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单价（元）</w:t>
            </w:r>
          </w:p>
        </w:tc>
      </w:tr>
      <w:tr w14:paraId="2FF75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3F78B993">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068" w:type="dxa"/>
            <w:tcBorders>
              <w:top w:val="single" w:color="auto" w:sz="4" w:space="0"/>
              <w:left w:val="single" w:color="auto" w:sz="4" w:space="0"/>
              <w:bottom w:val="single" w:color="auto" w:sz="4" w:space="0"/>
              <w:right w:val="single" w:color="auto" w:sz="4" w:space="0"/>
            </w:tcBorders>
            <w:noWrap/>
          </w:tcPr>
          <w:p w14:paraId="135C272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323" w:type="dxa"/>
            <w:tcBorders>
              <w:top w:val="single" w:color="auto" w:sz="4" w:space="0"/>
              <w:left w:val="single" w:color="auto" w:sz="4" w:space="0"/>
              <w:bottom w:val="single" w:color="auto" w:sz="4" w:space="0"/>
              <w:right w:val="single" w:color="auto" w:sz="4" w:space="0"/>
            </w:tcBorders>
            <w:noWrap/>
          </w:tcPr>
          <w:p w14:paraId="7172256B">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工日</w:t>
            </w:r>
          </w:p>
        </w:tc>
        <w:tc>
          <w:tcPr>
            <w:tcW w:w="1764" w:type="dxa"/>
            <w:tcBorders>
              <w:top w:val="single" w:color="auto" w:sz="4" w:space="0"/>
              <w:left w:val="single" w:color="auto" w:sz="4" w:space="0"/>
              <w:bottom w:val="single" w:color="auto" w:sz="4" w:space="0"/>
              <w:right w:val="single" w:color="auto" w:sz="4" w:space="0"/>
            </w:tcBorders>
            <w:noWrap/>
          </w:tcPr>
          <w:p w14:paraId="0C923881">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64B4E91E">
            <w:pPr>
              <w:autoSpaceDN w:val="0"/>
              <w:rPr>
                <w:rFonts w:ascii="仿宋" w:hAnsi="仿宋" w:eastAsia="仿宋" w:cs="仿宋"/>
                <w:color w:val="auto"/>
                <w:sz w:val="24"/>
                <w:szCs w:val="24"/>
                <w:highlight w:val="none"/>
              </w:rPr>
            </w:pPr>
          </w:p>
        </w:tc>
      </w:tr>
      <w:tr w14:paraId="7DB6B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1FA8D2C5">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2E1566A9">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70A7899F">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2B5050D7">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2ABBE697">
            <w:pPr>
              <w:autoSpaceDN w:val="0"/>
              <w:rPr>
                <w:rFonts w:ascii="仿宋" w:hAnsi="仿宋" w:eastAsia="仿宋" w:cs="仿宋"/>
                <w:color w:val="auto"/>
                <w:sz w:val="24"/>
                <w:szCs w:val="24"/>
                <w:highlight w:val="none"/>
              </w:rPr>
            </w:pPr>
          </w:p>
        </w:tc>
      </w:tr>
      <w:tr w14:paraId="2B8EB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66799670">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151E9DE1">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7BD99933">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6475D9DA">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1F72EAE7">
            <w:pPr>
              <w:autoSpaceDN w:val="0"/>
              <w:rPr>
                <w:rFonts w:ascii="仿宋" w:hAnsi="仿宋" w:eastAsia="仿宋" w:cs="仿宋"/>
                <w:color w:val="auto"/>
                <w:sz w:val="24"/>
                <w:szCs w:val="24"/>
                <w:highlight w:val="none"/>
              </w:rPr>
            </w:pPr>
          </w:p>
        </w:tc>
      </w:tr>
      <w:tr w14:paraId="220CE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48323C86">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06BB1554">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53995011">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22507AD8">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513390B2">
            <w:pPr>
              <w:autoSpaceDN w:val="0"/>
              <w:rPr>
                <w:rFonts w:ascii="仿宋" w:hAnsi="仿宋" w:eastAsia="仿宋" w:cs="仿宋"/>
                <w:color w:val="auto"/>
                <w:sz w:val="24"/>
                <w:szCs w:val="24"/>
                <w:highlight w:val="none"/>
              </w:rPr>
            </w:pPr>
          </w:p>
        </w:tc>
      </w:tr>
      <w:tr w14:paraId="1BF12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609BB069">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084EFEDC">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599F1B38">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19E8E99C">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504D707C">
            <w:pPr>
              <w:autoSpaceDN w:val="0"/>
              <w:rPr>
                <w:rFonts w:ascii="仿宋" w:hAnsi="仿宋" w:eastAsia="仿宋" w:cs="仿宋"/>
                <w:color w:val="auto"/>
                <w:sz w:val="24"/>
                <w:szCs w:val="24"/>
                <w:highlight w:val="none"/>
              </w:rPr>
            </w:pPr>
          </w:p>
        </w:tc>
      </w:tr>
      <w:tr w14:paraId="39D1A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4F742D09">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05BF6547">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691F53DC">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2752403B">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6A35F8ED">
            <w:pPr>
              <w:autoSpaceDN w:val="0"/>
              <w:rPr>
                <w:rFonts w:ascii="仿宋" w:hAnsi="仿宋" w:eastAsia="仿宋" w:cs="仿宋"/>
                <w:color w:val="auto"/>
                <w:sz w:val="24"/>
                <w:szCs w:val="24"/>
                <w:highlight w:val="none"/>
              </w:rPr>
            </w:pPr>
          </w:p>
        </w:tc>
      </w:tr>
      <w:tr w14:paraId="1090D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28333CA2">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78E681AE">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34746787">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08D19CDF">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6771D07A">
            <w:pPr>
              <w:autoSpaceDN w:val="0"/>
              <w:rPr>
                <w:rFonts w:ascii="仿宋" w:hAnsi="仿宋" w:eastAsia="仿宋" w:cs="仿宋"/>
                <w:color w:val="auto"/>
                <w:sz w:val="24"/>
                <w:szCs w:val="24"/>
                <w:highlight w:val="none"/>
              </w:rPr>
            </w:pPr>
          </w:p>
        </w:tc>
      </w:tr>
      <w:tr w14:paraId="56F2B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172BC943">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0B8E14E0">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3A5879F6">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2EE7DE4E">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730D949B">
            <w:pPr>
              <w:autoSpaceDN w:val="0"/>
              <w:rPr>
                <w:rFonts w:ascii="仿宋" w:hAnsi="仿宋" w:eastAsia="仿宋" w:cs="仿宋"/>
                <w:color w:val="auto"/>
                <w:sz w:val="24"/>
                <w:szCs w:val="24"/>
                <w:highlight w:val="none"/>
              </w:rPr>
            </w:pPr>
          </w:p>
        </w:tc>
      </w:tr>
      <w:tr w14:paraId="6D3EA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5D4B9FF0">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30E3FABE">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2529CF63">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440E124C">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094D96F7">
            <w:pPr>
              <w:autoSpaceDN w:val="0"/>
              <w:rPr>
                <w:rFonts w:ascii="仿宋" w:hAnsi="仿宋" w:eastAsia="仿宋" w:cs="仿宋"/>
                <w:color w:val="auto"/>
                <w:sz w:val="24"/>
                <w:szCs w:val="24"/>
                <w:highlight w:val="none"/>
              </w:rPr>
            </w:pPr>
          </w:p>
        </w:tc>
      </w:tr>
      <w:tr w14:paraId="3CCA7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69F68D88">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4DCEE112">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6B5E089E">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352F7399">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316EF898">
            <w:pPr>
              <w:autoSpaceDN w:val="0"/>
              <w:rPr>
                <w:rFonts w:ascii="仿宋" w:hAnsi="仿宋" w:eastAsia="仿宋" w:cs="仿宋"/>
                <w:color w:val="auto"/>
                <w:sz w:val="24"/>
                <w:szCs w:val="24"/>
                <w:highlight w:val="none"/>
              </w:rPr>
            </w:pPr>
          </w:p>
        </w:tc>
      </w:tr>
      <w:tr w14:paraId="75F78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2" w:type="dxa"/>
            <w:tcBorders>
              <w:top w:val="single" w:color="auto" w:sz="4" w:space="0"/>
              <w:left w:val="single" w:color="auto" w:sz="4" w:space="0"/>
              <w:bottom w:val="single" w:color="auto" w:sz="4" w:space="0"/>
              <w:right w:val="single" w:color="auto" w:sz="4" w:space="0"/>
            </w:tcBorders>
            <w:noWrap/>
          </w:tcPr>
          <w:p w14:paraId="35AB8750">
            <w:pPr>
              <w:autoSpaceDN w:val="0"/>
              <w:rPr>
                <w:rFonts w:ascii="仿宋" w:hAnsi="仿宋" w:eastAsia="仿宋" w:cs="仿宋"/>
                <w:color w:val="auto"/>
                <w:sz w:val="24"/>
                <w:szCs w:val="24"/>
                <w:highlight w:val="none"/>
              </w:rPr>
            </w:pPr>
          </w:p>
        </w:tc>
        <w:tc>
          <w:tcPr>
            <w:tcW w:w="3068" w:type="dxa"/>
            <w:tcBorders>
              <w:top w:val="single" w:color="auto" w:sz="4" w:space="0"/>
              <w:left w:val="single" w:color="auto" w:sz="4" w:space="0"/>
              <w:bottom w:val="single" w:color="auto" w:sz="4" w:space="0"/>
              <w:right w:val="single" w:color="auto" w:sz="4" w:space="0"/>
            </w:tcBorders>
            <w:noWrap/>
          </w:tcPr>
          <w:p w14:paraId="0F297D67">
            <w:pPr>
              <w:autoSpaceDN w:val="0"/>
              <w:rPr>
                <w:rFonts w:ascii="仿宋" w:hAnsi="仿宋" w:eastAsia="仿宋" w:cs="仿宋"/>
                <w:color w:val="auto"/>
                <w:sz w:val="24"/>
                <w:szCs w:val="24"/>
                <w:highlight w:val="none"/>
              </w:rPr>
            </w:pPr>
          </w:p>
        </w:tc>
        <w:tc>
          <w:tcPr>
            <w:tcW w:w="1323" w:type="dxa"/>
            <w:tcBorders>
              <w:top w:val="single" w:color="auto" w:sz="4" w:space="0"/>
              <w:left w:val="single" w:color="auto" w:sz="4" w:space="0"/>
              <w:bottom w:val="single" w:color="auto" w:sz="4" w:space="0"/>
              <w:right w:val="single" w:color="auto" w:sz="4" w:space="0"/>
            </w:tcBorders>
            <w:noWrap/>
          </w:tcPr>
          <w:p w14:paraId="0814CBBA">
            <w:pPr>
              <w:autoSpaceDN w:val="0"/>
              <w:rPr>
                <w:rFonts w:ascii="仿宋" w:hAnsi="仿宋" w:eastAsia="仿宋" w:cs="仿宋"/>
                <w:color w:val="auto"/>
                <w:sz w:val="24"/>
                <w:szCs w:val="24"/>
                <w:highlight w:val="none"/>
              </w:rPr>
            </w:pPr>
          </w:p>
        </w:tc>
        <w:tc>
          <w:tcPr>
            <w:tcW w:w="1764" w:type="dxa"/>
            <w:tcBorders>
              <w:top w:val="single" w:color="auto" w:sz="4" w:space="0"/>
              <w:left w:val="single" w:color="auto" w:sz="4" w:space="0"/>
              <w:bottom w:val="single" w:color="auto" w:sz="4" w:space="0"/>
              <w:right w:val="single" w:color="auto" w:sz="4" w:space="0"/>
            </w:tcBorders>
            <w:noWrap/>
          </w:tcPr>
          <w:p w14:paraId="771DC0D8">
            <w:pPr>
              <w:autoSpaceDN w:val="0"/>
              <w:rPr>
                <w:rFonts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noWrap/>
          </w:tcPr>
          <w:p w14:paraId="6588EE38">
            <w:pPr>
              <w:autoSpaceDN w:val="0"/>
              <w:rPr>
                <w:rFonts w:ascii="仿宋" w:hAnsi="仿宋" w:eastAsia="仿宋" w:cs="仿宋"/>
                <w:color w:val="auto"/>
                <w:sz w:val="24"/>
                <w:szCs w:val="24"/>
                <w:highlight w:val="none"/>
              </w:rPr>
            </w:pPr>
          </w:p>
        </w:tc>
      </w:tr>
    </w:tbl>
    <w:p w14:paraId="1BE1F1BF">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注：本表（1）、（2）栏由采购人按需要提出。</w:t>
      </w:r>
    </w:p>
    <w:p w14:paraId="076C6D50">
      <w:pPr>
        <w:autoSpaceDN w:val="0"/>
        <w:rPr>
          <w:rFonts w:ascii="仿宋" w:hAnsi="仿宋" w:eastAsia="仿宋" w:cs="仿宋"/>
          <w:color w:val="auto"/>
          <w:sz w:val="24"/>
          <w:szCs w:val="24"/>
          <w:highlight w:val="none"/>
        </w:rPr>
      </w:pPr>
    </w:p>
    <w:p w14:paraId="1E7B663D">
      <w:pPr>
        <w:autoSpaceDN w:val="0"/>
        <w:rPr>
          <w:rFonts w:ascii="仿宋" w:hAnsi="仿宋" w:eastAsia="仿宋" w:cs="仿宋"/>
          <w:color w:val="auto"/>
          <w:sz w:val="24"/>
          <w:szCs w:val="24"/>
          <w:highlight w:val="none"/>
        </w:rPr>
      </w:pPr>
    </w:p>
    <w:p w14:paraId="6E833077">
      <w:pPr>
        <w:widowControl/>
        <w:spacing w:beforeAutospacing="1" w:afterAutospacing="1"/>
        <w:jc w:val="left"/>
        <w:rPr>
          <w:rFonts w:ascii="仿宋" w:hAnsi="仿宋" w:eastAsia="仿宋" w:cs="Times New Roman"/>
          <w:color w:val="auto"/>
          <w:sz w:val="22"/>
          <w:highlight w:val="none"/>
        </w:rPr>
        <w:sectPr>
          <w:pgSz w:w="11906" w:h="16838"/>
          <w:pgMar w:top="1361" w:right="1191" w:bottom="1361" w:left="1191" w:header="851" w:footer="1077" w:gutter="0"/>
          <w:cols w:space="720" w:num="1"/>
          <w:docGrid w:type="lines" w:linePitch="312" w:charSpace="0"/>
        </w:sectPr>
      </w:pPr>
    </w:p>
    <w:p w14:paraId="7E4A7C75">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表1-6  主要材料及设备价格表</w:t>
      </w:r>
    </w:p>
    <w:p w14:paraId="7F73994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第 页共 页</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080"/>
        <w:gridCol w:w="1800"/>
        <w:gridCol w:w="1260"/>
        <w:gridCol w:w="1260"/>
        <w:gridCol w:w="1044"/>
        <w:gridCol w:w="1260"/>
        <w:gridCol w:w="1260"/>
      </w:tblGrid>
      <w:tr w14:paraId="11CF1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vAlign w:val="center"/>
          </w:tcPr>
          <w:p w14:paraId="6D1300D9">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080" w:type="dxa"/>
            <w:tcBorders>
              <w:top w:val="single" w:color="auto" w:sz="4" w:space="0"/>
              <w:left w:val="single" w:color="auto" w:sz="4" w:space="0"/>
              <w:bottom w:val="single" w:color="auto" w:sz="4" w:space="0"/>
              <w:right w:val="single" w:color="auto" w:sz="4" w:space="0"/>
            </w:tcBorders>
            <w:noWrap/>
            <w:vAlign w:val="center"/>
          </w:tcPr>
          <w:p w14:paraId="08313D71">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编码</w:t>
            </w:r>
          </w:p>
        </w:tc>
        <w:tc>
          <w:tcPr>
            <w:tcW w:w="1800" w:type="dxa"/>
            <w:tcBorders>
              <w:top w:val="single" w:color="auto" w:sz="4" w:space="0"/>
              <w:left w:val="single" w:color="auto" w:sz="4" w:space="0"/>
              <w:bottom w:val="single" w:color="auto" w:sz="4" w:space="0"/>
              <w:right w:val="single" w:color="auto" w:sz="4" w:space="0"/>
            </w:tcBorders>
            <w:noWrap/>
            <w:vAlign w:val="center"/>
          </w:tcPr>
          <w:p w14:paraId="1BE9AD6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材料或设备名称</w:t>
            </w:r>
          </w:p>
        </w:tc>
        <w:tc>
          <w:tcPr>
            <w:tcW w:w="1260" w:type="dxa"/>
            <w:tcBorders>
              <w:top w:val="single" w:color="auto" w:sz="4" w:space="0"/>
              <w:left w:val="single" w:color="auto" w:sz="4" w:space="0"/>
              <w:bottom w:val="single" w:color="auto" w:sz="4" w:space="0"/>
              <w:right w:val="single" w:color="auto" w:sz="4" w:space="0"/>
            </w:tcBorders>
            <w:noWrap/>
            <w:vAlign w:val="center"/>
          </w:tcPr>
          <w:p w14:paraId="5C083110">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规格、型号</w:t>
            </w:r>
          </w:p>
        </w:tc>
        <w:tc>
          <w:tcPr>
            <w:tcW w:w="1260" w:type="dxa"/>
            <w:tcBorders>
              <w:top w:val="single" w:color="auto" w:sz="4" w:space="0"/>
              <w:left w:val="single" w:color="auto" w:sz="4" w:space="0"/>
              <w:bottom w:val="single" w:color="auto" w:sz="4" w:space="0"/>
              <w:right w:val="single" w:color="auto" w:sz="4" w:space="0"/>
            </w:tcBorders>
            <w:noWrap/>
            <w:vAlign w:val="center"/>
          </w:tcPr>
          <w:p w14:paraId="4A954418">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044" w:type="dxa"/>
            <w:tcBorders>
              <w:top w:val="single" w:color="auto" w:sz="4" w:space="0"/>
              <w:left w:val="single" w:color="auto" w:sz="4" w:space="0"/>
              <w:bottom w:val="single" w:color="auto" w:sz="4" w:space="0"/>
              <w:right w:val="single" w:color="auto" w:sz="4" w:space="0"/>
            </w:tcBorders>
            <w:noWrap/>
            <w:vAlign w:val="center"/>
          </w:tcPr>
          <w:p w14:paraId="6FBD22E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0EF9ACE5">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单价（元）</w:t>
            </w:r>
          </w:p>
        </w:tc>
        <w:tc>
          <w:tcPr>
            <w:tcW w:w="1260" w:type="dxa"/>
            <w:tcBorders>
              <w:top w:val="single" w:color="auto" w:sz="4" w:space="0"/>
              <w:left w:val="single" w:color="auto" w:sz="4" w:space="0"/>
              <w:bottom w:val="single" w:color="auto" w:sz="4" w:space="0"/>
              <w:right w:val="single" w:color="auto" w:sz="4" w:space="0"/>
            </w:tcBorders>
            <w:noWrap/>
            <w:vAlign w:val="center"/>
          </w:tcPr>
          <w:p w14:paraId="36E16F88">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4435D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vAlign w:val="center"/>
          </w:tcPr>
          <w:p w14:paraId="317D7F7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080" w:type="dxa"/>
            <w:tcBorders>
              <w:top w:val="single" w:color="auto" w:sz="4" w:space="0"/>
              <w:left w:val="single" w:color="auto" w:sz="4" w:space="0"/>
              <w:bottom w:val="single" w:color="auto" w:sz="4" w:space="0"/>
              <w:right w:val="single" w:color="auto" w:sz="4" w:space="0"/>
            </w:tcBorders>
            <w:noWrap/>
            <w:vAlign w:val="center"/>
          </w:tcPr>
          <w:p w14:paraId="3603DAB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800" w:type="dxa"/>
            <w:tcBorders>
              <w:top w:val="single" w:color="auto" w:sz="4" w:space="0"/>
              <w:left w:val="single" w:color="auto" w:sz="4" w:space="0"/>
              <w:bottom w:val="single" w:color="auto" w:sz="4" w:space="0"/>
              <w:right w:val="single" w:color="auto" w:sz="4" w:space="0"/>
            </w:tcBorders>
            <w:noWrap/>
            <w:vAlign w:val="center"/>
          </w:tcPr>
          <w:p w14:paraId="54673BF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260" w:type="dxa"/>
            <w:tcBorders>
              <w:top w:val="single" w:color="auto" w:sz="4" w:space="0"/>
              <w:left w:val="single" w:color="auto" w:sz="4" w:space="0"/>
              <w:bottom w:val="single" w:color="auto" w:sz="4" w:space="0"/>
              <w:right w:val="single" w:color="auto" w:sz="4" w:space="0"/>
            </w:tcBorders>
            <w:noWrap/>
            <w:vAlign w:val="center"/>
          </w:tcPr>
          <w:p w14:paraId="62DAF1A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260" w:type="dxa"/>
            <w:tcBorders>
              <w:top w:val="single" w:color="auto" w:sz="4" w:space="0"/>
              <w:left w:val="single" w:color="auto" w:sz="4" w:space="0"/>
              <w:bottom w:val="single" w:color="auto" w:sz="4" w:space="0"/>
              <w:right w:val="single" w:color="auto" w:sz="4" w:space="0"/>
            </w:tcBorders>
            <w:noWrap/>
            <w:vAlign w:val="center"/>
          </w:tcPr>
          <w:p w14:paraId="58926712">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044" w:type="dxa"/>
            <w:tcBorders>
              <w:top w:val="single" w:color="auto" w:sz="4" w:space="0"/>
              <w:left w:val="single" w:color="auto" w:sz="4" w:space="0"/>
              <w:bottom w:val="single" w:color="auto" w:sz="4" w:space="0"/>
              <w:right w:val="single" w:color="auto" w:sz="4" w:space="0"/>
            </w:tcBorders>
            <w:noWrap/>
            <w:vAlign w:val="center"/>
          </w:tcPr>
          <w:p w14:paraId="465FE313">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vAlign w:val="center"/>
          </w:tcPr>
          <w:p w14:paraId="2746973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vAlign w:val="center"/>
          </w:tcPr>
          <w:p w14:paraId="38C8F318">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r>
      <w:tr w14:paraId="36533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19E7481C">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06BBAFA7">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0CC197E2">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5287695A">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CF1EB30">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7B26D6DB">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483FEC0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C6D3E21">
            <w:pPr>
              <w:autoSpaceDN w:val="0"/>
              <w:rPr>
                <w:rFonts w:ascii="仿宋" w:hAnsi="仿宋" w:eastAsia="仿宋" w:cs="仿宋"/>
                <w:color w:val="auto"/>
                <w:sz w:val="24"/>
                <w:szCs w:val="24"/>
                <w:highlight w:val="none"/>
              </w:rPr>
            </w:pPr>
          </w:p>
        </w:tc>
      </w:tr>
      <w:tr w14:paraId="6025A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048E5EAD">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370898CC">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431E5540">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D1B17C9">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4022B819">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174E51E2">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D4292B9">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D98F60C">
            <w:pPr>
              <w:autoSpaceDN w:val="0"/>
              <w:rPr>
                <w:rFonts w:ascii="仿宋" w:hAnsi="仿宋" w:eastAsia="仿宋" w:cs="仿宋"/>
                <w:color w:val="auto"/>
                <w:sz w:val="24"/>
                <w:szCs w:val="24"/>
                <w:highlight w:val="none"/>
              </w:rPr>
            </w:pPr>
          </w:p>
        </w:tc>
      </w:tr>
      <w:tr w14:paraId="04E9B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074B2F38">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494A9C9A">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56AFBC8E">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92FBA74">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41214B2D">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30DE75EC">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53133587">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1B1F13C">
            <w:pPr>
              <w:autoSpaceDN w:val="0"/>
              <w:rPr>
                <w:rFonts w:ascii="仿宋" w:hAnsi="仿宋" w:eastAsia="仿宋" w:cs="仿宋"/>
                <w:color w:val="auto"/>
                <w:sz w:val="24"/>
                <w:szCs w:val="24"/>
                <w:highlight w:val="none"/>
              </w:rPr>
            </w:pPr>
          </w:p>
        </w:tc>
      </w:tr>
      <w:tr w14:paraId="4AAF1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67A919F2">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59999D9F">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6787EF31">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C0713B3">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988E563">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44FE1333">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C57A0C8">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0C46E65">
            <w:pPr>
              <w:autoSpaceDN w:val="0"/>
              <w:rPr>
                <w:rFonts w:ascii="仿宋" w:hAnsi="仿宋" w:eastAsia="仿宋" w:cs="仿宋"/>
                <w:color w:val="auto"/>
                <w:sz w:val="24"/>
                <w:szCs w:val="24"/>
                <w:highlight w:val="none"/>
              </w:rPr>
            </w:pPr>
          </w:p>
        </w:tc>
      </w:tr>
      <w:tr w14:paraId="3F720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7FE8BB9C">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685A3BDE">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5084F955">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A83BD55">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55DE0DD">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7BA9E6EE">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05D8CE1">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630E17C">
            <w:pPr>
              <w:autoSpaceDN w:val="0"/>
              <w:rPr>
                <w:rFonts w:ascii="仿宋" w:hAnsi="仿宋" w:eastAsia="仿宋" w:cs="仿宋"/>
                <w:color w:val="auto"/>
                <w:sz w:val="24"/>
                <w:szCs w:val="24"/>
                <w:highlight w:val="none"/>
              </w:rPr>
            </w:pPr>
          </w:p>
        </w:tc>
      </w:tr>
      <w:tr w14:paraId="174B3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1E028114">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57522976">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79129D39">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BB8795B">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0F9BA1D">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4AEE0777">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B1D2623">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F5DB3C7">
            <w:pPr>
              <w:autoSpaceDN w:val="0"/>
              <w:rPr>
                <w:rFonts w:ascii="仿宋" w:hAnsi="仿宋" w:eastAsia="仿宋" w:cs="仿宋"/>
                <w:color w:val="auto"/>
                <w:sz w:val="24"/>
                <w:szCs w:val="24"/>
                <w:highlight w:val="none"/>
              </w:rPr>
            </w:pPr>
          </w:p>
        </w:tc>
      </w:tr>
      <w:tr w14:paraId="7C4F8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0A213405">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6B168772">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403509A3">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C819191">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BC95772">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35CBDE8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562F7C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C48AE75">
            <w:pPr>
              <w:autoSpaceDN w:val="0"/>
              <w:rPr>
                <w:rFonts w:ascii="仿宋" w:hAnsi="仿宋" w:eastAsia="仿宋" w:cs="仿宋"/>
                <w:color w:val="auto"/>
                <w:sz w:val="24"/>
                <w:szCs w:val="24"/>
                <w:highlight w:val="none"/>
              </w:rPr>
            </w:pPr>
          </w:p>
        </w:tc>
      </w:tr>
      <w:tr w14:paraId="3FB82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68CD959E">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63210E6F">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4680646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AEE7B6C">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5265B1F">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59E43AF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A540A61">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E72AC86">
            <w:pPr>
              <w:autoSpaceDN w:val="0"/>
              <w:rPr>
                <w:rFonts w:ascii="仿宋" w:hAnsi="仿宋" w:eastAsia="仿宋" w:cs="仿宋"/>
                <w:color w:val="auto"/>
                <w:sz w:val="24"/>
                <w:szCs w:val="24"/>
                <w:highlight w:val="none"/>
              </w:rPr>
            </w:pPr>
          </w:p>
        </w:tc>
      </w:tr>
      <w:tr w14:paraId="73EE3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611168FE">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41F8E4D4">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08898298">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671FAC7">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10CAD5B">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0A3F48CA">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68B46F42">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B929E63">
            <w:pPr>
              <w:autoSpaceDN w:val="0"/>
              <w:rPr>
                <w:rFonts w:ascii="仿宋" w:hAnsi="仿宋" w:eastAsia="仿宋" w:cs="仿宋"/>
                <w:color w:val="auto"/>
                <w:sz w:val="24"/>
                <w:szCs w:val="24"/>
                <w:highlight w:val="none"/>
              </w:rPr>
            </w:pPr>
          </w:p>
        </w:tc>
      </w:tr>
      <w:tr w14:paraId="1BD35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4951D8FE">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597ED1C0">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1235E38D">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6ED503B">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442DC976">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35E27D88">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73C55A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EBD4237">
            <w:pPr>
              <w:autoSpaceDN w:val="0"/>
              <w:rPr>
                <w:rFonts w:ascii="仿宋" w:hAnsi="仿宋" w:eastAsia="仿宋" w:cs="仿宋"/>
                <w:color w:val="auto"/>
                <w:sz w:val="24"/>
                <w:szCs w:val="24"/>
                <w:highlight w:val="none"/>
              </w:rPr>
            </w:pPr>
          </w:p>
        </w:tc>
      </w:tr>
      <w:tr w14:paraId="50BD4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0" w:type="dxa"/>
            <w:tcBorders>
              <w:top w:val="single" w:color="auto" w:sz="4" w:space="0"/>
              <w:left w:val="single" w:color="auto" w:sz="4" w:space="0"/>
              <w:bottom w:val="single" w:color="auto" w:sz="4" w:space="0"/>
              <w:right w:val="single" w:color="auto" w:sz="4" w:space="0"/>
            </w:tcBorders>
            <w:noWrap/>
          </w:tcPr>
          <w:p w14:paraId="0C26602E">
            <w:pPr>
              <w:autoSpaceDN w:val="0"/>
              <w:rPr>
                <w:rFonts w:ascii="仿宋" w:hAnsi="仿宋" w:eastAsia="仿宋" w:cs="仿宋"/>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cBorders>
            <w:noWrap/>
          </w:tcPr>
          <w:p w14:paraId="3FA684A1">
            <w:pPr>
              <w:autoSpaceDN w:val="0"/>
              <w:rPr>
                <w:rFonts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tcPr>
          <w:p w14:paraId="242166D2">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3D55451">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11880FD">
            <w:pPr>
              <w:autoSpaceDN w:val="0"/>
              <w:rPr>
                <w:rFonts w:ascii="仿宋" w:hAnsi="仿宋" w:eastAsia="仿宋" w:cs="仿宋"/>
                <w:color w:val="auto"/>
                <w:sz w:val="24"/>
                <w:szCs w:val="24"/>
                <w:highlight w:val="none"/>
              </w:rPr>
            </w:pPr>
          </w:p>
        </w:tc>
        <w:tc>
          <w:tcPr>
            <w:tcW w:w="1044" w:type="dxa"/>
            <w:tcBorders>
              <w:top w:val="single" w:color="auto" w:sz="4" w:space="0"/>
              <w:left w:val="single" w:color="auto" w:sz="4" w:space="0"/>
              <w:bottom w:val="single" w:color="auto" w:sz="4" w:space="0"/>
              <w:right w:val="single" w:color="auto" w:sz="4" w:space="0"/>
            </w:tcBorders>
            <w:noWrap/>
          </w:tcPr>
          <w:p w14:paraId="37137D73">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35EEB59B">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F88CF5C">
            <w:pPr>
              <w:autoSpaceDN w:val="0"/>
              <w:rPr>
                <w:rFonts w:ascii="仿宋" w:hAnsi="仿宋" w:eastAsia="仿宋" w:cs="仿宋"/>
                <w:color w:val="auto"/>
                <w:sz w:val="24"/>
                <w:szCs w:val="24"/>
                <w:highlight w:val="none"/>
              </w:rPr>
            </w:pPr>
          </w:p>
        </w:tc>
      </w:tr>
    </w:tbl>
    <w:p w14:paraId="073F2E19">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注：1、表（1）（2）（3）（5）（6）栏由采购人按需要提出，磋商响应供应商可补充。</w:t>
      </w:r>
    </w:p>
    <w:p w14:paraId="220DFFA5">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2、本表的材料及设备包括原材料、燃料、构配件以及按规定应计入建筑安装工程造价的设备。</w:t>
      </w:r>
    </w:p>
    <w:p w14:paraId="3579762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3、采购人指定、提供或暂定的材料和设备，按杭州市工程量清单计价实施细则的规定填写。</w:t>
      </w:r>
    </w:p>
    <w:p w14:paraId="76076224">
      <w:pPr>
        <w:widowControl/>
        <w:spacing w:beforeAutospacing="1" w:afterAutospacing="1"/>
        <w:jc w:val="left"/>
        <w:rPr>
          <w:rFonts w:ascii="仿宋" w:hAnsi="仿宋" w:eastAsia="仿宋" w:cs="仿宋"/>
          <w:color w:val="auto"/>
          <w:sz w:val="24"/>
          <w:szCs w:val="24"/>
          <w:highlight w:val="none"/>
        </w:rPr>
        <w:sectPr>
          <w:pgSz w:w="11906" w:h="16838"/>
          <w:pgMar w:top="1614" w:right="1191" w:bottom="1361" w:left="1191" w:header="851" w:footer="1077" w:gutter="0"/>
          <w:cols w:space="720" w:num="1"/>
          <w:docGrid w:type="linesAndChars" w:linePitch="312" w:charSpace="0"/>
        </w:sectPr>
      </w:pPr>
    </w:p>
    <w:p w14:paraId="4D6C2C3D">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表1-7  主要机械台班价格表</w:t>
      </w:r>
    </w:p>
    <w:p w14:paraId="491F22BE">
      <w:pPr>
        <w:autoSpaceDN w:val="0"/>
        <w:ind w:firstLine="240" w:firstLineChars="1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第 页共 页</w:t>
      </w:r>
    </w:p>
    <w:tbl>
      <w:tblPr>
        <w:tblStyle w:val="61"/>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3060"/>
        <w:gridCol w:w="1244"/>
        <w:gridCol w:w="1260"/>
        <w:gridCol w:w="2340"/>
      </w:tblGrid>
      <w:tr w14:paraId="1CC9E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vAlign w:val="center"/>
          </w:tcPr>
          <w:p w14:paraId="5498306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60" w:type="dxa"/>
            <w:tcBorders>
              <w:top w:val="single" w:color="auto" w:sz="4" w:space="0"/>
              <w:left w:val="single" w:color="auto" w:sz="4" w:space="0"/>
              <w:bottom w:val="single" w:color="auto" w:sz="4" w:space="0"/>
              <w:right w:val="single" w:color="auto" w:sz="4" w:space="0"/>
            </w:tcBorders>
            <w:noWrap/>
            <w:vAlign w:val="center"/>
          </w:tcPr>
          <w:p w14:paraId="27D6816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机械设备名称</w:t>
            </w:r>
          </w:p>
        </w:tc>
        <w:tc>
          <w:tcPr>
            <w:tcW w:w="1244" w:type="dxa"/>
            <w:tcBorders>
              <w:top w:val="single" w:color="auto" w:sz="4" w:space="0"/>
              <w:left w:val="single" w:color="auto" w:sz="4" w:space="0"/>
              <w:bottom w:val="single" w:color="auto" w:sz="4" w:space="0"/>
              <w:right w:val="single" w:color="auto" w:sz="4" w:space="0"/>
            </w:tcBorders>
            <w:noWrap/>
            <w:vAlign w:val="center"/>
          </w:tcPr>
          <w:p w14:paraId="67EA8F59">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260" w:type="dxa"/>
            <w:tcBorders>
              <w:top w:val="single" w:color="auto" w:sz="4" w:space="0"/>
              <w:left w:val="single" w:color="auto" w:sz="4" w:space="0"/>
              <w:bottom w:val="single" w:color="auto" w:sz="4" w:space="0"/>
              <w:right w:val="single" w:color="auto" w:sz="4" w:space="0"/>
            </w:tcBorders>
            <w:noWrap/>
            <w:vAlign w:val="center"/>
          </w:tcPr>
          <w:p w14:paraId="00A74C55">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2340" w:type="dxa"/>
            <w:tcBorders>
              <w:top w:val="single" w:color="auto" w:sz="4" w:space="0"/>
              <w:left w:val="single" w:color="auto" w:sz="4" w:space="0"/>
              <w:bottom w:val="single" w:color="auto" w:sz="4" w:space="0"/>
              <w:right w:val="single" w:color="auto" w:sz="4" w:space="0"/>
            </w:tcBorders>
            <w:noWrap/>
            <w:vAlign w:val="center"/>
          </w:tcPr>
          <w:p w14:paraId="5D6D1073">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单价（元）</w:t>
            </w:r>
          </w:p>
        </w:tc>
      </w:tr>
      <w:tr w14:paraId="68446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vAlign w:val="center"/>
          </w:tcPr>
          <w:p w14:paraId="241F5B9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060" w:type="dxa"/>
            <w:tcBorders>
              <w:top w:val="single" w:color="auto" w:sz="4" w:space="0"/>
              <w:left w:val="single" w:color="auto" w:sz="4" w:space="0"/>
              <w:bottom w:val="single" w:color="auto" w:sz="4" w:space="0"/>
              <w:right w:val="single" w:color="auto" w:sz="4" w:space="0"/>
            </w:tcBorders>
            <w:noWrap/>
            <w:vAlign w:val="center"/>
          </w:tcPr>
          <w:p w14:paraId="3BC0048B">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244" w:type="dxa"/>
            <w:tcBorders>
              <w:top w:val="single" w:color="auto" w:sz="4" w:space="0"/>
              <w:left w:val="single" w:color="auto" w:sz="4" w:space="0"/>
              <w:bottom w:val="single" w:color="auto" w:sz="4" w:space="0"/>
              <w:right w:val="single" w:color="auto" w:sz="4" w:space="0"/>
            </w:tcBorders>
            <w:noWrap/>
            <w:vAlign w:val="center"/>
          </w:tcPr>
          <w:p w14:paraId="79F6C7F9">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台班</w:t>
            </w:r>
          </w:p>
        </w:tc>
        <w:tc>
          <w:tcPr>
            <w:tcW w:w="1260" w:type="dxa"/>
            <w:tcBorders>
              <w:top w:val="single" w:color="auto" w:sz="4" w:space="0"/>
              <w:left w:val="single" w:color="auto" w:sz="4" w:space="0"/>
              <w:bottom w:val="single" w:color="auto" w:sz="4" w:space="0"/>
              <w:right w:val="single" w:color="auto" w:sz="4" w:space="0"/>
            </w:tcBorders>
            <w:noWrap/>
          </w:tcPr>
          <w:p w14:paraId="0BDA03AA">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65DE058C">
            <w:pPr>
              <w:autoSpaceDN w:val="0"/>
              <w:rPr>
                <w:rFonts w:ascii="仿宋" w:hAnsi="仿宋" w:eastAsia="仿宋" w:cs="仿宋"/>
                <w:color w:val="auto"/>
                <w:sz w:val="24"/>
                <w:szCs w:val="24"/>
                <w:highlight w:val="none"/>
              </w:rPr>
            </w:pPr>
          </w:p>
        </w:tc>
      </w:tr>
      <w:tr w14:paraId="3B5F7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4338BEE3">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3E6F9D0A">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4EB520D6">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259D2EC">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292915AD">
            <w:pPr>
              <w:autoSpaceDN w:val="0"/>
              <w:rPr>
                <w:rFonts w:ascii="仿宋" w:hAnsi="仿宋" w:eastAsia="仿宋" w:cs="仿宋"/>
                <w:color w:val="auto"/>
                <w:sz w:val="24"/>
                <w:szCs w:val="24"/>
                <w:highlight w:val="none"/>
              </w:rPr>
            </w:pPr>
          </w:p>
        </w:tc>
      </w:tr>
      <w:tr w14:paraId="18350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7A244663">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6482A796">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5118953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5FA1ED3E">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4FA69ED7">
            <w:pPr>
              <w:autoSpaceDN w:val="0"/>
              <w:rPr>
                <w:rFonts w:ascii="仿宋" w:hAnsi="仿宋" w:eastAsia="仿宋" w:cs="仿宋"/>
                <w:color w:val="auto"/>
                <w:sz w:val="24"/>
                <w:szCs w:val="24"/>
                <w:highlight w:val="none"/>
              </w:rPr>
            </w:pPr>
          </w:p>
        </w:tc>
      </w:tr>
      <w:tr w14:paraId="541F9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575E5F9C">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4098FADB">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16E790C1">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624F0AE">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3F1783CD">
            <w:pPr>
              <w:autoSpaceDN w:val="0"/>
              <w:rPr>
                <w:rFonts w:ascii="仿宋" w:hAnsi="仿宋" w:eastAsia="仿宋" w:cs="仿宋"/>
                <w:color w:val="auto"/>
                <w:sz w:val="24"/>
                <w:szCs w:val="24"/>
                <w:highlight w:val="none"/>
              </w:rPr>
            </w:pPr>
          </w:p>
        </w:tc>
      </w:tr>
      <w:tr w14:paraId="58C88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401EED80">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596812D2">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3AA3F93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78FE89E">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0E7AEC71">
            <w:pPr>
              <w:autoSpaceDN w:val="0"/>
              <w:rPr>
                <w:rFonts w:ascii="仿宋" w:hAnsi="仿宋" w:eastAsia="仿宋" w:cs="仿宋"/>
                <w:color w:val="auto"/>
                <w:sz w:val="24"/>
                <w:szCs w:val="24"/>
                <w:highlight w:val="none"/>
              </w:rPr>
            </w:pPr>
          </w:p>
        </w:tc>
      </w:tr>
      <w:tr w14:paraId="1D4A0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0AB9EFE3">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478F2D80">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0CAF0014">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6486DAA">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7E86781F">
            <w:pPr>
              <w:autoSpaceDN w:val="0"/>
              <w:rPr>
                <w:rFonts w:ascii="仿宋" w:hAnsi="仿宋" w:eastAsia="仿宋" w:cs="仿宋"/>
                <w:color w:val="auto"/>
                <w:sz w:val="24"/>
                <w:szCs w:val="24"/>
                <w:highlight w:val="none"/>
              </w:rPr>
            </w:pPr>
          </w:p>
        </w:tc>
      </w:tr>
      <w:tr w14:paraId="77DEA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0F246FBA">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06AD58BF">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305A201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FEBEFF0">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62C65876">
            <w:pPr>
              <w:autoSpaceDN w:val="0"/>
              <w:rPr>
                <w:rFonts w:ascii="仿宋" w:hAnsi="仿宋" w:eastAsia="仿宋" w:cs="仿宋"/>
                <w:color w:val="auto"/>
                <w:sz w:val="24"/>
                <w:szCs w:val="24"/>
                <w:highlight w:val="none"/>
              </w:rPr>
            </w:pPr>
          </w:p>
        </w:tc>
      </w:tr>
      <w:tr w14:paraId="34392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5A34CBE4">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7FFC3628">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1693CA13">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2F5AF4B">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02535D6C">
            <w:pPr>
              <w:autoSpaceDN w:val="0"/>
              <w:rPr>
                <w:rFonts w:ascii="仿宋" w:hAnsi="仿宋" w:eastAsia="仿宋" w:cs="仿宋"/>
                <w:color w:val="auto"/>
                <w:sz w:val="24"/>
                <w:szCs w:val="24"/>
                <w:highlight w:val="none"/>
              </w:rPr>
            </w:pPr>
          </w:p>
        </w:tc>
      </w:tr>
      <w:tr w14:paraId="3EE15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68D688C7">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68AEE9C9">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1A52FAEE">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595D2D7">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0AA24EEC">
            <w:pPr>
              <w:autoSpaceDN w:val="0"/>
              <w:rPr>
                <w:rFonts w:ascii="仿宋" w:hAnsi="仿宋" w:eastAsia="仿宋" w:cs="仿宋"/>
                <w:color w:val="auto"/>
                <w:sz w:val="24"/>
                <w:szCs w:val="24"/>
                <w:highlight w:val="none"/>
              </w:rPr>
            </w:pPr>
          </w:p>
        </w:tc>
      </w:tr>
      <w:tr w14:paraId="6AD93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45133934">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56894585">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6F145A79">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1E553581">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12E7BE5A">
            <w:pPr>
              <w:autoSpaceDN w:val="0"/>
              <w:rPr>
                <w:rFonts w:ascii="仿宋" w:hAnsi="仿宋" w:eastAsia="仿宋" w:cs="仿宋"/>
                <w:color w:val="auto"/>
                <w:sz w:val="24"/>
                <w:szCs w:val="24"/>
                <w:highlight w:val="none"/>
              </w:rPr>
            </w:pPr>
          </w:p>
        </w:tc>
      </w:tr>
      <w:tr w14:paraId="7DE7F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5ABFCC3E">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3B789F86">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69A0C6F7">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5D93481F">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02B76D15">
            <w:pPr>
              <w:autoSpaceDN w:val="0"/>
              <w:rPr>
                <w:rFonts w:ascii="仿宋" w:hAnsi="仿宋" w:eastAsia="仿宋" w:cs="仿宋"/>
                <w:color w:val="auto"/>
                <w:sz w:val="24"/>
                <w:szCs w:val="24"/>
                <w:highlight w:val="none"/>
              </w:rPr>
            </w:pPr>
          </w:p>
        </w:tc>
      </w:tr>
      <w:tr w14:paraId="6007C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7D4942BA">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0AA6D617">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23D8B47F">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46B3180">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4FB810BB">
            <w:pPr>
              <w:autoSpaceDN w:val="0"/>
              <w:rPr>
                <w:rFonts w:ascii="仿宋" w:hAnsi="仿宋" w:eastAsia="仿宋" w:cs="仿宋"/>
                <w:color w:val="auto"/>
                <w:sz w:val="24"/>
                <w:szCs w:val="24"/>
                <w:highlight w:val="none"/>
              </w:rPr>
            </w:pPr>
          </w:p>
        </w:tc>
      </w:tr>
      <w:tr w14:paraId="2DFE3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56D31A69">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4D2348CC">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284A4325">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0565D480">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0FE93F66">
            <w:pPr>
              <w:autoSpaceDN w:val="0"/>
              <w:rPr>
                <w:rFonts w:ascii="仿宋" w:hAnsi="仿宋" w:eastAsia="仿宋" w:cs="仿宋"/>
                <w:color w:val="auto"/>
                <w:sz w:val="24"/>
                <w:szCs w:val="24"/>
                <w:highlight w:val="none"/>
              </w:rPr>
            </w:pPr>
          </w:p>
        </w:tc>
      </w:tr>
      <w:tr w14:paraId="472EE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6" w:type="dxa"/>
            <w:tcBorders>
              <w:top w:val="single" w:color="auto" w:sz="4" w:space="0"/>
              <w:left w:val="single" w:color="auto" w:sz="4" w:space="0"/>
              <w:bottom w:val="single" w:color="auto" w:sz="4" w:space="0"/>
              <w:right w:val="single" w:color="auto" w:sz="4" w:space="0"/>
            </w:tcBorders>
            <w:noWrap/>
          </w:tcPr>
          <w:p w14:paraId="4D02DA48">
            <w:pPr>
              <w:autoSpaceDN w:val="0"/>
              <w:rPr>
                <w:rFonts w:ascii="仿宋" w:hAnsi="仿宋" w:eastAsia="仿宋" w:cs="仿宋"/>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tcPr>
          <w:p w14:paraId="73724FB8">
            <w:pPr>
              <w:autoSpaceDN w:val="0"/>
              <w:rPr>
                <w:rFonts w:ascii="仿宋" w:hAnsi="仿宋" w:eastAsia="仿宋" w:cs="仿宋"/>
                <w:color w:val="auto"/>
                <w:sz w:val="24"/>
                <w:szCs w:val="24"/>
                <w:highlight w:val="none"/>
              </w:rPr>
            </w:pPr>
          </w:p>
        </w:tc>
        <w:tc>
          <w:tcPr>
            <w:tcW w:w="1244" w:type="dxa"/>
            <w:tcBorders>
              <w:top w:val="single" w:color="auto" w:sz="4" w:space="0"/>
              <w:left w:val="single" w:color="auto" w:sz="4" w:space="0"/>
              <w:bottom w:val="single" w:color="auto" w:sz="4" w:space="0"/>
              <w:right w:val="single" w:color="auto" w:sz="4" w:space="0"/>
            </w:tcBorders>
            <w:noWrap/>
          </w:tcPr>
          <w:p w14:paraId="5D811EC0">
            <w:pPr>
              <w:autoSpaceDN w:val="0"/>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53D34686">
            <w:pPr>
              <w:autoSpaceDN w:val="0"/>
              <w:rPr>
                <w:rFonts w:ascii="仿宋" w:hAnsi="仿宋" w:eastAsia="仿宋" w:cs="仿宋"/>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cBorders>
            <w:noWrap/>
          </w:tcPr>
          <w:p w14:paraId="48B2A384">
            <w:pPr>
              <w:autoSpaceDN w:val="0"/>
              <w:rPr>
                <w:rFonts w:ascii="仿宋" w:hAnsi="仿宋" w:eastAsia="仿宋" w:cs="仿宋"/>
                <w:color w:val="auto"/>
                <w:sz w:val="24"/>
                <w:szCs w:val="24"/>
                <w:highlight w:val="none"/>
              </w:rPr>
            </w:pPr>
          </w:p>
        </w:tc>
      </w:tr>
    </w:tbl>
    <w:p w14:paraId="391480CB">
      <w:pPr>
        <w:autoSpaceDN w:val="0"/>
        <w:ind w:firstLine="240" w:firstLineChars="1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注：表（1）（2）由采购人按需要提出，磋商响应供应商可补充。</w:t>
      </w:r>
    </w:p>
    <w:p w14:paraId="6B52E175">
      <w:pPr>
        <w:autoSpaceDN w:val="0"/>
        <w:rPr>
          <w:rFonts w:ascii="仿宋" w:hAnsi="仿宋" w:eastAsia="仿宋" w:cs="Times New Roman"/>
          <w:color w:val="auto"/>
          <w:sz w:val="22"/>
          <w:highlight w:val="none"/>
        </w:rPr>
      </w:pPr>
    </w:p>
    <w:p w14:paraId="62081256">
      <w:pPr>
        <w:autoSpaceDN w:val="0"/>
        <w:rPr>
          <w:rFonts w:ascii="仿宋" w:hAnsi="仿宋" w:eastAsia="仿宋" w:cs="Times New Roman"/>
          <w:color w:val="auto"/>
          <w:sz w:val="22"/>
          <w:highlight w:val="none"/>
        </w:rPr>
      </w:pPr>
    </w:p>
    <w:p w14:paraId="31D83826">
      <w:pPr>
        <w:autoSpaceDN w:val="0"/>
        <w:rPr>
          <w:rFonts w:ascii="仿宋" w:hAnsi="仿宋" w:eastAsia="仿宋" w:cs="Times New Roman"/>
          <w:color w:val="auto"/>
          <w:sz w:val="22"/>
          <w:highlight w:val="none"/>
        </w:rPr>
      </w:pPr>
    </w:p>
    <w:p w14:paraId="6929C26B">
      <w:pPr>
        <w:widowControl/>
        <w:spacing w:beforeAutospacing="1" w:afterAutospacing="1"/>
        <w:jc w:val="left"/>
        <w:rPr>
          <w:rFonts w:ascii="仿宋" w:hAnsi="仿宋" w:eastAsia="仿宋" w:cs="Times New Roman"/>
          <w:color w:val="auto"/>
          <w:sz w:val="22"/>
          <w:highlight w:val="none"/>
        </w:rPr>
        <w:sectPr>
          <w:pgSz w:w="11906" w:h="16838"/>
          <w:pgMar w:top="1614" w:right="1191" w:bottom="1361" w:left="1191" w:header="851" w:footer="1077" w:gutter="0"/>
          <w:cols w:space="720" w:num="1"/>
          <w:docGrid w:type="lines" w:linePitch="312" w:charSpace="0"/>
        </w:sectPr>
      </w:pPr>
    </w:p>
    <w:p w14:paraId="0FC98E22">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表2-1  分部分项工程量清单综合单价分析表</w:t>
      </w:r>
    </w:p>
    <w:p w14:paraId="3B22B4EC">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清单号：                                        第页共页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634"/>
        <w:gridCol w:w="1634"/>
        <w:gridCol w:w="909"/>
        <w:gridCol w:w="909"/>
        <w:gridCol w:w="1089"/>
        <w:gridCol w:w="1089"/>
        <w:gridCol w:w="1089"/>
        <w:gridCol w:w="1089"/>
        <w:gridCol w:w="909"/>
        <w:gridCol w:w="995"/>
        <w:gridCol w:w="909"/>
        <w:gridCol w:w="1353"/>
      </w:tblGrid>
      <w:tr w14:paraId="71BF2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trPr>
        <w:tc>
          <w:tcPr>
            <w:tcW w:w="724" w:type="dxa"/>
            <w:vMerge w:val="restart"/>
            <w:tcBorders>
              <w:top w:val="single" w:color="auto" w:sz="4" w:space="0"/>
              <w:left w:val="single" w:color="auto" w:sz="4" w:space="0"/>
              <w:bottom w:val="single" w:color="auto" w:sz="4" w:space="0"/>
              <w:right w:val="single" w:color="auto" w:sz="4" w:space="0"/>
            </w:tcBorders>
            <w:vAlign w:val="center"/>
          </w:tcPr>
          <w:p w14:paraId="55B00DC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634" w:type="dxa"/>
            <w:vMerge w:val="restart"/>
            <w:tcBorders>
              <w:top w:val="single" w:color="auto" w:sz="4" w:space="0"/>
              <w:left w:val="single" w:color="auto" w:sz="4" w:space="0"/>
              <w:bottom w:val="single" w:color="auto" w:sz="4" w:space="0"/>
              <w:right w:val="single" w:color="auto" w:sz="4" w:space="0"/>
            </w:tcBorders>
            <w:vAlign w:val="center"/>
          </w:tcPr>
          <w:p w14:paraId="1E148D5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编号</w:t>
            </w:r>
          </w:p>
        </w:tc>
        <w:tc>
          <w:tcPr>
            <w:tcW w:w="1634" w:type="dxa"/>
            <w:vMerge w:val="restart"/>
            <w:tcBorders>
              <w:top w:val="single" w:color="auto" w:sz="4" w:space="0"/>
              <w:left w:val="single" w:color="auto" w:sz="4" w:space="0"/>
              <w:bottom w:val="single" w:color="auto" w:sz="4" w:space="0"/>
              <w:right w:val="single" w:color="auto" w:sz="4" w:space="0"/>
            </w:tcBorders>
            <w:vAlign w:val="center"/>
          </w:tcPr>
          <w:p w14:paraId="4D2041F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909" w:type="dxa"/>
            <w:vMerge w:val="restart"/>
            <w:tcBorders>
              <w:top w:val="single" w:color="auto" w:sz="4" w:space="0"/>
              <w:left w:val="single" w:color="auto" w:sz="4" w:space="0"/>
              <w:bottom w:val="single" w:color="auto" w:sz="4" w:space="0"/>
              <w:right w:val="single" w:color="auto" w:sz="4" w:space="0"/>
            </w:tcBorders>
            <w:vAlign w:val="center"/>
          </w:tcPr>
          <w:p w14:paraId="67AA1E8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计量单位</w:t>
            </w:r>
          </w:p>
        </w:tc>
        <w:tc>
          <w:tcPr>
            <w:tcW w:w="909" w:type="dxa"/>
            <w:vMerge w:val="restart"/>
            <w:tcBorders>
              <w:top w:val="single" w:color="auto" w:sz="4" w:space="0"/>
              <w:left w:val="single" w:color="auto" w:sz="4" w:space="0"/>
              <w:bottom w:val="single" w:color="auto" w:sz="4" w:space="0"/>
              <w:right w:val="single" w:color="auto" w:sz="4" w:space="0"/>
            </w:tcBorders>
            <w:vAlign w:val="center"/>
          </w:tcPr>
          <w:p w14:paraId="57B17A5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7169" w:type="dxa"/>
            <w:gridSpan w:val="7"/>
            <w:tcBorders>
              <w:top w:val="single" w:color="auto" w:sz="4" w:space="0"/>
              <w:left w:val="single" w:color="auto" w:sz="4" w:space="0"/>
              <w:bottom w:val="single" w:color="auto" w:sz="4" w:space="0"/>
              <w:right w:val="single" w:color="auto" w:sz="4" w:space="0"/>
            </w:tcBorders>
            <w:vAlign w:val="center"/>
          </w:tcPr>
          <w:p w14:paraId="325A223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综  合  单  价（元）</w:t>
            </w:r>
          </w:p>
        </w:tc>
        <w:tc>
          <w:tcPr>
            <w:tcW w:w="1353" w:type="dxa"/>
            <w:vMerge w:val="restart"/>
            <w:tcBorders>
              <w:top w:val="single" w:color="auto" w:sz="4" w:space="0"/>
              <w:left w:val="single" w:color="auto" w:sz="4" w:space="0"/>
              <w:bottom w:val="single" w:color="auto" w:sz="4" w:space="0"/>
              <w:right w:val="single" w:color="auto" w:sz="4" w:space="0"/>
            </w:tcBorders>
            <w:vAlign w:val="center"/>
          </w:tcPr>
          <w:p w14:paraId="333F124D">
            <w:pPr>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合计(元)</w:t>
            </w:r>
          </w:p>
        </w:tc>
      </w:tr>
      <w:tr w14:paraId="303C3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trPr>
        <w:tc>
          <w:tcPr>
            <w:tcW w:w="300" w:type="dxa"/>
            <w:vMerge w:val="continue"/>
            <w:tcBorders>
              <w:top w:val="single" w:color="auto" w:sz="4" w:space="0"/>
              <w:left w:val="single" w:color="auto" w:sz="4" w:space="0"/>
              <w:bottom w:val="single" w:color="auto" w:sz="4" w:space="0"/>
              <w:right w:val="single" w:color="auto" w:sz="4" w:space="0"/>
            </w:tcBorders>
            <w:vAlign w:val="center"/>
          </w:tcPr>
          <w:p w14:paraId="3B548EF5">
            <w:pPr>
              <w:widowControl/>
              <w:jc w:val="left"/>
              <w:rPr>
                <w:rFonts w:ascii="仿宋" w:hAnsi="仿宋" w:eastAsia="仿宋" w:cs="仿宋"/>
                <w:color w:val="auto"/>
                <w:sz w:val="24"/>
                <w:szCs w:val="24"/>
                <w:highlight w:val="none"/>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14:paraId="751EFB0F">
            <w:pPr>
              <w:widowControl/>
              <w:jc w:val="left"/>
              <w:rPr>
                <w:rFonts w:ascii="仿宋" w:hAnsi="仿宋" w:eastAsia="仿宋" w:cs="仿宋"/>
                <w:color w:val="auto"/>
                <w:sz w:val="24"/>
                <w:szCs w:val="24"/>
                <w:highlight w:val="none"/>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14:paraId="31BF3876">
            <w:pPr>
              <w:widowControl/>
              <w:jc w:val="left"/>
              <w:rPr>
                <w:rFonts w:ascii="仿宋" w:hAnsi="仿宋" w:eastAsia="仿宋" w:cs="仿宋"/>
                <w:color w:val="auto"/>
                <w:sz w:val="24"/>
                <w:szCs w:val="24"/>
                <w:highlight w:val="none"/>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14:paraId="0F6B1CE4">
            <w:pPr>
              <w:widowControl/>
              <w:jc w:val="left"/>
              <w:rPr>
                <w:rFonts w:ascii="仿宋" w:hAnsi="仿宋" w:eastAsia="仿宋" w:cs="仿宋"/>
                <w:color w:val="auto"/>
                <w:sz w:val="24"/>
                <w:szCs w:val="24"/>
                <w:highlight w:val="none"/>
              </w:rPr>
            </w:pPr>
          </w:p>
        </w:tc>
        <w:tc>
          <w:tcPr>
            <w:tcW w:w="300" w:type="dxa"/>
            <w:vMerge w:val="continue"/>
            <w:tcBorders>
              <w:top w:val="single" w:color="auto" w:sz="4" w:space="0"/>
              <w:left w:val="single" w:color="auto" w:sz="4" w:space="0"/>
              <w:bottom w:val="single" w:color="auto" w:sz="4" w:space="0"/>
              <w:right w:val="single" w:color="auto" w:sz="4" w:space="0"/>
            </w:tcBorders>
            <w:vAlign w:val="center"/>
          </w:tcPr>
          <w:p w14:paraId="083A7712">
            <w:pPr>
              <w:widowControl/>
              <w:jc w:val="left"/>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vAlign w:val="center"/>
          </w:tcPr>
          <w:p w14:paraId="01B3880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人工费</w:t>
            </w:r>
          </w:p>
        </w:tc>
        <w:tc>
          <w:tcPr>
            <w:tcW w:w="1089" w:type="dxa"/>
            <w:tcBorders>
              <w:top w:val="single" w:color="auto" w:sz="4" w:space="0"/>
              <w:left w:val="single" w:color="auto" w:sz="4" w:space="0"/>
              <w:bottom w:val="single" w:color="auto" w:sz="4" w:space="0"/>
              <w:right w:val="single" w:color="auto" w:sz="4" w:space="0"/>
            </w:tcBorders>
            <w:vAlign w:val="center"/>
          </w:tcPr>
          <w:p w14:paraId="09CA526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材料费</w:t>
            </w:r>
          </w:p>
        </w:tc>
        <w:tc>
          <w:tcPr>
            <w:tcW w:w="1089" w:type="dxa"/>
            <w:tcBorders>
              <w:top w:val="single" w:color="auto" w:sz="4" w:space="0"/>
              <w:left w:val="single" w:color="auto" w:sz="4" w:space="0"/>
              <w:bottom w:val="single" w:color="auto" w:sz="4" w:space="0"/>
              <w:right w:val="single" w:color="auto" w:sz="4" w:space="0"/>
            </w:tcBorders>
            <w:vAlign w:val="center"/>
          </w:tcPr>
          <w:p w14:paraId="1FBAEE7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机械费</w:t>
            </w:r>
          </w:p>
        </w:tc>
        <w:tc>
          <w:tcPr>
            <w:tcW w:w="1089" w:type="dxa"/>
            <w:tcBorders>
              <w:top w:val="single" w:color="auto" w:sz="4" w:space="0"/>
              <w:left w:val="single" w:color="auto" w:sz="4" w:space="0"/>
              <w:bottom w:val="single" w:color="auto" w:sz="4" w:space="0"/>
              <w:right w:val="single" w:color="auto" w:sz="4" w:space="0"/>
            </w:tcBorders>
            <w:vAlign w:val="center"/>
          </w:tcPr>
          <w:p w14:paraId="68A3F37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管理费</w:t>
            </w:r>
          </w:p>
        </w:tc>
        <w:tc>
          <w:tcPr>
            <w:tcW w:w="909" w:type="dxa"/>
            <w:tcBorders>
              <w:top w:val="single" w:color="auto" w:sz="4" w:space="0"/>
              <w:left w:val="single" w:color="auto" w:sz="4" w:space="0"/>
              <w:bottom w:val="single" w:color="auto" w:sz="4" w:space="0"/>
              <w:right w:val="single" w:color="auto" w:sz="4" w:space="0"/>
            </w:tcBorders>
            <w:vAlign w:val="center"/>
          </w:tcPr>
          <w:p w14:paraId="74B73E3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利润</w:t>
            </w:r>
          </w:p>
        </w:tc>
        <w:tc>
          <w:tcPr>
            <w:tcW w:w="995" w:type="dxa"/>
            <w:tcBorders>
              <w:top w:val="single" w:color="auto" w:sz="4" w:space="0"/>
              <w:left w:val="single" w:color="auto" w:sz="4" w:space="0"/>
              <w:bottom w:val="single" w:color="auto" w:sz="4" w:space="0"/>
              <w:right w:val="single" w:color="auto" w:sz="4" w:space="0"/>
            </w:tcBorders>
            <w:vAlign w:val="center"/>
          </w:tcPr>
          <w:p w14:paraId="75BC59C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风险费用</w:t>
            </w:r>
          </w:p>
        </w:tc>
        <w:tc>
          <w:tcPr>
            <w:tcW w:w="909" w:type="dxa"/>
            <w:tcBorders>
              <w:top w:val="single" w:color="auto" w:sz="4" w:space="0"/>
              <w:left w:val="single" w:color="auto" w:sz="4" w:space="0"/>
              <w:bottom w:val="single" w:color="auto" w:sz="4" w:space="0"/>
              <w:right w:val="single" w:color="auto" w:sz="4" w:space="0"/>
            </w:tcBorders>
            <w:vAlign w:val="center"/>
          </w:tcPr>
          <w:p w14:paraId="12465D8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小计</w:t>
            </w:r>
          </w:p>
        </w:tc>
        <w:tc>
          <w:tcPr>
            <w:tcW w:w="1653" w:type="dxa"/>
            <w:vMerge w:val="continue"/>
            <w:tcBorders>
              <w:top w:val="single" w:color="auto" w:sz="4" w:space="0"/>
              <w:left w:val="single" w:color="auto" w:sz="4" w:space="0"/>
              <w:bottom w:val="single" w:color="auto" w:sz="4" w:space="0"/>
              <w:right w:val="single" w:color="auto" w:sz="4" w:space="0"/>
            </w:tcBorders>
            <w:vAlign w:val="center"/>
          </w:tcPr>
          <w:p w14:paraId="17BCBFF2">
            <w:pPr>
              <w:widowControl/>
              <w:jc w:val="left"/>
              <w:rPr>
                <w:rFonts w:ascii="仿宋" w:hAnsi="仿宋" w:eastAsia="仿宋" w:cs="仿宋"/>
                <w:color w:val="auto"/>
                <w:sz w:val="24"/>
                <w:szCs w:val="24"/>
                <w:highlight w:val="none"/>
              </w:rPr>
            </w:pPr>
          </w:p>
        </w:tc>
      </w:tr>
      <w:tr w14:paraId="2C37A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724" w:type="dxa"/>
            <w:tcBorders>
              <w:top w:val="single" w:color="auto" w:sz="4" w:space="0"/>
              <w:left w:val="single" w:color="auto" w:sz="4" w:space="0"/>
              <w:bottom w:val="single" w:color="auto" w:sz="4" w:space="0"/>
              <w:right w:val="single" w:color="auto" w:sz="4" w:space="0"/>
            </w:tcBorders>
            <w:vAlign w:val="center"/>
          </w:tcPr>
          <w:p w14:paraId="3E6C6C4D">
            <w:pPr>
              <w:widowControl/>
              <w:tabs>
                <w:tab w:val="center" w:pos="4755"/>
                <w:tab w:val="right" w:pos="9070"/>
              </w:tabs>
              <w:autoSpaceDN w:val="0"/>
              <w:spacing w:before="100" w:beforeAutospacing="1" w:after="100" w:afterAutospacing="1"/>
              <w:ind w:firstLine="360" w:firstLineChars="150"/>
              <w:jc w:val="center"/>
              <w:rPr>
                <w:rFonts w:ascii="仿宋" w:hAnsi="仿宋" w:eastAsia="仿宋" w:cs="仿宋"/>
                <w:color w:val="auto"/>
                <w:sz w:val="24"/>
                <w:szCs w:val="24"/>
                <w:highlight w:val="none"/>
              </w:rPr>
            </w:pPr>
          </w:p>
        </w:tc>
        <w:tc>
          <w:tcPr>
            <w:tcW w:w="1634" w:type="dxa"/>
            <w:tcBorders>
              <w:top w:val="single" w:color="auto" w:sz="4" w:space="0"/>
              <w:left w:val="single" w:color="auto" w:sz="4" w:space="0"/>
              <w:bottom w:val="single" w:color="auto" w:sz="4" w:space="0"/>
              <w:right w:val="single" w:color="auto" w:sz="4" w:space="0"/>
            </w:tcBorders>
            <w:vAlign w:val="center"/>
          </w:tcPr>
          <w:p w14:paraId="77DB3D9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34" w:type="dxa"/>
            <w:tcBorders>
              <w:top w:val="single" w:color="auto" w:sz="4" w:space="0"/>
              <w:left w:val="single" w:color="auto" w:sz="4" w:space="0"/>
              <w:bottom w:val="single" w:color="auto" w:sz="4" w:space="0"/>
              <w:right w:val="single" w:color="auto" w:sz="4" w:space="0"/>
            </w:tcBorders>
            <w:vAlign w:val="center"/>
          </w:tcPr>
          <w:p w14:paraId="33E1AE1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909" w:type="dxa"/>
            <w:tcBorders>
              <w:top w:val="single" w:color="auto" w:sz="4" w:space="0"/>
              <w:left w:val="single" w:color="auto" w:sz="4" w:space="0"/>
              <w:bottom w:val="single" w:color="auto" w:sz="4" w:space="0"/>
              <w:right w:val="single" w:color="auto" w:sz="4" w:space="0"/>
            </w:tcBorders>
            <w:vAlign w:val="center"/>
          </w:tcPr>
          <w:p w14:paraId="4828BDC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909" w:type="dxa"/>
            <w:tcBorders>
              <w:top w:val="single" w:color="auto" w:sz="4" w:space="0"/>
              <w:left w:val="single" w:color="auto" w:sz="4" w:space="0"/>
              <w:bottom w:val="single" w:color="auto" w:sz="4" w:space="0"/>
              <w:right w:val="single" w:color="auto" w:sz="4" w:space="0"/>
            </w:tcBorders>
            <w:vAlign w:val="center"/>
          </w:tcPr>
          <w:p w14:paraId="628A762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089" w:type="dxa"/>
            <w:tcBorders>
              <w:top w:val="single" w:color="auto" w:sz="4" w:space="0"/>
              <w:left w:val="single" w:color="auto" w:sz="4" w:space="0"/>
              <w:bottom w:val="single" w:color="auto" w:sz="4" w:space="0"/>
              <w:right w:val="single" w:color="auto" w:sz="4" w:space="0"/>
            </w:tcBorders>
            <w:vAlign w:val="center"/>
          </w:tcPr>
          <w:p w14:paraId="349C430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089" w:type="dxa"/>
            <w:tcBorders>
              <w:top w:val="single" w:color="auto" w:sz="4" w:space="0"/>
              <w:left w:val="single" w:color="auto" w:sz="4" w:space="0"/>
              <w:bottom w:val="single" w:color="auto" w:sz="4" w:space="0"/>
              <w:right w:val="single" w:color="auto" w:sz="4" w:space="0"/>
            </w:tcBorders>
            <w:vAlign w:val="center"/>
          </w:tcPr>
          <w:p w14:paraId="113A237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089" w:type="dxa"/>
            <w:tcBorders>
              <w:top w:val="single" w:color="auto" w:sz="4" w:space="0"/>
              <w:left w:val="single" w:color="auto" w:sz="4" w:space="0"/>
              <w:bottom w:val="single" w:color="auto" w:sz="4" w:space="0"/>
              <w:right w:val="single" w:color="auto" w:sz="4" w:space="0"/>
            </w:tcBorders>
            <w:vAlign w:val="center"/>
          </w:tcPr>
          <w:p w14:paraId="720AB7E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089" w:type="dxa"/>
            <w:tcBorders>
              <w:top w:val="single" w:color="auto" w:sz="4" w:space="0"/>
              <w:left w:val="single" w:color="auto" w:sz="4" w:space="0"/>
              <w:bottom w:val="single" w:color="auto" w:sz="4" w:space="0"/>
              <w:right w:val="single" w:color="auto" w:sz="4" w:space="0"/>
            </w:tcBorders>
            <w:vAlign w:val="center"/>
          </w:tcPr>
          <w:p w14:paraId="3702819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909" w:type="dxa"/>
            <w:tcBorders>
              <w:top w:val="single" w:color="auto" w:sz="4" w:space="0"/>
              <w:left w:val="single" w:color="auto" w:sz="4" w:space="0"/>
              <w:bottom w:val="single" w:color="auto" w:sz="4" w:space="0"/>
              <w:right w:val="single" w:color="auto" w:sz="4" w:space="0"/>
            </w:tcBorders>
            <w:vAlign w:val="center"/>
          </w:tcPr>
          <w:p w14:paraId="24A29E7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995" w:type="dxa"/>
            <w:tcBorders>
              <w:top w:val="single" w:color="auto" w:sz="4" w:space="0"/>
              <w:left w:val="single" w:color="auto" w:sz="4" w:space="0"/>
              <w:bottom w:val="single" w:color="auto" w:sz="4" w:space="0"/>
              <w:right w:val="single" w:color="auto" w:sz="4" w:space="0"/>
            </w:tcBorders>
            <w:vAlign w:val="center"/>
          </w:tcPr>
          <w:p w14:paraId="11984CF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909" w:type="dxa"/>
            <w:tcBorders>
              <w:top w:val="single" w:color="auto" w:sz="4" w:space="0"/>
              <w:left w:val="single" w:color="auto" w:sz="4" w:space="0"/>
              <w:bottom w:val="single" w:color="auto" w:sz="4" w:space="0"/>
              <w:right w:val="single" w:color="auto" w:sz="4" w:space="0"/>
            </w:tcBorders>
            <w:vAlign w:val="center"/>
          </w:tcPr>
          <w:p w14:paraId="2C01A168">
            <w:pPr>
              <w:widowControl/>
              <w:tabs>
                <w:tab w:val="center" w:pos="4755"/>
                <w:tab w:val="right" w:pos="9070"/>
              </w:tabs>
              <w:autoSpaceDN w:val="0"/>
              <w:spacing w:before="100" w:beforeAutospacing="1" w:after="100" w:afterAutospacing="1"/>
              <w:ind w:firstLine="120" w:firstLine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1353" w:type="dxa"/>
            <w:tcBorders>
              <w:top w:val="single" w:color="auto" w:sz="4" w:space="0"/>
              <w:left w:val="single" w:color="auto" w:sz="4" w:space="0"/>
              <w:bottom w:val="single" w:color="auto" w:sz="4" w:space="0"/>
              <w:right w:val="single" w:color="auto" w:sz="4" w:space="0"/>
            </w:tcBorders>
            <w:vAlign w:val="center"/>
          </w:tcPr>
          <w:p w14:paraId="51537F0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(4）*(11）</w:t>
            </w:r>
          </w:p>
        </w:tc>
      </w:tr>
      <w:tr w14:paraId="213B4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724" w:type="dxa"/>
            <w:tcBorders>
              <w:top w:val="single" w:color="auto" w:sz="4" w:space="0"/>
              <w:left w:val="single" w:color="auto" w:sz="4" w:space="0"/>
              <w:bottom w:val="single" w:color="auto" w:sz="4" w:space="0"/>
              <w:right w:val="single" w:color="auto" w:sz="4" w:space="0"/>
            </w:tcBorders>
            <w:vAlign w:val="center"/>
          </w:tcPr>
          <w:p w14:paraId="728159A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34" w:type="dxa"/>
            <w:tcBorders>
              <w:top w:val="single" w:color="auto" w:sz="4" w:space="0"/>
              <w:left w:val="single" w:color="auto" w:sz="4" w:space="0"/>
              <w:bottom w:val="single" w:color="auto" w:sz="4" w:space="0"/>
              <w:right w:val="single" w:color="auto" w:sz="4" w:space="0"/>
            </w:tcBorders>
            <w:vAlign w:val="center"/>
          </w:tcPr>
          <w:p w14:paraId="442B898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（清单编码）</w:t>
            </w:r>
          </w:p>
        </w:tc>
        <w:tc>
          <w:tcPr>
            <w:tcW w:w="1634" w:type="dxa"/>
            <w:tcBorders>
              <w:top w:val="single" w:color="auto" w:sz="4" w:space="0"/>
              <w:left w:val="single" w:color="auto" w:sz="4" w:space="0"/>
              <w:bottom w:val="single" w:color="auto" w:sz="4" w:space="0"/>
              <w:right w:val="single" w:color="auto" w:sz="4" w:space="0"/>
            </w:tcBorders>
            <w:vAlign w:val="center"/>
          </w:tcPr>
          <w:p w14:paraId="1725321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(清单名称)</w:t>
            </w:r>
          </w:p>
        </w:tc>
        <w:tc>
          <w:tcPr>
            <w:tcW w:w="909" w:type="dxa"/>
            <w:tcBorders>
              <w:top w:val="single" w:color="auto" w:sz="4" w:space="0"/>
              <w:left w:val="single" w:color="auto" w:sz="4" w:space="0"/>
              <w:bottom w:val="single" w:color="auto" w:sz="4" w:space="0"/>
              <w:right w:val="single" w:color="auto" w:sz="4" w:space="0"/>
            </w:tcBorders>
          </w:tcPr>
          <w:p w14:paraId="3297121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04D962C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28FB280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0CAB4E5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10C2020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6789DE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752C35C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95" w:type="dxa"/>
            <w:tcBorders>
              <w:top w:val="single" w:color="auto" w:sz="4" w:space="0"/>
              <w:left w:val="single" w:color="auto" w:sz="4" w:space="0"/>
              <w:bottom w:val="single" w:color="auto" w:sz="4" w:space="0"/>
              <w:right w:val="single" w:color="auto" w:sz="4" w:space="0"/>
            </w:tcBorders>
          </w:tcPr>
          <w:p w14:paraId="3ECD98B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3F36073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53" w:type="dxa"/>
            <w:tcBorders>
              <w:top w:val="single" w:color="auto" w:sz="4" w:space="0"/>
              <w:left w:val="single" w:color="auto" w:sz="4" w:space="0"/>
              <w:bottom w:val="single" w:color="auto" w:sz="4" w:space="0"/>
              <w:right w:val="single" w:color="auto" w:sz="4" w:space="0"/>
            </w:tcBorders>
          </w:tcPr>
          <w:p w14:paraId="6EABE03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7D9B5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14:paraId="2F4095A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634" w:type="dxa"/>
            <w:tcBorders>
              <w:top w:val="single" w:color="auto" w:sz="4" w:space="0"/>
              <w:left w:val="single" w:color="auto" w:sz="4" w:space="0"/>
              <w:bottom w:val="single" w:color="auto" w:sz="4" w:space="0"/>
              <w:right w:val="single" w:color="auto" w:sz="4" w:space="0"/>
            </w:tcBorders>
            <w:vAlign w:val="center"/>
          </w:tcPr>
          <w:p w14:paraId="4988CA6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（定额编号）</w:t>
            </w:r>
          </w:p>
        </w:tc>
        <w:tc>
          <w:tcPr>
            <w:tcW w:w="1634" w:type="dxa"/>
            <w:tcBorders>
              <w:top w:val="single" w:color="auto" w:sz="4" w:space="0"/>
              <w:left w:val="single" w:color="auto" w:sz="4" w:space="0"/>
              <w:bottom w:val="single" w:color="auto" w:sz="4" w:space="0"/>
              <w:right w:val="single" w:color="auto" w:sz="4" w:space="0"/>
            </w:tcBorders>
            <w:vAlign w:val="center"/>
          </w:tcPr>
          <w:p w14:paraId="038294B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（定额名称）</w:t>
            </w:r>
          </w:p>
        </w:tc>
        <w:tc>
          <w:tcPr>
            <w:tcW w:w="909" w:type="dxa"/>
            <w:tcBorders>
              <w:top w:val="single" w:color="auto" w:sz="4" w:space="0"/>
              <w:left w:val="single" w:color="auto" w:sz="4" w:space="0"/>
              <w:bottom w:val="single" w:color="auto" w:sz="4" w:space="0"/>
              <w:right w:val="single" w:color="auto" w:sz="4" w:space="0"/>
            </w:tcBorders>
          </w:tcPr>
          <w:p w14:paraId="14533D0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6649F97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F3A1DC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18B0AFA5">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5E3F120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6A86EAC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75E6D35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95" w:type="dxa"/>
            <w:tcBorders>
              <w:top w:val="single" w:color="auto" w:sz="4" w:space="0"/>
              <w:left w:val="single" w:color="auto" w:sz="4" w:space="0"/>
              <w:bottom w:val="single" w:color="auto" w:sz="4" w:space="0"/>
              <w:right w:val="single" w:color="auto" w:sz="4" w:space="0"/>
            </w:tcBorders>
          </w:tcPr>
          <w:p w14:paraId="1B26E53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68DA366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53" w:type="dxa"/>
            <w:tcBorders>
              <w:top w:val="single" w:color="auto" w:sz="4" w:space="0"/>
              <w:left w:val="single" w:color="auto" w:sz="4" w:space="0"/>
              <w:bottom w:val="single" w:color="auto" w:sz="4" w:space="0"/>
              <w:right w:val="single" w:color="auto" w:sz="4" w:space="0"/>
            </w:tcBorders>
          </w:tcPr>
          <w:p w14:paraId="126E38D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04872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724" w:type="dxa"/>
            <w:tcBorders>
              <w:top w:val="single" w:color="auto" w:sz="4" w:space="0"/>
              <w:left w:val="single" w:color="auto" w:sz="4" w:space="0"/>
              <w:bottom w:val="single" w:color="auto" w:sz="4" w:space="0"/>
              <w:right w:val="single" w:color="auto" w:sz="4" w:space="0"/>
            </w:tcBorders>
            <w:vAlign w:val="center"/>
          </w:tcPr>
          <w:p w14:paraId="17D0895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634" w:type="dxa"/>
            <w:tcBorders>
              <w:top w:val="single" w:color="auto" w:sz="4" w:space="0"/>
              <w:left w:val="single" w:color="auto" w:sz="4" w:space="0"/>
              <w:bottom w:val="single" w:color="auto" w:sz="4" w:space="0"/>
              <w:right w:val="single" w:color="auto" w:sz="4" w:space="0"/>
            </w:tcBorders>
            <w:vAlign w:val="center"/>
          </w:tcPr>
          <w:p w14:paraId="32324B0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634" w:type="dxa"/>
            <w:tcBorders>
              <w:top w:val="single" w:color="auto" w:sz="4" w:space="0"/>
              <w:left w:val="single" w:color="auto" w:sz="4" w:space="0"/>
              <w:bottom w:val="single" w:color="auto" w:sz="4" w:space="0"/>
              <w:right w:val="single" w:color="auto" w:sz="4" w:space="0"/>
            </w:tcBorders>
            <w:vAlign w:val="center"/>
          </w:tcPr>
          <w:p w14:paraId="276C9948">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909" w:type="dxa"/>
            <w:tcBorders>
              <w:top w:val="single" w:color="auto" w:sz="4" w:space="0"/>
              <w:left w:val="single" w:color="auto" w:sz="4" w:space="0"/>
              <w:bottom w:val="single" w:color="auto" w:sz="4" w:space="0"/>
              <w:right w:val="single" w:color="auto" w:sz="4" w:space="0"/>
            </w:tcBorders>
          </w:tcPr>
          <w:p w14:paraId="56ED873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63E3FD3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FA1AA1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19D8F6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4775CDC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5DA7D2A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2316A7F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95" w:type="dxa"/>
            <w:tcBorders>
              <w:top w:val="single" w:color="auto" w:sz="4" w:space="0"/>
              <w:left w:val="single" w:color="auto" w:sz="4" w:space="0"/>
              <w:bottom w:val="single" w:color="auto" w:sz="4" w:space="0"/>
              <w:right w:val="single" w:color="auto" w:sz="4" w:space="0"/>
            </w:tcBorders>
          </w:tcPr>
          <w:p w14:paraId="3D2AD9E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6288BB8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53" w:type="dxa"/>
            <w:tcBorders>
              <w:top w:val="single" w:color="auto" w:sz="4" w:space="0"/>
              <w:left w:val="single" w:color="auto" w:sz="4" w:space="0"/>
              <w:bottom w:val="single" w:color="auto" w:sz="4" w:space="0"/>
              <w:right w:val="single" w:color="auto" w:sz="4" w:space="0"/>
            </w:tcBorders>
          </w:tcPr>
          <w:p w14:paraId="683094C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233F7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14:paraId="09A47DC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34" w:type="dxa"/>
            <w:tcBorders>
              <w:top w:val="single" w:color="auto" w:sz="4" w:space="0"/>
              <w:left w:val="single" w:color="auto" w:sz="4" w:space="0"/>
              <w:bottom w:val="single" w:color="auto" w:sz="4" w:space="0"/>
              <w:right w:val="single" w:color="auto" w:sz="4" w:space="0"/>
            </w:tcBorders>
            <w:vAlign w:val="center"/>
          </w:tcPr>
          <w:p w14:paraId="48CB3AA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（清单编码）</w:t>
            </w:r>
          </w:p>
        </w:tc>
        <w:tc>
          <w:tcPr>
            <w:tcW w:w="1634" w:type="dxa"/>
            <w:tcBorders>
              <w:top w:val="single" w:color="auto" w:sz="4" w:space="0"/>
              <w:left w:val="single" w:color="auto" w:sz="4" w:space="0"/>
              <w:bottom w:val="single" w:color="auto" w:sz="4" w:space="0"/>
              <w:right w:val="single" w:color="auto" w:sz="4" w:space="0"/>
            </w:tcBorders>
            <w:vAlign w:val="center"/>
          </w:tcPr>
          <w:p w14:paraId="19D16DB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(清单名称)</w:t>
            </w:r>
          </w:p>
        </w:tc>
        <w:tc>
          <w:tcPr>
            <w:tcW w:w="909" w:type="dxa"/>
            <w:tcBorders>
              <w:top w:val="single" w:color="auto" w:sz="4" w:space="0"/>
              <w:left w:val="single" w:color="auto" w:sz="4" w:space="0"/>
              <w:bottom w:val="single" w:color="auto" w:sz="4" w:space="0"/>
              <w:right w:val="single" w:color="auto" w:sz="4" w:space="0"/>
            </w:tcBorders>
          </w:tcPr>
          <w:p w14:paraId="1025876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19F6453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4E8A3B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240FEBB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7E1579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5430B6A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1534027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95" w:type="dxa"/>
            <w:tcBorders>
              <w:top w:val="single" w:color="auto" w:sz="4" w:space="0"/>
              <w:left w:val="single" w:color="auto" w:sz="4" w:space="0"/>
              <w:bottom w:val="single" w:color="auto" w:sz="4" w:space="0"/>
              <w:right w:val="single" w:color="auto" w:sz="4" w:space="0"/>
            </w:tcBorders>
          </w:tcPr>
          <w:p w14:paraId="224C4D4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45D9AE2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53" w:type="dxa"/>
            <w:tcBorders>
              <w:top w:val="single" w:color="auto" w:sz="4" w:space="0"/>
              <w:left w:val="single" w:color="auto" w:sz="4" w:space="0"/>
              <w:bottom w:val="single" w:color="auto" w:sz="4" w:space="0"/>
              <w:right w:val="single" w:color="auto" w:sz="4" w:space="0"/>
            </w:tcBorders>
          </w:tcPr>
          <w:p w14:paraId="0EFFA35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44ACC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14:paraId="03FED87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634" w:type="dxa"/>
            <w:tcBorders>
              <w:top w:val="single" w:color="auto" w:sz="4" w:space="0"/>
              <w:left w:val="single" w:color="auto" w:sz="4" w:space="0"/>
              <w:bottom w:val="single" w:color="auto" w:sz="4" w:space="0"/>
              <w:right w:val="single" w:color="auto" w:sz="4" w:space="0"/>
            </w:tcBorders>
            <w:vAlign w:val="center"/>
          </w:tcPr>
          <w:p w14:paraId="403C60F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（定额编号）</w:t>
            </w:r>
          </w:p>
        </w:tc>
        <w:tc>
          <w:tcPr>
            <w:tcW w:w="1634" w:type="dxa"/>
            <w:tcBorders>
              <w:top w:val="single" w:color="auto" w:sz="4" w:space="0"/>
              <w:left w:val="single" w:color="auto" w:sz="4" w:space="0"/>
              <w:bottom w:val="single" w:color="auto" w:sz="4" w:space="0"/>
              <w:right w:val="single" w:color="auto" w:sz="4" w:space="0"/>
            </w:tcBorders>
            <w:vAlign w:val="center"/>
          </w:tcPr>
          <w:p w14:paraId="79902C83">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（定额名称）</w:t>
            </w:r>
          </w:p>
        </w:tc>
        <w:tc>
          <w:tcPr>
            <w:tcW w:w="909" w:type="dxa"/>
            <w:tcBorders>
              <w:top w:val="single" w:color="auto" w:sz="4" w:space="0"/>
              <w:left w:val="single" w:color="auto" w:sz="4" w:space="0"/>
              <w:bottom w:val="single" w:color="auto" w:sz="4" w:space="0"/>
              <w:right w:val="single" w:color="auto" w:sz="4" w:space="0"/>
            </w:tcBorders>
          </w:tcPr>
          <w:p w14:paraId="3B85261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107370A2">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32E9217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05478A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39E475DA">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867B90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2A5CEA5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95" w:type="dxa"/>
            <w:tcBorders>
              <w:top w:val="single" w:color="auto" w:sz="4" w:space="0"/>
              <w:left w:val="single" w:color="auto" w:sz="4" w:space="0"/>
              <w:bottom w:val="single" w:color="auto" w:sz="4" w:space="0"/>
              <w:right w:val="single" w:color="auto" w:sz="4" w:space="0"/>
            </w:tcBorders>
          </w:tcPr>
          <w:p w14:paraId="1901F27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71D984D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53" w:type="dxa"/>
            <w:tcBorders>
              <w:top w:val="single" w:color="auto" w:sz="4" w:space="0"/>
              <w:left w:val="single" w:color="auto" w:sz="4" w:space="0"/>
              <w:bottom w:val="single" w:color="auto" w:sz="4" w:space="0"/>
              <w:right w:val="single" w:color="auto" w:sz="4" w:space="0"/>
            </w:tcBorders>
          </w:tcPr>
          <w:p w14:paraId="6F90346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4E2D0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4" w:type="dxa"/>
            <w:tcBorders>
              <w:top w:val="single" w:color="auto" w:sz="4" w:space="0"/>
              <w:left w:val="single" w:color="auto" w:sz="4" w:space="0"/>
              <w:bottom w:val="single" w:color="auto" w:sz="4" w:space="0"/>
              <w:right w:val="single" w:color="auto" w:sz="4" w:space="0"/>
            </w:tcBorders>
            <w:vAlign w:val="center"/>
          </w:tcPr>
          <w:p w14:paraId="00BE90C4">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634" w:type="dxa"/>
            <w:tcBorders>
              <w:top w:val="single" w:color="auto" w:sz="4" w:space="0"/>
              <w:left w:val="single" w:color="auto" w:sz="4" w:space="0"/>
              <w:bottom w:val="single" w:color="auto" w:sz="4" w:space="0"/>
              <w:right w:val="single" w:color="auto" w:sz="4" w:space="0"/>
            </w:tcBorders>
            <w:vAlign w:val="center"/>
          </w:tcPr>
          <w:p w14:paraId="468B823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634" w:type="dxa"/>
            <w:tcBorders>
              <w:top w:val="single" w:color="auto" w:sz="4" w:space="0"/>
              <w:left w:val="single" w:color="auto" w:sz="4" w:space="0"/>
              <w:bottom w:val="single" w:color="auto" w:sz="4" w:space="0"/>
              <w:right w:val="single" w:color="auto" w:sz="4" w:space="0"/>
            </w:tcBorders>
            <w:vAlign w:val="center"/>
          </w:tcPr>
          <w:p w14:paraId="21945B9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909" w:type="dxa"/>
            <w:tcBorders>
              <w:top w:val="single" w:color="auto" w:sz="4" w:space="0"/>
              <w:left w:val="single" w:color="auto" w:sz="4" w:space="0"/>
              <w:bottom w:val="single" w:color="auto" w:sz="4" w:space="0"/>
              <w:right w:val="single" w:color="auto" w:sz="4" w:space="0"/>
            </w:tcBorders>
          </w:tcPr>
          <w:p w14:paraId="1C49EE11">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2578189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141528F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6701B92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0C28EC69">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1B3A41E">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7E26830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95" w:type="dxa"/>
            <w:tcBorders>
              <w:top w:val="single" w:color="auto" w:sz="4" w:space="0"/>
              <w:left w:val="single" w:color="auto" w:sz="4" w:space="0"/>
              <w:bottom w:val="single" w:color="auto" w:sz="4" w:space="0"/>
              <w:right w:val="single" w:color="auto" w:sz="4" w:space="0"/>
            </w:tcBorders>
          </w:tcPr>
          <w:p w14:paraId="5E352AD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909" w:type="dxa"/>
            <w:tcBorders>
              <w:top w:val="single" w:color="auto" w:sz="4" w:space="0"/>
              <w:left w:val="single" w:color="auto" w:sz="4" w:space="0"/>
              <w:bottom w:val="single" w:color="auto" w:sz="4" w:space="0"/>
              <w:right w:val="single" w:color="auto" w:sz="4" w:space="0"/>
            </w:tcBorders>
          </w:tcPr>
          <w:p w14:paraId="61CFE44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c>
          <w:tcPr>
            <w:tcW w:w="1353" w:type="dxa"/>
            <w:tcBorders>
              <w:top w:val="single" w:color="auto" w:sz="4" w:space="0"/>
              <w:left w:val="single" w:color="auto" w:sz="4" w:space="0"/>
              <w:bottom w:val="single" w:color="auto" w:sz="4" w:space="0"/>
              <w:right w:val="single" w:color="auto" w:sz="4" w:space="0"/>
            </w:tcBorders>
          </w:tcPr>
          <w:p w14:paraId="7E07A956">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p>
        </w:tc>
      </w:tr>
      <w:tr w14:paraId="733E7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2979" w:type="dxa"/>
            <w:gridSpan w:val="12"/>
            <w:tcBorders>
              <w:top w:val="single" w:color="auto" w:sz="4" w:space="0"/>
              <w:left w:val="single" w:color="auto" w:sz="4" w:space="0"/>
              <w:bottom w:val="single" w:color="auto" w:sz="4" w:space="0"/>
              <w:right w:val="single" w:color="auto" w:sz="4" w:space="0"/>
            </w:tcBorders>
            <w:vAlign w:val="center"/>
          </w:tcPr>
          <w:p w14:paraId="7637964C">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  计</w:t>
            </w:r>
          </w:p>
        </w:tc>
        <w:tc>
          <w:tcPr>
            <w:tcW w:w="1353" w:type="dxa"/>
            <w:tcBorders>
              <w:top w:val="single" w:color="auto" w:sz="4" w:space="0"/>
              <w:left w:val="single" w:color="auto" w:sz="4" w:space="0"/>
              <w:bottom w:val="single" w:color="auto" w:sz="4" w:space="0"/>
              <w:right w:val="single" w:color="auto" w:sz="4" w:space="0"/>
            </w:tcBorders>
          </w:tcPr>
          <w:p w14:paraId="44E2AD09">
            <w:pPr>
              <w:widowControl/>
              <w:tabs>
                <w:tab w:val="center" w:pos="4755"/>
                <w:tab w:val="right" w:pos="9070"/>
              </w:tabs>
              <w:autoSpaceDN w:val="0"/>
              <w:spacing w:before="100" w:beforeAutospacing="1" w:after="100" w:afterAutospacing="1"/>
              <w:rPr>
                <w:rFonts w:ascii="仿宋" w:hAnsi="仿宋" w:eastAsia="仿宋" w:cs="仿宋"/>
                <w:color w:val="auto"/>
                <w:sz w:val="24"/>
                <w:szCs w:val="24"/>
                <w:highlight w:val="none"/>
              </w:rPr>
            </w:pPr>
          </w:p>
        </w:tc>
      </w:tr>
    </w:tbl>
    <w:p w14:paraId="2AF6FBED">
      <w:pPr>
        <w:keepNext/>
        <w:keepLines/>
        <w:autoSpaceDN w:val="0"/>
        <w:spacing w:before="280" w:after="290" w:line="374" w:lineRule="auto"/>
        <w:jc w:val="center"/>
        <w:outlineLvl w:val="3"/>
        <w:rPr>
          <w:rFonts w:ascii="仿宋" w:hAnsi="仿宋" w:eastAsia="仿宋" w:cs="Times New Roman"/>
          <w:bCs/>
          <w:color w:val="auto"/>
          <w:kern w:val="0"/>
          <w:sz w:val="22"/>
          <w:highlight w:val="none"/>
        </w:rPr>
      </w:pPr>
      <w:r>
        <w:rPr>
          <w:rFonts w:hint="eastAsia" w:ascii="仿宋" w:hAnsi="仿宋" w:eastAsia="仿宋" w:cs="仿宋"/>
          <w:color w:val="auto"/>
          <w:kern w:val="0"/>
          <w:sz w:val="24"/>
          <w:szCs w:val="24"/>
          <w:highlight w:val="none"/>
        </w:rPr>
        <w:t>注：表（1）～（4）栏中的清单编号、清单名称、清单计量单位和数量由采购人按需要提出。</w:t>
      </w:r>
      <w:r>
        <w:rPr>
          <w:rFonts w:hint="eastAsia" w:ascii="仿宋" w:hAnsi="仿宋" w:eastAsia="仿宋" w:cs="仿宋"/>
          <w:b/>
          <w:bCs/>
          <w:color w:val="auto"/>
          <w:kern w:val="0"/>
          <w:sz w:val="24"/>
          <w:szCs w:val="24"/>
          <w:highlight w:val="none"/>
        </w:rPr>
        <w:br w:type="page"/>
      </w:r>
      <w:r>
        <w:rPr>
          <w:rFonts w:hint="eastAsia" w:ascii="仿宋" w:hAnsi="仿宋" w:eastAsia="仿宋" w:cs="Times New Roman"/>
          <w:b/>
          <w:bCs/>
          <w:color w:val="auto"/>
          <w:kern w:val="0"/>
          <w:sz w:val="28"/>
          <w:szCs w:val="28"/>
          <w:highlight w:val="none"/>
        </w:rPr>
        <w:t>表2-2  措施项目清单分析表</w:t>
      </w:r>
    </w:p>
    <w:p w14:paraId="3293837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6A02B6B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单位项目名称：                                                                    第 页共 页</w:t>
      </w:r>
    </w:p>
    <w:tbl>
      <w:tblPr>
        <w:tblStyle w:val="61"/>
        <w:tblW w:w="0" w:type="auto"/>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24"/>
        <w:gridCol w:w="1634"/>
        <w:gridCol w:w="1634"/>
        <w:gridCol w:w="857"/>
        <w:gridCol w:w="857"/>
        <w:gridCol w:w="1190"/>
        <w:gridCol w:w="1124"/>
        <w:gridCol w:w="1238"/>
        <w:gridCol w:w="1172"/>
        <w:gridCol w:w="820"/>
        <w:gridCol w:w="972"/>
        <w:gridCol w:w="843"/>
        <w:gridCol w:w="1267"/>
      </w:tblGrid>
      <w:tr w14:paraId="39F6B05E">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724" w:type="dxa"/>
            <w:vMerge w:val="restart"/>
            <w:tcBorders>
              <w:top w:val="single" w:color="auto" w:sz="8" w:space="0"/>
              <w:left w:val="single" w:color="auto" w:sz="8" w:space="0"/>
              <w:bottom w:val="single" w:color="auto" w:sz="6" w:space="0"/>
              <w:right w:val="single" w:color="auto" w:sz="6" w:space="0"/>
            </w:tcBorders>
            <w:vAlign w:val="center"/>
          </w:tcPr>
          <w:p w14:paraId="6D67C621">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634" w:type="dxa"/>
            <w:vMerge w:val="restart"/>
            <w:tcBorders>
              <w:top w:val="single" w:color="auto" w:sz="8" w:space="0"/>
              <w:left w:val="single" w:color="auto" w:sz="6" w:space="0"/>
              <w:bottom w:val="single" w:color="auto" w:sz="6" w:space="0"/>
              <w:right w:val="single" w:color="auto" w:sz="6" w:space="0"/>
            </w:tcBorders>
            <w:vAlign w:val="center"/>
          </w:tcPr>
          <w:p w14:paraId="4D33D07A">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编号</w:t>
            </w:r>
          </w:p>
        </w:tc>
        <w:tc>
          <w:tcPr>
            <w:tcW w:w="1634" w:type="dxa"/>
            <w:vMerge w:val="restart"/>
            <w:tcBorders>
              <w:top w:val="single" w:color="auto" w:sz="8" w:space="0"/>
              <w:left w:val="single" w:color="auto" w:sz="6" w:space="0"/>
              <w:bottom w:val="single" w:color="auto" w:sz="6" w:space="0"/>
              <w:right w:val="single" w:color="auto" w:sz="6" w:space="0"/>
            </w:tcBorders>
            <w:vAlign w:val="center"/>
          </w:tcPr>
          <w:p w14:paraId="25651588">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857" w:type="dxa"/>
            <w:vMerge w:val="restart"/>
            <w:tcBorders>
              <w:top w:val="single" w:color="auto" w:sz="8" w:space="0"/>
              <w:left w:val="single" w:color="auto" w:sz="6" w:space="0"/>
              <w:bottom w:val="single" w:color="auto" w:sz="6" w:space="0"/>
              <w:right w:val="single" w:color="auto" w:sz="6" w:space="0"/>
            </w:tcBorders>
            <w:vAlign w:val="center"/>
          </w:tcPr>
          <w:p w14:paraId="11DD6420">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计量</w:t>
            </w:r>
          </w:p>
          <w:p w14:paraId="19B5B385">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857" w:type="dxa"/>
            <w:vMerge w:val="restart"/>
            <w:tcBorders>
              <w:top w:val="single" w:color="auto" w:sz="8" w:space="0"/>
              <w:left w:val="single" w:color="auto" w:sz="6" w:space="0"/>
              <w:bottom w:val="single" w:color="auto" w:sz="6" w:space="0"/>
              <w:right w:val="single" w:color="auto" w:sz="6" w:space="0"/>
            </w:tcBorders>
            <w:vAlign w:val="center"/>
          </w:tcPr>
          <w:p w14:paraId="12EDB4A7">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7359" w:type="dxa"/>
            <w:gridSpan w:val="7"/>
            <w:tcBorders>
              <w:top w:val="single" w:color="auto" w:sz="8" w:space="0"/>
              <w:left w:val="single" w:color="auto" w:sz="6" w:space="0"/>
              <w:bottom w:val="single" w:color="auto" w:sz="6" w:space="0"/>
              <w:right w:val="single" w:color="auto" w:sz="4" w:space="0"/>
            </w:tcBorders>
            <w:vAlign w:val="center"/>
          </w:tcPr>
          <w:p w14:paraId="01F2305F">
            <w:pPr>
              <w:tabs>
                <w:tab w:val="left" w:pos="3780"/>
              </w:tabs>
              <w:autoSpaceDN w:val="0"/>
              <w:ind w:firstLine="36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综 合 单 价（元）</w:t>
            </w:r>
          </w:p>
        </w:tc>
        <w:tc>
          <w:tcPr>
            <w:tcW w:w="1267" w:type="dxa"/>
            <w:vMerge w:val="restart"/>
            <w:tcBorders>
              <w:top w:val="single" w:color="auto" w:sz="8" w:space="0"/>
              <w:left w:val="single" w:color="auto" w:sz="4" w:space="0"/>
              <w:bottom w:val="single" w:color="auto" w:sz="6" w:space="0"/>
              <w:right w:val="single" w:color="auto" w:sz="8" w:space="0"/>
            </w:tcBorders>
            <w:vAlign w:val="center"/>
          </w:tcPr>
          <w:p w14:paraId="3EC690DA">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p w14:paraId="71B88457">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r>
      <w:tr w14:paraId="033A55D5">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90" w:hRule="atLeast"/>
        </w:trPr>
        <w:tc>
          <w:tcPr>
            <w:tcW w:w="300" w:type="dxa"/>
            <w:vMerge w:val="continue"/>
            <w:tcBorders>
              <w:top w:val="single" w:color="auto" w:sz="8" w:space="0"/>
              <w:left w:val="single" w:color="auto" w:sz="8" w:space="0"/>
              <w:bottom w:val="single" w:color="auto" w:sz="6" w:space="0"/>
              <w:right w:val="single" w:color="auto" w:sz="6" w:space="0"/>
            </w:tcBorders>
            <w:vAlign w:val="center"/>
          </w:tcPr>
          <w:p w14:paraId="3662511A">
            <w:pPr>
              <w:widowControl/>
              <w:jc w:val="left"/>
              <w:rPr>
                <w:rFonts w:ascii="仿宋" w:hAnsi="仿宋" w:eastAsia="仿宋" w:cs="仿宋"/>
                <w:color w:val="auto"/>
                <w:sz w:val="24"/>
                <w:szCs w:val="24"/>
                <w:highlight w:val="none"/>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14:paraId="5F47CDA4">
            <w:pPr>
              <w:widowControl/>
              <w:jc w:val="left"/>
              <w:rPr>
                <w:rFonts w:ascii="仿宋" w:hAnsi="仿宋" w:eastAsia="仿宋" w:cs="仿宋"/>
                <w:color w:val="auto"/>
                <w:sz w:val="24"/>
                <w:szCs w:val="24"/>
                <w:highlight w:val="none"/>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14:paraId="69A579EC">
            <w:pPr>
              <w:widowControl/>
              <w:jc w:val="left"/>
              <w:rPr>
                <w:rFonts w:ascii="仿宋" w:hAnsi="仿宋" w:eastAsia="仿宋" w:cs="仿宋"/>
                <w:color w:val="auto"/>
                <w:sz w:val="24"/>
                <w:szCs w:val="24"/>
                <w:highlight w:val="none"/>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14:paraId="4C93FE70">
            <w:pPr>
              <w:widowControl/>
              <w:jc w:val="left"/>
              <w:rPr>
                <w:rFonts w:ascii="仿宋" w:hAnsi="仿宋" w:eastAsia="仿宋" w:cs="仿宋"/>
                <w:color w:val="auto"/>
                <w:sz w:val="24"/>
                <w:szCs w:val="24"/>
                <w:highlight w:val="none"/>
              </w:rPr>
            </w:pPr>
          </w:p>
        </w:tc>
        <w:tc>
          <w:tcPr>
            <w:tcW w:w="300" w:type="dxa"/>
            <w:vMerge w:val="continue"/>
            <w:tcBorders>
              <w:top w:val="single" w:color="auto" w:sz="8" w:space="0"/>
              <w:left w:val="single" w:color="auto" w:sz="6" w:space="0"/>
              <w:bottom w:val="single" w:color="auto" w:sz="6" w:space="0"/>
              <w:right w:val="single" w:color="auto" w:sz="6" w:space="0"/>
            </w:tcBorders>
            <w:vAlign w:val="center"/>
          </w:tcPr>
          <w:p w14:paraId="0197F4F3">
            <w:pPr>
              <w:widowControl/>
              <w:jc w:val="left"/>
              <w:rPr>
                <w:rFonts w:ascii="仿宋" w:hAnsi="仿宋" w:eastAsia="仿宋" w:cs="仿宋"/>
                <w:color w:val="auto"/>
                <w:sz w:val="24"/>
                <w:szCs w:val="24"/>
                <w:highlight w:val="none"/>
              </w:rPr>
            </w:pPr>
          </w:p>
        </w:tc>
        <w:tc>
          <w:tcPr>
            <w:tcW w:w="1190" w:type="dxa"/>
            <w:tcBorders>
              <w:top w:val="single" w:color="auto" w:sz="6" w:space="0"/>
              <w:left w:val="single" w:color="auto" w:sz="6" w:space="0"/>
              <w:bottom w:val="single" w:color="auto" w:sz="6" w:space="0"/>
              <w:right w:val="single" w:color="auto" w:sz="6" w:space="0"/>
            </w:tcBorders>
            <w:vAlign w:val="center"/>
          </w:tcPr>
          <w:p w14:paraId="42FD2564">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人工费</w:t>
            </w:r>
          </w:p>
        </w:tc>
        <w:tc>
          <w:tcPr>
            <w:tcW w:w="1124" w:type="dxa"/>
            <w:tcBorders>
              <w:top w:val="single" w:color="auto" w:sz="6" w:space="0"/>
              <w:left w:val="single" w:color="auto" w:sz="6" w:space="0"/>
              <w:bottom w:val="single" w:color="auto" w:sz="6" w:space="0"/>
              <w:right w:val="single" w:color="auto" w:sz="6" w:space="0"/>
            </w:tcBorders>
            <w:vAlign w:val="center"/>
          </w:tcPr>
          <w:p w14:paraId="0DE1B3C7">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材料费</w:t>
            </w:r>
          </w:p>
        </w:tc>
        <w:tc>
          <w:tcPr>
            <w:tcW w:w="1238" w:type="dxa"/>
            <w:tcBorders>
              <w:top w:val="single" w:color="auto" w:sz="6" w:space="0"/>
              <w:left w:val="single" w:color="auto" w:sz="6" w:space="0"/>
              <w:bottom w:val="single" w:color="auto" w:sz="6" w:space="0"/>
              <w:right w:val="single" w:color="auto" w:sz="6" w:space="0"/>
            </w:tcBorders>
            <w:vAlign w:val="center"/>
          </w:tcPr>
          <w:p w14:paraId="1537B50F">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机械费</w:t>
            </w:r>
          </w:p>
        </w:tc>
        <w:tc>
          <w:tcPr>
            <w:tcW w:w="1172" w:type="dxa"/>
            <w:tcBorders>
              <w:top w:val="single" w:color="auto" w:sz="6" w:space="0"/>
              <w:left w:val="single" w:color="auto" w:sz="6" w:space="0"/>
              <w:bottom w:val="single" w:color="auto" w:sz="6" w:space="0"/>
              <w:right w:val="single" w:color="auto" w:sz="6" w:space="0"/>
            </w:tcBorders>
            <w:vAlign w:val="center"/>
          </w:tcPr>
          <w:p w14:paraId="0EBBC032">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管理费</w:t>
            </w:r>
          </w:p>
        </w:tc>
        <w:tc>
          <w:tcPr>
            <w:tcW w:w="820" w:type="dxa"/>
            <w:tcBorders>
              <w:top w:val="single" w:color="auto" w:sz="6" w:space="0"/>
              <w:left w:val="single" w:color="auto" w:sz="6" w:space="0"/>
              <w:bottom w:val="single" w:color="auto" w:sz="6" w:space="0"/>
              <w:right w:val="single" w:color="auto" w:sz="6" w:space="0"/>
            </w:tcBorders>
            <w:vAlign w:val="center"/>
          </w:tcPr>
          <w:p w14:paraId="3AD81151">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利润</w:t>
            </w:r>
          </w:p>
        </w:tc>
        <w:tc>
          <w:tcPr>
            <w:tcW w:w="972" w:type="dxa"/>
            <w:tcBorders>
              <w:top w:val="single" w:color="auto" w:sz="6" w:space="0"/>
              <w:left w:val="single" w:color="auto" w:sz="6" w:space="0"/>
              <w:bottom w:val="single" w:color="auto" w:sz="6" w:space="0"/>
              <w:right w:val="single" w:color="auto" w:sz="6" w:space="0"/>
            </w:tcBorders>
            <w:vAlign w:val="center"/>
          </w:tcPr>
          <w:p w14:paraId="7B9E1F9E">
            <w:pPr>
              <w:tabs>
                <w:tab w:val="left" w:pos="3780"/>
              </w:tabs>
              <w:autoSpaceDN w:val="0"/>
              <w:spacing w:line="2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风险</w:t>
            </w:r>
          </w:p>
          <w:p w14:paraId="2F1591F2">
            <w:pPr>
              <w:tabs>
                <w:tab w:val="left" w:pos="3780"/>
              </w:tabs>
              <w:autoSpaceDN w:val="0"/>
              <w:spacing w:line="2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费用</w:t>
            </w:r>
          </w:p>
        </w:tc>
        <w:tc>
          <w:tcPr>
            <w:tcW w:w="843" w:type="dxa"/>
            <w:tcBorders>
              <w:top w:val="single" w:color="auto" w:sz="6" w:space="0"/>
              <w:left w:val="single" w:color="auto" w:sz="6" w:space="0"/>
              <w:bottom w:val="single" w:color="auto" w:sz="6" w:space="0"/>
              <w:right w:val="single" w:color="auto" w:sz="4" w:space="0"/>
            </w:tcBorders>
            <w:vAlign w:val="center"/>
          </w:tcPr>
          <w:p w14:paraId="4AD09D07">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小计</w:t>
            </w:r>
          </w:p>
        </w:tc>
        <w:tc>
          <w:tcPr>
            <w:tcW w:w="1567" w:type="dxa"/>
            <w:vMerge w:val="continue"/>
            <w:tcBorders>
              <w:top w:val="single" w:color="auto" w:sz="8" w:space="0"/>
              <w:left w:val="single" w:color="auto" w:sz="4" w:space="0"/>
              <w:bottom w:val="single" w:color="auto" w:sz="6" w:space="0"/>
              <w:right w:val="single" w:color="auto" w:sz="8" w:space="0"/>
            </w:tcBorders>
            <w:vAlign w:val="center"/>
          </w:tcPr>
          <w:p w14:paraId="1125CFC1">
            <w:pPr>
              <w:widowControl/>
              <w:jc w:val="left"/>
              <w:rPr>
                <w:rFonts w:ascii="仿宋" w:hAnsi="仿宋" w:eastAsia="仿宋" w:cs="仿宋"/>
                <w:color w:val="auto"/>
                <w:sz w:val="24"/>
                <w:szCs w:val="24"/>
                <w:highlight w:val="none"/>
              </w:rPr>
            </w:pPr>
          </w:p>
        </w:tc>
      </w:tr>
      <w:tr w14:paraId="67D85FB5">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724" w:type="dxa"/>
            <w:tcBorders>
              <w:top w:val="single" w:color="auto" w:sz="6" w:space="0"/>
              <w:left w:val="single" w:color="auto" w:sz="8" w:space="0"/>
              <w:bottom w:val="single" w:color="auto" w:sz="6" w:space="0"/>
              <w:right w:val="single" w:color="auto" w:sz="6" w:space="0"/>
            </w:tcBorders>
            <w:vAlign w:val="center"/>
          </w:tcPr>
          <w:p w14:paraId="72D407B3">
            <w:pPr>
              <w:tabs>
                <w:tab w:val="left" w:pos="3780"/>
              </w:tabs>
              <w:autoSpaceDN w:val="0"/>
              <w:ind w:firstLine="360"/>
              <w:jc w:val="center"/>
              <w:rPr>
                <w:rFonts w:ascii="仿宋" w:hAnsi="仿宋" w:eastAsia="仿宋" w:cs="仿宋"/>
                <w:color w:val="auto"/>
                <w:sz w:val="24"/>
                <w:szCs w:val="24"/>
                <w:highlight w:val="none"/>
              </w:rPr>
            </w:pPr>
          </w:p>
        </w:tc>
        <w:tc>
          <w:tcPr>
            <w:tcW w:w="1634" w:type="dxa"/>
            <w:tcBorders>
              <w:top w:val="single" w:color="auto" w:sz="6" w:space="0"/>
              <w:left w:val="single" w:color="auto" w:sz="6" w:space="0"/>
              <w:bottom w:val="single" w:color="auto" w:sz="6" w:space="0"/>
              <w:right w:val="single" w:color="auto" w:sz="6" w:space="0"/>
            </w:tcBorders>
            <w:vAlign w:val="center"/>
          </w:tcPr>
          <w:p w14:paraId="68CC7F16">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34" w:type="dxa"/>
            <w:tcBorders>
              <w:top w:val="single" w:color="auto" w:sz="6" w:space="0"/>
              <w:left w:val="single" w:color="auto" w:sz="6" w:space="0"/>
              <w:bottom w:val="single" w:color="auto" w:sz="6" w:space="0"/>
              <w:right w:val="single" w:color="auto" w:sz="6" w:space="0"/>
            </w:tcBorders>
            <w:vAlign w:val="center"/>
          </w:tcPr>
          <w:p w14:paraId="333DDD94">
            <w:pPr>
              <w:tabs>
                <w:tab w:val="left" w:pos="378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57" w:type="dxa"/>
            <w:tcBorders>
              <w:top w:val="single" w:color="auto" w:sz="6" w:space="0"/>
              <w:left w:val="single" w:color="auto" w:sz="6" w:space="0"/>
              <w:bottom w:val="single" w:color="auto" w:sz="6" w:space="0"/>
              <w:right w:val="single" w:color="auto" w:sz="6" w:space="0"/>
            </w:tcBorders>
            <w:vAlign w:val="center"/>
          </w:tcPr>
          <w:p w14:paraId="6EE27B97">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57" w:type="dxa"/>
            <w:tcBorders>
              <w:top w:val="single" w:color="auto" w:sz="6" w:space="0"/>
              <w:left w:val="single" w:color="auto" w:sz="6" w:space="0"/>
              <w:bottom w:val="single" w:color="auto" w:sz="6" w:space="0"/>
              <w:right w:val="single" w:color="auto" w:sz="6" w:space="0"/>
            </w:tcBorders>
            <w:vAlign w:val="center"/>
          </w:tcPr>
          <w:p w14:paraId="5DC282D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190" w:type="dxa"/>
            <w:tcBorders>
              <w:top w:val="single" w:color="auto" w:sz="6" w:space="0"/>
              <w:left w:val="single" w:color="auto" w:sz="6" w:space="0"/>
              <w:bottom w:val="single" w:color="auto" w:sz="6" w:space="0"/>
              <w:right w:val="single" w:color="auto" w:sz="6" w:space="0"/>
            </w:tcBorders>
            <w:vAlign w:val="center"/>
          </w:tcPr>
          <w:p w14:paraId="303C01B0">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124" w:type="dxa"/>
            <w:tcBorders>
              <w:top w:val="single" w:color="auto" w:sz="6" w:space="0"/>
              <w:left w:val="single" w:color="auto" w:sz="6" w:space="0"/>
              <w:bottom w:val="single" w:color="auto" w:sz="6" w:space="0"/>
              <w:right w:val="single" w:color="auto" w:sz="6" w:space="0"/>
            </w:tcBorders>
            <w:vAlign w:val="center"/>
          </w:tcPr>
          <w:p w14:paraId="42E49BDB">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238" w:type="dxa"/>
            <w:tcBorders>
              <w:top w:val="single" w:color="auto" w:sz="6" w:space="0"/>
              <w:left w:val="single" w:color="auto" w:sz="6" w:space="0"/>
              <w:bottom w:val="single" w:color="auto" w:sz="6" w:space="0"/>
              <w:right w:val="single" w:color="auto" w:sz="6" w:space="0"/>
            </w:tcBorders>
            <w:vAlign w:val="center"/>
          </w:tcPr>
          <w:p w14:paraId="563DD393">
            <w:pPr>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172" w:type="dxa"/>
            <w:tcBorders>
              <w:top w:val="single" w:color="auto" w:sz="6" w:space="0"/>
              <w:left w:val="single" w:color="auto" w:sz="6" w:space="0"/>
              <w:bottom w:val="single" w:color="auto" w:sz="6" w:space="0"/>
              <w:right w:val="single" w:color="auto" w:sz="6" w:space="0"/>
            </w:tcBorders>
            <w:vAlign w:val="center"/>
          </w:tcPr>
          <w:p w14:paraId="381AEE5B">
            <w:pPr>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820" w:type="dxa"/>
            <w:tcBorders>
              <w:top w:val="single" w:color="auto" w:sz="6" w:space="0"/>
              <w:left w:val="single" w:color="auto" w:sz="6" w:space="0"/>
              <w:bottom w:val="single" w:color="auto" w:sz="6" w:space="0"/>
              <w:right w:val="single" w:color="auto" w:sz="6" w:space="0"/>
            </w:tcBorders>
            <w:vAlign w:val="center"/>
          </w:tcPr>
          <w:p w14:paraId="0EFAF097">
            <w:pPr>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972" w:type="dxa"/>
            <w:tcBorders>
              <w:top w:val="single" w:color="auto" w:sz="6" w:space="0"/>
              <w:left w:val="single" w:color="auto" w:sz="6" w:space="0"/>
              <w:bottom w:val="single" w:color="auto" w:sz="6" w:space="0"/>
              <w:right w:val="single" w:color="auto" w:sz="6" w:space="0"/>
            </w:tcBorders>
            <w:vAlign w:val="center"/>
          </w:tcPr>
          <w:p w14:paraId="20692E8D">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843" w:type="dxa"/>
            <w:tcBorders>
              <w:top w:val="single" w:color="auto" w:sz="6" w:space="0"/>
              <w:left w:val="single" w:color="auto" w:sz="6" w:space="0"/>
              <w:bottom w:val="single" w:color="auto" w:sz="6" w:space="0"/>
              <w:right w:val="single" w:color="auto" w:sz="4" w:space="0"/>
            </w:tcBorders>
            <w:vAlign w:val="center"/>
          </w:tcPr>
          <w:p w14:paraId="1935E314">
            <w:pPr>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1267" w:type="dxa"/>
            <w:tcBorders>
              <w:top w:val="single" w:color="auto" w:sz="6" w:space="0"/>
              <w:left w:val="single" w:color="auto" w:sz="4" w:space="0"/>
              <w:bottom w:val="single" w:color="auto" w:sz="6" w:space="0"/>
              <w:right w:val="single" w:color="auto" w:sz="8" w:space="0"/>
            </w:tcBorders>
            <w:vAlign w:val="center"/>
          </w:tcPr>
          <w:p w14:paraId="7124FE1F">
            <w:pPr>
              <w:widowControl/>
              <w:tabs>
                <w:tab w:val="center" w:pos="4755"/>
                <w:tab w:val="right" w:pos="9070"/>
              </w:tabs>
              <w:autoSpaceDN w:val="0"/>
              <w:spacing w:before="100" w:beforeAutospacing="1" w:after="100" w:afterAutospacing="1"/>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(4）*(11）</w:t>
            </w:r>
          </w:p>
        </w:tc>
      </w:tr>
      <w:tr w14:paraId="72DA6AD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724" w:type="dxa"/>
            <w:tcBorders>
              <w:top w:val="single" w:color="auto" w:sz="6" w:space="0"/>
              <w:left w:val="single" w:color="auto" w:sz="8" w:space="0"/>
              <w:bottom w:val="single" w:color="auto" w:sz="6" w:space="0"/>
              <w:right w:val="single" w:color="auto" w:sz="6" w:space="0"/>
            </w:tcBorders>
            <w:vAlign w:val="center"/>
          </w:tcPr>
          <w:p w14:paraId="5D7E72D6">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34" w:type="dxa"/>
            <w:tcBorders>
              <w:top w:val="single" w:color="auto" w:sz="6" w:space="0"/>
              <w:left w:val="single" w:color="auto" w:sz="6" w:space="0"/>
              <w:bottom w:val="single" w:color="auto" w:sz="6" w:space="0"/>
              <w:right w:val="single" w:color="auto" w:sz="6" w:space="0"/>
            </w:tcBorders>
            <w:vAlign w:val="center"/>
          </w:tcPr>
          <w:p w14:paraId="0CDFC05F">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（清单编码）</w:t>
            </w:r>
          </w:p>
        </w:tc>
        <w:tc>
          <w:tcPr>
            <w:tcW w:w="1634" w:type="dxa"/>
            <w:tcBorders>
              <w:top w:val="single" w:color="auto" w:sz="6" w:space="0"/>
              <w:left w:val="single" w:color="auto" w:sz="6" w:space="0"/>
              <w:bottom w:val="single" w:color="auto" w:sz="6" w:space="0"/>
              <w:right w:val="single" w:color="auto" w:sz="6" w:space="0"/>
            </w:tcBorders>
            <w:vAlign w:val="center"/>
          </w:tcPr>
          <w:p w14:paraId="6B8B4CB1">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（清单名称）</w:t>
            </w:r>
          </w:p>
        </w:tc>
        <w:tc>
          <w:tcPr>
            <w:tcW w:w="857" w:type="dxa"/>
            <w:tcBorders>
              <w:top w:val="single" w:color="auto" w:sz="6" w:space="0"/>
              <w:left w:val="single" w:color="auto" w:sz="6" w:space="0"/>
              <w:bottom w:val="single" w:color="auto" w:sz="6" w:space="0"/>
              <w:right w:val="single" w:color="auto" w:sz="6" w:space="0"/>
            </w:tcBorders>
            <w:vAlign w:val="center"/>
          </w:tcPr>
          <w:p w14:paraId="2C47A5EB">
            <w:pPr>
              <w:tabs>
                <w:tab w:val="left" w:pos="3780"/>
              </w:tabs>
              <w:autoSpaceDN w:val="0"/>
              <w:ind w:firstLine="360"/>
              <w:jc w:val="center"/>
              <w:rPr>
                <w:rFonts w:ascii="仿宋" w:hAnsi="仿宋" w:eastAsia="仿宋" w:cs="仿宋"/>
                <w:color w:val="auto"/>
                <w:sz w:val="24"/>
                <w:szCs w:val="24"/>
                <w:highlight w:val="none"/>
              </w:rPr>
            </w:pPr>
          </w:p>
        </w:tc>
        <w:tc>
          <w:tcPr>
            <w:tcW w:w="857" w:type="dxa"/>
            <w:tcBorders>
              <w:top w:val="single" w:color="auto" w:sz="6" w:space="0"/>
              <w:left w:val="single" w:color="auto" w:sz="6" w:space="0"/>
              <w:bottom w:val="single" w:color="auto" w:sz="6" w:space="0"/>
              <w:right w:val="single" w:color="auto" w:sz="6" w:space="0"/>
            </w:tcBorders>
            <w:vAlign w:val="center"/>
          </w:tcPr>
          <w:p w14:paraId="66751BCC">
            <w:pPr>
              <w:tabs>
                <w:tab w:val="left" w:pos="3780"/>
              </w:tabs>
              <w:autoSpaceDN w:val="0"/>
              <w:ind w:firstLine="360"/>
              <w:jc w:val="center"/>
              <w:rPr>
                <w:rFonts w:ascii="仿宋" w:hAnsi="仿宋" w:eastAsia="仿宋" w:cs="仿宋"/>
                <w:color w:val="auto"/>
                <w:sz w:val="24"/>
                <w:szCs w:val="24"/>
                <w:highlight w:val="none"/>
              </w:rPr>
            </w:pPr>
          </w:p>
        </w:tc>
        <w:tc>
          <w:tcPr>
            <w:tcW w:w="1190" w:type="dxa"/>
            <w:tcBorders>
              <w:top w:val="single" w:color="auto" w:sz="6" w:space="0"/>
              <w:left w:val="single" w:color="auto" w:sz="6" w:space="0"/>
              <w:bottom w:val="single" w:color="auto" w:sz="6" w:space="0"/>
              <w:right w:val="single" w:color="auto" w:sz="6" w:space="0"/>
            </w:tcBorders>
            <w:vAlign w:val="center"/>
          </w:tcPr>
          <w:p w14:paraId="082E6924">
            <w:pPr>
              <w:tabs>
                <w:tab w:val="left" w:pos="3780"/>
              </w:tabs>
              <w:autoSpaceDN w:val="0"/>
              <w:ind w:firstLine="360"/>
              <w:jc w:val="center"/>
              <w:rPr>
                <w:rFonts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vAlign w:val="center"/>
          </w:tcPr>
          <w:p w14:paraId="0EC52DED">
            <w:pPr>
              <w:tabs>
                <w:tab w:val="left" w:pos="3780"/>
              </w:tabs>
              <w:autoSpaceDN w:val="0"/>
              <w:ind w:firstLine="360"/>
              <w:jc w:val="center"/>
              <w:rPr>
                <w:rFonts w:ascii="仿宋" w:hAnsi="仿宋" w:eastAsia="仿宋" w:cs="仿宋"/>
                <w:color w:val="auto"/>
                <w:sz w:val="24"/>
                <w:szCs w:val="24"/>
                <w:highlight w:val="none"/>
              </w:rPr>
            </w:pPr>
          </w:p>
        </w:tc>
        <w:tc>
          <w:tcPr>
            <w:tcW w:w="1238" w:type="dxa"/>
            <w:tcBorders>
              <w:top w:val="single" w:color="auto" w:sz="6" w:space="0"/>
              <w:left w:val="single" w:color="auto" w:sz="6" w:space="0"/>
              <w:bottom w:val="single" w:color="auto" w:sz="6" w:space="0"/>
              <w:right w:val="single" w:color="auto" w:sz="6" w:space="0"/>
            </w:tcBorders>
            <w:vAlign w:val="center"/>
          </w:tcPr>
          <w:p w14:paraId="28B9F32E">
            <w:pPr>
              <w:tabs>
                <w:tab w:val="left" w:pos="3780"/>
              </w:tabs>
              <w:autoSpaceDN w:val="0"/>
              <w:ind w:firstLine="360"/>
              <w:jc w:val="center"/>
              <w:rPr>
                <w:rFonts w:ascii="仿宋" w:hAnsi="仿宋" w:eastAsia="仿宋" w:cs="仿宋"/>
                <w:color w:val="auto"/>
                <w:sz w:val="24"/>
                <w:szCs w:val="24"/>
                <w:highlight w:val="none"/>
              </w:rPr>
            </w:pPr>
          </w:p>
        </w:tc>
        <w:tc>
          <w:tcPr>
            <w:tcW w:w="1172" w:type="dxa"/>
            <w:tcBorders>
              <w:top w:val="single" w:color="auto" w:sz="6" w:space="0"/>
              <w:left w:val="single" w:color="auto" w:sz="6" w:space="0"/>
              <w:bottom w:val="single" w:color="auto" w:sz="6" w:space="0"/>
              <w:right w:val="single" w:color="auto" w:sz="6" w:space="0"/>
            </w:tcBorders>
            <w:vAlign w:val="center"/>
          </w:tcPr>
          <w:p w14:paraId="088A7A45">
            <w:pPr>
              <w:tabs>
                <w:tab w:val="left" w:pos="3780"/>
              </w:tabs>
              <w:autoSpaceDN w:val="0"/>
              <w:ind w:firstLine="360"/>
              <w:jc w:val="center"/>
              <w:rPr>
                <w:rFonts w:ascii="仿宋" w:hAnsi="仿宋" w:eastAsia="仿宋" w:cs="仿宋"/>
                <w:color w:val="auto"/>
                <w:sz w:val="24"/>
                <w:szCs w:val="24"/>
                <w:highlight w:val="none"/>
              </w:rPr>
            </w:pPr>
          </w:p>
        </w:tc>
        <w:tc>
          <w:tcPr>
            <w:tcW w:w="820" w:type="dxa"/>
            <w:tcBorders>
              <w:top w:val="single" w:color="auto" w:sz="6" w:space="0"/>
              <w:left w:val="single" w:color="auto" w:sz="6" w:space="0"/>
              <w:bottom w:val="single" w:color="auto" w:sz="6" w:space="0"/>
              <w:right w:val="single" w:color="auto" w:sz="6" w:space="0"/>
            </w:tcBorders>
            <w:vAlign w:val="center"/>
          </w:tcPr>
          <w:p w14:paraId="302E7E2B">
            <w:pPr>
              <w:tabs>
                <w:tab w:val="left" w:pos="3780"/>
              </w:tabs>
              <w:autoSpaceDN w:val="0"/>
              <w:ind w:firstLine="360"/>
              <w:jc w:val="center"/>
              <w:rPr>
                <w:rFonts w:ascii="仿宋" w:hAnsi="仿宋" w:eastAsia="仿宋" w:cs="仿宋"/>
                <w:color w:val="auto"/>
                <w:sz w:val="24"/>
                <w:szCs w:val="24"/>
                <w:highlight w:val="none"/>
              </w:rPr>
            </w:pPr>
          </w:p>
        </w:tc>
        <w:tc>
          <w:tcPr>
            <w:tcW w:w="972" w:type="dxa"/>
            <w:tcBorders>
              <w:top w:val="single" w:color="auto" w:sz="6" w:space="0"/>
              <w:left w:val="single" w:color="auto" w:sz="6" w:space="0"/>
              <w:bottom w:val="single" w:color="auto" w:sz="6" w:space="0"/>
              <w:right w:val="single" w:color="auto" w:sz="6" w:space="0"/>
            </w:tcBorders>
            <w:vAlign w:val="center"/>
          </w:tcPr>
          <w:p w14:paraId="1A42A3E3">
            <w:pPr>
              <w:tabs>
                <w:tab w:val="left" w:pos="3780"/>
              </w:tabs>
              <w:autoSpaceDN w:val="0"/>
              <w:ind w:firstLine="360"/>
              <w:jc w:val="center"/>
              <w:rPr>
                <w:rFonts w:ascii="仿宋" w:hAnsi="仿宋" w:eastAsia="仿宋" w:cs="仿宋"/>
                <w:color w:val="auto"/>
                <w:sz w:val="24"/>
                <w:szCs w:val="24"/>
                <w:highlight w:val="none"/>
              </w:rPr>
            </w:pPr>
          </w:p>
        </w:tc>
        <w:tc>
          <w:tcPr>
            <w:tcW w:w="843" w:type="dxa"/>
            <w:tcBorders>
              <w:top w:val="single" w:color="auto" w:sz="6" w:space="0"/>
              <w:left w:val="single" w:color="auto" w:sz="6" w:space="0"/>
              <w:bottom w:val="single" w:color="auto" w:sz="6" w:space="0"/>
              <w:right w:val="single" w:color="auto" w:sz="4" w:space="0"/>
            </w:tcBorders>
            <w:vAlign w:val="center"/>
          </w:tcPr>
          <w:p w14:paraId="4BFA687B">
            <w:pPr>
              <w:tabs>
                <w:tab w:val="left" w:pos="3780"/>
              </w:tabs>
              <w:autoSpaceDN w:val="0"/>
              <w:ind w:firstLine="360"/>
              <w:jc w:val="center"/>
              <w:rPr>
                <w:rFonts w:ascii="仿宋" w:hAnsi="仿宋" w:eastAsia="仿宋" w:cs="仿宋"/>
                <w:color w:val="auto"/>
                <w:sz w:val="24"/>
                <w:szCs w:val="24"/>
                <w:highlight w:val="none"/>
              </w:rPr>
            </w:pPr>
          </w:p>
        </w:tc>
        <w:tc>
          <w:tcPr>
            <w:tcW w:w="1267" w:type="dxa"/>
            <w:tcBorders>
              <w:top w:val="single" w:color="auto" w:sz="6" w:space="0"/>
              <w:left w:val="single" w:color="auto" w:sz="4" w:space="0"/>
              <w:bottom w:val="single" w:color="auto" w:sz="6" w:space="0"/>
              <w:right w:val="single" w:color="auto" w:sz="8" w:space="0"/>
            </w:tcBorders>
            <w:vAlign w:val="center"/>
          </w:tcPr>
          <w:p w14:paraId="5B3CFE36">
            <w:pPr>
              <w:tabs>
                <w:tab w:val="left" w:pos="3780"/>
              </w:tabs>
              <w:autoSpaceDN w:val="0"/>
              <w:ind w:firstLine="360"/>
              <w:jc w:val="center"/>
              <w:rPr>
                <w:rFonts w:ascii="仿宋" w:hAnsi="仿宋" w:eastAsia="仿宋" w:cs="仿宋"/>
                <w:color w:val="auto"/>
                <w:sz w:val="24"/>
                <w:szCs w:val="24"/>
                <w:highlight w:val="none"/>
              </w:rPr>
            </w:pPr>
          </w:p>
        </w:tc>
      </w:tr>
      <w:tr w14:paraId="1D555191">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40" w:hRule="atLeast"/>
        </w:trPr>
        <w:tc>
          <w:tcPr>
            <w:tcW w:w="724" w:type="dxa"/>
            <w:tcBorders>
              <w:top w:val="single" w:color="auto" w:sz="6" w:space="0"/>
              <w:left w:val="single" w:color="auto" w:sz="8" w:space="0"/>
              <w:bottom w:val="single" w:color="auto" w:sz="6" w:space="0"/>
              <w:right w:val="single" w:color="auto" w:sz="6" w:space="0"/>
            </w:tcBorders>
            <w:vAlign w:val="center"/>
          </w:tcPr>
          <w:p w14:paraId="62722F9A">
            <w:pPr>
              <w:tabs>
                <w:tab w:val="left" w:pos="3780"/>
              </w:tabs>
              <w:autoSpaceDN w:val="0"/>
              <w:ind w:firstLine="360"/>
              <w:jc w:val="center"/>
              <w:rPr>
                <w:rFonts w:ascii="仿宋" w:hAnsi="仿宋" w:eastAsia="仿宋" w:cs="仿宋"/>
                <w:color w:val="auto"/>
                <w:sz w:val="24"/>
                <w:szCs w:val="24"/>
                <w:highlight w:val="none"/>
              </w:rPr>
            </w:pPr>
          </w:p>
        </w:tc>
        <w:tc>
          <w:tcPr>
            <w:tcW w:w="1634" w:type="dxa"/>
            <w:tcBorders>
              <w:top w:val="single" w:color="auto" w:sz="6" w:space="0"/>
              <w:left w:val="single" w:color="auto" w:sz="6" w:space="0"/>
              <w:bottom w:val="single" w:color="auto" w:sz="6" w:space="0"/>
              <w:right w:val="single" w:color="auto" w:sz="6" w:space="0"/>
            </w:tcBorders>
            <w:vAlign w:val="center"/>
          </w:tcPr>
          <w:p w14:paraId="66A70B94">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（定额编号）</w:t>
            </w:r>
          </w:p>
        </w:tc>
        <w:tc>
          <w:tcPr>
            <w:tcW w:w="1634" w:type="dxa"/>
            <w:tcBorders>
              <w:top w:val="single" w:color="auto" w:sz="6" w:space="0"/>
              <w:left w:val="single" w:color="auto" w:sz="6" w:space="0"/>
              <w:bottom w:val="single" w:color="auto" w:sz="6" w:space="0"/>
              <w:right w:val="single" w:color="auto" w:sz="6" w:space="0"/>
            </w:tcBorders>
            <w:vAlign w:val="center"/>
          </w:tcPr>
          <w:p w14:paraId="7189E062">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（定额名称）</w:t>
            </w:r>
          </w:p>
        </w:tc>
        <w:tc>
          <w:tcPr>
            <w:tcW w:w="857" w:type="dxa"/>
            <w:tcBorders>
              <w:top w:val="single" w:color="auto" w:sz="6" w:space="0"/>
              <w:left w:val="single" w:color="auto" w:sz="6" w:space="0"/>
              <w:bottom w:val="single" w:color="auto" w:sz="6" w:space="0"/>
              <w:right w:val="single" w:color="auto" w:sz="6" w:space="0"/>
            </w:tcBorders>
            <w:vAlign w:val="center"/>
          </w:tcPr>
          <w:p w14:paraId="2CD354CD">
            <w:pPr>
              <w:tabs>
                <w:tab w:val="left" w:pos="3780"/>
              </w:tabs>
              <w:autoSpaceDN w:val="0"/>
              <w:ind w:firstLine="360"/>
              <w:jc w:val="center"/>
              <w:rPr>
                <w:rFonts w:ascii="仿宋" w:hAnsi="仿宋" w:eastAsia="仿宋" w:cs="仿宋"/>
                <w:color w:val="auto"/>
                <w:sz w:val="24"/>
                <w:szCs w:val="24"/>
                <w:highlight w:val="none"/>
              </w:rPr>
            </w:pPr>
          </w:p>
        </w:tc>
        <w:tc>
          <w:tcPr>
            <w:tcW w:w="857" w:type="dxa"/>
            <w:tcBorders>
              <w:top w:val="single" w:color="auto" w:sz="6" w:space="0"/>
              <w:left w:val="single" w:color="auto" w:sz="6" w:space="0"/>
              <w:bottom w:val="single" w:color="auto" w:sz="6" w:space="0"/>
              <w:right w:val="single" w:color="auto" w:sz="6" w:space="0"/>
            </w:tcBorders>
            <w:vAlign w:val="center"/>
          </w:tcPr>
          <w:p w14:paraId="60079132">
            <w:pPr>
              <w:tabs>
                <w:tab w:val="left" w:pos="3780"/>
              </w:tabs>
              <w:autoSpaceDN w:val="0"/>
              <w:ind w:firstLine="360"/>
              <w:jc w:val="center"/>
              <w:rPr>
                <w:rFonts w:ascii="仿宋" w:hAnsi="仿宋" w:eastAsia="仿宋" w:cs="仿宋"/>
                <w:color w:val="auto"/>
                <w:sz w:val="24"/>
                <w:szCs w:val="24"/>
                <w:highlight w:val="none"/>
              </w:rPr>
            </w:pPr>
          </w:p>
        </w:tc>
        <w:tc>
          <w:tcPr>
            <w:tcW w:w="1190" w:type="dxa"/>
            <w:tcBorders>
              <w:top w:val="single" w:color="auto" w:sz="6" w:space="0"/>
              <w:left w:val="single" w:color="auto" w:sz="6" w:space="0"/>
              <w:bottom w:val="single" w:color="auto" w:sz="6" w:space="0"/>
              <w:right w:val="single" w:color="auto" w:sz="6" w:space="0"/>
            </w:tcBorders>
            <w:vAlign w:val="center"/>
          </w:tcPr>
          <w:p w14:paraId="5C15D902">
            <w:pPr>
              <w:tabs>
                <w:tab w:val="left" w:pos="3780"/>
              </w:tabs>
              <w:autoSpaceDN w:val="0"/>
              <w:ind w:firstLine="360"/>
              <w:jc w:val="center"/>
              <w:rPr>
                <w:rFonts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vAlign w:val="center"/>
          </w:tcPr>
          <w:p w14:paraId="34790476">
            <w:pPr>
              <w:tabs>
                <w:tab w:val="left" w:pos="3780"/>
              </w:tabs>
              <w:autoSpaceDN w:val="0"/>
              <w:ind w:firstLine="360"/>
              <w:jc w:val="center"/>
              <w:rPr>
                <w:rFonts w:ascii="仿宋" w:hAnsi="仿宋" w:eastAsia="仿宋" w:cs="仿宋"/>
                <w:color w:val="auto"/>
                <w:sz w:val="24"/>
                <w:szCs w:val="24"/>
                <w:highlight w:val="none"/>
              </w:rPr>
            </w:pPr>
          </w:p>
        </w:tc>
        <w:tc>
          <w:tcPr>
            <w:tcW w:w="1238" w:type="dxa"/>
            <w:tcBorders>
              <w:top w:val="single" w:color="auto" w:sz="6" w:space="0"/>
              <w:left w:val="single" w:color="auto" w:sz="6" w:space="0"/>
              <w:bottom w:val="single" w:color="auto" w:sz="6" w:space="0"/>
              <w:right w:val="single" w:color="auto" w:sz="6" w:space="0"/>
            </w:tcBorders>
            <w:vAlign w:val="center"/>
          </w:tcPr>
          <w:p w14:paraId="274EEC22">
            <w:pPr>
              <w:tabs>
                <w:tab w:val="left" w:pos="3780"/>
              </w:tabs>
              <w:autoSpaceDN w:val="0"/>
              <w:ind w:firstLine="360"/>
              <w:jc w:val="center"/>
              <w:rPr>
                <w:rFonts w:ascii="仿宋" w:hAnsi="仿宋" w:eastAsia="仿宋" w:cs="仿宋"/>
                <w:color w:val="auto"/>
                <w:sz w:val="24"/>
                <w:szCs w:val="24"/>
                <w:highlight w:val="none"/>
              </w:rPr>
            </w:pPr>
          </w:p>
        </w:tc>
        <w:tc>
          <w:tcPr>
            <w:tcW w:w="1172" w:type="dxa"/>
            <w:tcBorders>
              <w:top w:val="single" w:color="auto" w:sz="6" w:space="0"/>
              <w:left w:val="single" w:color="auto" w:sz="6" w:space="0"/>
              <w:bottom w:val="single" w:color="auto" w:sz="6" w:space="0"/>
              <w:right w:val="single" w:color="auto" w:sz="6" w:space="0"/>
            </w:tcBorders>
            <w:vAlign w:val="center"/>
          </w:tcPr>
          <w:p w14:paraId="27771878">
            <w:pPr>
              <w:tabs>
                <w:tab w:val="left" w:pos="3780"/>
              </w:tabs>
              <w:autoSpaceDN w:val="0"/>
              <w:ind w:firstLine="360"/>
              <w:jc w:val="center"/>
              <w:rPr>
                <w:rFonts w:ascii="仿宋" w:hAnsi="仿宋" w:eastAsia="仿宋" w:cs="仿宋"/>
                <w:color w:val="auto"/>
                <w:sz w:val="24"/>
                <w:szCs w:val="24"/>
                <w:highlight w:val="none"/>
              </w:rPr>
            </w:pPr>
          </w:p>
        </w:tc>
        <w:tc>
          <w:tcPr>
            <w:tcW w:w="820" w:type="dxa"/>
            <w:tcBorders>
              <w:top w:val="single" w:color="auto" w:sz="6" w:space="0"/>
              <w:left w:val="single" w:color="auto" w:sz="6" w:space="0"/>
              <w:bottom w:val="single" w:color="auto" w:sz="6" w:space="0"/>
              <w:right w:val="single" w:color="auto" w:sz="6" w:space="0"/>
            </w:tcBorders>
            <w:vAlign w:val="center"/>
          </w:tcPr>
          <w:p w14:paraId="3C77A95D">
            <w:pPr>
              <w:tabs>
                <w:tab w:val="left" w:pos="3780"/>
              </w:tabs>
              <w:autoSpaceDN w:val="0"/>
              <w:ind w:firstLine="360"/>
              <w:jc w:val="center"/>
              <w:rPr>
                <w:rFonts w:ascii="仿宋" w:hAnsi="仿宋" w:eastAsia="仿宋" w:cs="仿宋"/>
                <w:color w:val="auto"/>
                <w:sz w:val="24"/>
                <w:szCs w:val="24"/>
                <w:highlight w:val="none"/>
              </w:rPr>
            </w:pPr>
          </w:p>
        </w:tc>
        <w:tc>
          <w:tcPr>
            <w:tcW w:w="972" w:type="dxa"/>
            <w:tcBorders>
              <w:top w:val="single" w:color="auto" w:sz="6" w:space="0"/>
              <w:left w:val="single" w:color="auto" w:sz="6" w:space="0"/>
              <w:bottom w:val="single" w:color="auto" w:sz="6" w:space="0"/>
              <w:right w:val="single" w:color="auto" w:sz="6" w:space="0"/>
            </w:tcBorders>
            <w:vAlign w:val="center"/>
          </w:tcPr>
          <w:p w14:paraId="7C6DA52C">
            <w:pPr>
              <w:tabs>
                <w:tab w:val="left" w:pos="3780"/>
              </w:tabs>
              <w:autoSpaceDN w:val="0"/>
              <w:ind w:firstLine="360"/>
              <w:jc w:val="center"/>
              <w:rPr>
                <w:rFonts w:ascii="仿宋" w:hAnsi="仿宋" w:eastAsia="仿宋" w:cs="仿宋"/>
                <w:color w:val="auto"/>
                <w:sz w:val="24"/>
                <w:szCs w:val="24"/>
                <w:highlight w:val="none"/>
              </w:rPr>
            </w:pPr>
          </w:p>
        </w:tc>
        <w:tc>
          <w:tcPr>
            <w:tcW w:w="843" w:type="dxa"/>
            <w:tcBorders>
              <w:top w:val="single" w:color="auto" w:sz="6" w:space="0"/>
              <w:left w:val="single" w:color="auto" w:sz="6" w:space="0"/>
              <w:bottom w:val="single" w:color="auto" w:sz="6" w:space="0"/>
              <w:right w:val="single" w:color="auto" w:sz="6" w:space="0"/>
            </w:tcBorders>
            <w:vAlign w:val="center"/>
          </w:tcPr>
          <w:p w14:paraId="59F8D86B">
            <w:pPr>
              <w:tabs>
                <w:tab w:val="left" w:pos="3780"/>
              </w:tabs>
              <w:autoSpaceDN w:val="0"/>
              <w:ind w:firstLine="360"/>
              <w:jc w:val="center"/>
              <w:rPr>
                <w:rFonts w:ascii="仿宋" w:hAnsi="仿宋" w:eastAsia="仿宋" w:cs="仿宋"/>
                <w:color w:val="auto"/>
                <w:sz w:val="24"/>
                <w:szCs w:val="24"/>
                <w:highlight w:val="none"/>
              </w:rPr>
            </w:pPr>
          </w:p>
        </w:tc>
        <w:tc>
          <w:tcPr>
            <w:tcW w:w="1267" w:type="dxa"/>
            <w:tcBorders>
              <w:top w:val="single" w:color="auto" w:sz="6" w:space="0"/>
              <w:left w:val="single" w:color="auto" w:sz="6" w:space="0"/>
              <w:bottom w:val="single" w:color="auto" w:sz="6" w:space="0"/>
              <w:right w:val="single" w:color="auto" w:sz="8" w:space="0"/>
            </w:tcBorders>
            <w:vAlign w:val="center"/>
          </w:tcPr>
          <w:p w14:paraId="1EC62E68">
            <w:pPr>
              <w:tabs>
                <w:tab w:val="left" w:pos="3780"/>
              </w:tabs>
              <w:autoSpaceDN w:val="0"/>
              <w:ind w:firstLine="360"/>
              <w:jc w:val="center"/>
              <w:rPr>
                <w:rFonts w:ascii="仿宋" w:hAnsi="仿宋" w:eastAsia="仿宋" w:cs="仿宋"/>
                <w:color w:val="auto"/>
                <w:sz w:val="24"/>
                <w:szCs w:val="24"/>
                <w:highlight w:val="none"/>
              </w:rPr>
            </w:pPr>
          </w:p>
        </w:tc>
      </w:tr>
      <w:tr w14:paraId="439408B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60" w:hRule="atLeast"/>
        </w:trPr>
        <w:tc>
          <w:tcPr>
            <w:tcW w:w="724" w:type="dxa"/>
            <w:tcBorders>
              <w:top w:val="single" w:color="auto" w:sz="6" w:space="0"/>
              <w:left w:val="single" w:color="auto" w:sz="8" w:space="0"/>
              <w:bottom w:val="single" w:color="auto" w:sz="6" w:space="0"/>
              <w:right w:val="single" w:color="auto" w:sz="6" w:space="0"/>
            </w:tcBorders>
            <w:vAlign w:val="center"/>
          </w:tcPr>
          <w:p w14:paraId="026FF194">
            <w:pPr>
              <w:autoSpaceDN w:val="0"/>
              <w:jc w:val="center"/>
              <w:rPr>
                <w:rFonts w:ascii="仿宋" w:hAnsi="仿宋" w:eastAsia="仿宋" w:cs="仿宋"/>
                <w:color w:val="auto"/>
                <w:sz w:val="24"/>
                <w:szCs w:val="24"/>
                <w:highlight w:val="none"/>
              </w:rPr>
            </w:pPr>
          </w:p>
        </w:tc>
        <w:tc>
          <w:tcPr>
            <w:tcW w:w="1634" w:type="dxa"/>
            <w:tcBorders>
              <w:top w:val="single" w:color="auto" w:sz="6" w:space="0"/>
              <w:left w:val="single" w:color="auto" w:sz="6" w:space="0"/>
              <w:bottom w:val="single" w:color="auto" w:sz="6" w:space="0"/>
              <w:right w:val="single" w:color="auto" w:sz="6" w:space="0"/>
            </w:tcBorders>
            <w:vAlign w:val="center"/>
          </w:tcPr>
          <w:p w14:paraId="7F8F8E61">
            <w:pPr>
              <w:tabs>
                <w:tab w:val="left" w:pos="3780"/>
              </w:tabs>
              <w:autoSpaceDN w:val="0"/>
              <w:ind w:firstLine="36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634" w:type="dxa"/>
            <w:tcBorders>
              <w:top w:val="single" w:color="auto" w:sz="6" w:space="0"/>
              <w:left w:val="single" w:color="auto" w:sz="6" w:space="0"/>
              <w:bottom w:val="single" w:color="auto" w:sz="6" w:space="0"/>
              <w:right w:val="single" w:color="auto" w:sz="6" w:space="0"/>
            </w:tcBorders>
            <w:vAlign w:val="center"/>
          </w:tcPr>
          <w:p w14:paraId="0BED247E">
            <w:pPr>
              <w:tabs>
                <w:tab w:val="left" w:pos="3780"/>
              </w:tabs>
              <w:autoSpaceDN w:val="0"/>
              <w:ind w:firstLine="36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857" w:type="dxa"/>
            <w:tcBorders>
              <w:top w:val="single" w:color="auto" w:sz="6" w:space="0"/>
              <w:left w:val="single" w:color="auto" w:sz="6" w:space="0"/>
              <w:bottom w:val="single" w:color="auto" w:sz="6" w:space="0"/>
              <w:right w:val="single" w:color="auto" w:sz="6" w:space="0"/>
            </w:tcBorders>
            <w:vAlign w:val="center"/>
          </w:tcPr>
          <w:p w14:paraId="728B4A2A">
            <w:pPr>
              <w:tabs>
                <w:tab w:val="left" w:pos="3780"/>
              </w:tabs>
              <w:autoSpaceDN w:val="0"/>
              <w:ind w:firstLine="360"/>
              <w:jc w:val="center"/>
              <w:rPr>
                <w:rFonts w:ascii="仿宋" w:hAnsi="仿宋" w:eastAsia="仿宋" w:cs="仿宋"/>
                <w:color w:val="auto"/>
                <w:sz w:val="24"/>
                <w:szCs w:val="24"/>
                <w:highlight w:val="none"/>
              </w:rPr>
            </w:pPr>
          </w:p>
        </w:tc>
        <w:tc>
          <w:tcPr>
            <w:tcW w:w="857" w:type="dxa"/>
            <w:tcBorders>
              <w:top w:val="single" w:color="auto" w:sz="6" w:space="0"/>
              <w:left w:val="single" w:color="auto" w:sz="6" w:space="0"/>
              <w:bottom w:val="single" w:color="auto" w:sz="6" w:space="0"/>
              <w:right w:val="single" w:color="auto" w:sz="6" w:space="0"/>
            </w:tcBorders>
            <w:vAlign w:val="center"/>
          </w:tcPr>
          <w:p w14:paraId="77AE2267">
            <w:pPr>
              <w:tabs>
                <w:tab w:val="left" w:pos="3780"/>
              </w:tabs>
              <w:autoSpaceDN w:val="0"/>
              <w:ind w:firstLine="360"/>
              <w:jc w:val="center"/>
              <w:rPr>
                <w:rFonts w:ascii="仿宋" w:hAnsi="仿宋" w:eastAsia="仿宋" w:cs="仿宋"/>
                <w:color w:val="auto"/>
                <w:sz w:val="24"/>
                <w:szCs w:val="24"/>
                <w:highlight w:val="none"/>
              </w:rPr>
            </w:pPr>
          </w:p>
        </w:tc>
        <w:tc>
          <w:tcPr>
            <w:tcW w:w="1190" w:type="dxa"/>
            <w:tcBorders>
              <w:top w:val="single" w:color="auto" w:sz="6" w:space="0"/>
              <w:left w:val="single" w:color="auto" w:sz="6" w:space="0"/>
              <w:bottom w:val="single" w:color="auto" w:sz="6" w:space="0"/>
              <w:right w:val="single" w:color="auto" w:sz="6" w:space="0"/>
            </w:tcBorders>
            <w:vAlign w:val="center"/>
          </w:tcPr>
          <w:p w14:paraId="61DF3823">
            <w:pPr>
              <w:tabs>
                <w:tab w:val="left" w:pos="3780"/>
              </w:tabs>
              <w:autoSpaceDN w:val="0"/>
              <w:ind w:firstLine="360"/>
              <w:jc w:val="center"/>
              <w:rPr>
                <w:rFonts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vAlign w:val="center"/>
          </w:tcPr>
          <w:p w14:paraId="3F0B8033">
            <w:pPr>
              <w:tabs>
                <w:tab w:val="left" w:pos="3780"/>
              </w:tabs>
              <w:autoSpaceDN w:val="0"/>
              <w:ind w:firstLine="360"/>
              <w:jc w:val="center"/>
              <w:rPr>
                <w:rFonts w:ascii="仿宋" w:hAnsi="仿宋" w:eastAsia="仿宋" w:cs="仿宋"/>
                <w:color w:val="auto"/>
                <w:sz w:val="24"/>
                <w:szCs w:val="24"/>
                <w:highlight w:val="none"/>
              </w:rPr>
            </w:pPr>
          </w:p>
        </w:tc>
        <w:tc>
          <w:tcPr>
            <w:tcW w:w="1238" w:type="dxa"/>
            <w:tcBorders>
              <w:top w:val="single" w:color="auto" w:sz="6" w:space="0"/>
              <w:left w:val="single" w:color="auto" w:sz="6" w:space="0"/>
              <w:bottom w:val="single" w:color="auto" w:sz="6" w:space="0"/>
              <w:right w:val="single" w:color="auto" w:sz="6" w:space="0"/>
            </w:tcBorders>
            <w:vAlign w:val="center"/>
          </w:tcPr>
          <w:p w14:paraId="3F58197E">
            <w:pPr>
              <w:tabs>
                <w:tab w:val="left" w:pos="3780"/>
              </w:tabs>
              <w:autoSpaceDN w:val="0"/>
              <w:ind w:firstLine="360"/>
              <w:jc w:val="center"/>
              <w:rPr>
                <w:rFonts w:ascii="仿宋" w:hAnsi="仿宋" w:eastAsia="仿宋" w:cs="仿宋"/>
                <w:color w:val="auto"/>
                <w:sz w:val="24"/>
                <w:szCs w:val="24"/>
                <w:highlight w:val="none"/>
              </w:rPr>
            </w:pPr>
          </w:p>
        </w:tc>
        <w:tc>
          <w:tcPr>
            <w:tcW w:w="1172" w:type="dxa"/>
            <w:tcBorders>
              <w:top w:val="single" w:color="auto" w:sz="6" w:space="0"/>
              <w:left w:val="single" w:color="auto" w:sz="6" w:space="0"/>
              <w:bottom w:val="single" w:color="auto" w:sz="6" w:space="0"/>
              <w:right w:val="single" w:color="auto" w:sz="6" w:space="0"/>
            </w:tcBorders>
            <w:vAlign w:val="center"/>
          </w:tcPr>
          <w:p w14:paraId="6085B0BB">
            <w:pPr>
              <w:tabs>
                <w:tab w:val="left" w:pos="3780"/>
              </w:tabs>
              <w:autoSpaceDN w:val="0"/>
              <w:ind w:firstLine="360"/>
              <w:jc w:val="center"/>
              <w:rPr>
                <w:rFonts w:ascii="仿宋" w:hAnsi="仿宋" w:eastAsia="仿宋" w:cs="仿宋"/>
                <w:color w:val="auto"/>
                <w:sz w:val="24"/>
                <w:szCs w:val="24"/>
                <w:highlight w:val="none"/>
              </w:rPr>
            </w:pPr>
          </w:p>
        </w:tc>
        <w:tc>
          <w:tcPr>
            <w:tcW w:w="820" w:type="dxa"/>
            <w:tcBorders>
              <w:top w:val="single" w:color="auto" w:sz="6" w:space="0"/>
              <w:left w:val="single" w:color="auto" w:sz="6" w:space="0"/>
              <w:bottom w:val="single" w:color="auto" w:sz="6" w:space="0"/>
              <w:right w:val="single" w:color="auto" w:sz="6" w:space="0"/>
            </w:tcBorders>
            <w:vAlign w:val="center"/>
          </w:tcPr>
          <w:p w14:paraId="09270DC4">
            <w:pPr>
              <w:tabs>
                <w:tab w:val="left" w:pos="3780"/>
              </w:tabs>
              <w:autoSpaceDN w:val="0"/>
              <w:ind w:firstLine="360"/>
              <w:jc w:val="center"/>
              <w:rPr>
                <w:rFonts w:ascii="仿宋" w:hAnsi="仿宋" w:eastAsia="仿宋" w:cs="仿宋"/>
                <w:color w:val="auto"/>
                <w:sz w:val="24"/>
                <w:szCs w:val="24"/>
                <w:highlight w:val="none"/>
              </w:rPr>
            </w:pPr>
          </w:p>
        </w:tc>
        <w:tc>
          <w:tcPr>
            <w:tcW w:w="972" w:type="dxa"/>
            <w:tcBorders>
              <w:top w:val="single" w:color="auto" w:sz="6" w:space="0"/>
              <w:left w:val="single" w:color="auto" w:sz="6" w:space="0"/>
              <w:bottom w:val="single" w:color="auto" w:sz="6" w:space="0"/>
              <w:right w:val="single" w:color="auto" w:sz="6" w:space="0"/>
            </w:tcBorders>
            <w:vAlign w:val="center"/>
          </w:tcPr>
          <w:p w14:paraId="7B5DE34C">
            <w:pPr>
              <w:tabs>
                <w:tab w:val="left" w:pos="3780"/>
              </w:tabs>
              <w:autoSpaceDN w:val="0"/>
              <w:ind w:firstLine="360"/>
              <w:jc w:val="center"/>
              <w:rPr>
                <w:rFonts w:ascii="仿宋" w:hAnsi="仿宋" w:eastAsia="仿宋" w:cs="仿宋"/>
                <w:color w:val="auto"/>
                <w:sz w:val="24"/>
                <w:szCs w:val="24"/>
                <w:highlight w:val="none"/>
              </w:rPr>
            </w:pPr>
          </w:p>
        </w:tc>
        <w:tc>
          <w:tcPr>
            <w:tcW w:w="843" w:type="dxa"/>
            <w:tcBorders>
              <w:top w:val="single" w:color="auto" w:sz="6" w:space="0"/>
              <w:left w:val="single" w:color="auto" w:sz="6" w:space="0"/>
              <w:bottom w:val="single" w:color="auto" w:sz="6" w:space="0"/>
              <w:right w:val="single" w:color="auto" w:sz="6" w:space="0"/>
            </w:tcBorders>
            <w:vAlign w:val="center"/>
          </w:tcPr>
          <w:p w14:paraId="43418087">
            <w:pPr>
              <w:tabs>
                <w:tab w:val="left" w:pos="3780"/>
              </w:tabs>
              <w:autoSpaceDN w:val="0"/>
              <w:ind w:firstLine="360"/>
              <w:jc w:val="center"/>
              <w:rPr>
                <w:rFonts w:ascii="仿宋" w:hAnsi="仿宋" w:eastAsia="仿宋" w:cs="仿宋"/>
                <w:color w:val="auto"/>
                <w:sz w:val="24"/>
                <w:szCs w:val="24"/>
                <w:highlight w:val="none"/>
              </w:rPr>
            </w:pPr>
          </w:p>
        </w:tc>
        <w:tc>
          <w:tcPr>
            <w:tcW w:w="1267" w:type="dxa"/>
            <w:tcBorders>
              <w:top w:val="single" w:color="auto" w:sz="6" w:space="0"/>
              <w:left w:val="single" w:color="auto" w:sz="6" w:space="0"/>
              <w:bottom w:val="single" w:color="auto" w:sz="6" w:space="0"/>
              <w:right w:val="single" w:color="auto" w:sz="8" w:space="0"/>
            </w:tcBorders>
            <w:vAlign w:val="center"/>
          </w:tcPr>
          <w:p w14:paraId="7121D0D9">
            <w:pPr>
              <w:tabs>
                <w:tab w:val="left" w:pos="3780"/>
              </w:tabs>
              <w:autoSpaceDN w:val="0"/>
              <w:ind w:firstLine="360"/>
              <w:jc w:val="center"/>
              <w:rPr>
                <w:rFonts w:ascii="仿宋" w:hAnsi="仿宋" w:eastAsia="仿宋" w:cs="仿宋"/>
                <w:color w:val="auto"/>
                <w:sz w:val="24"/>
                <w:szCs w:val="24"/>
                <w:highlight w:val="none"/>
              </w:rPr>
            </w:pPr>
          </w:p>
        </w:tc>
      </w:tr>
      <w:tr w14:paraId="2A0948E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60" w:hRule="atLeast"/>
        </w:trPr>
        <w:tc>
          <w:tcPr>
            <w:tcW w:w="724" w:type="dxa"/>
            <w:tcBorders>
              <w:top w:val="single" w:color="auto" w:sz="6" w:space="0"/>
              <w:left w:val="single" w:color="auto" w:sz="8" w:space="0"/>
              <w:bottom w:val="single" w:color="auto" w:sz="6" w:space="0"/>
              <w:right w:val="single" w:color="auto" w:sz="6" w:space="0"/>
            </w:tcBorders>
            <w:vAlign w:val="center"/>
          </w:tcPr>
          <w:p w14:paraId="2D481ED0">
            <w:pPr>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34" w:type="dxa"/>
            <w:tcBorders>
              <w:top w:val="single" w:color="auto" w:sz="6" w:space="0"/>
              <w:left w:val="single" w:color="auto" w:sz="6" w:space="0"/>
              <w:bottom w:val="single" w:color="auto" w:sz="6" w:space="0"/>
              <w:right w:val="single" w:color="auto" w:sz="6" w:space="0"/>
            </w:tcBorders>
            <w:vAlign w:val="center"/>
          </w:tcPr>
          <w:p w14:paraId="0ECB792B">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（清单编码）</w:t>
            </w:r>
          </w:p>
        </w:tc>
        <w:tc>
          <w:tcPr>
            <w:tcW w:w="1634" w:type="dxa"/>
            <w:tcBorders>
              <w:top w:val="single" w:color="auto" w:sz="6" w:space="0"/>
              <w:left w:val="single" w:color="auto" w:sz="6" w:space="0"/>
              <w:bottom w:val="single" w:color="auto" w:sz="6" w:space="0"/>
              <w:right w:val="single" w:color="auto" w:sz="6" w:space="0"/>
            </w:tcBorders>
            <w:vAlign w:val="center"/>
          </w:tcPr>
          <w:p w14:paraId="29D1DBC5">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（清单名称）</w:t>
            </w:r>
          </w:p>
        </w:tc>
        <w:tc>
          <w:tcPr>
            <w:tcW w:w="857" w:type="dxa"/>
            <w:tcBorders>
              <w:top w:val="single" w:color="auto" w:sz="6" w:space="0"/>
              <w:left w:val="single" w:color="auto" w:sz="6" w:space="0"/>
              <w:bottom w:val="single" w:color="auto" w:sz="6" w:space="0"/>
              <w:right w:val="single" w:color="auto" w:sz="6" w:space="0"/>
            </w:tcBorders>
            <w:vAlign w:val="center"/>
          </w:tcPr>
          <w:p w14:paraId="31AEED74">
            <w:pPr>
              <w:tabs>
                <w:tab w:val="left" w:pos="3780"/>
              </w:tabs>
              <w:autoSpaceDN w:val="0"/>
              <w:ind w:firstLine="360"/>
              <w:jc w:val="center"/>
              <w:rPr>
                <w:rFonts w:ascii="仿宋" w:hAnsi="仿宋" w:eastAsia="仿宋" w:cs="仿宋"/>
                <w:color w:val="auto"/>
                <w:sz w:val="24"/>
                <w:szCs w:val="24"/>
                <w:highlight w:val="none"/>
              </w:rPr>
            </w:pPr>
          </w:p>
        </w:tc>
        <w:tc>
          <w:tcPr>
            <w:tcW w:w="857" w:type="dxa"/>
            <w:tcBorders>
              <w:top w:val="single" w:color="auto" w:sz="6" w:space="0"/>
              <w:left w:val="single" w:color="auto" w:sz="6" w:space="0"/>
              <w:bottom w:val="single" w:color="auto" w:sz="6" w:space="0"/>
              <w:right w:val="single" w:color="auto" w:sz="6" w:space="0"/>
            </w:tcBorders>
            <w:vAlign w:val="center"/>
          </w:tcPr>
          <w:p w14:paraId="0A678ABC">
            <w:pPr>
              <w:tabs>
                <w:tab w:val="left" w:pos="3780"/>
              </w:tabs>
              <w:autoSpaceDN w:val="0"/>
              <w:ind w:firstLine="360"/>
              <w:jc w:val="center"/>
              <w:rPr>
                <w:rFonts w:ascii="仿宋" w:hAnsi="仿宋" w:eastAsia="仿宋" w:cs="仿宋"/>
                <w:color w:val="auto"/>
                <w:sz w:val="24"/>
                <w:szCs w:val="24"/>
                <w:highlight w:val="none"/>
              </w:rPr>
            </w:pPr>
          </w:p>
        </w:tc>
        <w:tc>
          <w:tcPr>
            <w:tcW w:w="1190" w:type="dxa"/>
            <w:tcBorders>
              <w:top w:val="single" w:color="auto" w:sz="6" w:space="0"/>
              <w:left w:val="single" w:color="auto" w:sz="6" w:space="0"/>
              <w:bottom w:val="single" w:color="auto" w:sz="6" w:space="0"/>
              <w:right w:val="single" w:color="auto" w:sz="6" w:space="0"/>
            </w:tcBorders>
            <w:vAlign w:val="center"/>
          </w:tcPr>
          <w:p w14:paraId="51A465D0">
            <w:pPr>
              <w:tabs>
                <w:tab w:val="left" w:pos="3780"/>
              </w:tabs>
              <w:autoSpaceDN w:val="0"/>
              <w:ind w:firstLine="360"/>
              <w:jc w:val="center"/>
              <w:rPr>
                <w:rFonts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vAlign w:val="center"/>
          </w:tcPr>
          <w:p w14:paraId="5A447256">
            <w:pPr>
              <w:tabs>
                <w:tab w:val="left" w:pos="3780"/>
              </w:tabs>
              <w:autoSpaceDN w:val="0"/>
              <w:ind w:firstLine="360"/>
              <w:jc w:val="center"/>
              <w:rPr>
                <w:rFonts w:ascii="仿宋" w:hAnsi="仿宋" w:eastAsia="仿宋" w:cs="仿宋"/>
                <w:color w:val="auto"/>
                <w:sz w:val="24"/>
                <w:szCs w:val="24"/>
                <w:highlight w:val="none"/>
              </w:rPr>
            </w:pPr>
          </w:p>
        </w:tc>
        <w:tc>
          <w:tcPr>
            <w:tcW w:w="1238" w:type="dxa"/>
            <w:tcBorders>
              <w:top w:val="single" w:color="auto" w:sz="6" w:space="0"/>
              <w:left w:val="single" w:color="auto" w:sz="6" w:space="0"/>
              <w:bottom w:val="single" w:color="auto" w:sz="6" w:space="0"/>
              <w:right w:val="single" w:color="auto" w:sz="6" w:space="0"/>
            </w:tcBorders>
            <w:vAlign w:val="center"/>
          </w:tcPr>
          <w:p w14:paraId="15BDA884">
            <w:pPr>
              <w:tabs>
                <w:tab w:val="left" w:pos="3780"/>
              </w:tabs>
              <w:autoSpaceDN w:val="0"/>
              <w:ind w:firstLine="360"/>
              <w:jc w:val="center"/>
              <w:rPr>
                <w:rFonts w:ascii="仿宋" w:hAnsi="仿宋" w:eastAsia="仿宋" w:cs="仿宋"/>
                <w:color w:val="auto"/>
                <w:sz w:val="24"/>
                <w:szCs w:val="24"/>
                <w:highlight w:val="none"/>
              </w:rPr>
            </w:pPr>
          </w:p>
        </w:tc>
        <w:tc>
          <w:tcPr>
            <w:tcW w:w="1172" w:type="dxa"/>
            <w:tcBorders>
              <w:top w:val="single" w:color="auto" w:sz="6" w:space="0"/>
              <w:left w:val="single" w:color="auto" w:sz="6" w:space="0"/>
              <w:bottom w:val="single" w:color="auto" w:sz="6" w:space="0"/>
              <w:right w:val="single" w:color="auto" w:sz="6" w:space="0"/>
            </w:tcBorders>
            <w:vAlign w:val="center"/>
          </w:tcPr>
          <w:p w14:paraId="1EE49349">
            <w:pPr>
              <w:tabs>
                <w:tab w:val="left" w:pos="3780"/>
              </w:tabs>
              <w:autoSpaceDN w:val="0"/>
              <w:ind w:firstLine="360"/>
              <w:jc w:val="center"/>
              <w:rPr>
                <w:rFonts w:ascii="仿宋" w:hAnsi="仿宋" w:eastAsia="仿宋" w:cs="仿宋"/>
                <w:color w:val="auto"/>
                <w:sz w:val="24"/>
                <w:szCs w:val="24"/>
                <w:highlight w:val="none"/>
              </w:rPr>
            </w:pPr>
          </w:p>
        </w:tc>
        <w:tc>
          <w:tcPr>
            <w:tcW w:w="820" w:type="dxa"/>
            <w:tcBorders>
              <w:top w:val="single" w:color="auto" w:sz="6" w:space="0"/>
              <w:left w:val="single" w:color="auto" w:sz="6" w:space="0"/>
              <w:bottom w:val="single" w:color="auto" w:sz="6" w:space="0"/>
              <w:right w:val="single" w:color="auto" w:sz="6" w:space="0"/>
            </w:tcBorders>
            <w:vAlign w:val="center"/>
          </w:tcPr>
          <w:p w14:paraId="3AED197B">
            <w:pPr>
              <w:tabs>
                <w:tab w:val="left" w:pos="3780"/>
              </w:tabs>
              <w:autoSpaceDN w:val="0"/>
              <w:ind w:firstLine="360"/>
              <w:jc w:val="center"/>
              <w:rPr>
                <w:rFonts w:ascii="仿宋" w:hAnsi="仿宋" w:eastAsia="仿宋" w:cs="仿宋"/>
                <w:color w:val="auto"/>
                <w:sz w:val="24"/>
                <w:szCs w:val="24"/>
                <w:highlight w:val="none"/>
              </w:rPr>
            </w:pPr>
          </w:p>
        </w:tc>
        <w:tc>
          <w:tcPr>
            <w:tcW w:w="972" w:type="dxa"/>
            <w:tcBorders>
              <w:top w:val="single" w:color="auto" w:sz="6" w:space="0"/>
              <w:left w:val="single" w:color="auto" w:sz="6" w:space="0"/>
              <w:bottom w:val="single" w:color="auto" w:sz="6" w:space="0"/>
              <w:right w:val="single" w:color="auto" w:sz="6" w:space="0"/>
            </w:tcBorders>
            <w:vAlign w:val="center"/>
          </w:tcPr>
          <w:p w14:paraId="00A5879D">
            <w:pPr>
              <w:tabs>
                <w:tab w:val="left" w:pos="3780"/>
              </w:tabs>
              <w:autoSpaceDN w:val="0"/>
              <w:ind w:firstLine="360"/>
              <w:jc w:val="center"/>
              <w:rPr>
                <w:rFonts w:ascii="仿宋" w:hAnsi="仿宋" w:eastAsia="仿宋" w:cs="仿宋"/>
                <w:color w:val="auto"/>
                <w:sz w:val="24"/>
                <w:szCs w:val="24"/>
                <w:highlight w:val="none"/>
              </w:rPr>
            </w:pPr>
          </w:p>
        </w:tc>
        <w:tc>
          <w:tcPr>
            <w:tcW w:w="843" w:type="dxa"/>
            <w:tcBorders>
              <w:top w:val="single" w:color="auto" w:sz="6" w:space="0"/>
              <w:left w:val="single" w:color="auto" w:sz="6" w:space="0"/>
              <w:bottom w:val="single" w:color="auto" w:sz="6" w:space="0"/>
              <w:right w:val="single" w:color="auto" w:sz="6" w:space="0"/>
            </w:tcBorders>
            <w:vAlign w:val="center"/>
          </w:tcPr>
          <w:p w14:paraId="5E418C8C">
            <w:pPr>
              <w:tabs>
                <w:tab w:val="left" w:pos="3780"/>
              </w:tabs>
              <w:autoSpaceDN w:val="0"/>
              <w:ind w:firstLine="360"/>
              <w:jc w:val="center"/>
              <w:rPr>
                <w:rFonts w:ascii="仿宋" w:hAnsi="仿宋" w:eastAsia="仿宋" w:cs="仿宋"/>
                <w:color w:val="auto"/>
                <w:sz w:val="24"/>
                <w:szCs w:val="24"/>
                <w:highlight w:val="none"/>
              </w:rPr>
            </w:pPr>
          </w:p>
        </w:tc>
        <w:tc>
          <w:tcPr>
            <w:tcW w:w="1267" w:type="dxa"/>
            <w:tcBorders>
              <w:top w:val="single" w:color="auto" w:sz="6" w:space="0"/>
              <w:left w:val="single" w:color="auto" w:sz="6" w:space="0"/>
              <w:bottom w:val="single" w:color="auto" w:sz="6" w:space="0"/>
              <w:right w:val="single" w:color="auto" w:sz="8" w:space="0"/>
            </w:tcBorders>
            <w:vAlign w:val="center"/>
          </w:tcPr>
          <w:p w14:paraId="07F3F130">
            <w:pPr>
              <w:tabs>
                <w:tab w:val="left" w:pos="3780"/>
              </w:tabs>
              <w:autoSpaceDN w:val="0"/>
              <w:ind w:firstLine="360"/>
              <w:jc w:val="center"/>
              <w:rPr>
                <w:rFonts w:ascii="仿宋" w:hAnsi="仿宋" w:eastAsia="仿宋" w:cs="仿宋"/>
                <w:color w:val="auto"/>
                <w:sz w:val="24"/>
                <w:szCs w:val="24"/>
                <w:highlight w:val="none"/>
              </w:rPr>
            </w:pPr>
          </w:p>
        </w:tc>
      </w:tr>
      <w:tr w14:paraId="02A8AF53">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15" w:hRule="atLeast"/>
        </w:trPr>
        <w:tc>
          <w:tcPr>
            <w:tcW w:w="724" w:type="dxa"/>
            <w:tcBorders>
              <w:top w:val="single" w:color="auto" w:sz="6" w:space="0"/>
              <w:left w:val="single" w:color="auto" w:sz="8" w:space="0"/>
              <w:bottom w:val="single" w:color="auto" w:sz="6" w:space="0"/>
              <w:right w:val="single" w:color="auto" w:sz="6" w:space="0"/>
            </w:tcBorders>
            <w:vAlign w:val="center"/>
          </w:tcPr>
          <w:p w14:paraId="67456CD4">
            <w:pPr>
              <w:tabs>
                <w:tab w:val="left" w:pos="3780"/>
              </w:tabs>
              <w:autoSpaceDN w:val="0"/>
              <w:ind w:firstLine="360"/>
              <w:jc w:val="center"/>
              <w:rPr>
                <w:rFonts w:ascii="仿宋" w:hAnsi="仿宋" w:eastAsia="仿宋" w:cs="仿宋"/>
                <w:color w:val="auto"/>
                <w:sz w:val="24"/>
                <w:szCs w:val="24"/>
                <w:highlight w:val="none"/>
              </w:rPr>
            </w:pPr>
          </w:p>
        </w:tc>
        <w:tc>
          <w:tcPr>
            <w:tcW w:w="1634" w:type="dxa"/>
            <w:tcBorders>
              <w:top w:val="single" w:color="auto" w:sz="6" w:space="0"/>
              <w:left w:val="single" w:color="auto" w:sz="6" w:space="0"/>
              <w:bottom w:val="single" w:color="auto" w:sz="6" w:space="0"/>
              <w:right w:val="single" w:color="auto" w:sz="6" w:space="0"/>
            </w:tcBorders>
            <w:vAlign w:val="center"/>
          </w:tcPr>
          <w:p w14:paraId="285EEEAB">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（定额编号）</w:t>
            </w:r>
          </w:p>
        </w:tc>
        <w:tc>
          <w:tcPr>
            <w:tcW w:w="1634" w:type="dxa"/>
            <w:tcBorders>
              <w:top w:val="single" w:color="auto" w:sz="6" w:space="0"/>
              <w:left w:val="single" w:color="auto" w:sz="6" w:space="0"/>
              <w:bottom w:val="single" w:color="auto" w:sz="6" w:space="0"/>
              <w:right w:val="single" w:color="auto" w:sz="6" w:space="0"/>
            </w:tcBorders>
            <w:vAlign w:val="center"/>
          </w:tcPr>
          <w:p w14:paraId="63335CB1">
            <w:pPr>
              <w:tabs>
                <w:tab w:val="left" w:pos="378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（定额名称）</w:t>
            </w:r>
          </w:p>
        </w:tc>
        <w:tc>
          <w:tcPr>
            <w:tcW w:w="857" w:type="dxa"/>
            <w:tcBorders>
              <w:top w:val="single" w:color="auto" w:sz="6" w:space="0"/>
              <w:left w:val="single" w:color="auto" w:sz="6" w:space="0"/>
              <w:bottom w:val="single" w:color="auto" w:sz="6" w:space="0"/>
              <w:right w:val="single" w:color="auto" w:sz="6" w:space="0"/>
            </w:tcBorders>
            <w:vAlign w:val="center"/>
          </w:tcPr>
          <w:p w14:paraId="1372D233">
            <w:pPr>
              <w:tabs>
                <w:tab w:val="left" w:pos="3780"/>
              </w:tabs>
              <w:autoSpaceDN w:val="0"/>
              <w:ind w:firstLine="360"/>
              <w:jc w:val="center"/>
              <w:rPr>
                <w:rFonts w:ascii="仿宋" w:hAnsi="仿宋" w:eastAsia="仿宋" w:cs="仿宋"/>
                <w:color w:val="auto"/>
                <w:sz w:val="24"/>
                <w:szCs w:val="24"/>
                <w:highlight w:val="none"/>
              </w:rPr>
            </w:pPr>
          </w:p>
        </w:tc>
        <w:tc>
          <w:tcPr>
            <w:tcW w:w="857" w:type="dxa"/>
            <w:tcBorders>
              <w:top w:val="single" w:color="auto" w:sz="6" w:space="0"/>
              <w:left w:val="single" w:color="auto" w:sz="6" w:space="0"/>
              <w:bottom w:val="single" w:color="auto" w:sz="6" w:space="0"/>
              <w:right w:val="single" w:color="auto" w:sz="6" w:space="0"/>
            </w:tcBorders>
            <w:vAlign w:val="center"/>
          </w:tcPr>
          <w:p w14:paraId="2A45984E">
            <w:pPr>
              <w:tabs>
                <w:tab w:val="left" w:pos="3780"/>
              </w:tabs>
              <w:autoSpaceDN w:val="0"/>
              <w:ind w:firstLine="360"/>
              <w:jc w:val="center"/>
              <w:rPr>
                <w:rFonts w:ascii="仿宋" w:hAnsi="仿宋" w:eastAsia="仿宋" w:cs="仿宋"/>
                <w:color w:val="auto"/>
                <w:sz w:val="24"/>
                <w:szCs w:val="24"/>
                <w:highlight w:val="none"/>
              </w:rPr>
            </w:pPr>
          </w:p>
        </w:tc>
        <w:tc>
          <w:tcPr>
            <w:tcW w:w="1190" w:type="dxa"/>
            <w:tcBorders>
              <w:top w:val="single" w:color="auto" w:sz="6" w:space="0"/>
              <w:left w:val="single" w:color="auto" w:sz="6" w:space="0"/>
              <w:bottom w:val="single" w:color="auto" w:sz="6" w:space="0"/>
              <w:right w:val="single" w:color="auto" w:sz="6" w:space="0"/>
            </w:tcBorders>
            <w:vAlign w:val="center"/>
          </w:tcPr>
          <w:p w14:paraId="1BDACB90">
            <w:pPr>
              <w:tabs>
                <w:tab w:val="left" w:pos="3780"/>
              </w:tabs>
              <w:autoSpaceDN w:val="0"/>
              <w:ind w:firstLine="360"/>
              <w:jc w:val="center"/>
              <w:rPr>
                <w:rFonts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vAlign w:val="center"/>
          </w:tcPr>
          <w:p w14:paraId="1B8DE2D6">
            <w:pPr>
              <w:tabs>
                <w:tab w:val="left" w:pos="3780"/>
              </w:tabs>
              <w:autoSpaceDN w:val="0"/>
              <w:ind w:firstLine="360"/>
              <w:jc w:val="center"/>
              <w:rPr>
                <w:rFonts w:ascii="仿宋" w:hAnsi="仿宋" w:eastAsia="仿宋" w:cs="仿宋"/>
                <w:color w:val="auto"/>
                <w:sz w:val="24"/>
                <w:szCs w:val="24"/>
                <w:highlight w:val="none"/>
              </w:rPr>
            </w:pPr>
          </w:p>
        </w:tc>
        <w:tc>
          <w:tcPr>
            <w:tcW w:w="1238" w:type="dxa"/>
            <w:tcBorders>
              <w:top w:val="single" w:color="auto" w:sz="6" w:space="0"/>
              <w:left w:val="single" w:color="auto" w:sz="6" w:space="0"/>
              <w:bottom w:val="single" w:color="auto" w:sz="6" w:space="0"/>
              <w:right w:val="single" w:color="auto" w:sz="6" w:space="0"/>
            </w:tcBorders>
            <w:vAlign w:val="center"/>
          </w:tcPr>
          <w:p w14:paraId="263E7A0B">
            <w:pPr>
              <w:tabs>
                <w:tab w:val="left" w:pos="3780"/>
              </w:tabs>
              <w:autoSpaceDN w:val="0"/>
              <w:ind w:firstLine="360"/>
              <w:jc w:val="center"/>
              <w:rPr>
                <w:rFonts w:ascii="仿宋" w:hAnsi="仿宋" w:eastAsia="仿宋" w:cs="仿宋"/>
                <w:color w:val="auto"/>
                <w:sz w:val="24"/>
                <w:szCs w:val="24"/>
                <w:highlight w:val="none"/>
              </w:rPr>
            </w:pPr>
          </w:p>
        </w:tc>
        <w:tc>
          <w:tcPr>
            <w:tcW w:w="1172" w:type="dxa"/>
            <w:tcBorders>
              <w:top w:val="single" w:color="auto" w:sz="6" w:space="0"/>
              <w:left w:val="single" w:color="auto" w:sz="6" w:space="0"/>
              <w:bottom w:val="single" w:color="auto" w:sz="6" w:space="0"/>
              <w:right w:val="single" w:color="auto" w:sz="6" w:space="0"/>
            </w:tcBorders>
            <w:vAlign w:val="center"/>
          </w:tcPr>
          <w:p w14:paraId="2493609D">
            <w:pPr>
              <w:tabs>
                <w:tab w:val="left" w:pos="3780"/>
              </w:tabs>
              <w:autoSpaceDN w:val="0"/>
              <w:ind w:firstLine="360"/>
              <w:jc w:val="center"/>
              <w:rPr>
                <w:rFonts w:ascii="仿宋" w:hAnsi="仿宋" w:eastAsia="仿宋" w:cs="仿宋"/>
                <w:color w:val="auto"/>
                <w:sz w:val="24"/>
                <w:szCs w:val="24"/>
                <w:highlight w:val="none"/>
              </w:rPr>
            </w:pPr>
          </w:p>
        </w:tc>
        <w:tc>
          <w:tcPr>
            <w:tcW w:w="820" w:type="dxa"/>
            <w:tcBorders>
              <w:top w:val="single" w:color="auto" w:sz="6" w:space="0"/>
              <w:left w:val="single" w:color="auto" w:sz="6" w:space="0"/>
              <w:bottom w:val="single" w:color="auto" w:sz="6" w:space="0"/>
              <w:right w:val="single" w:color="auto" w:sz="6" w:space="0"/>
            </w:tcBorders>
            <w:vAlign w:val="center"/>
          </w:tcPr>
          <w:p w14:paraId="77486880">
            <w:pPr>
              <w:tabs>
                <w:tab w:val="left" w:pos="3780"/>
              </w:tabs>
              <w:autoSpaceDN w:val="0"/>
              <w:ind w:firstLine="360"/>
              <w:jc w:val="center"/>
              <w:rPr>
                <w:rFonts w:ascii="仿宋" w:hAnsi="仿宋" w:eastAsia="仿宋" w:cs="仿宋"/>
                <w:color w:val="auto"/>
                <w:sz w:val="24"/>
                <w:szCs w:val="24"/>
                <w:highlight w:val="none"/>
              </w:rPr>
            </w:pPr>
          </w:p>
        </w:tc>
        <w:tc>
          <w:tcPr>
            <w:tcW w:w="972" w:type="dxa"/>
            <w:tcBorders>
              <w:top w:val="single" w:color="auto" w:sz="6" w:space="0"/>
              <w:left w:val="single" w:color="auto" w:sz="6" w:space="0"/>
              <w:bottom w:val="single" w:color="auto" w:sz="6" w:space="0"/>
              <w:right w:val="single" w:color="auto" w:sz="6" w:space="0"/>
            </w:tcBorders>
            <w:vAlign w:val="center"/>
          </w:tcPr>
          <w:p w14:paraId="5363998A">
            <w:pPr>
              <w:tabs>
                <w:tab w:val="left" w:pos="3780"/>
              </w:tabs>
              <w:autoSpaceDN w:val="0"/>
              <w:ind w:firstLine="360"/>
              <w:jc w:val="center"/>
              <w:rPr>
                <w:rFonts w:ascii="仿宋" w:hAnsi="仿宋" w:eastAsia="仿宋" w:cs="仿宋"/>
                <w:color w:val="auto"/>
                <w:sz w:val="24"/>
                <w:szCs w:val="24"/>
                <w:highlight w:val="none"/>
              </w:rPr>
            </w:pPr>
          </w:p>
        </w:tc>
        <w:tc>
          <w:tcPr>
            <w:tcW w:w="843" w:type="dxa"/>
            <w:tcBorders>
              <w:top w:val="single" w:color="auto" w:sz="6" w:space="0"/>
              <w:left w:val="single" w:color="auto" w:sz="6" w:space="0"/>
              <w:bottom w:val="single" w:color="auto" w:sz="6" w:space="0"/>
              <w:right w:val="single" w:color="auto" w:sz="6" w:space="0"/>
            </w:tcBorders>
            <w:vAlign w:val="center"/>
          </w:tcPr>
          <w:p w14:paraId="4B696482">
            <w:pPr>
              <w:tabs>
                <w:tab w:val="left" w:pos="3780"/>
              </w:tabs>
              <w:autoSpaceDN w:val="0"/>
              <w:ind w:firstLine="360"/>
              <w:jc w:val="center"/>
              <w:rPr>
                <w:rFonts w:ascii="仿宋" w:hAnsi="仿宋" w:eastAsia="仿宋" w:cs="仿宋"/>
                <w:color w:val="auto"/>
                <w:sz w:val="24"/>
                <w:szCs w:val="24"/>
                <w:highlight w:val="none"/>
              </w:rPr>
            </w:pPr>
          </w:p>
        </w:tc>
        <w:tc>
          <w:tcPr>
            <w:tcW w:w="1267" w:type="dxa"/>
            <w:tcBorders>
              <w:top w:val="single" w:color="auto" w:sz="6" w:space="0"/>
              <w:left w:val="single" w:color="auto" w:sz="6" w:space="0"/>
              <w:bottom w:val="single" w:color="auto" w:sz="6" w:space="0"/>
              <w:right w:val="single" w:color="auto" w:sz="8" w:space="0"/>
            </w:tcBorders>
            <w:vAlign w:val="center"/>
          </w:tcPr>
          <w:p w14:paraId="65A96C5F">
            <w:pPr>
              <w:tabs>
                <w:tab w:val="left" w:pos="3780"/>
              </w:tabs>
              <w:autoSpaceDN w:val="0"/>
              <w:ind w:firstLine="360"/>
              <w:jc w:val="center"/>
              <w:rPr>
                <w:rFonts w:ascii="仿宋" w:hAnsi="仿宋" w:eastAsia="仿宋" w:cs="仿宋"/>
                <w:color w:val="auto"/>
                <w:sz w:val="24"/>
                <w:szCs w:val="24"/>
                <w:highlight w:val="none"/>
              </w:rPr>
            </w:pPr>
          </w:p>
        </w:tc>
      </w:tr>
      <w:tr w14:paraId="6DDA02A3">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14" w:hRule="atLeast"/>
        </w:trPr>
        <w:tc>
          <w:tcPr>
            <w:tcW w:w="724" w:type="dxa"/>
            <w:tcBorders>
              <w:top w:val="single" w:color="auto" w:sz="6" w:space="0"/>
              <w:left w:val="single" w:color="auto" w:sz="8" w:space="0"/>
              <w:bottom w:val="single" w:color="auto" w:sz="6" w:space="0"/>
              <w:right w:val="single" w:color="auto" w:sz="6" w:space="0"/>
            </w:tcBorders>
            <w:vAlign w:val="center"/>
          </w:tcPr>
          <w:p w14:paraId="67915BA1">
            <w:pPr>
              <w:tabs>
                <w:tab w:val="left" w:pos="3780"/>
              </w:tabs>
              <w:autoSpaceDN w:val="0"/>
              <w:ind w:firstLine="360"/>
              <w:jc w:val="center"/>
              <w:rPr>
                <w:rFonts w:ascii="仿宋" w:hAnsi="仿宋" w:eastAsia="仿宋" w:cs="仿宋"/>
                <w:color w:val="auto"/>
                <w:sz w:val="24"/>
                <w:szCs w:val="24"/>
                <w:highlight w:val="none"/>
              </w:rPr>
            </w:pPr>
          </w:p>
        </w:tc>
        <w:tc>
          <w:tcPr>
            <w:tcW w:w="1634" w:type="dxa"/>
            <w:tcBorders>
              <w:top w:val="single" w:color="auto" w:sz="6" w:space="0"/>
              <w:left w:val="single" w:color="auto" w:sz="6" w:space="0"/>
              <w:bottom w:val="single" w:color="auto" w:sz="6" w:space="0"/>
              <w:right w:val="single" w:color="auto" w:sz="6" w:space="0"/>
            </w:tcBorders>
            <w:vAlign w:val="center"/>
          </w:tcPr>
          <w:p w14:paraId="56309D7B">
            <w:pPr>
              <w:tabs>
                <w:tab w:val="left" w:pos="3780"/>
              </w:tabs>
              <w:autoSpaceDN w:val="0"/>
              <w:ind w:firstLine="36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634" w:type="dxa"/>
            <w:tcBorders>
              <w:top w:val="single" w:color="auto" w:sz="6" w:space="0"/>
              <w:left w:val="single" w:color="auto" w:sz="6" w:space="0"/>
              <w:bottom w:val="single" w:color="auto" w:sz="6" w:space="0"/>
              <w:right w:val="single" w:color="auto" w:sz="6" w:space="0"/>
            </w:tcBorders>
            <w:vAlign w:val="center"/>
          </w:tcPr>
          <w:p w14:paraId="10A89310">
            <w:pPr>
              <w:tabs>
                <w:tab w:val="left" w:pos="3780"/>
              </w:tabs>
              <w:autoSpaceDN w:val="0"/>
              <w:ind w:firstLine="36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857" w:type="dxa"/>
            <w:tcBorders>
              <w:top w:val="single" w:color="auto" w:sz="6" w:space="0"/>
              <w:left w:val="single" w:color="auto" w:sz="6" w:space="0"/>
              <w:bottom w:val="single" w:color="auto" w:sz="6" w:space="0"/>
              <w:right w:val="single" w:color="auto" w:sz="6" w:space="0"/>
            </w:tcBorders>
            <w:vAlign w:val="center"/>
          </w:tcPr>
          <w:p w14:paraId="0E3531EF">
            <w:pPr>
              <w:tabs>
                <w:tab w:val="left" w:pos="3780"/>
              </w:tabs>
              <w:autoSpaceDN w:val="0"/>
              <w:ind w:firstLine="360"/>
              <w:jc w:val="center"/>
              <w:rPr>
                <w:rFonts w:ascii="仿宋" w:hAnsi="仿宋" w:eastAsia="仿宋" w:cs="仿宋"/>
                <w:color w:val="auto"/>
                <w:sz w:val="24"/>
                <w:szCs w:val="24"/>
                <w:highlight w:val="none"/>
              </w:rPr>
            </w:pPr>
          </w:p>
        </w:tc>
        <w:tc>
          <w:tcPr>
            <w:tcW w:w="857" w:type="dxa"/>
            <w:tcBorders>
              <w:top w:val="single" w:color="auto" w:sz="6" w:space="0"/>
              <w:left w:val="single" w:color="auto" w:sz="6" w:space="0"/>
              <w:bottom w:val="single" w:color="auto" w:sz="6" w:space="0"/>
              <w:right w:val="single" w:color="auto" w:sz="6" w:space="0"/>
            </w:tcBorders>
            <w:vAlign w:val="center"/>
          </w:tcPr>
          <w:p w14:paraId="0B30A606">
            <w:pPr>
              <w:tabs>
                <w:tab w:val="left" w:pos="3780"/>
              </w:tabs>
              <w:autoSpaceDN w:val="0"/>
              <w:ind w:firstLine="360"/>
              <w:jc w:val="center"/>
              <w:rPr>
                <w:rFonts w:ascii="仿宋" w:hAnsi="仿宋" w:eastAsia="仿宋" w:cs="仿宋"/>
                <w:color w:val="auto"/>
                <w:sz w:val="24"/>
                <w:szCs w:val="24"/>
                <w:highlight w:val="none"/>
              </w:rPr>
            </w:pPr>
          </w:p>
        </w:tc>
        <w:tc>
          <w:tcPr>
            <w:tcW w:w="1190" w:type="dxa"/>
            <w:tcBorders>
              <w:top w:val="single" w:color="auto" w:sz="6" w:space="0"/>
              <w:left w:val="single" w:color="auto" w:sz="6" w:space="0"/>
              <w:bottom w:val="single" w:color="auto" w:sz="6" w:space="0"/>
              <w:right w:val="single" w:color="auto" w:sz="6" w:space="0"/>
            </w:tcBorders>
            <w:vAlign w:val="center"/>
          </w:tcPr>
          <w:p w14:paraId="70441D6F">
            <w:pPr>
              <w:tabs>
                <w:tab w:val="left" w:pos="3780"/>
              </w:tabs>
              <w:autoSpaceDN w:val="0"/>
              <w:ind w:firstLine="360"/>
              <w:jc w:val="center"/>
              <w:rPr>
                <w:rFonts w:ascii="仿宋" w:hAnsi="仿宋" w:eastAsia="仿宋" w:cs="仿宋"/>
                <w:color w:val="auto"/>
                <w:sz w:val="24"/>
                <w:szCs w:val="24"/>
                <w:highlight w:val="none"/>
              </w:rPr>
            </w:pPr>
          </w:p>
        </w:tc>
        <w:tc>
          <w:tcPr>
            <w:tcW w:w="1124" w:type="dxa"/>
            <w:tcBorders>
              <w:top w:val="single" w:color="auto" w:sz="6" w:space="0"/>
              <w:left w:val="single" w:color="auto" w:sz="6" w:space="0"/>
              <w:bottom w:val="single" w:color="auto" w:sz="6" w:space="0"/>
              <w:right w:val="single" w:color="auto" w:sz="6" w:space="0"/>
            </w:tcBorders>
            <w:vAlign w:val="center"/>
          </w:tcPr>
          <w:p w14:paraId="71AE1ABF">
            <w:pPr>
              <w:tabs>
                <w:tab w:val="left" w:pos="3780"/>
              </w:tabs>
              <w:autoSpaceDN w:val="0"/>
              <w:ind w:firstLine="360"/>
              <w:jc w:val="center"/>
              <w:rPr>
                <w:rFonts w:ascii="仿宋" w:hAnsi="仿宋" w:eastAsia="仿宋" w:cs="仿宋"/>
                <w:color w:val="auto"/>
                <w:sz w:val="24"/>
                <w:szCs w:val="24"/>
                <w:highlight w:val="none"/>
              </w:rPr>
            </w:pPr>
          </w:p>
        </w:tc>
        <w:tc>
          <w:tcPr>
            <w:tcW w:w="1238" w:type="dxa"/>
            <w:tcBorders>
              <w:top w:val="single" w:color="auto" w:sz="6" w:space="0"/>
              <w:left w:val="single" w:color="auto" w:sz="6" w:space="0"/>
              <w:bottom w:val="single" w:color="auto" w:sz="6" w:space="0"/>
              <w:right w:val="single" w:color="auto" w:sz="6" w:space="0"/>
            </w:tcBorders>
            <w:vAlign w:val="center"/>
          </w:tcPr>
          <w:p w14:paraId="40C6064D">
            <w:pPr>
              <w:tabs>
                <w:tab w:val="left" w:pos="3780"/>
              </w:tabs>
              <w:autoSpaceDN w:val="0"/>
              <w:ind w:firstLine="360"/>
              <w:jc w:val="center"/>
              <w:rPr>
                <w:rFonts w:ascii="仿宋" w:hAnsi="仿宋" w:eastAsia="仿宋" w:cs="仿宋"/>
                <w:color w:val="auto"/>
                <w:sz w:val="24"/>
                <w:szCs w:val="24"/>
                <w:highlight w:val="none"/>
              </w:rPr>
            </w:pPr>
          </w:p>
        </w:tc>
        <w:tc>
          <w:tcPr>
            <w:tcW w:w="1172" w:type="dxa"/>
            <w:tcBorders>
              <w:top w:val="single" w:color="auto" w:sz="6" w:space="0"/>
              <w:left w:val="single" w:color="auto" w:sz="6" w:space="0"/>
              <w:bottom w:val="single" w:color="auto" w:sz="6" w:space="0"/>
              <w:right w:val="single" w:color="auto" w:sz="6" w:space="0"/>
            </w:tcBorders>
            <w:vAlign w:val="center"/>
          </w:tcPr>
          <w:p w14:paraId="2D193062">
            <w:pPr>
              <w:tabs>
                <w:tab w:val="left" w:pos="3780"/>
              </w:tabs>
              <w:autoSpaceDN w:val="0"/>
              <w:ind w:firstLine="360"/>
              <w:jc w:val="center"/>
              <w:rPr>
                <w:rFonts w:ascii="仿宋" w:hAnsi="仿宋" w:eastAsia="仿宋" w:cs="仿宋"/>
                <w:color w:val="auto"/>
                <w:sz w:val="24"/>
                <w:szCs w:val="24"/>
                <w:highlight w:val="none"/>
              </w:rPr>
            </w:pPr>
          </w:p>
        </w:tc>
        <w:tc>
          <w:tcPr>
            <w:tcW w:w="820" w:type="dxa"/>
            <w:tcBorders>
              <w:top w:val="single" w:color="auto" w:sz="6" w:space="0"/>
              <w:left w:val="single" w:color="auto" w:sz="6" w:space="0"/>
              <w:bottom w:val="single" w:color="auto" w:sz="6" w:space="0"/>
              <w:right w:val="single" w:color="auto" w:sz="6" w:space="0"/>
            </w:tcBorders>
            <w:vAlign w:val="center"/>
          </w:tcPr>
          <w:p w14:paraId="7B6FF7CD">
            <w:pPr>
              <w:tabs>
                <w:tab w:val="left" w:pos="3780"/>
              </w:tabs>
              <w:autoSpaceDN w:val="0"/>
              <w:ind w:firstLine="360"/>
              <w:jc w:val="center"/>
              <w:rPr>
                <w:rFonts w:ascii="仿宋" w:hAnsi="仿宋" w:eastAsia="仿宋" w:cs="仿宋"/>
                <w:color w:val="auto"/>
                <w:sz w:val="24"/>
                <w:szCs w:val="24"/>
                <w:highlight w:val="none"/>
              </w:rPr>
            </w:pPr>
          </w:p>
        </w:tc>
        <w:tc>
          <w:tcPr>
            <w:tcW w:w="972" w:type="dxa"/>
            <w:tcBorders>
              <w:top w:val="single" w:color="auto" w:sz="6" w:space="0"/>
              <w:left w:val="single" w:color="auto" w:sz="6" w:space="0"/>
              <w:bottom w:val="single" w:color="auto" w:sz="6" w:space="0"/>
              <w:right w:val="single" w:color="auto" w:sz="6" w:space="0"/>
            </w:tcBorders>
            <w:vAlign w:val="center"/>
          </w:tcPr>
          <w:p w14:paraId="204B3A8B">
            <w:pPr>
              <w:tabs>
                <w:tab w:val="left" w:pos="3780"/>
              </w:tabs>
              <w:autoSpaceDN w:val="0"/>
              <w:ind w:firstLine="360"/>
              <w:jc w:val="center"/>
              <w:rPr>
                <w:rFonts w:ascii="仿宋" w:hAnsi="仿宋" w:eastAsia="仿宋" w:cs="仿宋"/>
                <w:color w:val="auto"/>
                <w:sz w:val="24"/>
                <w:szCs w:val="24"/>
                <w:highlight w:val="none"/>
              </w:rPr>
            </w:pPr>
          </w:p>
        </w:tc>
        <w:tc>
          <w:tcPr>
            <w:tcW w:w="843" w:type="dxa"/>
            <w:tcBorders>
              <w:top w:val="single" w:color="auto" w:sz="6" w:space="0"/>
              <w:left w:val="single" w:color="auto" w:sz="6" w:space="0"/>
              <w:bottom w:val="single" w:color="auto" w:sz="6" w:space="0"/>
              <w:right w:val="single" w:color="auto" w:sz="6" w:space="0"/>
            </w:tcBorders>
            <w:vAlign w:val="center"/>
          </w:tcPr>
          <w:p w14:paraId="3C0F4EFD">
            <w:pPr>
              <w:tabs>
                <w:tab w:val="left" w:pos="3780"/>
              </w:tabs>
              <w:autoSpaceDN w:val="0"/>
              <w:ind w:firstLine="360"/>
              <w:jc w:val="center"/>
              <w:rPr>
                <w:rFonts w:ascii="仿宋" w:hAnsi="仿宋" w:eastAsia="仿宋" w:cs="仿宋"/>
                <w:color w:val="auto"/>
                <w:sz w:val="24"/>
                <w:szCs w:val="24"/>
                <w:highlight w:val="none"/>
              </w:rPr>
            </w:pPr>
          </w:p>
        </w:tc>
        <w:tc>
          <w:tcPr>
            <w:tcW w:w="1267" w:type="dxa"/>
            <w:tcBorders>
              <w:top w:val="single" w:color="auto" w:sz="6" w:space="0"/>
              <w:left w:val="single" w:color="auto" w:sz="6" w:space="0"/>
              <w:bottom w:val="single" w:color="auto" w:sz="6" w:space="0"/>
              <w:right w:val="single" w:color="auto" w:sz="8" w:space="0"/>
            </w:tcBorders>
            <w:vAlign w:val="center"/>
          </w:tcPr>
          <w:p w14:paraId="4BF4FE4A">
            <w:pPr>
              <w:tabs>
                <w:tab w:val="left" w:pos="3780"/>
              </w:tabs>
              <w:autoSpaceDN w:val="0"/>
              <w:ind w:firstLine="360"/>
              <w:jc w:val="center"/>
              <w:rPr>
                <w:rFonts w:ascii="仿宋" w:hAnsi="仿宋" w:eastAsia="仿宋" w:cs="仿宋"/>
                <w:color w:val="auto"/>
                <w:sz w:val="24"/>
                <w:szCs w:val="24"/>
                <w:highlight w:val="none"/>
              </w:rPr>
            </w:pPr>
          </w:p>
        </w:tc>
      </w:tr>
      <w:tr w14:paraId="30C3E3F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04" w:hRule="atLeast"/>
        </w:trPr>
        <w:tc>
          <w:tcPr>
            <w:tcW w:w="13065" w:type="dxa"/>
            <w:gridSpan w:val="12"/>
            <w:tcBorders>
              <w:top w:val="single" w:color="auto" w:sz="6" w:space="0"/>
              <w:left w:val="single" w:color="auto" w:sz="8" w:space="0"/>
              <w:bottom w:val="single" w:color="auto" w:sz="8" w:space="0"/>
              <w:right w:val="single" w:color="auto" w:sz="6" w:space="0"/>
            </w:tcBorders>
            <w:vAlign w:val="center"/>
          </w:tcPr>
          <w:p w14:paraId="2CB2D3E4">
            <w:pPr>
              <w:tabs>
                <w:tab w:val="left" w:pos="3780"/>
              </w:tabs>
              <w:autoSpaceDN w:val="0"/>
              <w:ind w:firstLine="36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  计：</w:t>
            </w:r>
          </w:p>
        </w:tc>
        <w:tc>
          <w:tcPr>
            <w:tcW w:w="1267" w:type="dxa"/>
            <w:tcBorders>
              <w:top w:val="single" w:color="auto" w:sz="6" w:space="0"/>
              <w:left w:val="single" w:color="auto" w:sz="6" w:space="0"/>
              <w:bottom w:val="single" w:color="auto" w:sz="8" w:space="0"/>
              <w:right w:val="single" w:color="auto" w:sz="8" w:space="0"/>
            </w:tcBorders>
            <w:vAlign w:val="center"/>
          </w:tcPr>
          <w:p w14:paraId="1AE8728B">
            <w:pPr>
              <w:tabs>
                <w:tab w:val="left" w:pos="3780"/>
              </w:tabs>
              <w:autoSpaceDN w:val="0"/>
              <w:ind w:firstLine="360"/>
              <w:jc w:val="center"/>
              <w:rPr>
                <w:rFonts w:ascii="仿宋" w:hAnsi="仿宋" w:eastAsia="仿宋" w:cs="仿宋"/>
                <w:color w:val="auto"/>
                <w:sz w:val="24"/>
                <w:szCs w:val="24"/>
                <w:highlight w:val="none"/>
              </w:rPr>
            </w:pPr>
          </w:p>
        </w:tc>
      </w:tr>
    </w:tbl>
    <w:p w14:paraId="521DEF46">
      <w:pPr>
        <w:widowControl/>
        <w:tabs>
          <w:tab w:val="center" w:pos="4755"/>
          <w:tab w:val="right" w:pos="9070"/>
        </w:tabs>
        <w:autoSpaceDN w:val="0"/>
        <w:rPr>
          <w:rFonts w:ascii="仿宋" w:hAnsi="仿宋" w:eastAsia="仿宋" w:cs="仿宋"/>
          <w:color w:val="auto"/>
          <w:sz w:val="24"/>
          <w:szCs w:val="24"/>
          <w:highlight w:val="none"/>
        </w:rPr>
      </w:pPr>
    </w:p>
    <w:p w14:paraId="40A1FDC0">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注：表（1）、（2）栏中清单编号和措施项目清单名称由采购人按需要提出。</w:t>
      </w:r>
    </w:p>
    <w:p w14:paraId="63FE61D1">
      <w:pPr>
        <w:widowControl/>
        <w:spacing w:beforeAutospacing="1" w:afterAutospacing="1"/>
        <w:jc w:val="left"/>
        <w:rPr>
          <w:rFonts w:ascii="仿宋" w:hAnsi="仿宋" w:eastAsia="仿宋" w:cs="仿宋"/>
          <w:color w:val="auto"/>
          <w:sz w:val="24"/>
          <w:szCs w:val="24"/>
          <w:highlight w:val="none"/>
        </w:rPr>
        <w:sectPr>
          <w:pgSz w:w="16838" w:h="11906" w:orient="landscape"/>
          <w:pgMar w:top="1418" w:right="1440" w:bottom="1418" w:left="1440" w:header="851" w:footer="1077" w:gutter="0"/>
          <w:cols w:space="720" w:num="1"/>
          <w:docGrid w:type="linesAndChars" w:linePitch="312" w:charSpace="0"/>
        </w:sectPr>
      </w:pPr>
    </w:p>
    <w:p w14:paraId="2E54E67A">
      <w:pPr>
        <w:widowControl/>
        <w:tabs>
          <w:tab w:val="center" w:pos="4755"/>
          <w:tab w:val="right" w:pos="9070"/>
        </w:tabs>
        <w:autoSpaceDN w:val="0"/>
        <w:rPr>
          <w:rFonts w:ascii="仿宋" w:hAnsi="仿宋" w:eastAsia="仿宋" w:cs="仿宋"/>
          <w:color w:val="auto"/>
          <w:sz w:val="24"/>
          <w:szCs w:val="24"/>
          <w:highlight w:val="none"/>
        </w:rPr>
      </w:pPr>
    </w:p>
    <w:p w14:paraId="4609AEE7">
      <w:pPr>
        <w:widowControl/>
        <w:spacing w:beforeAutospacing="1" w:afterAutospacing="1"/>
        <w:jc w:val="left"/>
        <w:rPr>
          <w:rFonts w:ascii="仿宋" w:hAnsi="仿宋" w:eastAsia="仿宋" w:cs="Times New Roman"/>
          <w:b/>
          <w:bCs/>
          <w:color w:val="auto"/>
          <w:kern w:val="0"/>
          <w:sz w:val="24"/>
          <w:szCs w:val="24"/>
          <w:highlight w:val="none"/>
        </w:rPr>
        <w:sectPr>
          <w:type w:val="continuous"/>
          <w:pgSz w:w="16838" w:h="11906" w:orient="landscape"/>
          <w:pgMar w:top="1418" w:right="1440" w:bottom="1418" w:left="1440" w:header="851" w:footer="992" w:gutter="0"/>
          <w:cols w:space="720" w:num="1"/>
          <w:docGrid w:type="linesAndChars" w:linePitch="312" w:charSpace="0"/>
        </w:sectPr>
      </w:pPr>
    </w:p>
    <w:p w14:paraId="0ECBC090">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表2-3  综合单价工料机分析表</w:t>
      </w:r>
    </w:p>
    <w:p w14:paraId="28D4FA9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项目编码:                                             计量单位：</w:t>
      </w:r>
    </w:p>
    <w:p w14:paraId="6F0265BA">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第 页共 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877"/>
        <w:gridCol w:w="1226"/>
        <w:gridCol w:w="1471"/>
        <w:gridCol w:w="1751"/>
        <w:gridCol w:w="1404"/>
        <w:gridCol w:w="1751"/>
      </w:tblGrid>
      <w:tr w14:paraId="51080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806" w:type="dxa"/>
            <w:vMerge w:val="restart"/>
            <w:tcBorders>
              <w:top w:val="single" w:color="auto" w:sz="4" w:space="0"/>
              <w:left w:val="single" w:color="auto" w:sz="4" w:space="0"/>
              <w:bottom w:val="single" w:color="auto" w:sz="4" w:space="0"/>
              <w:right w:val="single" w:color="auto" w:sz="4" w:space="0"/>
            </w:tcBorders>
            <w:vAlign w:val="center"/>
          </w:tcPr>
          <w:p w14:paraId="0BDE81B6">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103" w:type="dxa"/>
            <w:gridSpan w:val="2"/>
            <w:vMerge w:val="restart"/>
            <w:tcBorders>
              <w:top w:val="single" w:color="auto" w:sz="4" w:space="0"/>
              <w:left w:val="single" w:color="auto" w:sz="4" w:space="0"/>
              <w:bottom w:val="single" w:color="auto" w:sz="4" w:space="0"/>
              <w:right w:val="single" w:color="auto" w:sz="4" w:space="0"/>
            </w:tcBorders>
            <w:vAlign w:val="center"/>
          </w:tcPr>
          <w:p w14:paraId="3F6B9025">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名称及规格</w:t>
            </w:r>
          </w:p>
        </w:tc>
        <w:tc>
          <w:tcPr>
            <w:tcW w:w="1471" w:type="dxa"/>
            <w:vMerge w:val="restart"/>
            <w:tcBorders>
              <w:top w:val="single" w:color="auto" w:sz="4" w:space="0"/>
              <w:left w:val="single" w:color="auto" w:sz="4" w:space="0"/>
              <w:bottom w:val="single" w:color="auto" w:sz="4" w:space="0"/>
              <w:right w:val="single" w:color="auto" w:sz="4" w:space="0"/>
            </w:tcBorders>
            <w:vAlign w:val="center"/>
          </w:tcPr>
          <w:p w14:paraId="76A8C06D">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751" w:type="dxa"/>
            <w:vMerge w:val="restart"/>
            <w:tcBorders>
              <w:top w:val="single" w:color="auto" w:sz="4" w:space="0"/>
              <w:left w:val="single" w:color="auto" w:sz="4" w:space="0"/>
              <w:bottom w:val="single" w:color="auto" w:sz="4" w:space="0"/>
              <w:right w:val="single" w:color="auto" w:sz="4" w:space="0"/>
            </w:tcBorders>
            <w:vAlign w:val="center"/>
          </w:tcPr>
          <w:p w14:paraId="7B6F516D">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3155" w:type="dxa"/>
            <w:gridSpan w:val="2"/>
            <w:tcBorders>
              <w:top w:val="single" w:color="auto" w:sz="4" w:space="0"/>
              <w:left w:val="single" w:color="auto" w:sz="4" w:space="0"/>
              <w:bottom w:val="single" w:color="auto" w:sz="4" w:space="0"/>
              <w:right w:val="single" w:color="auto" w:sz="4" w:space="0"/>
            </w:tcBorders>
            <w:vAlign w:val="center"/>
          </w:tcPr>
          <w:p w14:paraId="26B4C089">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金额(元)</w:t>
            </w:r>
          </w:p>
        </w:tc>
      </w:tr>
      <w:tr w14:paraId="31C6A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0C2FFB99">
            <w:pPr>
              <w:widowControl/>
              <w:jc w:val="left"/>
              <w:rPr>
                <w:rFonts w:ascii="仿宋" w:hAnsi="仿宋" w:eastAsia="仿宋" w:cs="仿宋"/>
                <w:color w:val="auto"/>
                <w:sz w:val="24"/>
                <w:szCs w:val="24"/>
                <w:highlight w:val="none"/>
              </w:rPr>
            </w:pPr>
          </w:p>
        </w:tc>
        <w:tc>
          <w:tcPr>
            <w:tcW w:w="7955" w:type="dxa"/>
            <w:gridSpan w:val="2"/>
            <w:vMerge w:val="continue"/>
            <w:tcBorders>
              <w:top w:val="single" w:color="auto" w:sz="4" w:space="0"/>
              <w:left w:val="single" w:color="auto" w:sz="4" w:space="0"/>
              <w:bottom w:val="single" w:color="auto" w:sz="4" w:space="0"/>
              <w:right w:val="single" w:color="auto" w:sz="4" w:space="0"/>
            </w:tcBorders>
            <w:vAlign w:val="center"/>
          </w:tcPr>
          <w:p w14:paraId="511C7CA2">
            <w:pPr>
              <w:widowControl/>
              <w:jc w:val="left"/>
              <w:rPr>
                <w:rFonts w:ascii="仿宋" w:hAnsi="仿宋" w:eastAsia="仿宋" w:cs="仿宋"/>
                <w:color w:val="auto"/>
                <w:sz w:val="24"/>
                <w:szCs w:val="24"/>
                <w:highlight w:val="none"/>
              </w:rPr>
            </w:pPr>
          </w:p>
        </w:tc>
        <w:tc>
          <w:tcPr>
            <w:tcW w:w="1471" w:type="dxa"/>
            <w:vMerge w:val="continue"/>
            <w:tcBorders>
              <w:top w:val="single" w:color="auto" w:sz="4" w:space="0"/>
              <w:left w:val="single" w:color="auto" w:sz="4" w:space="0"/>
              <w:bottom w:val="single" w:color="auto" w:sz="4" w:space="0"/>
              <w:right w:val="single" w:color="auto" w:sz="4" w:space="0"/>
            </w:tcBorders>
            <w:vAlign w:val="center"/>
          </w:tcPr>
          <w:p w14:paraId="55081B24">
            <w:pPr>
              <w:widowControl/>
              <w:jc w:val="left"/>
              <w:rPr>
                <w:rFonts w:ascii="仿宋" w:hAnsi="仿宋" w:eastAsia="仿宋" w:cs="仿宋"/>
                <w:color w:val="auto"/>
                <w:sz w:val="24"/>
                <w:szCs w:val="24"/>
                <w:highlight w:val="none"/>
              </w:rPr>
            </w:pPr>
          </w:p>
        </w:tc>
        <w:tc>
          <w:tcPr>
            <w:tcW w:w="1751" w:type="dxa"/>
            <w:vMerge w:val="continue"/>
            <w:tcBorders>
              <w:top w:val="single" w:color="auto" w:sz="4" w:space="0"/>
              <w:left w:val="single" w:color="auto" w:sz="4" w:space="0"/>
              <w:bottom w:val="single" w:color="auto" w:sz="4" w:space="0"/>
              <w:right w:val="single" w:color="auto" w:sz="4" w:space="0"/>
            </w:tcBorders>
            <w:vAlign w:val="center"/>
          </w:tcPr>
          <w:p w14:paraId="05F1E811">
            <w:pPr>
              <w:widowControl/>
              <w:jc w:val="left"/>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vAlign w:val="center"/>
          </w:tcPr>
          <w:p w14:paraId="4C344E62">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单价</w:t>
            </w:r>
          </w:p>
        </w:tc>
        <w:tc>
          <w:tcPr>
            <w:tcW w:w="1751" w:type="dxa"/>
            <w:tcBorders>
              <w:top w:val="single" w:color="auto" w:sz="4" w:space="0"/>
              <w:left w:val="single" w:color="auto" w:sz="4" w:space="0"/>
              <w:bottom w:val="single" w:color="auto" w:sz="4" w:space="0"/>
              <w:right w:val="single" w:color="auto" w:sz="4" w:space="0"/>
            </w:tcBorders>
            <w:vAlign w:val="center"/>
          </w:tcPr>
          <w:p w14:paraId="49BD3F86">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合价</w:t>
            </w:r>
          </w:p>
        </w:tc>
      </w:tr>
      <w:tr w14:paraId="6467E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restart"/>
            <w:tcBorders>
              <w:top w:val="single" w:color="auto" w:sz="4" w:space="0"/>
              <w:left w:val="single" w:color="auto" w:sz="4" w:space="0"/>
              <w:bottom w:val="single" w:color="auto" w:sz="4" w:space="0"/>
              <w:right w:val="single" w:color="auto" w:sz="4" w:space="0"/>
            </w:tcBorders>
          </w:tcPr>
          <w:p w14:paraId="68DD54A6">
            <w:pPr>
              <w:widowControl/>
              <w:tabs>
                <w:tab w:val="center" w:pos="4755"/>
                <w:tab w:val="right" w:pos="9070"/>
              </w:tabs>
              <w:autoSpaceDN w:val="0"/>
              <w:jc w:val="left"/>
              <w:rPr>
                <w:rFonts w:ascii="仿宋" w:hAnsi="仿宋" w:eastAsia="仿宋" w:cs="仿宋"/>
                <w:color w:val="auto"/>
                <w:sz w:val="24"/>
                <w:szCs w:val="24"/>
                <w:highlight w:val="none"/>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14:paraId="2DE5CFE3">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人工</w:t>
            </w:r>
          </w:p>
        </w:tc>
        <w:tc>
          <w:tcPr>
            <w:tcW w:w="1226" w:type="dxa"/>
            <w:tcBorders>
              <w:top w:val="single" w:color="auto" w:sz="4" w:space="0"/>
              <w:left w:val="single" w:color="auto" w:sz="4" w:space="0"/>
              <w:bottom w:val="single" w:color="auto" w:sz="4" w:space="0"/>
              <w:right w:val="single" w:color="auto" w:sz="4" w:space="0"/>
            </w:tcBorders>
            <w:vAlign w:val="center"/>
          </w:tcPr>
          <w:p w14:paraId="4F570E37">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一类</w:t>
            </w:r>
          </w:p>
        </w:tc>
        <w:tc>
          <w:tcPr>
            <w:tcW w:w="1471" w:type="dxa"/>
            <w:tcBorders>
              <w:top w:val="single" w:color="auto" w:sz="4" w:space="0"/>
              <w:left w:val="single" w:color="auto" w:sz="4" w:space="0"/>
              <w:bottom w:val="single" w:color="auto" w:sz="4" w:space="0"/>
              <w:right w:val="single" w:color="auto" w:sz="4" w:space="0"/>
            </w:tcBorders>
            <w:vAlign w:val="center"/>
          </w:tcPr>
          <w:p w14:paraId="208C3959">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工日</w:t>
            </w:r>
          </w:p>
        </w:tc>
        <w:tc>
          <w:tcPr>
            <w:tcW w:w="1751" w:type="dxa"/>
            <w:tcBorders>
              <w:top w:val="single" w:color="auto" w:sz="4" w:space="0"/>
              <w:left w:val="single" w:color="auto" w:sz="4" w:space="0"/>
              <w:bottom w:val="single" w:color="auto" w:sz="4" w:space="0"/>
              <w:right w:val="single" w:color="auto" w:sz="4" w:space="0"/>
            </w:tcBorders>
          </w:tcPr>
          <w:p w14:paraId="413AF9B0">
            <w:pPr>
              <w:widowControl/>
              <w:tabs>
                <w:tab w:val="center" w:pos="4755"/>
                <w:tab w:val="right" w:pos="9070"/>
              </w:tabs>
              <w:autoSpaceDN w:val="0"/>
              <w:jc w:val="left"/>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tcPr>
          <w:p w14:paraId="66C32B12">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5575E5C9">
            <w:pPr>
              <w:widowControl/>
              <w:tabs>
                <w:tab w:val="center" w:pos="4755"/>
                <w:tab w:val="right" w:pos="9070"/>
              </w:tabs>
              <w:autoSpaceDN w:val="0"/>
              <w:jc w:val="left"/>
              <w:rPr>
                <w:rFonts w:ascii="仿宋" w:hAnsi="仿宋" w:eastAsia="仿宋" w:cs="仿宋"/>
                <w:color w:val="auto"/>
                <w:sz w:val="24"/>
                <w:szCs w:val="24"/>
                <w:highlight w:val="none"/>
              </w:rPr>
            </w:pPr>
          </w:p>
        </w:tc>
      </w:tr>
      <w:tr w14:paraId="7FE7D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62F7C012">
            <w:pPr>
              <w:widowControl/>
              <w:jc w:val="left"/>
              <w:rPr>
                <w:rFonts w:ascii="仿宋" w:hAnsi="仿宋" w:eastAsia="仿宋" w:cs="仿宋"/>
                <w:color w:val="auto"/>
                <w:sz w:val="24"/>
                <w:szCs w:val="24"/>
                <w:highlight w:val="none"/>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14:paraId="0FA5161E">
            <w:pPr>
              <w:widowControl/>
              <w:jc w:val="left"/>
              <w:rPr>
                <w:rFonts w:ascii="仿宋" w:hAnsi="仿宋" w:eastAsia="仿宋" w:cs="仿宋"/>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4E885D6E">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二类</w:t>
            </w:r>
          </w:p>
        </w:tc>
        <w:tc>
          <w:tcPr>
            <w:tcW w:w="1471" w:type="dxa"/>
            <w:tcBorders>
              <w:top w:val="single" w:color="auto" w:sz="4" w:space="0"/>
              <w:left w:val="single" w:color="auto" w:sz="4" w:space="0"/>
              <w:bottom w:val="single" w:color="auto" w:sz="4" w:space="0"/>
              <w:right w:val="single" w:color="auto" w:sz="4" w:space="0"/>
            </w:tcBorders>
            <w:vAlign w:val="center"/>
          </w:tcPr>
          <w:p w14:paraId="2697C8F0">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工日</w:t>
            </w:r>
          </w:p>
        </w:tc>
        <w:tc>
          <w:tcPr>
            <w:tcW w:w="1751" w:type="dxa"/>
            <w:tcBorders>
              <w:top w:val="single" w:color="auto" w:sz="4" w:space="0"/>
              <w:left w:val="single" w:color="auto" w:sz="4" w:space="0"/>
              <w:bottom w:val="single" w:color="auto" w:sz="4" w:space="0"/>
              <w:right w:val="single" w:color="auto" w:sz="4" w:space="0"/>
            </w:tcBorders>
          </w:tcPr>
          <w:p w14:paraId="1D8027D4">
            <w:pPr>
              <w:widowControl/>
              <w:tabs>
                <w:tab w:val="center" w:pos="4755"/>
                <w:tab w:val="right" w:pos="9070"/>
              </w:tabs>
              <w:autoSpaceDN w:val="0"/>
              <w:jc w:val="left"/>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tcPr>
          <w:p w14:paraId="17F0D70D">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7933C7D1">
            <w:pPr>
              <w:widowControl/>
              <w:tabs>
                <w:tab w:val="center" w:pos="4755"/>
                <w:tab w:val="right" w:pos="9070"/>
              </w:tabs>
              <w:autoSpaceDN w:val="0"/>
              <w:jc w:val="left"/>
              <w:rPr>
                <w:rFonts w:ascii="仿宋" w:hAnsi="仿宋" w:eastAsia="仿宋" w:cs="仿宋"/>
                <w:color w:val="auto"/>
                <w:sz w:val="24"/>
                <w:szCs w:val="24"/>
                <w:highlight w:val="none"/>
              </w:rPr>
            </w:pPr>
          </w:p>
        </w:tc>
      </w:tr>
      <w:tr w14:paraId="5962F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23365C56">
            <w:pPr>
              <w:widowControl/>
              <w:jc w:val="left"/>
              <w:rPr>
                <w:rFonts w:ascii="仿宋" w:hAnsi="仿宋" w:eastAsia="仿宋" w:cs="仿宋"/>
                <w:color w:val="auto"/>
                <w:sz w:val="24"/>
                <w:szCs w:val="24"/>
                <w:highlight w:val="none"/>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14:paraId="020C4E6E">
            <w:pPr>
              <w:widowControl/>
              <w:jc w:val="left"/>
              <w:rPr>
                <w:rFonts w:ascii="仿宋" w:hAnsi="仿宋" w:eastAsia="仿宋" w:cs="仿宋"/>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1FB51BA9">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三类</w:t>
            </w:r>
          </w:p>
        </w:tc>
        <w:tc>
          <w:tcPr>
            <w:tcW w:w="1471" w:type="dxa"/>
            <w:tcBorders>
              <w:top w:val="single" w:color="auto" w:sz="4" w:space="0"/>
              <w:left w:val="single" w:color="auto" w:sz="4" w:space="0"/>
              <w:bottom w:val="single" w:color="auto" w:sz="4" w:space="0"/>
              <w:right w:val="single" w:color="auto" w:sz="4" w:space="0"/>
            </w:tcBorders>
            <w:vAlign w:val="center"/>
          </w:tcPr>
          <w:p w14:paraId="48F14365">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工日</w:t>
            </w:r>
          </w:p>
        </w:tc>
        <w:tc>
          <w:tcPr>
            <w:tcW w:w="1751" w:type="dxa"/>
            <w:tcBorders>
              <w:top w:val="single" w:color="auto" w:sz="4" w:space="0"/>
              <w:left w:val="single" w:color="auto" w:sz="4" w:space="0"/>
              <w:bottom w:val="single" w:color="auto" w:sz="4" w:space="0"/>
              <w:right w:val="single" w:color="auto" w:sz="4" w:space="0"/>
            </w:tcBorders>
          </w:tcPr>
          <w:p w14:paraId="2FB1BA75">
            <w:pPr>
              <w:widowControl/>
              <w:tabs>
                <w:tab w:val="center" w:pos="4755"/>
                <w:tab w:val="right" w:pos="9070"/>
              </w:tabs>
              <w:autoSpaceDN w:val="0"/>
              <w:jc w:val="left"/>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tcPr>
          <w:p w14:paraId="3A5DC281">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7FF4E9F3">
            <w:pPr>
              <w:widowControl/>
              <w:tabs>
                <w:tab w:val="center" w:pos="4755"/>
                <w:tab w:val="right" w:pos="9070"/>
              </w:tabs>
              <w:autoSpaceDN w:val="0"/>
              <w:jc w:val="left"/>
              <w:rPr>
                <w:rFonts w:ascii="仿宋" w:hAnsi="仿宋" w:eastAsia="仿宋" w:cs="仿宋"/>
                <w:color w:val="auto"/>
                <w:sz w:val="24"/>
                <w:szCs w:val="24"/>
                <w:highlight w:val="none"/>
              </w:rPr>
            </w:pPr>
          </w:p>
        </w:tc>
      </w:tr>
      <w:tr w14:paraId="18926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3BB68311">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28CB859C">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人工费小计</w:t>
            </w:r>
          </w:p>
        </w:tc>
        <w:tc>
          <w:tcPr>
            <w:tcW w:w="1751" w:type="dxa"/>
            <w:tcBorders>
              <w:top w:val="single" w:color="auto" w:sz="4" w:space="0"/>
              <w:left w:val="single" w:color="auto" w:sz="4" w:space="0"/>
              <w:bottom w:val="single" w:color="auto" w:sz="4" w:space="0"/>
              <w:right w:val="single" w:color="auto" w:sz="4" w:space="0"/>
            </w:tcBorders>
          </w:tcPr>
          <w:p w14:paraId="60862905">
            <w:pPr>
              <w:widowControl/>
              <w:tabs>
                <w:tab w:val="center" w:pos="4755"/>
                <w:tab w:val="right" w:pos="9070"/>
              </w:tabs>
              <w:autoSpaceDN w:val="0"/>
              <w:jc w:val="left"/>
              <w:rPr>
                <w:rFonts w:ascii="仿宋" w:hAnsi="仿宋" w:eastAsia="仿宋" w:cs="仿宋"/>
                <w:color w:val="auto"/>
                <w:sz w:val="24"/>
                <w:szCs w:val="24"/>
                <w:highlight w:val="none"/>
              </w:rPr>
            </w:pPr>
          </w:p>
        </w:tc>
      </w:tr>
      <w:tr w14:paraId="46D1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restart"/>
            <w:tcBorders>
              <w:top w:val="single" w:color="auto" w:sz="4" w:space="0"/>
              <w:left w:val="single" w:color="auto" w:sz="4" w:space="0"/>
              <w:bottom w:val="single" w:color="auto" w:sz="4" w:space="0"/>
              <w:right w:val="single" w:color="auto" w:sz="4" w:space="0"/>
            </w:tcBorders>
          </w:tcPr>
          <w:p w14:paraId="621EF5A1">
            <w:pPr>
              <w:widowControl/>
              <w:tabs>
                <w:tab w:val="center" w:pos="4755"/>
                <w:tab w:val="right" w:pos="9070"/>
              </w:tabs>
              <w:autoSpaceDN w:val="0"/>
              <w:jc w:val="center"/>
              <w:rPr>
                <w:rFonts w:ascii="仿宋" w:hAnsi="仿宋" w:eastAsia="仿宋" w:cs="仿宋"/>
                <w:color w:val="auto"/>
                <w:sz w:val="24"/>
                <w:szCs w:val="24"/>
                <w:highlight w:val="none"/>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14:paraId="20613439">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主要</w:t>
            </w:r>
          </w:p>
          <w:p w14:paraId="3B4CC409">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w:t>
            </w:r>
          </w:p>
        </w:tc>
        <w:tc>
          <w:tcPr>
            <w:tcW w:w="1226" w:type="dxa"/>
            <w:tcBorders>
              <w:top w:val="single" w:color="auto" w:sz="4" w:space="0"/>
              <w:left w:val="single" w:color="auto" w:sz="4" w:space="0"/>
              <w:bottom w:val="single" w:color="auto" w:sz="4" w:space="0"/>
              <w:right w:val="single" w:color="auto" w:sz="4" w:space="0"/>
            </w:tcBorders>
          </w:tcPr>
          <w:p w14:paraId="24C077E9">
            <w:pPr>
              <w:widowControl/>
              <w:tabs>
                <w:tab w:val="center" w:pos="4755"/>
                <w:tab w:val="right" w:pos="9070"/>
              </w:tabs>
              <w:autoSpaceDN w:val="0"/>
              <w:jc w:val="left"/>
              <w:rPr>
                <w:rFonts w:ascii="仿宋" w:hAnsi="仿宋" w:eastAsia="仿宋" w:cs="仿宋"/>
                <w:color w:val="auto"/>
                <w:sz w:val="24"/>
                <w:szCs w:val="24"/>
                <w:highlight w:val="none"/>
              </w:rPr>
            </w:pPr>
          </w:p>
        </w:tc>
        <w:tc>
          <w:tcPr>
            <w:tcW w:w="1471" w:type="dxa"/>
            <w:tcBorders>
              <w:top w:val="single" w:color="auto" w:sz="4" w:space="0"/>
              <w:left w:val="single" w:color="auto" w:sz="4" w:space="0"/>
              <w:bottom w:val="single" w:color="auto" w:sz="4" w:space="0"/>
              <w:right w:val="single" w:color="auto" w:sz="4" w:space="0"/>
            </w:tcBorders>
          </w:tcPr>
          <w:p w14:paraId="6A9BAE9A">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5D8064BF">
            <w:pPr>
              <w:widowControl/>
              <w:tabs>
                <w:tab w:val="center" w:pos="4755"/>
                <w:tab w:val="right" w:pos="9070"/>
              </w:tabs>
              <w:autoSpaceDN w:val="0"/>
              <w:jc w:val="left"/>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tcPr>
          <w:p w14:paraId="6F6D5D35">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17339D86">
            <w:pPr>
              <w:widowControl/>
              <w:tabs>
                <w:tab w:val="center" w:pos="4755"/>
                <w:tab w:val="right" w:pos="9070"/>
              </w:tabs>
              <w:autoSpaceDN w:val="0"/>
              <w:jc w:val="left"/>
              <w:rPr>
                <w:rFonts w:ascii="仿宋" w:hAnsi="仿宋" w:eastAsia="仿宋" w:cs="仿宋"/>
                <w:color w:val="auto"/>
                <w:sz w:val="24"/>
                <w:szCs w:val="24"/>
                <w:highlight w:val="none"/>
              </w:rPr>
            </w:pPr>
          </w:p>
        </w:tc>
      </w:tr>
      <w:tr w14:paraId="44603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0328EC5E">
            <w:pPr>
              <w:widowControl/>
              <w:jc w:val="left"/>
              <w:rPr>
                <w:rFonts w:ascii="仿宋" w:hAnsi="仿宋" w:eastAsia="仿宋" w:cs="仿宋"/>
                <w:color w:val="auto"/>
                <w:sz w:val="24"/>
                <w:szCs w:val="24"/>
                <w:highlight w:val="none"/>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14:paraId="6776A0A4">
            <w:pPr>
              <w:widowControl/>
              <w:jc w:val="left"/>
              <w:rPr>
                <w:rFonts w:ascii="仿宋" w:hAnsi="仿宋" w:eastAsia="仿宋" w:cs="仿宋"/>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tcPr>
          <w:p w14:paraId="310436C1">
            <w:pPr>
              <w:widowControl/>
              <w:tabs>
                <w:tab w:val="center" w:pos="4755"/>
                <w:tab w:val="right" w:pos="9070"/>
              </w:tabs>
              <w:autoSpaceDN w:val="0"/>
              <w:jc w:val="left"/>
              <w:rPr>
                <w:rFonts w:ascii="仿宋" w:hAnsi="仿宋" w:eastAsia="仿宋" w:cs="仿宋"/>
                <w:color w:val="auto"/>
                <w:sz w:val="24"/>
                <w:szCs w:val="24"/>
                <w:highlight w:val="none"/>
              </w:rPr>
            </w:pPr>
          </w:p>
        </w:tc>
        <w:tc>
          <w:tcPr>
            <w:tcW w:w="1471" w:type="dxa"/>
            <w:tcBorders>
              <w:top w:val="single" w:color="auto" w:sz="4" w:space="0"/>
              <w:left w:val="single" w:color="auto" w:sz="4" w:space="0"/>
              <w:bottom w:val="single" w:color="auto" w:sz="4" w:space="0"/>
              <w:right w:val="single" w:color="auto" w:sz="4" w:space="0"/>
            </w:tcBorders>
          </w:tcPr>
          <w:p w14:paraId="5C0D541D">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1FE8754F">
            <w:pPr>
              <w:widowControl/>
              <w:tabs>
                <w:tab w:val="center" w:pos="4755"/>
                <w:tab w:val="right" w:pos="9070"/>
              </w:tabs>
              <w:autoSpaceDN w:val="0"/>
              <w:jc w:val="left"/>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tcPr>
          <w:p w14:paraId="3F08AC0A">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7C38A9EA">
            <w:pPr>
              <w:widowControl/>
              <w:tabs>
                <w:tab w:val="center" w:pos="4755"/>
                <w:tab w:val="right" w:pos="9070"/>
              </w:tabs>
              <w:autoSpaceDN w:val="0"/>
              <w:jc w:val="left"/>
              <w:rPr>
                <w:rFonts w:ascii="仿宋" w:hAnsi="仿宋" w:eastAsia="仿宋" w:cs="仿宋"/>
                <w:color w:val="auto"/>
                <w:sz w:val="24"/>
                <w:szCs w:val="24"/>
                <w:highlight w:val="none"/>
              </w:rPr>
            </w:pPr>
          </w:p>
        </w:tc>
      </w:tr>
      <w:tr w14:paraId="1774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0B15153F">
            <w:pPr>
              <w:widowControl/>
              <w:jc w:val="left"/>
              <w:rPr>
                <w:rFonts w:ascii="仿宋" w:hAnsi="仿宋" w:eastAsia="仿宋" w:cs="仿宋"/>
                <w:color w:val="auto"/>
                <w:sz w:val="24"/>
                <w:szCs w:val="24"/>
                <w:highlight w:val="none"/>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14:paraId="37799104">
            <w:pPr>
              <w:widowControl/>
              <w:jc w:val="left"/>
              <w:rPr>
                <w:rFonts w:ascii="仿宋" w:hAnsi="仿宋" w:eastAsia="仿宋" w:cs="仿宋"/>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tcPr>
          <w:p w14:paraId="7440E184">
            <w:pPr>
              <w:widowControl/>
              <w:tabs>
                <w:tab w:val="center" w:pos="4755"/>
                <w:tab w:val="right" w:pos="9070"/>
              </w:tabs>
              <w:autoSpaceDN w:val="0"/>
              <w:jc w:val="left"/>
              <w:rPr>
                <w:rFonts w:ascii="仿宋" w:hAnsi="仿宋" w:eastAsia="仿宋" w:cs="仿宋"/>
                <w:color w:val="auto"/>
                <w:sz w:val="24"/>
                <w:szCs w:val="24"/>
                <w:highlight w:val="none"/>
              </w:rPr>
            </w:pPr>
          </w:p>
        </w:tc>
        <w:tc>
          <w:tcPr>
            <w:tcW w:w="1471" w:type="dxa"/>
            <w:tcBorders>
              <w:top w:val="single" w:color="auto" w:sz="4" w:space="0"/>
              <w:left w:val="single" w:color="auto" w:sz="4" w:space="0"/>
              <w:bottom w:val="single" w:color="auto" w:sz="4" w:space="0"/>
              <w:right w:val="single" w:color="auto" w:sz="4" w:space="0"/>
            </w:tcBorders>
          </w:tcPr>
          <w:p w14:paraId="7C3DF92F">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449B8234">
            <w:pPr>
              <w:widowControl/>
              <w:tabs>
                <w:tab w:val="center" w:pos="4755"/>
                <w:tab w:val="right" w:pos="9070"/>
              </w:tabs>
              <w:autoSpaceDN w:val="0"/>
              <w:jc w:val="left"/>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tcPr>
          <w:p w14:paraId="59BA8DEB">
            <w:pPr>
              <w:widowControl/>
              <w:tabs>
                <w:tab w:val="center" w:pos="4755"/>
                <w:tab w:val="right" w:pos="9070"/>
              </w:tabs>
              <w:autoSpaceDN w:val="0"/>
              <w:jc w:val="left"/>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60318FEB">
            <w:pPr>
              <w:widowControl/>
              <w:tabs>
                <w:tab w:val="center" w:pos="4755"/>
                <w:tab w:val="right" w:pos="9070"/>
              </w:tabs>
              <w:autoSpaceDN w:val="0"/>
              <w:jc w:val="left"/>
              <w:rPr>
                <w:rFonts w:ascii="仿宋" w:hAnsi="仿宋" w:eastAsia="仿宋" w:cs="仿宋"/>
                <w:color w:val="auto"/>
                <w:sz w:val="24"/>
                <w:szCs w:val="24"/>
                <w:highlight w:val="none"/>
              </w:rPr>
            </w:pPr>
          </w:p>
        </w:tc>
      </w:tr>
      <w:tr w14:paraId="25EEA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2B63ECEF">
            <w:pPr>
              <w:widowControl/>
              <w:jc w:val="left"/>
              <w:rPr>
                <w:rFonts w:ascii="仿宋" w:hAnsi="仿宋" w:eastAsia="仿宋" w:cs="仿宋"/>
                <w:color w:val="auto"/>
                <w:sz w:val="24"/>
                <w:szCs w:val="24"/>
                <w:highlight w:val="none"/>
              </w:rPr>
            </w:pP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6C91EDC6">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其他材料费</w:t>
            </w:r>
          </w:p>
        </w:tc>
        <w:tc>
          <w:tcPr>
            <w:tcW w:w="1751" w:type="dxa"/>
            <w:tcBorders>
              <w:top w:val="single" w:color="auto" w:sz="4" w:space="0"/>
              <w:left w:val="single" w:color="auto" w:sz="4" w:space="0"/>
              <w:bottom w:val="single" w:color="auto" w:sz="4" w:space="0"/>
              <w:right w:val="single" w:color="auto" w:sz="4" w:space="0"/>
            </w:tcBorders>
          </w:tcPr>
          <w:p w14:paraId="669420D9">
            <w:pPr>
              <w:widowControl/>
              <w:tabs>
                <w:tab w:val="center" w:pos="4755"/>
                <w:tab w:val="right" w:pos="9070"/>
              </w:tabs>
              <w:autoSpaceDN w:val="0"/>
              <w:jc w:val="left"/>
              <w:rPr>
                <w:rFonts w:ascii="仿宋" w:hAnsi="仿宋" w:eastAsia="仿宋" w:cs="仿宋"/>
                <w:color w:val="auto"/>
                <w:sz w:val="24"/>
                <w:szCs w:val="24"/>
                <w:highlight w:val="none"/>
              </w:rPr>
            </w:pPr>
          </w:p>
        </w:tc>
      </w:tr>
      <w:tr w14:paraId="00178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5F81DAEC">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3B26B2DF">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材料费小计</w:t>
            </w:r>
          </w:p>
        </w:tc>
        <w:tc>
          <w:tcPr>
            <w:tcW w:w="1751" w:type="dxa"/>
            <w:tcBorders>
              <w:top w:val="single" w:color="auto" w:sz="4" w:space="0"/>
              <w:left w:val="single" w:color="auto" w:sz="4" w:space="0"/>
              <w:bottom w:val="single" w:color="auto" w:sz="4" w:space="0"/>
              <w:right w:val="single" w:color="auto" w:sz="4" w:space="0"/>
            </w:tcBorders>
          </w:tcPr>
          <w:p w14:paraId="2EAD3AFC">
            <w:pPr>
              <w:widowControl/>
              <w:tabs>
                <w:tab w:val="center" w:pos="4755"/>
                <w:tab w:val="right" w:pos="9070"/>
              </w:tabs>
              <w:autoSpaceDN w:val="0"/>
              <w:jc w:val="left"/>
              <w:rPr>
                <w:rFonts w:ascii="仿宋" w:hAnsi="仿宋" w:eastAsia="仿宋" w:cs="仿宋"/>
                <w:color w:val="auto"/>
                <w:sz w:val="24"/>
                <w:szCs w:val="24"/>
                <w:highlight w:val="none"/>
              </w:rPr>
            </w:pPr>
          </w:p>
        </w:tc>
      </w:tr>
      <w:tr w14:paraId="621B9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restart"/>
            <w:tcBorders>
              <w:top w:val="single" w:color="auto" w:sz="4" w:space="0"/>
              <w:left w:val="single" w:color="auto" w:sz="4" w:space="0"/>
              <w:bottom w:val="single" w:color="auto" w:sz="4" w:space="0"/>
              <w:right w:val="single" w:color="auto" w:sz="4" w:space="0"/>
            </w:tcBorders>
            <w:vAlign w:val="center"/>
          </w:tcPr>
          <w:p w14:paraId="06475DA0">
            <w:pPr>
              <w:widowControl/>
              <w:tabs>
                <w:tab w:val="center" w:pos="4755"/>
                <w:tab w:val="right" w:pos="9070"/>
              </w:tabs>
              <w:autoSpaceDN w:val="0"/>
              <w:jc w:val="center"/>
              <w:rPr>
                <w:rFonts w:ascii="仿宋" w:hAnsi="仿宋" w:eastAsia="仿宋" w:cs="仿宋"/>
                <w:color w:val="auto"/>
                <w:sz w:val="24"/>
                <w:szCs w:val="24"/>
                <w:highlight w:val="none"/>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14:paraId="3630068A">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主要</w:t>
            </w:r>
          </w:p>
          <w:p w14:paraId="4A76BCF1">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机械</w:t>
            </w:r>
          </w:p>
        </w:tc>
        <w:tc>
          <w:tcPr>
            <w:tcW w:w="1226" w:type="dxa"/>
            <w:tcBorders>
              <w:top w:val="single" w:color="auto" w:sz="4" w:space="0"/>
              <w:left w:val="single" w:color="auto" w:sz="4" w:space="0"/>
              <w:bottom w:val="single" w:color="auto" w:sz="4" w:space="0"/>
              <w:right w:val="single" w:color="auto" w:sz="4" w:space="0"/>
            </w:tcBorders>
            <w:vAlign w:val="center"/>
          </w:tcPr>
          <w:p w14:paraId="79873D39">
            <w:pPr>
              <w:widowControl/>
              <w:tabs>
                <w:tab w:val="center" w:pos="4755"/>
                <w:tab w:val="right" w:pos="9070"/>
              </w:tabs>
              <w:autoSpaceDN w:val="0"/>
              <w:rPr>
                <w:rFonts w:ascii="仿宋" w:hAnsi="仿宋" w:eastAsia="仿宋" w:cs="仿宋"/>
                <w:color w:val="auto"/>
                <w:sz w:val="24"/>
                <w:szCs w:val="24"/>
                <w:highlight w:val="none"/>
              </w:rPr>
            </w:pPr>
          </w:p>
        </w:tc>
        <w:tc>
          <w:tcPr>
            <w:tcW w:w="1471" w:type="dxa"/>
            <w:tcBorders>
              <w:top w:val="single" w:color="auto" w:sz="4" w:space="0"/>
              <w:left w:val="single" w:color="auto" w:sz="4" w:space="0"/>
              <w:bottom w:val="single" w:color="auto" w:sz="4" w:space="0"/>
              <w:right w:val="single" w:color="auto" w:sz="4" w:space="0"/>
            </w:tcBorders>
            <w:vAlign w:val="center"/>
          </w:tcPr>
          <w:p w14:paraId="6FDE0143">
            <w:pPr>
              <w:widowControl/>
              <w:tabs>
                <w:tab w:val="center" w:pos="4755"/>
                <w:tab w:val="right" w:pos="9070"/>
              </w:tabs>
              <w:autoSpaceDN w:val="0"/>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019FD1E4">
            <w:pPr>
              <w:widowControl/>
              <w:tabs>
                <w:tab w:val="center" w:pos="4755"/>
                <w:tab w:val="right" w:pos="9070"/>
              </w:tabs>
              <w:autoSpaceDN w:val="0"/>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vAlign w:val="center"/>
          </w:tcPr>
          <w:p w14:paraId="059F3838">
            <w:pPr>
              <w:widowControl/>
              <w:tabs>
                <w:tab w:val="center" w:pos="4755"/>
                <w:tab w:val="right" w:pos="9070"/>
              </w:tabs>
              <w:autoSpaceDN w:val="0"/>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5F5E0B1A">
            <w:pPr>
              <w:widowControl/>
              <w:tabs>
                <w:tab w:val="center" w:pos="4755"/>
                <w:tab w:val="right" w:pos="9070"/>
              </w:tabs>
              <w:autoSpaceDN w:val="0"/>
              <w:jc w:val="left"/>
              <w:rPr>
                <w:rFonts w:ascii="仿宋" w:hAnsi="仿宋" w:eastAsia="仿宋" w:cs="仿宋"/>
                <w:color w:val="auto"/>
                <w:sz w:val="24"/>
                <w:szCs w:val="24"/>
                <w:highlight w:val="none"/>
              </w:rPr>
            </w:pPr>
          </w:p>
        </w:tc>
      </w:tr>
      <w:tr w14:paraId="5D73A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14B73E19">
            <w:pPr>
              <w:widowControl/>
              <w:jc w:val="left"/>
              <w:rPr>
                <w:rFonts w:ascii="仿宋" w:hAnsi="仿宋" w:eastAsia="仿宋" w:cs="仿宋"/>
                <w:color w:val="auto"/>
                <w:sz w:val="24"/>
                <w:szCs w:val="24"/>
                <w:highlight w:val="none"/>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14:paraId="2813FB55">
            <w:pPr>
              <w:widowControl/>
              <w:jc w:val="left"/>
              <w:rPr>
                <w:rFonts w:ascii="仿宋" w:hAnsi="仿宋" w:eastAsia="仿宋" w:cs="仿宋"/>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28E2E343">
            <w:pPr>
              <w:widowControl/>
              <w:tabs>
                <w:tab w:val="center" w:pos="4755"/>
                <w:tab w:val="right" w:pos="9070"/>
              </w:tabs>
              <w:autoSpaceDN w:val="0"/>
              <w:rPr>
                <w:rFonts w:ascii="仿宋" w:hAnsi="仿宋" w:eastAsia="仿宋" w:cs="仿宋"/>
                <w:color w:val="auto"/>
                <w:sz w:val="24"/>
                <w:szCs w:val="24"/>
                <w:highlight w:val="none"/>
              </w:rPr>
            </w:pPr>
          </w:p>
        </w:tc>
        <w:tc>
          <w:tcPr>
            <w:tcW w:w="1471" w:type="dxa"/>
            <w:tcBorders>
              <w:top w:val="single" w:color="auto" w:sz="4" w:space="0"/>
              <w:left w:val="single" w:color="auto" w:sz="4" w:space="0"/>
              <w:bottom w:val="single" w:color="auto" w:sz="4" w:space="0"/>
              <w:right w:val="single" w:color="auto" w:sz="4" w:space="0"/>
            </w:tcBorders>
            <w:vAlign w:val="center"/>
          </w:tcPr>
          <w:p w14:paraId="4448BB07">
            <w:pPr>
              <w:widowControl/>
              <w:tabs>
                <w:tab w:val="center" w:pos="4755"/>
                <w:tab w:val="right" w:pos="9070"/>
              </w:tabs>
              <w:autoSpaceDN w:val="0"/>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2840FA3F">
            <w:pPr>
              <w:widowControl/>
              <w:tabs>
                <w:tab w:val="center" w:pos="4755"/>
                <w:tab w:val="right" w:pos="9070"/>
              </w:tabs>
              <w:autoSpaceDN w:val="0"/>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vAlign w:val="center"/>
          </w:tcPr>
          <w:p w14:paraId="70AC2883">
            <w:pPr>
              <w:widowControl/>
              <w:tabs>
                <w:tab w:val="center" w:pos="4755"/>
                <w:tab w:val="right" w:pos="9070"/>
              </w:tabs>
              <w:autoSpaceDN w:val="0"/>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5E3434E3">
            <w:pPr>
              <w:widowControl/>
              <w:tabs>
                <w:tab w:val="center" w:pos="4755"/>
                <w:tab w:val="right" w:pos="9070"/>
              </w:tabs>
              <w:autoSpaceDN w:val="0"/>
              <w:jc w:val="left"/>
              <w:rPr>
                <w:rFonts w:ascii="仿宋" w:hAnsi="仿宋" w:eastAsia="仿宋" w:cs="仿宋"/>
                <w:color w:val="auto"/>
                <w:sz w:val="24"/>
                <w:szCs w:val="24"/>
                <w:highlight w:val="none"/>
              </w:rPr>
            </w:pPr>
          </w:p>
        </w:tc>
      </w:tr>
      <w:tr w14:paraId="354BD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18B9FA78">
            <w:pPr>
              <w:widowControl/>
              <w:jc w:val="left"/>
              <w:rPr>
                <w:rFonts w:ascii="仿宋" w:hAnsi="仿宋" w:eastAsia="仿宋" w:cs="仿宋"/>
                <w:color w:val="auto"/>
                <w:sz w:val="24"/>
                <w:szCs w:val="24"/>
                <w:highlight w:val="none"/>
              </w:rPr>
            </w:pPr>
          </w:p>
        </w:tc>
        <w:tc>
          <w:tcPr>
            <w:tcW w:w="6729" w:type="dxa"/>
            <w:vMerge w:val="continue"/>
            <w:tcBorders>
              <w:top w:val="single" w:color="auto" w:sz="4" w:space="0"/>
              <w:left w:val="single" w:color="auto" w:sz="4" w:space="0"/>
              <w:bottom w:val="single" w:color="auto" w:sz="4" w:space="0"/>
              <w:right w:val="single" w:color="auto" w:sz="4" w:space="0"/>
            </w:tcBorders>
            <w:vAlign w:val="center"/>
          </w:tcPr>
          <w:p w14:paraId="62F3839A">
            <w:pPr>
              <w:widowControl/>
              <w:jc w:val="left"/>
              <w:rPr>
                <w:rFonts w:ascii="仿宋" w:hAnsi="仿宋" w:eastAsia="仿宋" w:cs="仿宋"/>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156B6A03">
            <w:pPr>
              <w:widowControl/>
              <w:tabs>
                <w:tab w:val="center" w:pos="4755"/>
                <w:tab w:val="right" w:pos="9070"/>
              </w:tabs>
              <w:autoSpaceDN w:val="0"/>
              <w:rPr>
                <w:rFonts w:ascii="仿宋" w:hAnsi="仿宋" w:eastAsia="仿宋" w:cs="仿宋"/>
                <w:color w:val="auto"/>
                <w:sz w:val="24"/>
                <w:szCs w:val="24"/>
                <w:highlight w:val="none"/>
              </w:rPr>
            </w:pPr>
          </w:p>
        </w:tc>
        <w:tc>
          <w:tcPr>
            <w:tcW w:w="1471" w:type="dxa"/>
            <w:tcBorders>
              <w:top w:val="single" w:color="auto" w:sz="4" w:space="0"/>
              <w:left w:val="single" w:color="auto" w:sz="4" w:space="0"/>
              <w:bottom w:val="single" w:color="auto" w:sz="4" w:space="0"/>
              <w:right w:val="single" w:color="auto" w:sz="4" w:space="0"/>
            </w:tcBorders>
            <w:vAlign w:val="center"/>
          </w:tcPr>
          <w:p w14:paraId="5B80E730">
            <w:pPr>
              <w:widowControl/>
              <w:tabs>
                <w:tab w:val="center" w:pos="4755"/>
                <w:tab w:val="right" w:pos="9070"/>
              </w:tabs>
              <w:autoSpaceDN w:val="0"/>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3CDF6C74">
            <w:pPr>
              <w:widowControl/>
              <w:tabs>
                <w:tab w:val="center" w:pos="4755"/>
                <w:tab w:val="right" w:pos="9070"/>
              </w:tabs>
              <w:autoSpaceDN w:val="0"/>
              <w:rPr>
                <w:rFonts w:ascii="仿宋" w:hAnsi="仿宋" w:eastAsia="仿宋" w:cs="仿宋"/>
                <w:color w:val="auto"/>
                <w:sz w:val="24"/>
                <w:szCs w:val="24"/>
                <w:highlight w:val="none"/>
              </w:rPr>
            </w:pPr>
          </w:p>
        </w:tc>
        <w:tc>
          <w:tcPr>
            <w:tcW w:w="1404" w:type="dxa"/>
            <w:tcBorders>
              <w:top w:val="single" w:color="auto" w:sz="4" w:space="0"/>
              <w:left w:val="single" w:color="auto" w:sz="4" w:space="0"/>
              <w:bottom w:val="single" w:color="auto" w:sz="4" w:space="0"/>
              <w:right w:val="single" w:color="auto" w:sz="4" w:space="0"/>
            </w:tcBorders>
            <w:vAlign w:val="center"/>
          </w:tcPr>
          <w:p w14:paraId="4AF3F483">
            <w:pPr>
              <w:widowControl/>
              <w:tabs>
                <w:tab w:val="center" w:pos="4755"/>
                <w:tab w:val="right" w:pos="9070"/>
              </w:tabs>
              <w:autoSpaceDN w:val="0"/>
              <w:rPr>
                <w:rFonts w:ascii="仿宋" w:hAnsi="仿宋" w:eastAsia="仿宋" w:cs="仿宋"/>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tcPr>
          <w:p w14:paraId="3642EB6C">
            <w:pPr>
              <w:widowControl/>
              <w:tabs>
                <w:tab w:val="center" w:pos="4755"/>
                <w:tab w:val="right" w:pos="9070"/>
              </w:tabs>
              <w:autoSpaceDN w:val="0"/>
              <w:jc w:val="left"/>
              <w:rPr>
                <w:rFonts w:ascii="仿宋" w:hAnsi="仿宋" w:eastAsia="仿宋" w:cs="仿宋"/>
                <w:color w:val="auto"/>
                <w:sz w:val="24"/>
                <w:szCs w:val="24"/>
                <w:highlight w:val="none"/>
              </w:rPr>
            </w:pPr>
          </w:p>
        </w:tc>
      </w:tr>
      <w:tr w14:paraId="0E6E7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536C7A42">
            <w:pPr>
              <w:widowControl/>
              <w:jc w:val="left"/>
              <w:rPr>
                <w:rFonts w:ascii="仿宋" w:hAnsi="仿宋" w:eastAsia="仿宋" w:cs="仿宋"/>
                <w:color w:val="auto"/>
                <w:sz w:val="24"/>
                <w:szCs w:val="24"/>
                <w:highlight w:val="none"/>
              </w:rPr>
            </w:pP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4C38189A">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其他机械费</w:t>
            </w:r>
          </w:p>
        </w:tc>
        <w:tc>
          <w:tcPr>
            <w:tcW w:w="1751" w:type="dxa"/>
            <w:tcBorders>
              <w:top w:val="single" w:color="auto" w:sz="4" w:space="0"/>
              <w:left w:val="single" w:color="auto" w:sz="4" w:space="0"/>
              <w:bottom w:val="single" w:color="auto" w:sz="4" w:space="0"/>
              <w:right w:val="single" w:color="auto" w:sz="4" w:space="0"/>
            </w:tcBorders>
          </w:tcPr>
          <w:p w14:paraId="22F71415">
            <w:pPr>
              <w:widowControl/>
              <w:tabs>
                <w:tab w:val="center" w:pos="4755"/>
                <w:tab w:val="right" w:pos="9070"/>
              </w:tabs>
              <w:autoSpaceDN w:val="0"/>
              <w:jc w:val="left"/>
              <w:rPr>
                <w:rFonts w:ascii="仿宋" w:hAnsi="仿宋" w:eastAsia="仿宋" w:cs="仿宋"/>
                <w:color w:val="auto"/>
                <w:sz w:val="24"/>
                <w:szCs w:val="24"/>
                <w:highlight w:val="none"/>
              </w:rPr>
            </w:pPr>
          </w:p>
        </w:tc>
      </w:tr>
      <w:tr w14:paraId="0B3B4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07DA246E">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2FA6961B">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机械费小计</w:t>
            </w:r>
          </w:p>
        </w:tc>
        <w:tc>
          <w:tcPr>
            <w:tcW w:w="1751" w:type="dxa"/>
            <w:tcBorders>
              <w:top w:val="single" w:color="auto" w:sz="4" w:space="0"/>
              <w:left w:val="single" w:color="auto" w:sz="4" w:space="0"/>
              <w:bottom w:val="single" w:color="auto" w:sz="4" w:space="0"/>
              <w:right w:val="single" w:color="auto" w:sz="4" w:space="0"/>
            </w:tcBorders>
          </w:tcPr>
          <w:p w14:paraId="75301201">
            <w:pPr>
              <w:widowControl/>
              <w:tabs>
                <w:tab w:val="center" w:pos="4755"/>
                <w:tab w:val="right" w:pos="9070"/>
              </w:tabs>
              <w:autoSpaceDN w:val="0"/>
              <w:jc w:val="left"/>
              <w:rPr>
                <w:rFonts w:ascii="仿宋" w:hAnsi="仿宋" w:eastAsia="仿宋" w:cs="仿宋"/>
                <w:color w:val="auto"/>
                <w:sz w:val="24"/>
                <w:szCs w:val="24"/>
                <w:highlight w:val="none"/>
              </w:rPr>
            </w:pPr>
          </w:p>
        </w:tc>
      </w:tr>
      <w:tr w14:paraId="20CF9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585687D1">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297BFECC">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直接工程费(1+2+3)</w:t>
            </w:r>
          </w:p>
        </w:tc>
        <w:tc>
          <w:tcPr>
            <w:tcW w:w="1751" w:type="dxa"/>
            <w:tcBorders>
              <w:top w:val="single" w:color="auto" w:sz="4" w:space="0"/>
              <w:left w:val="single" w:color="auto" w:sz="4" w:space="0"/>
              <w:bottom w:val="single" w:color="auto" w:sz="4" w:space="0"/>
              <w:right w:val="single" w:color="auto" w:sz="4" w:space="0"/>
            </w:tcBorders>
          </w:tcPr>
          <w:p w14:paraId="0B1FF87C">
            <w:pPr>
              <w:widowControl/>
              <w:tabs>
                <w:tab w:val="center" w:pos="4755"/>
                <w:tab w:val="right" w:pos="9070"/>
              </w:tabs>
              <w:autoSpaceDN w:val="0"/>
              <w:jc w:val="left"/>
              <w:rPr>
                <w:rFonts w:ascii="仿宋" w:hAnsi="仿宋" w:eastAsia="仿宋" w:cs="仿宋"/>
                <w:color w:val="auto"/>
                <w:sz w:val="24"/>
                <w:szCs w:val="24"/>
                <w:highlight w:val="none"/>
              </w:rPr>
            </w:pPr>
          </w:p>
        </w:tc>
      </w:tr>
      <w:tr w14:paraId="048BD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327CDABF">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0C40DC6D">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管理费</w:t>
            </w:r>
          </w:p>
        </w:tc>
        <w:tc>
          <w:tcPr>
            <w:tcW w:w="1751" w:type="dxa"/>
            <w:tcBorders>
              <w:top w:val="single" w:color="auto" w:sz="4" w:space="0"/>
              <w:left w:val="single" w:color="auto" w:sz="4" w:space="0"/>
              <w:bottom w:val="single" w:color="auto" w:sz="4" w:space="0"/>
              <w:right w:val="single" w:color="auto" w:sz="4" w:space="0"/>
            </w:tcBorders>
          </w:tcPr>
          <w:p w14:paraId="1C116241">
            <w:pPr>
              <w:widowControl/>
              <w:tabs>
                <w:tab w:val="center" w:pos="4755"/>
                <w:tab w:val="right" w:pos="9070"/>
              </w:tabs>
              <w:autoSpaceDN w:val="0"/>
              <w:jc w:val="left"/>
              <w:rPr>
                <w:rFonts w:ascii="仿宋" w:hAnsi="仿宋" w:eastAsia="仿宋" w:cs="仿宋"/>
                <w:color w:val="auto"/>
                <w:sz w:val="24"/>
                <w:szCs w:val="24"/>
                <w:highlight w:val="none"/>
              </w:rPr>
            </w:pPr>
          </w:p>
        </w:tc>
      </w:tr>
      <w:tr w14:paraId="54B47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5389AF2F">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2761E2F8">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利润</w:t>
            </w:r>
          </w:p>
        </w:tc>
        <w:tc>
          <w:tcPr>
            <w:tcW w:w="1751" w:type="dxa"/>
            <w:tcBorders>
              <w:top w:val="single" w:color="auto" w:sz="4" w:space="0"/>
              <w:left w:val="single" w:color="auto" w:sz="4" w:space="0"/>
              <w:bottom w:val="single" w:color="auto" w:sz="4" w:space="0"/>
              <w:right w:val="single" w:color="auto" w:sz="4" w:space="0"/>
            </w:tcBorders>
          </w:tcPr>
          <w:p w14:paraId="0A161445">
            <w:pPr>
              <w:widowControl/>
              <w:tabs>
                <w:tab w:val="center" w:pos="4755"/>
                <w:tab w:val="right" w:pos="9070"/>
              </w:tabs>
              <w:autoSpaceDN w:val="0"/>
              <w:jc w:val="left"/>
              <w:rPr>
                <w:rFonts w:ascii="仿宋" w:hAnsi="仿宋" w:eastAsia="仿宋" w:cs="仿宋"/>
                <w:color w:val="auto"/>
                <w:sz w:val="24"/>
                <w:szCs w:val="24"/>
                <w:highlight w:val="none"/>
              </w:rPr>
            </w:pPr>
          </w:p>
        </w:tc>
      </w:tr>
      <w:tr w14:paraId="3FE09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7628905F">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40F03578">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风险费用</w:t>
            </w:r>
          </w:p>
        </w:tc>
        <w:tc>
          <w:tcPr>
            <w:tcW w:w="1751" w:type="dxa"/>
            <w:tcBorders>
              <w:top w:val="single" w:color="auto" w:sz="4" w:space="0"/>
              <w:left w:val="single" w:color="auto" w:sz="4" w:space="0"/>
              <w:bottom w:val="single" w:color="auto" w:sz="4" w:space="0"/>
              <w:right w:val="single" w:color="auto" w:sz="4" w:space="0"/>
            </w:tcBorders>
          </w:tcPr>
          <w:p w14:paraId="755496F3">
            <w:pPr>
              <w:widowControl/>
              <w:tabs>
                <w:tab w:val="center" w:pos="4755"/>
                <w:tab w:val="right" w:pos="9070"/>
              </w:tabs>
              <w:autoSpaceDN w:val="0"/>
              <w:jc w:val="left"/>
              <w:rPr>
                <w:rFonts w:ascii="仿宋" w:hAnsi="仿宋" w:eastAsia="仿宋" w:cs="仿宋"/>
                <w:color w:val="auto"/>
                <w:sz w:val="24"/>
                <w:szCs w:val="24"/>
                <w:highlight w:val="none"/>
              </w:rPr>
            </w:pPr>
          </w:p>
        </w:tc>
      </w:tr>
      <w:tr w14:paraId="13F3D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6" w:type="dxa"/>
            <w:tcBorders>
              <w:top w:val="single" w:color="auto" w:sz="4" w:space="0"/>
              <w:left w:val="single" w:color="auto" w:sz="4" w:space="0"/>
              <w:bottom w:val="single" w:color="auto" w:sz="4" w:space="0"/>
              <w:right w:val="single" w:color="auto" w:sz="4" w:space="0"/>
            </w:tcBorders>
            <w:vAlign w:val="center"/>
          </w:tcPr>
          <w:p w14:paraId="2C401A71">
            <w:pPr>
              <w:widowControl/>
              <w:tabs>
                <w:tab w:val="center" w:pos="4755"/>
                <w:tab w:val="right" w:pos="9070"/>
              </w:tabs>
              <w:autoSpaceDN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6729" w:type="dxa"/>
            <w:gridSpan w:val="5"/>
            <w:tcBorders>
              <w:top w:val="single" w:color="auto" w:sz="4" w:space="0"/>
              <w:left w:val="single" w:color="auto" w:sz="4" w:space="0"/>
              <w:bottom w:val="single" w:color="auto" w:sz="4" w:space="0"/>
              <w:right w:val="single" w:color="auto" w:sz="4" w:space="0"/>
            </w:tcBorders>
            <w:vAlign w:val="center"/>
          </w:tcPr>
          <w:p w14:paraId="6076138A">
            <w:pPr>
              <w:widowControl/>
              <w:tabs>
                <w:tab w:val="center" w:pos="4755"/>
                <w:tab w:val="right" w:pos="9070"/>
              </w:tabs>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综合单价（4+5+6+7）</w:t>
            </w:r>
          </w:p>
        </w:tc>
        <w:tc>
          <w:tcPr>
            <w:tcW w:w="1751" w:type="dxa"/>
            <w:tcBorders>
              <w:top w:val="single" w:color="auto" w:sz="4" w:space="0"/>
              <w:left w:val="single" w:color="auto" w:sz="4" w:space="0"/>
              <w:bottom w:val="single" w:color="auto" w:sz="4" w:space="0"/>
              <w:right w:val="single" w:color="auto" w:sz="4" w:space="0"/>
            </w:tcBorders>
          </w:tcPr>
          <w:p w14:paraId="35D01023">
            <w:pPr>
              <w:widowControl/>
              <w:tabs>
                <w:tab w:val="center" w:pos="4755"/>
                <w:tab w:val="right" w:pos="9070"/>
              </w:tabs>
              <w:autoSpaceDN w:val="0"/>
              <w:jc w:val="left"/>
              <w:rPr>
                <w:rFonts w:ascii="仿宋" w:hAnsi="仿宋" w:eastAsia="仿宋" w:cs="仿宋"/>
                <w:color w:val="auto"/>
                <w:sz w:val="24"/>
                <w:szCs w:val="24"/>
                <w:highlight w:val="none"/>
              </w:rPr>
            </w:pPr>
          </w:p>
        </w:tc>
      </w:tr>
    </w:tbl>
    <w:p w14:paraId="5D7103F7">
      <w:pPr>
        <w:widowControl/>
        <w:tabs>
          <w:tab w:val="center" w:pos="4755"/>
          <w:tab w:val="right" w:pos="9070"/>
        </w:tabs>
        <w:autoSpaceDN w:val="0"/>
        <w:jc w:val="left"/>
        <w:rPr>
          <w:rFonts w:ascii="仿宋" w:hAnsi="仿宋" w:eastAsia="仿宋" w:cs="仿宋"/>
          <w:color w:val="auto"/>
          <w:sz w:val="24"/>
          <w:szCs w:val="24"/>
          <w:highlight w:val="none"/>
        </w:rPr>
      </w:pPr>
    </w:p>
    <w:p w14:paraId="51A85E50">
      <w:pPr>
        <w:widowControl/>
        <w:tabs>
          <w:tab w:val="center" w:pos="4755"/>
          <w:tab w:val="right" w:pos="9070"/>
        </w:tabs>
        <w:autoSpaceDN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注:本表由采购人按需要提出</w:t>
      </w:r>
    </w:p>
    <w:p w14:paraId="37191E64">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color w:val="auto"/>
          <w:kern w:val="0"/>
          <w:sz w:val="24"/>
          <w:szCs w:val="28"/>
          <w:highlight w:val="none"/>
        </w:rPr>
        <w:br w:type="page"/>
      </w:r>
      <w:r>
        <w:rPr>
          <w:rFonts w:hint="eastAsia" w:ascii="仿宋" w:hAnsi="仿宋" w:eastAsia="仿宋" w:cs="Times New Roman"/>
          <w:b/>
          <w:bCs/>
          <w:color w:val="auto"/>
          <w:kern w:val="0"/>
          <w:sz w:val="28"/>
          <w:szCs w:val="28"/>
          <w:highlight w:val="none"/>
        </w:rPr>
        <w:t>表2-4  措施项目工料机分析表</w:t>
      </w:r>
    </w:p>
    <w:p w14:paraId="3840634E">
      <w:pPr>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项目编码:                                            计量单位：</w:t>
      </w:r>
    </w:p>
    <w:p w14:paraId="48B13BBD">
      <w:pPr>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项目名称:                                            第 页共 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877"/>
        <w:gridCol w:w="1226"/>
        <w:gridCol w:w="1577"/>
        <w:gridCol w:w="1751"/>
        <w:gridCol w:w="1402"/>
        <w:gridCol w:w="1647"/>
      </w:tblGrid>
      <w:tr w14:paraId="4E57C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806" w:type="dxa"/>
            <w:vMerge w:val="restart"/>
            <w:tcBorders>
              <w:top w:val="single" w:color="auto" w:sz="4" w:space="0"/>
              <w:left w:val="single" w:color="auto" w:sz="4" w:space="0"/>
              <w:bottom w:val="single" w:color="auto" w:sz="4" w:space="0"/>
              <w:right w:val="single" w:color="auto" w:sz="4" w:space="0"/>
            </w:tcBorders>
            <w:vAlign w:val="center"/>
          </w:tcPr>
          <w:p w14:paraId="68334252">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序号</w:t>
            </w:r>
          </w:p>
        </w:tc>
        <w:tc>
          <w:tcPr>
            <w:tcW w:w="2103" w:type="dxa"/>
            <w:gridSpan w:val="2"/>
            <w:vMerge w:val="restart"/>
            <w:tcBorders>
              <w:top w:val="single" w:color="auto" w:sz="4" w:space="0"/>
              <w:left w:val="single" w:color="auto" w:sz="4" w:space="0"/>
              <w:bottom w:val="single" w:color="auto" w:sz="4" w:space="0"/>
              <w:right w:val="single" w:color="auto" w:sz="4" w:space="0"/>
            </w:tcBorders>
            <w:vAlign w:val="center"/>
          </w:tcPr>
          <w:p w14:paraId="3A249587">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名称及规格</w:t>
            </w:r>
          </w:p>
        </w:tc>
        <w:tc>
          <w:tcPr>
            <w:tcW w:w="1577" w:type="dxa"/>
            <w:vMerge w:val="restart"/>
            <w:tcBorders>
              <w:top w:val="single" w:color="auto" w:sz="4" w:space="0"/>
              <w:left w:val="single" w:color="auto" w:sz="4" w:space="0"/>
              <w:bottom w:val="single" w:color="auto" w:sz="4" w:space="0"/>
              <w:right w:val="single" w:color="auto" w:sz="4" w:space="0"/>
            </w:tcBorders>
            <w:vAlign w:val="center"/>
          </w:tcPr>
          <w:p w14:paraId="4C8E992A">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单位</w:t>
            </w:r>
          </w:p>
        </w:tc>
        <w:tc>
          <w:tcPr>
            <w:tcW w:w="1751" w:type="dxa"/>
            <w:vMerge w:val="restart"/>
            <w:tcBorders>
              <w:top w:val="single" w:color="auto" w:sz="4" w:space="0"/>
              <w:left w:val="single" w:color="auto" w:sz="4" w:space="0"/>
              <w:bottom w:val="single" w:color="auto" w:sz="4" w:space="0"/>
              <w:right w:val="single" w:color="auto" w:sz="4" w:space="0"/>
            </w:tcBorders>
            <w:vAlign w:val="center"/>
          </w:tcPr>
          <w:p w14:paraId="4DB7A05F">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数量</w:t>
            </w:r>
          </w:p>
        </w:tc>
        <w:tc>
          <w:tcPr>
            <w:tcW w:w="3049" w:type="dxa"/>
            <w:gridSpan w:val="2"/>
            <w:tcBorders>
              <w:top w:val="single" w:color="auto" w:sz="4" w:space="0"/>
              <w:left w:val="single" w:color="auto" w:sz="4" w:space="0"/>
              <w:bottom w:val="single" w:color="auto" w:sz="4" w:space="0"/>
              <w:right w:val="single" w:color="auto" w:sz="4" w:space="0"/>
            </w:tcBorders>
            <w:vAlign w:val="center"/>
          </w:tcPr>
          <w:p w14:paraId="727C6AC1">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金额(元)</w:t>
            </w:r>
          </w:p>
        </w:tc>
      </w:tr>
      <w:tr w14:paraId="4DA46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7FF32BF2">
            <w:pPr>
              <w:widowControl/>
              <w:jc w:val="left"/>
              <w:rPr>
                <w:rFonts w:ascii="仿宋" w:hAnsi="仿宋" w:eastAsia="仿宋" w:cs="新宋体"/>
                <w:color w:val="auto"/>
                <w:sz w:val="24"/>
                <w:szCs w:val="24"/>
                <w:highlight w:val="none"/>
              </w:rPr>
            </w:pPr>
          </w:p>
        </w:tc>
        <w:tc>
          <w:tcPr>
            <w:tcW w:w="8059" w:type="dxa"/>
            <w:gridSpan w:val="2"/>
            <w:vMerge w:val="continue"/>
            <w:tcBorders>
              <w:top w:val="single" w:color="auto" w:sz="4" w:space="0"/>
              <w:left w:val="single" w:color="auto" w:sz="4" w:space="0"/>
              <w:bottom w:val="single" w:color="auto" w:sz="4" w:space="0"/>
              <w:right w:val="single" w:color="auto" w:sz="4" w:space="0"/>
            </w:tcBorders>
            <w:vAlign w:val="center"/>
          </w:tcPr>
          <w:p w14:paraId="28017D85">
            <w:pPr>
              <w:widowControl/>
              <w:jc w:val="left"/>
              <w:rPr>
                <w:rFonts w:ascii="仿宋" w:hAnsi="仿宋" w:eastAsia="仿宋" w:cs="新宋体"/>
                <w:color w:val="auto"/>
                <w:sz w:val="24"/>
                <w:szCs w:val="24"/>
                <w:highlight w:val="none"/>
              </w:rPr>
            </w:pPr>
          </w:p>
        </w:tc>
        <w:tc>
          <w:tcPr>
            <w:tcW w:w="1577" w:type="dxa"/>
            <w:vMerge w:val="continue"/>
            <w:tcBorders>
              <w:top w:val="single" w:color="auto" w:sz="4" w:space="0"/>
              <w:left w:val="single" w:color="auto" w:sz="4" w:space="0"/>
              <w:bottom w:val="single" w:color="auto" w:sz="4" w:space="0"/>
              <w:right w:val="single" w:color="auto" w:sz="4" w:space="0"/>
            </w:tcBorders>
            <w:vAlign w:val="center"/>
          </w:tcPr>
          <w:p w14:paraId="00D84474">
            <w:pPr>
              <w:widowControl/>
              <w:jc w:val="left"/>
              <w:rPr>
                <w:rFonts w:ascii="仿宋" w:hAnsi="仿宋" w:eastAsia="仿宋" w:cs="新宋体"/>
                <w:color w:val="auto"/>
                <w:sz w:val="24"/>
                <w:szCs w:val="24"/>
                <w:highlight w:val="none"/>
              </w:rPr>
            </w:pPr>
          </w:p>
        </w:tc>
        <w:tc>
          <w:tcPr>
            <w:tcW w:w="1751" w:type="dxa"/>
            <w:vMerge w:val="continue"/>
            <w:tcBorders>
              <w:top w:val="single" w:color="auto" w:sz="4" w:space="0"/>
              <w:left w:val="single" w:color="auto" w:sz="4" w:space="0"/>
              <w:bottom w:val="single" w:color="auto" w:sz="4" w:space="0"/>
              <w:right w:val="single" w:color="auto" w:sz="4" w:space="0"/>
            </w:tcBorders>
            <w:vAlign w:val="center"/>
          </w:tcPr>
          <w:p w14:paraId="64E69FD8">
            <w:pPr>
              <w:widowControl/>
              <w:jc w:val="left"/>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45F1A01C">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单价</w:t>
            </w:r>
          </w:p>
        </w:tc>
        <w:tc>
          <w:tcPr>
            <w:tcW w:w="1647" w:type="dxa"/>
            <w:tcBorders>
              <w:top w:val="single" w:color="auto" w:sz="4" w:space="0"/>
              <w:left w:val="single" w:color="auto" w:sz="4" w:space="0"/>
              <w:bottom w:val="single" w:color="auto" w:sz="4" w:space="0"/>
              <w:right w:val="single" w:color="auto" w:sz="4" w:space="0"/>
            </w:tcBorders>
            <w:vAlign w:val="center"/>
          </w:tcPr>
          <w:p w14:paraId="5BAE38D1">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合价</w:t>
            </w:r>
          </w:p>
        </w:tc>
      </w:tr>
      <w:tr w14:paraId="57E30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restart"/>
            <w:tcBorders>
              <w:top w:val="single" w:color="auto" w:sz="4" w:space="0"/>
              <w:left w:val="single" w:color="auto" w:sz="4" w:space="0"/>
              <w:bottom w:val="single" w:color="auto" w:sz="4" w:space="0"/>
              <w:right w:val="single" w:color="auto" w:sz="4" w:space="0"/>
            </w:tcBorders>
            <w:vAlign w:val="center"/>
          </w:tcPr>
          <w:p w14:paraId="584126B6">
            <w:pPr>
              <w:widowControl/>
              <w:tabs>
                <w:tab w:val="center" w:pos="4755"/>
                <w:tab w:val="right" w:pos="9070"/>
              </w:tabs>
              <w:autoSpaceDN w:val="0"/>
              <w:rPr>
                <w:rFonts w:ascii="仿宋" w:hAnsi="仿宋" w:eastAsia="仿宋" w:cs="新宋体"/>
                <w:color w:val="auto"/>
                <w:sz w:val="24"/>
                <w:szCs w:val="24"/>
                <w:highlight w:val="none"/>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14:paraId="1B19D937">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人工</w:t>
            </w:r>
          </w:p>
        </w:tc>
        <w:tc>
          <w:tcPr>
            <w:tcW w:w="1226" w:type="dxa"/>
            <w:tcBorders>
              <w:top w:val="single" w:color="auto" w:sz="4" w:space="0"/>
              <w:left w:val="single" w:color="auto" w:sz="4" w:space="0"/>
              <w:bottom w:val="single" w:color="auto" w:sz="4" w:space="0"/>
              <w:right w:val="single" w:color="auto" w:sz="4" w:space="0"/>
            </w:tcBorders>
            <w:vAlign w:val="center"/>
          </w:tcPr>
          <w:p w14:paraId="04687257">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一类</w:t>
            </w:r>
          </w:p>
        </w:tc>
        <w:tc>
          <w:tcPr>
            <w:tcW w:w="1577" w:type="dxa"/>
            <w:tcBorders>
              <w:top w:val="single" w:color="auto" w:sz="4" w:space="0"/>
              <w:left w:val="single" w:color="auto" w:sz="4" w:space="0"/>
              <w:bottom w:val="single" w:color="auto" w:sz="4" w:space="0"/>
              <w:right w:val="single" w:color="auto" w:sz="4" w:space="0"/>
            </w:tcBorders>
            <w:vAlign w:val="center"/>
          </w:tcPr>
          <w:p w14:paraId="377246EC">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工日</w:t>
            </w:r>
          </w:p>
        </w:tc>
        <w:tc>
          <w:tcPr>
            <w:tcW w:w="1751" w:type="dxa"/>
            <w:tcBorders>
              <w:top w:val="single" w:color="auto" w:sz="4" w:space="0"/>
              <w:left w:val="single" w:color="auto" w:sz="4" w:space="0"/>
              <w:bottom w:val="single" w:color="auto" w:sz="4" w:space="0"/>
              <w:right w:val="single" w:color="auto" w:sz="4" w:space="0"/>
            </w:tcBorders>
            <w:vAlign w:val="center"/>
          </w:tcPr>
          <w:p w14:paraId="2246C051">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6ACA38DB">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60824423">
            <w:pPr>
              <w:widowControl/>
              <w:tabs>
                <w:tab w:val="center" w:pos="4755"/>
                <w:tab w:val="right" w:pos="9070"/>
              </w:tabs>
              <w:autoSpaceDN w:val="0"/>
              <w:rPr>
                <w:rFonts w:ascii="仿宋" w:hAnsi="仿宋" w:eastAsia="仿宋" w:cs="新宋体"/>
                <w:color w:val="auto"/>
                <w:sz w:val="24"/>
                <w:szCs w:val="24"/>
                <w:highlight w:val="none"/>
              </w:rPr>
            </w:pPr>
          </w:p>
        </w:tc>
      </w:tr>
      <w:tr w14:paraId="16CFE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0EF9D5B4">
            <w:pPr>
              <w:widowControl/>
              <w:jc w:val="left"/>
              <w:rPr>
                <w:rFonts w:ascii="仿宋" w:hAnsi="仿宋" w:eastAsia="仿宋" w:cs="新宋体"/>
                <w:color w:val="auto"/>
                <w:sz w:val="24"/>
                <w:szCs w:val="24"/>
                <w:highlight w:val="none"/>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14:paraId="1CCC0D4B">
            <w:pPr>
              <w:widowControl/>
              <w:jc w:val="left"/>
              <w:rPr>
                <w:rFonts w:ascii="仿宋" w:hAnsi="仿宋" w:eastAsia="仿宋" w:cs="新宋体"/>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6CAE408E">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二类</w:t>
            </w:r>
          </w:p>
        </w:tc>
        <w:tc>
          <w:tcPr>
            <w:tcW w:w="1577" w:type="dxa"/>
            <w:tcBorders>
              <w:top w:val="single" w:color="auto" w:sz="4" w:space="0"/>
              <w:left w:val="single" w:color="auto" w:sz="4" w:space="0"/>
              <w:bottom w:val="single" w:color="auto" w:sz="4" w:space="0"/>
              <w:right w:val="single" w:color="auto" w:sz="4" w:space="0"/>
            </w:tcBorders>
            <w:vAlign w:val="center"/>
          </w:tcPr>
          <w:p w14:paraId="6211D874">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工日</w:t>
            </w:r>
          </w:p>
        </w:tc>
        <w:tc>
          <w:tcPr>
            <w:tcW w:w="1751" w:type="dxa"/>
            <w:tcBorders>
              <w:top w:val="single" w:color="auto" w:sz="4" w:space="0"/>
              <w:left w:val="single" w:color="auto" w:sz="4" w:space="0"/>
              <w:bottom w:val="single" w:color="auto" w:sz="4" w:space="0"/>
              <w:right w:val="single" w:color="auto" w:sz="4" w:space="0"/>
            </w:tcBorders>
            <w:vAlign w:val="center"/>
          </w:tcPr>
          <w:p w14:paraId="4B427DC0">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16B3B38E">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1D5844E0">
            <w:pPr>
              <w:widowControl/>
              <w:tabs>
                <w:tab w:val="center" w:pos="4755"/>
                <w:tab w:val="right" w:pos="9070"/>
              </w:tabs>
              <w:autoSpaceDN w:val="0"/>
              <w:rPr>
                <w:rFonts w:ascii="仿宋" w:hAnsi="仿宋" w:eastAsia="仿宋" w:cs="新宋体"/>
                <w:color w:val="auto"/>
                <w:sz w:val="24"/>
                <w:szCs w:val="24"/>
                <w:highlight w:val="none"/>
              </w:rPr>
            </w:pPr>
          </w:p>
        </w:tc>
      </w:tr>
      <w:tr w14:paraId="728D1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19D2D898">
            <w:pPr>
              <w:widowControl/>
              <w:jc w:val="left"/>
              <w:rPr>
                <w:rFonts w:ascii="仿宋" w:hAnsi="仿宋" w:eastAsia="仿宋" w:cs="新宋体"/>
                <w:color w:val="auto"/>
                <w:sz w:val="24"/>
                <w:szCs w:val="24"/>
                <w:highlight w:val="none"/>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14:paraId="4ABBB571">
            <w:pPr>
              <w:widowControl/>
              <w:jc w:val="left"/>
              <w:rPr>
                <w:rFonts w:ascii="仿宋" w:hAnsi="仿宋" w:eastAsia="仿宋" w:cs="新宋体"/>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5E0A5736">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三类</w:t>
            </w:r>
          </w:p>
        </w:tc>
        <w:tc>
          <w:tcPr>
            <w:tcW w:w="1577" w:type="dxa"/>
            <w:tcBorders>
              <w:top w:val="single" w:color="auto" w:sz="4" w:space="0"/>
              <w:left w:val="single" w:color="auto" w:sz="4" w:space="0"/>
              <w:bottom w:val="single" w:color="auto" w:sz="4" w:space="0"/>
              <w:right w:val="single" w:color="auto" w:sz="4" w:space="0"/>
            </w:tcBorders>
            <w:vAlign w:val="center"/>
          </w:tcPr>
          <w:p w14:paraId="3F39D183">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工日</w:t>
            </w:r>
          </w:p>
        </w:tc>
        <w:tc>
          <w:tcPr>
            <w:tcW w:w="1751" w:type="dxa"/>
            <w:tcBorders>
              <w:top w:val="single" w:color="auto" w:sz="4" w:space="0"/>
              <w:left w:val="single" w:color="auto" w:sz="4" w:space="0"/>
              <w:bottom w:val="single" w:color="auto" w:sz="4" w:space="0"/>
              <w:right w:val="single" w:color="auto" w:sz="4" w:space="0"/>
            </w:tcBorders>
            <w:vAlign w:val="center"/>
          </w:tcPr>
          <w:p w14:paraId="2B2EB0AB">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23F95511">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76C0E723">
            <w:pPr>
              <w:widowControl/>
              <w:tabs>
                <w:tab w:val="center" w:pos="4755"/>
                <w:tab w:val="right" w:pos="9070"/>
              </w:tabs>
              <w:autoSpaceDN w:val="0"/>
              <w:rPr>
                <w:rFonts w:ascii="仿宋" w:hAnsi="仿宋" w:eastAsia="仿宋" w:cs="新宋体"/>
                <w:color w:val="auto"/>
                <w:sz w:val="24"/>
                <w:szCs w:val="24"/>
                <w:highlight w:val="none"/>
              </w:rPr>
            </w:pPr>
          </w:p>
        </w:tc>
      </w:tr>
      <w:tr w14:paraId="3EA56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6FFB2FB0">
            <w:pPr>
              <w:widowControl/>
              <w:tabs>
                <w:tab w:val="center" w:pos="4755"/>
                <w:tab w:val="right" w:pos="9070"/>
              </w:tabs>
              <w:autoSpaceDN w:val="0"/>
              <w:ind w:firstLine="240" w:firstLineChars="10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1</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60A51680">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人工费小计</w:t>
            </w:r>
          </w:p>
        </w:tc>
        <w:tc>
          <w:tcPr>
            <w:tcW w:w="1647" w:type="dxa"/>
            <w:tcBorders>
              <w:top w:val="single" w:color="auto" w:sz="4" w:space="0"/>
              <w:left w:val="single" w:color="auto" w:sz="4" w:space="0"/>
              <w:bottom w:val="single" w:color="auto" w:sz="4" w:space="0"/>
              <w:right w:val="single" w:color="auto" w:sz="4" w:space="0"/>
            </w:tcBorders>
            <w:vAlign w:val="center"/>
          </w:tcPr>
          <w:p w14:paraId="0042EF4D">
            <w:pPr>
              <w:widowControl/>
              <w:tabs>
                <w:tab w:val="center" w:pos="4755"/>
                <w:tab w:val="right" w:pos="9070"/>
              </w:tabs>
              <w:autoSpaceDN w:val="0"/>
              <w:rPr>
                <w:rFonts w:ascii="仿宋" w:hAnsi="仿宋" w:eastAsia="仿宋" w:cs="新宋体"/>
                <w:color w:val="auto"/>
                <w:sz w:val="24"/>
                <w:szCs w:val="24"/>
                <w:highlight w:val="none"/>
              </w:rPr>
            </w:pPr>
          </w:p>
        </w:tc>
      </w:tr>
      <w:tr w14:paraId="132C1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restart"/>
            <w:tcBorders>
              <w:top w:val="single" w:color="auto" w:sz="4" w:space="0"/>
              <w:left w:val="single" w:color="auto" w:sz="4" w:space="0"/>
              <w:bottom w:val="single" w:color="auto" w:sz="4" w:space="0"/>
              <w:right w:val="single" w:color="auto" w:sz="4" w:space="0"/>
            </w:tcBorders>
            <w:vAlign w:val="center"/>
          </w:tcPr>
          <w:p w14:paraId="60A8FFE0">
            <w:pPr>
              <w:widowControl/>
              <w:tabs>
                <w:tab w:val="center" w:pos="4755"/>
                <w:tab w:val="right" w:pos="9070"/>
              </w:tabs>
              <w:autoSpaceDN w:val="0"/>
              <w:rPr>
                <w:rFonts w:ascii="仿宋" w:hAnsi="仿宋" w:eastAsia="仿宋" w:cs="新宋体"/>
                <w:color w:val="auto"/>
                <w:sz w:val="24"/>
                <w:szCs w:val="24"/>
                <w:highlight w:val="none"/>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14:paraId="33A42083">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主要材料</w:t>
            </w:r>
          </w:p>
        </w:tc>
        <w:tc>
          <w:tcPr>
            <w:tcW w:w="1226" w:type="dxa"/>
            <w:tcBorders>
              <w:top w:val="single" w:color="auto" w:sz="4" w:space="0"/>
              <w:left w:val="single" w:color="auto" w:sz="4" w:space="0"/>
              <w:bottom w:val="single" w:color="auto" w:sz="4" w:space="0"/>
              <w:right w:val="single" w:color="auto" w:sz="4" w:space="0"/>
            </w:tcBorders>
            <w:vAlign w:val="center"/>
          </w:tcPr>
          <w:p w14:paraId="6213EDF8">
            <w:pPr>
              <w:widowControl/>
              <w:tabs>
                <w:tab w:val="center" w:pos="4755"/>
                <w:tab w:val="right" w:pos="9070"/>
              </w:tabs>
              <w:autoSpaceDN w:val="0"/>
              <w:rPr>
                <w:rFonts w:ascii="仿宋" w:hAnsi="仿宋" w:eastAsia="仿宋" w:cs="新宋体"/>
                <w:color w:val="auto"/>
                <w:sz w:val="24"/>
                <w:szCs w:val="24"/>
                <w:highlight w:val="none"/>
              </w:rPr>
            </w:pPr>
          </w:p>
        </w:tc>
        <w:tc>
          <w:tcPr>
            <w:tcW w:w="1577" w:type="dxa"/>
            <w:tcBorders>
              <w:top w:val="single" w:color="auto" w:sz="4" w:space="0"/>
              <w:left w:val="single" w:color="auto" w:sz="4" w:space="0"/>
              <w:bottom w:val="single" w:color="auto" w:sz="4" w:space="0"/>
              <w:right w:val="single" w:color="auto" w:sz="4" w:space="0"/>
            </w:tcBorders>
            <w:vAlign w:val="center"/>
          </w:tcPr>
          <w:p w14:paraId="0F39AE21">
            <w:pPr>
              <w:widowControl/>
              <w:tabs>
                <w:tab w:val="center" w:pos="4755"/>
                <w:tab w:val="right" w:pos="9070"/>
              </w:tabs>
              <w:autoSpaceDN w:val="0"/>
              <w:rPr>
                <w:rFonts w:ascii="仿宋" w:hAnsi="仿宋" w:eastAsia="仿宋" w:cs="新宋体"/>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1DD5C2D3">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524883F7">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77E673FF">
            <w:pPr>
              <w:widowControl/>
              <w:tabs>
                <w:tab w:val="center" w:pos="4755"/>
                <w:tab w:val="right" w:pos="9070"/>
              </w:tabs>
              <w:autoSpaceDN w:val="0"/>
              <w:rPr>
                <w:rFonts w:ascii="仿宋" w:hAnsi="仿宋" w:eastAsia="仿宋" w:cs="新宋体"/>
                <w:color w:val="auto"/>
                <w:sz w:val="24"/>
                <w:szCs w:val="24"/>
                <w:highlight w:val="none"/>
              </w:rPr>
            </w:pPr>
          </w:p>
        </w:tc>
      </w:tr>
      <w:tr w14:paraId="0B217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2DE646B4">
            <w:pPr>
              <w:widowControl/>
              <w:jc w:val="left"/>
              <w:rPr>
                <w:rFonts w:ascii="仿宋" w:hAnsi="仿宋" w:eastAsia="仿宋" w:cs="新宋体"/>
                <w:color w:val="auto"/>
                <w:sz w:val="24"/>
                <w:szCs w:val="24"/>
                <w:highlight w:val="none"/>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14:paraId="5D9D4AAE">
            <w:pPr>
              <w:widowControl/>
              <w:jc w:val="left"/>
              <w:rPr>
                <w:rFonts w:ascii="仿宋" w:hAnsi="仿宋" w:eastAsia="仿宋" w:cs="新宋体"/>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6DAE7BB9">
            <w:pPr>
              <w:widowControl/>
              <w:tabs>
                <w:tab w:val="center" w:pos="4755"/>
                <w:tab w:val="right" w:pos="9070"/>
              </w:tabs>
              <w:autoSpaceDN w:val="0"/>
              <w:rPr>
                <w:rFonts w:ascii="仿宋" w:hAnsi="仿宋" w:eastAsia="仿宋" w:cs="新宋体"/>
                <w:color w:val="auto"/>
                <w:sz w:val="24"/>
                <w:szCs w:val="24"/>
                <w:highlight w:val="none"/>
              </w:rPr>
            </w:pPr>
          </w:p>
        </w:tc>
        <w:tc>
          <w:tcPr>
            <w:tcW w:w="1577" w:type="dxa"/>
            <w:tcBorders>
              <w:top w:val="single" w:color="auto" w:sz="4" w:space="0"/>
              <w:left w:val="single" w:color="auto" w:sz="4" w:space="0"/>
              <w:bottom w:val="single" w:color="auto" w:sz="4" w:space="0"/>
              <w:right w:val="single" w:color="auto" w:sz="4" w:space="0"/>
            </w:tcBorders>
            <w:vAlign w:val="center"/>
          </w:tcPr>
          <w:p w14:paraId="62FDF3F1">
            <w:pPr>
              <w:widowControl/>
              <w:tabs>
                <w:tab w:val="center" w:pos="4755"/>
                <w:tab w:val="right" w:pos="9070"/>
              </w:tabs>
              <w:autoSpaceDN w:val="0"/>
              <w:rPr>
                <w:rFonts w:ascii="仿宋" w:hAnsi="仿宋" w:eastAsia="仿宋" w:cs="新宋体"/>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041B465B">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1381E2D2">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72B39EB9">
            <w:pPr>
              <w:widowControl/>
              <w:tabs>
                <w:tab w:val="center" w:pos="4755"/>
                <w:tab w:val="right" w:pos="9070"/>
              </w:tabs>
              <w:autoSpaceDN w:val="0"/>
              <w:rPr>
                <w:rFonts w:ascii="仿宋" w:hAnsi="仿宋" w:eastAsia="仿宋" w:cs="新宋体"/>
                <w:color w:val="auto"/>
                <w:sz w:val="24"/>
                <w:szCs w:val="24"/>
                <w:highlight w:val="none"/>
              </w:rPr>
            </w:pPr>
          </w:p>
        </w:tc>
      </w:tr>
      <w:tr w14:paraId="667BF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0AA656F1">
            <w:pPr>
              <w:widowControl/>
              <w:jc w:val="left"/>
              <w:rPr>
                <w:rFonts w:ascii="仿宋" w:hAnsi="仿宋" w:eastAsia="仿宋" w:cs="新宋体"/>
                <w:color w:val="auto"/>
                <w:sz w:val="24"/>
                <w:szCs w:val="24"/>
                <w:highlight w:val="none"/>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14:paraId="26A7E1AE">
            <w:pPr>
              <w:widowControl/>
              <w:jc w:val="left"/>
              <w:rPr>
                <w:rFonts w:ascii="仿宋" w:hAnsi="仿宋" w:eastAsia="仿宋" w:cs="新宋体"/>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612F49F9">
            <w:pPr>
              <w:widowControl/>
              <w:tabs>
                <w:tab w:val="center" w:pos="4755"/>
                <w:tab w:val="right" w:pos="9070"/>
              </w:tabs>
              <w:autoSpaceDN w:val="0"/>
              <w:rPr>
                <w:rFonts w:ascii="仿宋" w:hAnsi="仿宋" w:eastAsia="仿宋" w:cs="新宋体"/>
                <w:color w:val="auto"/>
                <w:sz w:val="24"/>
                <w:szCs w:val="24"/>
                <w:highlight w:val="none"/>
              </w:rPr>
            </w:pPr>
          </w:p>
        </w:tc>
        <w:tc>
          <w:tcPr>
            <w:tcW w:w="1577" w:type="dxa"/>
            <w:tcBorders>
              <w:top w:val="single" w:color="auto" w:sz="4" w:space="0"/>
              <w:left w:val="single" w:color="auto" w:sz="4" w:space="0"/>
              <w:bottom w:val="single" w:color="auto" w:sz="4" w:space="0"/>
              <w:right w:val="single" w:color="auto" w:sz="4" w:space="0"/>
            </w:tcBorders>
            <w:vAlign w:val="center"/>
          </w:tcPr>
          <w:p w14:paraId="1175BDFE">
            <w:pPr>
              <w:widowControl/>
              <w:tabs>
                <w:tab w:val="center" w:pos="4755"/>
                <w:tab w:val="right" w:pos="9070"/>
              </w:tabs>
              <w:autoSpaceDN w:val="0"/>
              <w:rPr>
                <w:rFonts w:ascii="仿宋" w:hAnsi="仿宋" w:eastAsia="仿宋" w:cs="新宋体"/>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0F026F4B">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36450513">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6ED361B8">
            <w:pPr>
              <w:widowControl/>
              <w:tabs>
                <w:tab w:val="center" w:pos="4755"/>
                <w:tab w:val="right" w:pos="9070"/>
              </w:tabs>
              <w:autoSpaceDN w:val="0"/>
              <w:rPr>
                <w:rFonts w:ascii="仿宋" w:hAnsi="仿宋" w:eastAsia="仿宋" w:cs="新宋体"/>
                <w:color w:val="auto"/>
                <w:sz w:val="24"/>
                <w:szCs w:val="24"/>
                <w:highlight w:val="none"/>
              </w:rPr>
            </w:pPr>
          </w:p>
        </w:tc>
      </w:tr>
      <w:tr w14:paraId="5B20D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175FA0EA">
            <w:pPr>
              <w:widowControl/>
              <w:jc w:val="left"/>
              <w:rPr>
                <w:rFonts w:ascii="仿宋" w:hAnsi="仿宋" w:eastAsia="仿宋" w:cs="新宋体"/>
                <w:color w:val="auto"/>
                <w:sz w:val="24"/>
                <w:szCs w:val="24"/>
                <w:highlight w:val="none"/>
              </w:rPr>
            </w:pP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40B1DA26">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其他材料费</w:t>
            </w:r>
          </w:p>
        </w:tc>
        <w:tc>
          <w:tcPr>
            <w:tcW w:w="1647" w:type="dxa"/>
            <w:tcBorders>
              <w:top w:val="single" w:color="auto" w:sz="4" w:space="0"/>
              <w:left w:val="single" w:color="auto" w:sz="4" w:space="0"/>
              <w:bottom w:val="single" w:color="auto" w:sz="4" w:space="0"/>
              <w:right w:val="single" w:color="auto" w:sz="4" w:space="0"/>
            </w:tcBorders>
            <w:vAlign w:val="center"/>
          </w:tcPr>
          <w:p w14:paraId="4FFE5D1B">
            <w:pPr>
              <w:widowControl/>
              <w:tabs>
                <w:tab w:val="center" w:pos="4755"/>
                <w:tab w:val="right" w:pos="9070"/>
              </w:tabs>
              <w:autoSpaceDN w:val="0"/>
              <w:rPr>
                <w:rFonts w:ascii="仿宋" w:hAnsi="仿宋" w:eastAsia="仿宋" w:cs="新宋体"/>
                <w:color w:val="auto"/>
                <w:sz w:val="24"/>
                <w:szCs w:val="24"/>
                <w:highlight w:val="none"/>
              </w:rPr>
            </w:pPr>
          </w:p>
        </w:tc>
      </w:tr>
      <w:tr w14:paraId="141A3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756E83DB">
            <w:pPr>
              <w:widowControl/>
              <w:tabs>
                <w:tab w:val="center" w:pos="4755"/>
                <w:tab w:val="right" w:pos="9070"/>
              </w:tabs>
              <w:autoSpaceDN w:val="0"/>
              <w:ind w:firstLine="240" w:firstLineChars="10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2</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3C657B83">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材料费小计</w:t>
            </w:r>
          </w:p>
        </w:tc>
        <w:tc>
          <w:tcPr>
            <w:tcW w:w="1647" w:type="dxa"/>
            <w:tcBorders>
              <w:top w:val="single" w:color="auto" w:sz="4" w:space="0"/>
              <w:left w:val="single" w:color="auto" w:sz="4" w:space="0"/>
              <w:bottom w:val="single" w:color="auto" w:sz="4" w:space="0"/>
              <w:right w:val="single" w:color="auto" w:sz="4" w:space="0"/>
            </w:tcBorders>
            <w:vAlign w:val="center"/>
          </w:tcPr>
          <w:p w14:paraId="50B681DC">
            <w:pPr>
              <w:widowControl/>
              <w:tabs>
                <w:tab w:val="center" w:pos="4755"/>
                <w:tab w:val="right" w:pos="9070"/>
              </w:tabs>
              <w:autoSpaceDN w:val="0"/>
              <w:rPr>
                <w:rFonts w:ascii="仿宋" w:hAnsi="仿宋" w:eastAsia="仿宋" w:cs="新宋体"/>
                <w:color w:val="auto"/>
                <w:sz w:val="24"/>
                <w:szCs w:val="24"/>
                <w:highlight w:val="none"/>
              </w:rPr>
            </w:pPr>
          </w:p>
        </w:tc>
      </w:tr>
      <w:tr w14:paraId="51FD5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restart"/>
            <w:tcBorders>
              <w:top w:val="single" w:color="auto" w:sz="4" w:space="0"/>
              <w:left w:val="single" w:color="auto" w:sz="4" w:space="0"/>
              <w:bottom w:val="single" w:color="auto" w:sz="4" w:space="0"/>
              <w:right w:val="single" w:color="auto" w:sz="4" w:space="0"/>
            </w:tcBorders>
            <w:vAlign w:val="center"/>
          </w:tcPr>
          <w:p w14:paraId="6D31B06F">
            <w:pPr>
              <w:widowControl/>
              <w:tabs>
                <w:tab w:val="center" w:pos="4755"/>
                <w:tab w:val="right" w:pos="9070"/>
              </w:tabs>
              <w:autoSpaceDN w:val="0"/>
              <w:rPr>
                <w:rFonts w:ascii="仿宋" w:hAnsi="仿宋" w:eastAsia="仿宋" w:cs="新宋体"/>
                <w:color w:val="auto"/>
                <w:sz w:val="24"/>
                <w:szCs w:val="24"/>
                <w:highlight w:val="none"/>
              </w:rPr>
            </w:pPr>
          </w:p>
        </w:tc>
        <w:tc>
          <w:tcPr>
            <w:tcW w:w="877" w:type="dxa"/>
            <w:vMerge w:val="restart"/>
            <w:tcBorders>
              <w:top w:val="single" w:color="auto" w:sz="4" w:space="0"/>
              <w:left w:val="single" w:color="auto" w:sz="4" w:space="0"/>
              <w:bottom w:val="single" w:color="auto" w:sz="4" w:space="0"/>
              <w:right w:val="single" w:color="auto" w:sz="4" w:space="0"/>
            </w:tcBorders>
            <w:vAlign w:val="center"/>
          </w:tcPr>
          <w:p w14:paraId="032A7503">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主要机械</w:t>
            </w:r>
          </w:p>
        </w:tc>
        <w:tc>
          <w:tcPr>
            <w:tcW w:w="1226" w:type="dxa"/>
            <w:tcBorders>
              <w:top w:val="single" w:color="auto" w:sz="4" w:space="0"/>
              <w:left w:val="single" w:color="auto" w:sz="4" w:space="0"/>
              <w:bottom w:val="single" w:color="auto" w:sz="4" w:space="0"/>
              <w:right w:val="single" w:color="auto" w:sz="4" w:space="0"/>
            </w:tcBorders>
            <w:vAlign w:val="center"/>
          </w:tcPr>
          <w:p w14:paraId="2D73FEAD">
            <w:pPr>
              <w:widowControl/>
              <w:tabs>
                <w:tab w:val="center" w:pos="4755"/>
                <w:tab w:val="right" w:pos="9070"/>
              </w:tabs>
              <w:autoSpaceDN w:val="0"/>
              <w:rPr>
                <w:rFonts w:ascii="仿宋" w:hAnsi="仿宋" w:eastAsia="仿宋" w:cs="新宋体"/>
                <w:color w:val="auto"/>
                <w:sz w:val="24"/>
                <w:szCs w:val="24"/>
                <w:highlight w:val="none"/>
              </w:rPr>
            </w:pPr>
          </w:p>
        </w:tc>
        <w:tc>
          <w:tcPr>
            <w:tcW w:w="1577" w:type="dxa"/>
            <w:tcBorders>
              <w:top w:val="single" w:color="auto" w:sz="4" w:space="0"/>
              <w:left w:val="single" w:color="auto" w:sz="4" w:space="0"/>
              <w:bottom w:val="single" w:color="auto" w:sz="4" w:space="0"/>
              <w:right w:val="single" w:color="auto" w:sz="4" w:space="0"/>
            </w:tcBorders>
            <w:vAlign w:val="center"/>
          </w:tcPr>
          <w:p w14:paraId="0C767954">
            <w:pPr>
              <w:widowControl/>
              <w:tabs>
                <w:tab w:val="center" w:pos="4755"/>
                <w:tab w:val="right" w:pos="9070"/>
              </w:tabs>
              <w:autoSpaceDN w:val="0"/>
              <w:rPr>
                <w:rFonts w:ascii="仿宋" w:hAnsi="仿宋" w:eastAsia="仿宋" w:cs="新宋体"/>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4E541DC2">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591EF703">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2656B40C">
            <w:pPr>
              <w:widowControl/>
              <w:tabs>
                <w:tab w:val="center" w:pos="4755"/>
                <w:tab w:val="right" w:pos="9070"/>
              </w:tabs>
              <w:autoSpaceDN w:val="0"/>
              <w:rPr>
                <w:rFonts w:ascii="仿宋" w:hAnsi="仿宋" w:eastAsia="仿宋" w:cs="新宋体"/>
                <w:color w:val="auto"/>
                <w:sz w:val="24"/>
                <w:szCs w:val="24"/>
                <w:highlight w:val="none"/>
              </w:rPr>
            </w:pPr>
          </w:p>
        </w:tc>
      </w:tr>
      <w:tr w14:paraId="637A6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5B307A5F">
            <w:pPr>
              <w:widowControl/>
              <w:jc w:val="left"/>
              <w:rPr>
                <w:rFonts w:ascii="仿宋" w:hAnsi="仿宋" w:eastAsia="仿宋" w:cs="新宋体"/>
                <w:color w:val="auto"/>
                <w:sz w:val="24"/>
                <w:szCs w:val="24"/>
                <w:highlight w:val="none"/>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14:paraId="32D4EF28">
            <w:pPr>
              <w:widowControl/>
              <w:jc w:val="left"/>
              <w:rPr>
                <w:rFonts w:ascii="仿宋" w:hAnsi="仿宋" w:eastAsia="仿宋" w:cs="新宋体"/>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0C2C7C2B">
            <w:pPr>
              <w:widowControl/>
              <w:tabs>
                <w:tab w:val="center" w:pos="4755"/>
                <w:tab w:val="right" w:pos="9070"/>
              </w:tabs>
              <w:autoSpaceDN w:val="0"/>
              <w:rPr>
                <w:rFonts w:ascii="仿宋" w:hAnsi="仿宋" w:eastAsia="仿宋" w:cs="新宋体"/>
                <w:color w:val="auto"/>
                <w:sz w:val="24"/>
                <w:szCs w:val="24"/>
                <w:highlight w:val="none"/>
              </w:rPr>
            </w:pPr>
          </w:p>
        </w:tc>
        <w:tc>
          <w:tcPr>
            <w:tcW w:w="1577" w:type="dxa"/>
            <w:tcBorders>
              <w:top w:val="single" w:color="auto" w:sz="4" w:space="0"/>
              <w:left w:val="single" w:color="auto" w:sz="4" w:space="0"/>
              <w:bottom w:val="single" w:color="auto" w:sz="4" w:space="0"/>
              <w:right w:val="single" w:color="auto" w:sz="4" w:space="0"/>
            </w:tcBorders>
            <w:vAlign w:val="center"/>
          </w:tcPr>
          <w:p w14:paraId="5CDD71B5">
            <w:pPr>
              <w:widowControl/>
              <w:tabs>
                <w:tab w:val="center" w:pos="4755"/>
                <w:tab w:val="right" w:pos="9070"/>
              </w:tabs>
              <w:autoSpaceDN w:val="0"/>
              <w:rPr>
                <w:rFonts w:ascii="仿宋" w:hAnsi="仿宋" w:eastAsia="仿宋" w:cs="新宋体"/>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00931208">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0D3E4164">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2E5AD817">
            <w:pPr>
              <w:widowControl/>
              <w:tabs>
                <w:tab w:val="center" w:pos="4755"/>
                <w:tab w:val="right" w:pos="9070"/>
              </w:tabs>
              <w:autoSpaceDN w:val="0"/>
              <w:rPr>
                <w:rFonts w:ascii="仿宋" w:hAnsi="仿宋" w:eastAsia="仿宋" w:cs="新宋体"/>
                <w:color w:val="auto"/>
                <w:sz w:val="24"/>
                <w:szCs w:val="24"/>
                <w:highlight w:val="none"/>
              </w:rPr>
            </w:pPr>
          </w:p>
        </w:tc>
      </w:tr>
      <w:tr w14:paraId="55598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6A43A1B2">
            <w:pPr>
              <w:widowControl/>
              <w:jc w:val="left"/>
              <w:rPr>
                <w:rFonts w:ascii="仿宋" w:hAnsi="仿宋" w:eastAsia="仿宋" w:cs="新宋体"/>
                <w:color w:val="auto"/>
                <w:sz w:val="24"/>
                <w:szCs w:val="24"/>
                <w:highlight w:val="none"/>
              </w:rPr>
            </w:pPr>
          </w:p>
        </w:tc>
        <w:tc>
          <w:tcPr>
            <w:tcW w:w="6833" w:type="dxa"/>
            <w:vMerge w:val="continue"/>
            <w:tcBorders>
              <w:top w:val="single" w:color="auto" w:sz="4" w:space="0"/>
              <w:left w:val="single" w:color="auto" w:sz="4" w:space="0"/>
              <w:bottom w:val="single" w:color="auto" w:sz="4" w:space="0"/>
              <w:right w:val="single" w:color="auto" w:sz="4" w:space="0"/>
            </w:tcBorders>
            <w:vAlign w:val="center"/>
          </w:tcPr>
          <w:p w14:paraId="3C40EBCE">
            <w:pPr>
              <w:widowControl/>
              <w:jc w:val="left"/>
              <w:rPr>
                <w:rFonts w:ascii="仿宋" w:hAnsi="仿宋" w:eastAsia="仿宋" w:cs="新宋体"/>
                <w:color w:val="auto"/>
                <w:sz w:val="24"/>
                <w:szCs w:val="24"/>
                <w:highlight w:val="none"/>
              </w:rPr>
            </w:pPr>
          </w:p>
        </w:tc>
        <w:tc>
          <w:tcPr>
            <w:tcW w:w="1226" w:type="dxa"/>
            <w:tcBorders>
              <w:top w:val="single" w:color="auto" w:sz="4" w:space="0"/>
              <w:left w:val="single" w:color="auto" w:sz="4" w:space="0"/>
              <w:bottom w:val="single" w:color="auto" w:sz="4" w:space="0"/>
              <w:right w:val="single" w:color="auto" w:sz="4" w:space="0"/>
            </w:tcBorders>
            <w:vAlign w:val="center"/>
          </w:tcPr>
          <w:p w14:paraId="47A6DACA">
            <w:pPr>
              <w:widowControl/>
              <w:tabs>
                <w:tab w:val="center" w:pos="4755"/>
                <w:tab w:val="right" w:pos="9070"/>
              </w:tabs>
              <w:autoSpaceDN w:val="0"/>
              <w:rPr>
                <w:rFonts w:ascii="仿宋" w:hAnsi="仿宋" w:eastAsia="仿宋" w:cs="新宋体"/>
                <w:color w:val="auto"/>
                <w:sz w:val="24"/>
                <w:szCs w:val="24"/>
                <w:highlight w:val="none"/>
              </w:rPr>
            </w:pPr>
          </w:p>
        </w:tc>
        <w:tc>
          <w:tcPr>
            <w:tcW w:w="1577" w:type="dxa"/>
            <w:tcBorders>
              <w:top w:val="single" w:color="auto" w:sz="4" w:space="0"/>
              <w:left w:val="single" w:color="auto" w:sz="4" w:space="0"/>
              <w:bottom w:val="single" w:color="auto" w:sz="4" w:space="0"/>
              <w:right w:val="single" w:color="auto" w:sz="4" w:space="0"/>
            </w:tcBorders>
            <w:vAlign w:val="center"/>
          </w:tcPr>
          <w:p w14:paraId="05551437">
            <w:pPr>
              <w:widowControl/>
              <w:tabs>
                <w:tab w:val="center" w:pos="4755"/>
                <w:tab w:val="right" w:pos="9070"/>
              </w:tabs>
              <w:autoSpaceDN w:val="0"/>
              <w:rPr>
                <w:rFonts w:ascii="仿宋" w:hAnsi="仿宋" w:eastAsia="仿宋" w:cs="新宋体"/>
                <w:color w:val="auto"/>
                <w:sz w:val="24"/>
                <w:szCs w:val="24"/>
                <w:highlight w:val="none"/>
              </w:rPr>
            </w:pPr>
          </w:p>
        </w:tc>
        <w:tc>
          <w:tcPr>
            <w:tcW w:w="1751" w:type="dxa"/>
            <w:tcBorders>
              <w:top w:val="single" w:color="auto" w:sz="4" w:space="0"/>
              <w:left w:val="single" w:color="auto" w:sz="4" w:space="0"/>
              <w:bottom w:val="single" w:color="auto" w:sz="4" w:space="0"/>
              <w:right w:val="single" w:color="auto" w:sz="4" w:space="0"/>
            </w:tcBorders>
            <w:vAlign w:val="center"/>
          </w:tcPr>
          <w:p w14:paraId="71C7C14F">
            <w:pPr>
              <w:widowControl/>
              <w:tabs>
                <w:tab w:val="center" w:pos="4755"/>
                <w:tab w:val="right" w:pos="9070"/>
              </w:tabs>
              <w:autoSpaceDN w:val="0"/>
              <w:rPr>
                <w:rFonts w:ascii="仿宋" w:hAnsi="仿宋" w:eastAsia="仿宋" w:cs="新宋体"/>
                <w:color w:val="auto"/>
                <w:sz w:val="24"/>
                <w:szCs w:val="24"/>
                <w:highlight w:val="none"/>
              </w:rPr>
            </w:pPr>
          </w:p>
        </w:tc>
        <w:tc>
          <w:tcPr>
            <w:tcW w:w="1402" w:type="dxa"/>
            <w:tcBorders>
              <w:top w:val="single" w:color="auto" w:sz="4" w:space="0"/>
              <w:left w:val="single" w:color="auto" w:sz="4" w:space="0"/>
              <w:bottom w:val="single" w:color="auto" w:sz="4" w:space="0"/>
              <w:right w:val="single" w:color="auto" w:sz="4" w:space="0"/>
            </w:tcBorders>
            <w:vAlign w:val="center"/>
          </w:tcPr>
          <w:p w14:paraId="54D58AE1">
            <w:pPr>
              <w:widowControl/>
              <w:tabs>
                <w:tab w:val="center" w:pos="4755"/>
                <w:tab w:val="right" w:pos="9070"/>
              </w:tabs>
              <w:autoSpaceDN w:val="0"/>
              <w:rPr>
                <w:rFonts w:ascii="仿宋" w:hAnsi="仿宋" w:eastAsia="仿宋" w:cs="新宋体"/>
                <w:color w:val="auto"/>
                <w:sz w:val="24"/>
                <w:szCs w:val="24"/>
                <w:highlight w:val="none"/>
              </w:rPr>
            </w:pPr>
          </w:p>
        </w:tc>
        <w:tc>
          <w:tcPr>
            <w:tcW w:w="1647" w:type="dxa"/>
            <w:tcBorders>
              <w:top w:val="single" w:color="auto" w:sz="4" w:space="0"/>
              <w:left w:val="single" w:color="auto" w:sz="4" w:space="0"/>
              <w:bottom w:val="single" w:color="auto" w:sz="4" w:space="0"/>
              <w:right w:val="single" w:color="auto" w:sz="4" w:space="0"/>
            </w:tcBorders>
            <w:vAlign w:val="center"/>
          </w:tcPr>
          <w:p w14:paraId="35E91876">
            <w:pPr>
              <w:widowControl/>
              <w:tabs>
                <w:tab w:val="center" w:pos="4755"/>
                <w:tab w:val="right" w:pos="9070"/>
              </w:tabs>
              <w:autoSpaceDN w:val="0"/>
              <w:rPr>
                <w:rFonts w:ascii="仿宋" w:hAnsi="仿宋" w:eastAsia="仿宋" w:cs="新宋体"/>
                <w:color w:val="auto"/>
                <w:sz w:val="24"/>
                <w:szCs w:val="24"/>
                <w:highlight w:val="none"/>
              </w:rPr>
            </w:pPr>
          </w:p>
        </w:tc>
      </w:tr>
      <w:tr w14:paraId="57A89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vMerge w:val="continue"/>
            <w:tcBorders>
              <w:top w:val="single" w:color="auto" w:sz="4" w:space="0"/>
              <w:left w:val="single" w:color="auto" w:sz="4" w:space="0"/>
              <w:bottom w:val="single" w:color="auto" w:sz="4" w:space="0"/>
              <w:right w:val="single" w:color="auto" w:sz="4" w:space="0"/>
            </w:tcBorders>
            <w:vAlign w:val="center"/>
          </w:tcPr>
          <w:p w14:paraId="57B1148F">
            <w:pPr>
              <w:widowControl/>
              <w:jc w:val="left"/>
              <w:rPr>
                <w:rFonts w:ascii="仿宋" w:hAnsi="仿宋" w:eastAsia="仿宋" w:cs="新宋体"/>
                <w:color w:val="auto"/>
                <w:sz w:val="24"/>
                <w:szCs w:val="24"/>
                <w:highlight w:val="none"/>
              </w:rPr>
            </w:pP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616DEFD7">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其他机械费</w:t>
            </w:r>
          </w:p>
        </w:tc>
        <w:tc>
          <w:tcPr>
            <w:tcW w:w="1647" w:type="dxa"/>
            <w:tcBorders>
              <w:top w:val="single" w:color="auto" w:sz="4" w:space="0"/>
              <w:left w:val="single" w:color="auto" w:sz="4" w:space="0"/>
              <w:bottom w:val="single" w:color="auto" w:sz="4" w:space="0"/>
              <w:right w:val="single" w:color="auto" w:sz="4" w:space="0"/>
            </w:tcBorders>
            <w:vAlign w:val="center"/>
          </w:tcPr>
          <w:p w14:paraId="04C71332">
            <w:pPr>
              <w:widowControl/>
              <w:tabs>
                <w:tab w:val="center" w:pos="4755"/>
                <w:tab w:val="right" w:pos="9070"/>
              </w:tabs>
              <w:autoSpaceDN w:val="0"/>
              <w:rPr>
                <w:rFonts w:ascii="仿宋" w:hAnsi="仿宋" w:eastAsia="仿宋" w:cs="新宋体"/>
                <w:color w:val="auto"/>
                <w:sz w:val="24"/>
                <w:szCs w:val="24"/>
                <w:highlight w:val="none"/>
              </w:rPr>
            </w:pPr>
          </w:p>
        </w:tc>
      </w:tr>
      <w:tr w14:paraId="28533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4557A868">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3</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327172AB">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机械费小计</w:t>
            </w:r>
          </w:p>
        </w:tc>
        <w:tc>
          <w:tcPr>
            <w:tcW w:w="1647" w:type="dxa"/>
            <w:tcBorders>
              <w:top w:val="single" w:color="auto" w:sz="4" w:space="0"/>
              <w:left w:val="single" w:color="auto" w:sz="4" w:space="0"/>
              <w:bottom w:val="single" w:color="auto" w:sz="4" w:space="0"/>
              <w:right w:val="single" w:color="auto" w:sz="4" w:space="0"/>
            </w:tcBorders>
            <w:vAlign w:val="center"/>
          </w:tcPr>
          <w:p w14:paraId="5F0DE637">
            <w:pPr>
              <w:widowControl/>
              <w:tabs>
                <w:tab w:val="center" w:pos="4755"/>
                <w:tab w:val="right" w:pos="9070"/>
              </w:tabs>
              <w:autoSpaceDN w:val="0"/>
              <w:rPr>
                <w:rFonts w:ascii="仿宋" w:hAnsi="仿宋" w:eastAsia="仿宋" w:cs="新宋体"/>
                <w:color w:val="auto"/>
                <w:sz w:val="24"/>
                <w:szCs w:val="24"/>
                <w:highlight w:val="none"/>
              </w:rPr>
            </w:pPr>
          </w:p>
        </w:tc>
      </w:tr>
      <w:tr w14:paraId="0F0AA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299A0E8C">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4</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773B7C58">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直接工程费(1+2+3)</w:t>
            </w:r>
          </w:p>
        </w:tc>
        <w:tc>
          <w:tcPr>
            <w:tcW w:w="1647" w:type="dxa"/>
            <w:tcBorders>
              <w:top w:val="single" w:color="auto" w:sz="4" w:space="0"/>
              <w:left w:val="single" w:color="auto" w:sz="4" w:space="0"/>
              <w:bottom w:val="single" w:color="auto" w:sz="4" w:space="0"/>
              <w:right w:val="single" w:color="auto" w:sz="4" w:space="0"/>
            </w:tcBorders>
            <w:vAlign w:val="center"/>
          </w:tcPr>
          <w:p w14:paraId="36A27BC0">
            <w:pPr>
              <w:widowControl/>
              <w:tabs>
                <w:tab w:val="center" w:pos="4755"/>
                <w:tab w:val="right" w:pos="9070"/>
              </w:tabs>
              <w:autoSpaceDN w:val="0"/>
              <w:rPr>
                <w:rFonts w:ascii="仿宋" w:hAnsi="仿宋" w:eastAsia="仿宋" w:cs="新宋体"/>
                <w:color w:val="auto"/>
                <w:sz w:val="24"/>
                <w:szCs w:val="24"/>
                <w:highlight w:val="none"/>
              </w:rPr>
            </w:pPr>
          </w:p>
        </w:tc>
      </w:tr>
      <w:tr w14:paraId="02267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70B3EF3A">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5</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352ACE1F">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管理费</w:t>
            </w:r>
          </w:p>
        </w:tc>
        <w:tc>
          <w:tcPr>
            <w:tcW w:w="1647" w:type="dxa"/>
            <w:tcBorders>
              <w:top w:val="single" w:color="auto" w:sz="4" w:space="0"/>
              <w:left w:val="single" w:color="auto" w:sz="4" w:space="0"/>
              <w:bottom w:val="single" w:color="auto" w:sz="4" w:space="0"/>
              <w:right w:val="single" w:color="auto" w:sz="4" w:space="0"/>
            </w:tcBorders>
            <w:vAlign w:val="center"/>
          </w:tcPr>
          <w:p w14:paraId="4345C24C">
            <w:pPr>
              <w:widowControl/>
              <w:tabs>
                <w:tab w:val="center" w:pos="4755"/>
                <w:tab w:val="right" w:pos="9070"/>
              </w:tabs>
              <w:autoSpaceDN w:val="0"/>
              <w:rPr>
                <w:rFonts w:ascii="仿宋" w:hAnsi="仿宋" w:eastAsia="仿宋" w:cs="新宋体"/>
                <w:color w:val="auto"/>
                <w:sz w:val="24"/>
                <w:szCs w:val="24"/>
                <w:highlight w:val="none"/>
              </w:rPr>
            </w:pPr>
          </w:p>
        </w:tc>
      </w:tr>
      <w:tr w14:paraId="115A8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27FA9451">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6</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60BBB6D5">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利润</w:t>
            </w:r>
          </w:p>
        </w:tc>
        <w:tc>
          <w:tcPr>
            <w:tcW w:w="1647" w:type="dxa"/>
            <w:tcBorders>
              <w:top w:val="single" w:color="auto" w:sz="4" w:space="0"/>
              <w:left w:val="single" w:color="auto" w:sz="4" w:space="0"/>
              <w:bottom w:val="single" w:color="auto" w:sz="4" w:space="0"/>
              <w:right w:val="single" w:color="auto" w:sz="4" w:space="0"/>
            </w:tcBorders>
            <w:vAlign w:val="center"/>
          </w:tcPr>
          <w:p w14:paraId="71C91FEB">
            <w:pPr>
              <w:widowControl/>
              <w:tabs>
                <w:tab w:val="center" w:pos="4755"/>
                <w:tab w:val="right" w:pos="9070"/>
              </w:tabs>
              <w:autoSpaceDN w:val="0"/>
              <w:rPr>
                <w:rFonts w:ascii="仿宋" w:hAnsi="仿宋" w:eastAsia="仿宋" w:cs="新宋体"/>
                <w:color w:val="auto"/>
                <w:sz w:val="24"/>
                <w:szCs w:val="24"/>
                <w:highlight w:val="none"/>
              </w:rPr>
            </w:pPr>
          </w:p>
        </w:tc>
      </w:tr>
      <w:tr w14:paraId="45471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7359AEDA">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7</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11873B91">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风险费用</w:t>
            </w:r>
          </w:p>
        </w:tc>
        <w:tc>
          <w:tcPr>
            <w:tcW w:w="1647" w:type="dxa"/>
            <w:tcBorders>
              <w:top w:val="single" w:color="auto" w:sz="4" w:space="0"/>
              <w:left w:val="single" w:color="auto" w:sz="4" w:space="0"/>
              <w:bottom w:val="single" w:color="auto" w:sz="4" w:space="0"/>
              <w:right w:val="single" w:color="auto" w:sz="4" w:space="0"/>
            </w:tcBorders>
            <w:vAlign w:val="center"/>
          </w:tcPr>
          <w:p w14:paraId="46AFFCC6">
            <w:pPr>
              <w:widowControl/>
              <w:tabs>
                <w:tab w:val="center" w:pos="4755"/>
                <w:tab w:val="right" w:pos="9070"/>
              </w:tabs>
              <w:autoSpaceDN w:val="0"/>
              <w:rPr>
                <w:rFonts w:ascii="仿宋" w:hAnsi="仿宋" w:eastAsia="仿宋" w:cs="新宋体"/>
                <w:color w:val="auto"/>
                <w:sz w:val="24"/>
                <w:szCs w:val="24"/>
                <w:highlight w:val="none"/>
              </w:rPr>
            </w:pPr>
          </w:p>
        </w:tc>
      </w:tr>
      <w:tr w14:paraId="31D13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06" w:type="dxa"/>
            <w:tcBorders>
              <w:top w:val="single" w:color="auto" w:sz="4" w:space="0"/>
              <w:left w:val="single" w:color="auto" w:sz="4" w:space="0"/>
              <w:bottom w:val="single" w:color="auto" w:sz="4" w:space="0"/>
              <w:right w:val="single" w:color="auto" w:sz="4" w:space="0"/>
            </w:tcBorders>
            <w:vAlign w:val="center"/>
          </w:tcPr>
          <w:p w14:paraId="57C1AE3B">
            <w:pPr>
              <w:widowControl/>
              <w:tabs>
                <w:tab w:val="center" w:pos="4755"/>
                <w:tab w:val="right" w:pos="9070"/>
              </w:tabs>
              <w:autoSpaceDN w:val="0"/>
              <w:jc w:val="center"/>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8</w:t>
            </w:r>
          </w:p>
        </w:tc>
        <w:tc>
          <w:tcPr>
            <w:tcW w:w="6833" w:type="dxa"/>
            <w:gridSpan w:val="5"/>
            <w:tcBorders>
              <w:top w:val="single" w:color="auto" w:sz="4" w:space="0"/>
              <w:left w:val="single" w:color="auto" w:sz="4" w:space="0"/>
              <w:bottom w:val="single" w:color="auto" w:sz="4" w:space="0"/>
              <w:right w:val="single" w:color="auto" w:sz="4" w:space="0"/>
            </w:tcBorders>
            <w:vAlign w:val="center"/>
          </w:tcPr>
          <w:p w14:paraId="0608E9CD">
            <w:pPr>
              <w:widowControl/>
              <w:tabs>
                <w:tab w:val="center" w:pos="4755"/>
                <w:tab w:val="right" w:pos="9070"/>
              </w:tabs>
              <w:autoSpaceDN w:val="0"/>
              <w:rPr>
                <w:rFonts w:ascii="仿宋" w:hAnsi="仿宋" w:eastAsia="仿宋" w:cs="新宋体"/>
                <w:color w:val="auto"/>
                <w:sz w:val="24"/>
                <w:szCs w:val="24"/>
                <w:highlight w:val="none"/>
              </w:rPr>
            </w:pPr>
            <w:r>
              <w:rPr>
                <w:rFonts w:hint="eastAsia" w:ascii="仿宋" w:hAnsi="仿宋" w:eastAsia="仿宋" w:cs="新宋体"/>
                <w:color w:val="auto"/>
                <w:sz w:val="24"/>
                <w:szCs w:val="24"/>
                <w:highlight w:val="none"/>
              </w:rPr>
              <w:t>合计（4+5+6+7）</w:t>
            </w:r>
          </w:p>
        </w:tc>
        <w:tc>
          <w:tcPr>
            <w:tcW w:w="1647" w:type="dxa"/>
            <w:tcBorders>
              <w:top w:val="single" w:color="auto" w:sz="4" w:space="0"/>
              <w:left w:val="single" w:color="auto" w:sz="4" w:space="0"/>
              <w:bottom w:val="single" w:color="auto" w:sz="4" w:space="0"/>
              <w:right w:val="single" w:color="auto" w:sz="4" w:space="0"/>
            </w:tcBorders>
            <w:vAlign w:val="center"/>
          </w:tcPr>
          <w:p w14:paraId="14892134">
            <w:pPr>
              <w:widowControl/>
              <w:tabs>
                <w:tab w:val="center" w:pos="4755"/>
                <w:tab w:val="right" w:pos="9070"/>
              </w:tabs>
              <w:autoSpaceDN w:val="0"/>
              <w:rPr>
                <w:rFonts w:ascii="仿宋" w:hAnsi="仿宋" w:eastAsia="仿宋" w:cs="新宋体"/>
                <w:color w:val="auto"/>
                <w:sz w:val="24"/>
                <w:szCs w:val="24"/>
                <w:highlight w:val="none"/>
              </w:rPr>
            </w:pPr>
          </w:p>
        </w:tc>
      </w:tr>
    </w:tbl>
    <w:p w14:paraId="466C1100">
      <w:pPr>
        <w:widowControl/>
        <w:tabs>
          <w:tab w:val="center" w:pos="4755"/>
          <w:tab w:val="right" w:pos="9070"/>
        </w:tabs>
        <w:autoSpaceDN w:val="0"/>
        <w:jc w:val="left"/>
        <w:rPr>
          <w:rFonts w:ascii="仿宋" w:hAnsi="仿宋" w:eastAsia="仿宋" w:cs="新宋体"/>
          <w:color w:val="auto"/>
          <w:sz w:val="24"/>
          <w:szCs w:val="24"/>
          <w:highlight w:val="none"/>
        </w:rPr>
      </w:pPr>
    </w:p>
    <w:p w14:paraId="38768BF5">
      <w:pPr>
        <w:autoSpaceDN w:val="0"/>
        <w:rPr>
          <w:rFonts w:ascii="仿宋" w:hAnsi="仿宋" w:eastAsia="仿宋" w:cs="Times New Roman"/>
          <w:color w:val="auto"/>
          <w:sz w:val="22"/>
          <w:highlight w:val="none"/>
        </w:rPr>
      </w:pPr>
      <w:r>
        <w:rPr>
          <w:rFonts w:hint="eastAsia" w:ascii="仿宋" w:hAnsi="仿宋" w:eastAsia="仿宋" w:cs="新宋体"/>
          <w:color w:val="auto"/>
          <w:sz w:val="24"/>
          <w:szCs w:val="24"/>
          <w:highlight w:val="none"/>
        </w:rPr>
        <w:t>注:本表由采购人按需要提出</w:t>
      </w:r>
      <w:r>
        <w:rPr>
          <w:rFonts w:hint="eastAsia" w:ascii="仿宋" w:hAnsi="仿宋" w:eastAsia="仿宋" w:cs="Times New Roman"/>
          <w:color w:val="auto"/>
          <w:sz w:val="22"/>
          <w:highlight w:val="none"/>
        </w:rPr>
        <w:br w:type="page"/>
      </w:r>
    </w:p>
    <w:p w14:paraId="3431EB5C">
      <w:pPr>
        <w:keepNext/>
        <w:keepLines/>
        <w:autoSpaceDN w:val="0"/>
        <w:spacing w:before="280" w:after="290" w:line="374" w:lineRule="auto"/>
        <w:jc w:val="center"/>
        <w:outlineLvl w:val="3"/>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表2-5  现场监控、临时宿舍取暖降温费用分析表</w:t>
      </w:r>
    </w:p>
    <w:p w14:paraId="103C1424">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第 页共 页</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3365"/>
        <w:gridCol w:w="972"/>
        <w:gridCol w:w="1095"/>
        <w:gridCol w:w="1676"/>
        <w:gridCol w:w="1498"/>
      </w:tblGrid>
      <w:tr w14:paraId="40AC2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14:paraId="07A0A00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365" w:type="dxa"/>
            <w:tcBorders>
              <w:top w:val="single" w:color="auto" w:sz="4" w:space="0"/>
              <w:left w:val="single" w:color="auto" w:sz="4" w:space="0"/>
              <w:bottom w:val="single" w:color="auto" w:sz="4" w:space="0"/>
              <w:right w:val="single" w:color="auto" w:sz="4" w:space="0"/>
            </w:tcBorders>
            <w:noWrap/>
            <w:vAlign w:val="center"/>
          </w:tcPr>
          <w:p w14:paraId="7B46523D">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费用名称</w:t>
            </w:r>
          </w:p>
        </w:tc>
        <w:tc>
          <w:tcPr>
            <w:tcW w:w="972" w:type="dxa"/>
            <w:tcBorders>
              <w:top w:val="single" w:color="auto" w:sz="4" w:space="0"/>
              <w:left w:val="single" w:color="auto" w:sz="4" w:space="0"/>
              <w:bottom w:val="single" w:color="auto" w:sz="4" w:space="0"/>
              <w:right w:val="single" w:color="auto" w:sz="4" w:space="0"/>
            </w:tcBorders>
            <w:noWrap/>
            <w:vAlign w:val="center"/>
          </w:tcPr>
          <w:p w14:paraId="6048BFE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095" w:type="dxa"/>
            <w:tcBorders>
              <w:top w:val="single" w:color="auto" w:sz="4" w:space="0"/>
              <w:left w:val="single" w:color="auto" w:sz="4" w:space="0"/>
              <w:bottom w:val="single" w:color="auto" w:sz="4" w:space="0"/>
              <w:right w:val="single" w:color="auto" w:sz="4" w:space="0"/>
            </w:tcBorders>
            <w:noWrap/>
            <w:vAlign w:val="center"/>
          </w:tcPr>
          <w:p w14:paraId="51885F7E">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676" w:type="dxa"/>
            <w:tcBorders>
              <w:top w:val="single" w:color="auto" w:sz="4" w:space="0"/>
              <w:left w:val="single" w:color="auto" w:sz="4" w:space="0"/>
              <w:bottom w:val="single" w:color="auto" w:sz="4" w:space="0"/>
              <w:right w:val="single" w:color="auto" w:sz="4" w:space="0"/>
            </w:tcBorders>
            <w:noWrap/>
            <w:vAlign w:val="center"/>
          </w:tcPr>
          <w:p w14:paraId="04E8723B">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单价（元）</w:t>
            </w:r>
          </w:p>
        </w:tc>
        <w:tc>
          <w:tcPr>
            <w:tcW w:w="1498" w:type="dxa"/>
            <w:tcBorders>
              <w:top w:val="single" w:color="auto" w:sz="4" w:space="0"/>
              <w:left w:val="single" w:color="auto" w:sz="4" w:space="0"/>
              <w:bottom w:val="single" w:color="auto" w:sz="4" w:space="0"/>
              <w:right w:val="single" w:color="auto" w:sz="4" w:space="0"/>
            </w:tcBorders>
            <w:noWrap/>
            <w:vAlign w:val="center"/>
          </w:tcPr>
          <w:p w14:paraId="31661A01">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合价（元）</w:t>
            </w:r>
          </w:p>
        </w:tc>
      </w:tr>
      <w:tr w14:paraId="0C6FD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14:paraId="1BF0B962">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vAlign w:val="center"/>
          </w:tcPr>
          <w:p w14:paraId="58DD2B31">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vAlign w:val="center"/>
          </w:tcPr>
          <w:p w14:paraId="5744D6BD">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146C34B1">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4CD42FD9">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vAlign w:val="center"/>
          </w:tcPr>
          <w:p w14:paraId="3EA335D4">
            <w:pPr>
              <w:autoSpaceDN w:val="0"/>
              <w:rPr>
                <w:rFonts w:ascii="仿宋" w:hAnsi="仿宋" w:eastAsia="仿宋" w:cs="仿宋"/>
                <w:color w:val="auto"/>
                <w:sz w:val="24"/>
                <w:szCs w:val="24"/>
                <w:highlight w:val="none"/>
              </w:rPr>
            </w:pPr>
          </w:p>
        </w:tc>
      </w:tr>
      <w:tr w14:paraId="6D605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14:paraId="4AB66BC1">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vAlign w:val="center"/>
          </w:tcPr>
          <w:p w14:paraId="197F64EA">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vAlign w:val="center"/>
          </w:tcPr>
          <w:p w14:paraId="36B0EAC5">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368F7A6A">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6B68EF1A">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vAlign w:val="center"/>
          </w:tcPr>
          <w:p w14:paraId="53CB2274">
            <w:pPr>
              <w:autoSpaceDN w:val="0"/>
              <w:rPr>
                <w:rFonts w:ascii="仿宋" w:hAnsi="仿宋" w:eastAsia="仿宋" w:cs="仿宋"/>
                <w:color w:val="auto"/>
                <w:sz w:val="24"/>
                <w:szCs w:val="24"/>
                <w:highlight w:val="none"/>
              </w:rPr>
            </w:pPr>
          </w:p>
        </w:tc>
      </w:tr>
      <w:tr w14:paraId="55D24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14:paraId="1F791234">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vAlign w:val="center"/>
          </w:tcPr>
          <w:p w14:paraId="5A0F55CA">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vAlign w:val="center"/>
          </w:tcPr>
          <w:p w14:paraId="0CF25A69">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297C2A22">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3D101A76">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vAlign w:val="center"/>
          </w:tcPr>
          <w:p w14:paraId="1FD2E645">
            <w:pPr>
              <w:autoSpaceDN w:val="0"/>
              <w:rPr>
                <w:rFonts w:ascii="仿宋" w:hAnsi="仿宋" w:eastAsia="仿宋" w:cs="仿宋"/>
                <w:color w:val="auto"/>
                <w:sz w:val="24"/>
                <w:szCs w:val="24"/>
                <w:highlight w:val="none"/>
              </w:rPr>
            </w:pPr>
          </w:p>
        </w:tc>
      </w:tr>
      <w:tr w14:paraId="65559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14:paraId="42896B84">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vAlign w:val="center"/>
          </w:tcPr>
          <w:p w14:paraId="2FA4A1F6">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vAlign w:val="center"/>
          </w:tcPr>
          <w:p w14:paraId="0D986D12">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3A6B03E5">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1EB04352">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vAlign w:val="center"/>
          </w:tcPr>
          <w:p w14:paraId="3CDC2474">
            <w:pPr>
              <w:autoSpaceDN w:val="0"/>
              <w:rPr>
                <w:rFonts w:ascii="仿宋" w:hAnsi="仿宋" w:eastAsia="仿宋" w:cs="仿宋"/>
                <w:color w:val="auto"/>
                <w:sz w:val="24"/>
                <w:szCs w:val="24"/>
                <w:highlight w:val="none"/>
              </w:rPr>
            </w:pPr>
          </w:p>
        </w:tc>
      </w:tr>
      <w:tr w14:paraId="1E8BB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vAlign w:val="center"/>
          </w:tcPr>
          <w:p w14:paraId="321D57BC">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vAlign w:val="center"/>
          </w:tcPr>
          <w:p w14:paraId="1E65FB50">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vAlign w:val="center"/>
          </w:tcPr>
          <w:p w14:paraId="7C86B9BA">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7E3A0E2D">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42BC4F9A">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vAlign w:val="center"/>
          </w:tcPr>
          <w:p w14:paraId="54816741">
            <w:pPr>
              <w:autoSpaceDN w:val="0"/>
              <w:rPr>
                <w:rFonts w:ascii="仿宋" w:hAnsi="仿宋" w:eastAsia="仿宋" w:cs="仿宋"/>
                <w:color w:val="auto"/>
                <w:sz w:val="24"/>
                <w:szCs w:val="24"/>
                <w:highlight w:val="none"/>
              </w:rPr>
            </w:pPr>
          </w:p>
        </w:tc>
      </w:tr>
      <w:tr w14:paraId="21974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60893146">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6355E9E8">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2079455D">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54A5F061">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3B88EFDA">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4A84FEC7">
            <w:pPr>
              <w:autoSpaceDN w:val="0"/>
              <w:rPr>
                <w:rFonts w:ascii="仿宋" w:hAnsi="仿宋" w:eastAsia="仿宋" w:cs="仿宋"/>
                <w:color w:val="auto"/>
                <w:sz w:val="24"/>
                <w:szCs w:val="24"/>
                <w:highlight w:val="none"/>
              </w:rPr>
            </w:pPr>
          </w:p>
        </w:tc>
      </w:tr>
      <w:tr w14:paraId="41876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1BD11869">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339F1281">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52B1242A">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1E6C7661">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46DECCC2">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110198C7">
            <w:pPr>
              <w:autoSpaceDN w:val="0"/>
              <w:rPr>
                <w:rFonts w:ascii="仿宋" w:hAnsi="仿宋" w:eastAsia="仿宋" w:cs="仿宋"/>
                <w:color w:val="auto"/>
                <w:sz w:val="24"/>
                <w:szCs w:val="24"/>
                <w:highlight w:val="none"/>
              </w:rPr>
            </w:pPr>
          </w:p>
        </w:tc>
      </w:tr>
      <w:tr w14:paraId="68893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7A85487F">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7A267B85">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7B4CF86F">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31ECF152">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320D1501">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696522DB">
            <w:pPr>
              <w:autoSpaceDN w:val="0"/>
              <w:rPr>
                <w:rFonts w:ascii="仿宋" w:hAnsi="仿宋" w:eastAsia="仿宋" w:cs="仿宋"/>
                <w:color w:val="auto"/>
                <w:sz w:val="24"/>
                <w:szCs w:val="24"/>
                <w:highlight w:val="none"/>
              </w:rPr>
            </w:pPr>
          </w:p>
        </w:tc>
      </w:tr>
      <w:tr w14:paraId="578B5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77648677">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638CF632">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369245F7">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3BC0246C">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51F7A8DF">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619A041D">
            <w:pPr>
              <w:autoSpaceDN w:val="0"/>
              <w:rPr>
                <w:rFonts w:ascii="仿宋" w:hAnsi="仿宋" w:eastAsia="仿宋" w:cs="仿宋"/>
                <w:color w:val="auto"/>
                <w:sz w:val="24"/>
                <w:szCs w:val="24"/>
                <w:highlight w:val="none"/>
              </w:rPr>
            </w:pPr>
          </w:p>
        </w:tc>
      </w:tr>
      <w:tr w14:paraId="22462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5F229220">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5348E7A8">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7179B851">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471D23E3">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090C4345">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476CBB43">
            <w:pPr>
              <w:autoSpaceDN w:val="0"/>
              <w:rPr>
                <w:rFonts w:ascii="仿宋" w:hAnsi="仿宋" w:eastAsia="仿宋" w:cs="仿宋"/>
                <w:color w:val="auto"/>
                <w:sz w:val="24"/>
                <w:szCs w:val="24"/>
                <w:highlight w:val="none"/>
              </w:rPr>
            </w:pPr>
          </w:p>
        </w:tc>
      </w:tr>
      <w:tr w14:paraId="4FC4B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10F3525B">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0C873C4A">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14E0A521">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47098673">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5F9D0EB3">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2DB6E9C0">
            <w:pPr>
              <w:autoSpaceDN w:val="0"/>
              <w:rPr>
                <w:rFonts w:ascii="仿宋" w:hAnsi="仿宋" w:eastAsia="仿宋" w:cs="仿宋"/>
                <w:color w:val="auto"/>
                <w:sz w:val="24"/>
                <w:szCs w:val="24"/>
                <w:highlight w:val="none"/>
              </w:rPr>
            </w:pPr>
          </w:p>
        </w:tc>
      </w:tr>
      <w:tr w14:paraId="010DF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7D078AD3">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51820548">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26CE1DA5">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6A049019">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60407254">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3780A1C3">
            <w:pPr>
              <w:autoSpaceDN w:val="0"/>
              <w:rPr>
                <w:rFonts w:ascii="仿宋" w:hAnsi="仿宋" w:eastAsia="仿宋" w:cs="仿宋"/>
                <w:color w:val="auto"/>
                <w:sz w:val="24"/>
                <w:szCs w:val="24"/>
                <w:highlight w:val="none"/>
              </w:rPr>
            </w:pPr>
          </w:p>
        </w:tc>
      </w:tr>
      <w:tr w14:paraId="1F6FC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468D0585">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tcPr>
          <w:p w14:paraId="77922354">
            <w:pPr>
              <w:autoSpaceDN w:val="0"/>
              <w:rPr>
                <w:rFonts w:ascii="仿宋" w:hAnsi="仿宋" w:eastAsia="仿宋" w:cs="仿宋"/>
                <w:color w:val="auto"/>
                <w:sz w:val="24"/>
                <w:szCs w:val="24"/>
                <w:highlight w:val="none"/>
              </w:rPr>
            </w:pPr>
          </w:p>
        </w:tc>
        <w:tc>
          <w:tcPr>
            <w:tcW w:w="972" w:type="dxa"/>
            <w:tcBorders>
              <w:top w:val="single" w:color="auto" w:sz="4" w:space="0"/>
              <w:left w:val="single" w:color="auto" w:sz="4" w:space="0"/>
              <w:bottom w:val="single" w:color="auto" w:sz="4" w:space="0"/>
              <w:right w:val="single" w:color="auto" w:sz="4" w:space="0"/>
            </w:tcBorders>
            <w:noWrap/>
          </w:tcPr>
          <w:p w14:paraId="7C639940">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7349E6A6">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401C2B69">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3496378D">
            <w:pPr>
              <w:autoSpaceDN w:val="0"/>
              <w:rPr>
                <w:rFonts w:ascii="仿宋" w:hAnsi="仿宋" w:eastAsia="仿宋" w:cs="仿宋"/>
                <w:color w:val="auto"/>
                <w:sz w:val="24"/>
                <w:szCs w:val="24"/>
                <w:highlight w:val="none"/>
              </w:rPr>
            </w:pPr>
          </w:p>
        </w:tc>
      </w:tr>
      <w:tr w14:paraId="23055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7" w:type="dxa"/>
            <w:tcBorders>
              <w:top w:val="single" w:color="auto" w:sz="4" w:space="0"/>
              <w:left w:val="single" w:color="auto" w:sz="4" w:space="0"/>
              <w:bottom w:val="single" w:color="auto" w:sz="4" w:space="0"/>
              <w:right w:val="single" w:color="auto" w:sz="4" w:space="0"/>
            </w:tcBorders>
            <w:noWrap/>
          </w:tcPr>
          <w:p w14:paraId="184E4466">
            <w:pPr>
              <w:autoSpaceDN w:val="0"/>
              <w:rPr>
                <w:rFonts w:ascii="仿宋" w:hAnsi="仿宋" w:eastAsia="仿宋" w:cs="仿宋"/>
                <w:color w:val="auto"/>
                <w:sz w:val="24"/>
                <w:szCs w:val="24"/>
                <w:highlight w:val="none"/>
              </w:rPr>
            </w:pPr>
          </w:p>
        </w:tc>
        <w:tc>
          <w:tcPr>
            <w:tcW w:w="3365" w:type="dxa"/>
            <w:tcBorders>
              <w:top w:val="single" w:color="auto" w:sz="4" w:space="0"/>
              <w:left w:val="single" w:color="auto" w:sz="4" w:space="0"/>
              <w:bottom w:val="single" w:color="auto" w:sz="4" w:space="0"/>
              <w:right w:val="single" w:color="auto" w:sz="4" w:space="0"/>
            </w:tcBorders>
            <w:noWrap/>
            <w:vAlign w:val="center"/>
          </w:tcPr>
          <w:p w14:paraId="00D01C1A">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972" w:type="dxa"/>
            <w:tcBorders>
              <w:top w:val="single" w:color="auto" w:sz="4" w:space="0"/>
              <w:left w:val="single" w:color="auto" w:sz="4" w:space="0"/>
              <w:bottom w:val="single" w:color="auto" w:sz="4" w:space="0"/>
              <w:right w:val="single" w:color="auto" w:sz="4" w:space="0"/>
            </w:tcBorders>
            <w:noWrap/>
          </w:tcPr>
          <w:p w14:paraId="5219C860">
            <w:pPr>
              <w:autoSpaceDN w:val="0"/>
              <w:rPr>
                <w:rFonts w:ascii="仿宋" w:hAnsi="仿宋" w:eastAsia="仿宋" w:cs="仿宋"/>
                <w:color w:val="auto"/>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tcPr>
          <w:p w14:paraId="78AA3706">
            <w:pPr>
              <w:autoSpaceDN w:val="0"/>
              <w:rPr>
                <w:rFonts w:ascii="仿宋" w:hAnsi="仿宋" w:eastAsia="仿宋" w:cs="仿宋"/>
                <w:color w:val="auto"/>
                <w:sz w:val="24"/>
                <w:szCs w:val="24"/>
                <w:highlight w:val="none"/>
              </w:rPr>
            </w:pPr>
          </w:p>
        </w:tc>
        <w:tc>
          <w:tcPr>
            <w:tcW w:w="1676" w:type="dxa"/>
            <w:tcBorders>
              <w:top w:val="single" w:color="auto" w:sz="4" w:space="0"/>
              <w:left w:val="single" w:color="auto" w:sz="4" w:space="0"/>
              <w:bottom w:val="single" w:color="auto" w:sz="4" w:space="0"/>
              <w:right w:val="single" w:color="auto" w:sz="4" w:space="0"/>
            </w:tcBorders>
            <w:noWrap/>
          </w:tcPr>
          <w:p w14:paraId="52DD0350">
            <w:pPr>
              <w:autoSpaceDN w:val="0"/>
              <w:rPr>
                <w:rFonts w:ascii="仿宋" w:hAnsi="仿宋" w:eastAsia="仿宋" w:cs="仿宋"/>
                <w:color w:val="auto"/>
                <w:sz w:val="24"/>
                <w:szCs w:val="24"/>
                <w:highlight w:val="none"/>
              </w:rPr>
            </w:pPr>
          </w:p>
        </w:tc>
        <w:tc>
          <w:tcPr>
            <w:tcW w:w="1498" w:type="dxa"/>
            <w:tcBorders>
              <w:top w:val="single" w:color="auto" w:sz="4" w:space="0"/>
              <w:left w:val="single" w:color="auto" w:sz="4" w:space="0"/>
              <w:bottom w:val="single" w:color="auto" w:sz="4" w:space="0"/>
              <w:right w:val="single" w:color="auto" w:sz="4" w:space="0"/>
            </w:tcBorders>
            <w:noWrap/>
          </w:tcPr>
          <w:p w14:paraId="4288B0F6">
            <w:pPr>
              <w:autoSpaceDN w:val="0"/>
              <w:rPr>
                <w:rFonts w:ascii="仿宋" w:hAnsi="仿宋" w:eastAsia="仿宋" w:cs="仿宋"/>
                <w:color w:val="auto"/>
                <w:sz w:val="24"/>
                <w:szCs w:val="24"/>
                <w:highlight w:val="none"/>
              </w:rPr>
            </w:pPr>
          </w:p>
        </w:tc>
      </w:tr>
    </w:tbl>
    <w:p w14:paraId="5AB1D687">
      <w:pPr>
        <w:autoSpaceDN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注：本表为分析表，由磋商响应供应商根据市政府、市建设行政主管部门颁发的有关文件对于现场监控和现场民工宿舍空调的设置要求或标准规定进行相应数量和费用的报价。</w:t>
      </w:r>
    </w:p>
    <w:p w14:paraId="7767F3A6">
      <w:pPr>
        <w:autoSpaceDN w:val="0"/>
        <w:spacing w:before="156" w:beforeLines="50" w:after="156" w:afterLines="50" w:line="400" w:lineRule="exact"/>
        <w:rPr>
          <w:rFonts w:ascii="宋体" w:hAnsi="Courier New" w:eastAsia="宋体" w:cs="Times New Roman"/>
          <w:color w:val="auto"/>
          <w:kern w:val="0"/>
          <w:sz w:val="24"/>
          <w:szCs w:val="24"/>
          <w:highlight w:val="none"/>
        </w:rPr>
      </w:pPr>
    </w:p>
    <w:p w14:paraId="7AB81977">
      <w:pPr>
        <w:autoSpaceDN w:val="0"/>
        <w:spacing w:before="156" w:beforeLines="50" w:after="156" w:afterLines="50" w:line="400" w:lineRule="exact"/>
        <w:rPr>
          <w:rFonts w:ascii="宋体" w:hAnsi="Courier New" w:eastAsia="宋体" w:cs="Times New Roman"/>
          <w:color w:val="auto"/>
          <w:kern w:val="0"/>
          <w:sz w:val="24"/>
          <w:szCs w:val="24"/>
          <w:highlight w:val="none"/>
        </w:rPr>
      </w:pPr>
    </w:p>
    <w:p w14:paraId="585A0B23">
      <w:pPr>
        <w:autoSpaceDN w:val="0"/>
        <w:spacing w:before="156" w:beforeLines="50" w:after="156" w:afterLines="50" w:line="400" w:lineRule="exact"/>
        <w:rPr>
          <w:rFonts w:ascii="宋体" w:hAnsi="Courier New" w:eastAsia="宋体" w:cs="Times New Roman"/>
          <w:color w:val="auto"/>
          <w:kern w:val="0"/>
          <w:sz w:val="24"/>
          <w:szCs w:val="24"/>
          <w:highlight w:val="none"/>
        </w:rPr>
      </w:pPr>
    </w:p>
    <w:p w14:paraId="7E1D55CA">
      <w:pPr>
        <w:autoSpaceDN w:val="0"/>
        <w:spacing w:before="156" w:beforeLines="50" w:after="156" w:afterLines="50" w:line="400" w:lineRule="exact"/>
        <w:rPr>
          <w:rFonts w:ascii="宋体" w:hAnsi="Courier New" w:eastAsia="宋体" w:cs="Times New Roman"/>
          <w:color w:val="auto"/>
          <w:kern w:val="0"/>
          <w:sz w:val="24"/>
          <w:szCs w:val="24"/>
          <w:highlight w:val="none"/>
        </w:rPr>
      </w:pPr>
    </w:p>
    <w:p w14:paraId="75912042">
      <w:pPr>
        <w:autoSpaceDN w:val="0"/>
        <w:spacing w:before="156" w:beforeLines="50" w:after="156" w:afterLines="50" w:line="400" w:lineRule="exact"/>
        <w:rPr>
          <w:rFonts w:ascii="仿宋" w:hAnsi="仿宋" w:eastAsia="仿宋" w:cs="Times New Roman"/>
          <w:b/>
          <w:bCs/>
          <w:color w:val="auto"/>
          <w:kern w:val="0"/>
          <w:sz w:val="28"/>
          <w:szCs w:val="28"/>
          <w:highlight w:val="none"/>
        </w:rPr>
      </w:pPr>
    </w:p>
    <w:p w14:paraId="2C01BD72">
      <w:pPr>
        <w:autoSpaceDN w:val="0"/>
        <w:spacing w:before="156" w:beforeLines="50" w:after="156" w:afterLines="50" w:line="400" w:lineRule="exact"/>
        <w:rPr>
          <w:rFonts w:ascii="仿宋" w:hAnsi="仿宋" w:eastAsia="仿宋" w:cs="Times New Roman"/>
          <w:b/>
          <w:bCs/>
          <w:color w:val="auto"/>
          <w:kern w:val="0"/>
          <w:sz w:val="28"/>
          <w:szCs w:val="28"/>
          <w:highlight w:val="none"/>
        </w:rPr>
      </w:pPr>
      <w:r>
        <w:rPr>
          <w:rFonts w:hint="eastAsia" w:ascii="仿宋" w:hAnsi="仿宋" w:eastAsia="仿宋" w:cs="Times New Roman"/>
          <w:b/>
          <w:bCs/>
          <w:color w:val="auto"/>
          <w:kern w:val="0"/>
          <w:sz w:val="28"/>
          <w:szCs w:val="28"/>
          <w:highlight w:val="none"/>
        </w:rPr>
        <w:t>（3）供应商认为其他需要提供的资料（如有）</w:t>
      </w:r>
    </w:p>
    <w:p w14:paraId="1706D779">
      <w:pPr>
        <w:autoSpaceDN w:val="0"/>
        <w:spacing w:before="156" w:beforeLines="50" w:after="156" w:afterLines="50" w:line="400" w:lineRule="exact"/>
        <w:ind w:left="480"/>
        <w:rPr>
          <w:rFonts w:ascii="仿宋" w:hAnsi="仿宋" w:eastAsia="仿宋" w:cs="Times New Roman"/>
          <w:color w:val="auto"/>
          <w:kern w:val="0"/>
          <w:sz w:val="24"/>
          <w:szCs w:val="24"/>
          <w:highlight w:val="none"/>
        </w:rPr>
      </w:pPr>
    </w:p>
    <w:p w14:paraId="3B94B93F">
      <w:pPr>
        <w:autoSpaceDN w:val="0"/>
        <w:spacing w:before="156" w:beforeLines="50" w:after="156" w:afterLines="50" w:line="400" w:lineRule="exact"/>
        <w:jc w:val="center"/>
        <w:rPr>
          <w:rFonts w:ascii="仿宋" w:hAnsi="仿宋" w:eastAsia="仿宋" w:cs="Times New Roman"/>
          <w:b/>
          <w:color w:val="auto"/>
          <w:kern w:val="0"/>
          <w:sz w:val="32"/>
          <w:szCs w:val="32"/>
          <w:highlight w:val="none"/>
        </w:rPr>
      </w:pPr>
      <w:r>
        <w:rPr>
          <w:rFonts w:hint="eastAsia" w:ascii="仿宋" w:hAnsi="仿宋" w:eastAsia="仿宋" w:cs="Times New Roman"/>
          <w:b/>
          <w:color w:val="auto"/>
          <w:kern w:val="0"/>
          <w:sz w:val="32"/>
          <w:szCs w:val="32"/>
          <w:highlight w:val="none"/>
        </w:rPr>
        <w:t>其他资料或说明</w:t>
      </w:r>
    </w:p>
    <w:tbl>
      <w:tblPr>
        <w:tblStyle w:val="61"/>
        <w:tblW w:w="9075"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75"/>
      </w:tblGrid>
      <w:tr w14:paraId="2E1B5319">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10036" w:hRule="atLeast"/>
        </w:trPr>
        <w:tc>
          <w:tcPr>
            <w:tcW w:w="9072" w:type="dxa"/>
            <w:tcBorders>
              <w:top w:val="dotDash" w:color="000000" w:sz="4" w:space="0"/>
              <w:left w:val="dotDash" w:color="000000" w:sz="4" w:space="0"/>
              <w:bottom w:val="dotDash" w:color="000000" w:sz="4" w:space="0"/>
              <w:right w:val="dotDash" w:color="000000" w:sz="4" w:space="0"/>
            </w:tcBorders>
            <w:vAlign w:val="center"/>
          </w:tcPr>
          <w:p w14:paraId="5F1A915F">
            <w:pPr>
              <w:autoSpaceDN w:val="0"/>
              <w:spacing w:before="156" w:beforeLines="50" w:after="156" w:afterLines="50" w:line="400" w:lineRule="exact"/>
              <w:rPr>
                <w:rFonts w:ascii="仿宋" w:hAnsi="仿宋" w:eastAsia="仿宋" w:cs="Times New Roman"/>
                <w:b/>
                <w:bCs/>
                <w:color w:val="auto"/>
                <w:kern w:val="0"/>
                <w:sz w:val="24"/>
                <w:szCs w:val="24"/>
                <w:highlight w:val="none"/>
              </w:rPr>
            </w:pPr>
            <w:r>
              <w:rPr>
                <w:rFonts w:hint="eastAsia" w:ascii="仿宋" w:hAnsi="仿宋" w:eastAsia="仿宋" w:cs="Times New Roman"/>
                <w:b/>
                <w:bCs/>
                <w:color w:val="auto"/>
                <w:kern w:val="0"/>
                <w:sz w:val="24"/>
                <w:szCs w:val="24"/>
                <w:highlight w:val="none"/>
              </w:rPr>
              <w:t>（加盖公章，否则视为未提供）</w:t>
            </w:r>
          </w:p>
        </w:tc>
      </w:tr>
    </w:tbl>
    <w:p w14:paraId="2F46141F">
      <w:pPr>
        <w:autoSpaceDN w:val="0"/>
        <w:rPr>
          <w:rFonts w:ascii="Times New Roman" w:hAnsi="Times New Roman" w:eastAsia="宋体" w:cs="Times New Roman"/>
          <w:color w:val="auto"/>
          <w:szCs w:val="24"/>
          <w:highlight w:val="none"/>
        </w:rPr>
      </w:pPr>
    </w:p>
    <w:p w14:paraId="5EB17CED">
      <w:pPr>
        <w:autoSpaceDN w:val="0"/>
        <w:spacing w:line="200" w:lineRule="exact"/>
        <w:ind w:firstLine="301"/>
        <w:rPr>
          <w:rFonts w:ascii="宋体" w:hAnsi="Courier New" w:eastAsia="宋体" w:cs="Times New Roman"/>
          <w:color w:val="auto"/>
          <w:spacing w:val="-4"/>
          <w:kern w:val="0"/>
          <w:sz w:val="18"/>
          <w:szCs w:val="20"/>
          <w:highlight w:val="none"/>
        </w:rPr>
      </w:pPr>
    </w:p>
    <w:p w14:paraId="3B0C9E74">
      <w:pPr>
        <w:autoSpaceDN w:val="0"/>
        <w:spacing w:line="200" w:lineRule="exact"/>
        <w:ind w:firstLine="301"/>
        <w:rPr>
          <w:rFonts w:ascii="宋体" w:hAnsi="Courier New" w:eastAsia="宋体" w:cs="Times New Roman"/>
          <w:color w:val="auto"/>
          <w:spacing w:val="-4"/>
          <w:kern w:val="0"/>
          <w:sz w:val="18"/>
          <w:szCs w:val="20"/>
          <w:highlight w:val="none"/>
        </w:rPr>
      </w:pPr>
    </w:p>
    <w:p w14:paraId="00A461DF">
      <w:pPr>
        <w:autoSpaceDN w:val="0"/>
        <w:spacing w:line="200" w:lineRule="exact"/>
        <w:ind w:firstLine="301"/>
        <w:rPr>
          <w:rFonts w:ascii="宋体" w:hAnsi="Courier New" w:eastAsia="宋体" w:cs="Times New Roman"/>
          <w:color w:val="auto"/>
          <w:spacing w:val="-4"/>
          <w:kern w:val="0"/>
          <w:sz w:val="18"/>
          <w:szCs w:val="20"/>
          <w:highlight w:val="none"/>
        </w:rPr>
      </w:pPr>
    </w:p>
    <w:p w14:paraId="513AAEFD">
      <w:pPr>
        <w:autoSpaceDN w:val="0"/>
        <w:spacing w:line="200" w:lineRule="exact"/>
        <w:ind w:firstLine="301"/>
        <w:rPr>
          <w:rFonts w:ascii="宋体" w:hAnsi="Courier New" w:eastAsia="宋体" w:cs="Times New Roman"/>
          <w:color w:val="auto"/>
          <w:spacing w:val="-4"/>
          <w:kern w:val="0"/>
          <w:sz w:val="18"/>
          <w:szCs w:val="20"/>
          <w:highlight w:val="none"/>
        </w:rPr>
      </w:pPr>
    </w:p>
    <w:p w14:paraId="54021C06">
      <w:pPr>
        <w:autoSpaceDN w:val="0"/>
        <w:spacing w:line="200" w:lineRule="exact"/>
        <w:ind w:firstLine="301"/>
        <w:rPr>
          <w:rFonts w:ascii="宋体" w:hAnsi="Courier New" w:eastAsia="宋体" w:cs="Times New Roman"/>
          <w:color w:val="auto"/>
          <w:spacing w:val="-4"/>
          <w:kern w:val="0"/>
          <w:sz w:val="18"/>
          <w:szCs w:val="20"/>
          <w:highlight w:val="none"/>
        </w:rPr>
      </w:pPr>
    </w:p>
    <w:p w14:paraId="0AD0FD1D">
      <w:pPr>
        <w:autoSpaceDN w:val="0"/>
        <w:spacing w:line="200" w:lineRule="exact"/>
        <w:ind w:firstLine="301"/>
        <w:rPr>
          <w:rFonts w:ascii="宋体" w:hAnsi="Courier New" w:eastAsia="宋体" w:cs="Times New Roman"/>
          <w:color w:val="auto"/>
          <w:spacing w:val="-4"/>
          <w:kern w:val="0"/>
          <w:sz w:val="18"/>
          <w:szCs w:val="20"/>
          <w:highlight w:val="none"/>
        </w:rPr>
      </w:pPr>
    </w:p>
    <w:p w14:paraId="0C75A984">
      <w:pPr>
        <w:autoSpaceDN w:val="0"/>
        <w:spacing w:line="200" w:lineRule="exact"/>
        <w:ind w:firstLine="301"/>
        <w:rPr>
          <w:rFonts w:ascii="宋体" w:hAnsi="Courier New" w:eastAsia="宋体" w:cs="Times New Roman"/>
          <w:color w:val="auto"/>
          <w:spacing w:val="-4"/>
          <w:kern w:val="0"/>
          <w:sz w:val="18"/>
          <w:szCs w:val="20"/>
          <w:highlight w:val="none"/>
        </w:rPr>
      </w:pPr>
    </w:p>
    <w:p w14:paraId="1431052A">
      <w:pPr>
        <w:autoSpaceDN w:val="0"/>
        <w:spacing w:line="200" w:lineRule="exact"/>
        <w:ind w:firstLine="301"/>
        <w:rPr>
          <w:rFonts w:ascii="宋体" w:hAnsi="Courier New" w:eastAsia="宋体" w:cs="Times New Roman"/>
          <w:color w:val="auto"/>
          <w:spacing w:val="-4"/>
          <w:kern w:val="0"/>
          <w:sz w:val="18"/>
          <w:szCs w:val="20"/>
          <w:highlight w:val="none"/>
        </w:rPr>
      </w:pPr>
    </w:p>
    <w:p w14:paraId="568FF69E">
      <w:pPr>
        <w:autoSpaceDN w:val="0"/>
        <w:spacing w:line="200" w:lineRule="exact"/>
        <w:ind w:firstLine="301"/>
        <w:rPr>
          <w:rFonts w:ascii="宋体" w:hAnsi="Courier New" w:eastAsia="宋体" w:cs="Times New Roman"/>
          <w:color w:val="auto"/>
          <w:spacing w:val="-4"/>
          <w:kern w:val="0"/>
          <w:sz w:val="18"/>
          <w:szCs w:val="20"/>
          <w:highlight w:val="none"/>
        </w:rPr>
      </w:pPr>
    </w:p>
    <w:p w14:paraId="2C07CE57">
      <w:pPr>
        <w:autoSpaceDN w:val="0"/>
        <w:spacing w:line="200" w:lineRule="exact"/>
        <w:ind w:firstLine="301"/>
        <w:rPr>
          <w:rFonts w:ascii="宋体" w:hAnsi="Courier New" w:eastAsia="宋体" w:cs="Times New Roman"/>
          <w:color w:val="auto"/>
          <w:spacing w:val="-4"/>
          <w:kern w:val="0"/>
          <w:sz w:val="18"/>
          <w:szCs w:val="20"/>
          <w:highlight w:val="none"/>
        </w:rPr>
      </w:pPr>
    </w:p>
    <w:p w14:paraId="79D43136">
      <w:pPr>
        <w:autoSpaceDN w:val="0"/>
        <w:spacing w:line="200" w:lineRule="exact"/>
        <w:rPr>
          <w:rFonts w:ascii="宋体" w:hAnsi="Courier New" w:eastAsia="宋体" w:cs="Times New Roman"/>
          <w:color w:val="auto"/>
          <w:spacing w:val="-4"/>
          <w:kern w:val="0"/>
          <w:sz w:val="18"/>
          <w:szCs w:val="20"/>
          <w:highlight w:val="none"/>
        </w:rPr>
      </w:pPr>
    </w:p>
    <w:p w14:paraId="2FB67138">
      <w:pPr>
        <w:autoSpaceDN w:val="0"/>
        <w:snapToGrid w:val="0"/>
        <w:spacing w:line="360" w:lineRule="auto"/>
        <w:ind w:left="238"/>
        <w:jc w:val="center"/>
        <w:outlineLvl w:val="0"/>
        <w:rPr>
          <w:rFonts w:ascii="仿宋" w:hAnsi="仿宋" w:eastAsia="仿宋" w:cs="宋体"/>
          <w:b/>
          <w:color w:val="auto"/>
          <w:sz w:val="32"/>
          <w:szCs w:val="32"/>
          <w:highlight w:val="none"/>
        </w:rPr>
      </w:pPr>
      <w:bookmarkStart w:id="132" w:name="_Toc5995"/>
      <w:r>
        <w:rPr>
          <w:rFonts w:hint="eastAsia" w:ascii="仿宋" w:hAnsi="仿宋" w:eastAsia="仿宋" w:cs="宋体"/>
          <w:b/>
          <w:color w:val="auto"/>
          <w:sz w:val="32"/>
          <w:szCs w:val="32"/>
          <w:highlight w:val="none"/>
        </w:rPr>
        <w:t>第七章 附件</w:t>
      </w:r>
      <w:bookmarkEnd w:id="132"/>
    </w:p>
    <w:p w14:paraId="6644F1CC">
      <w:pPr>
        <w:autoSpaceDN w:val="0"/>
        <w:spacing w:line="360" w:lineRule="auto"/>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（以下相关文件及规定如与最新规定不一致的，以最新发布的为准）</w:t>
      </w:r>
    </w:p>
    <w:p w14:paraId="33CAAD8F">
      <w:pPr>
        <w:keepNext/>
        <w:keepLines/>
        <w:autoSpaceDN w:val="0"/>
        <w:spacing w:before="240" w:line="360" w:lineRule="auto"/>
        <w:jc w:val="left"/>
        <w:outlineLvl w:val="2"/>
        <w:rPr>
          <w:rFonts w:ascii="仿宋" w:hAnsi="仿宋" w:eastAsia="仿宋" w:cs="宋体"/>
          <w:b/>
          <w:bCs/>
          <w:color w:val="auto"/>
          <w:kern w:val="0"/>
          <w:sz w:val="24"/>
          <w:szCs w:val="24"/>
          <w:highlight w:val="none"/>
        </w:rPr>
      </w:pPr>
      <w:bookmarkStart w:id="133" w:name="_Toc4294377"/>
      <w:bookmarkStart w:id="134" w:name="_Toc7663594"/>
      <w:bookmarkStart w:id="135" w:name="_Toc7488756"/>
      <w:bookmarkStart w:id="136" w:name="_Toc7988472"/>
      <w:bookmarkStart w:id="137" w:name="_Toc17428346"/>
      <w:bookmarkStart w:id="138" w:name="_Toc10432455"/>
      <w:bookmarkStart w:id="139" w:name="_Toc24471815"/>
      <w:bookmarkStart w:id="140" w:name="_Toc7988418"/>
      <w:bookmarkStart w:id="141" w:name="_Toc7574702"/>
      <w:bookmarkStart w:id="142" w:name="_Toc17428251"/>
      <w:bookmarkStart w:id="143" w:name="_Toc7668947"/>
      <w:bookmarkStart w:id="144" w:name="_Toc7542913"/>
      <w:bookmarkStart w:id="145" w:name="_Toc7492525"/>
      <w:bookmarkStart w:id="146" w:name="_Toc8007002"/>
      <w:bookmarkStart w:id="147" w:name="_Toc25765007"/>
      <w:bookmarkStart w:id="148" w:name="_Toc7664194"/>
      <w:bookmarkStart w:id="149" w:name="_Toc20358289"/>
      <w:bookmarkStart w:id="150" w:name="_Toc7993638"/>
      <w:bookmarkStart w:id="151" w:name="_Toc522830351"/>
      <w:bookmarkStart w:id="152" w:name="_Toc2002574"/>
      <w:bookmarkStart w:id="153" w:name="_Toc4649580"/>
      <w:bookmarkStart w:id="154" w:name="_Toc532440701"/>
      <w:bookmarkStart w:id="155" w:name="_Toc522417531"/>
      <w:r>
        <w:rPr>
          <w:rFonts w:hint="eastAsia" w:ascii="仿宋" w:hAnsi="仿宋" w:eastAsia="仿宋" w:cs="宋体"/>
          <w:b/>
          <w:bCs/>
          <w:color w:val="auto"/>
          <w:kern w:val="0"/>
          <w:sz w:val="24"/>
          <w:szCs w:val="24"/>
          <w:highlight w:val="none"/>
        </w:rPr>
        <w:t>一、</w:t>
      </w:r>
      <w:bookmarkEnd w:id="133"/>
      <w:r>
        <w:rPr>
          <w:rFonts w:hint="eastAsia" w:ascii="仿宋" w:hAnsi="仿宋" w:eastAsia="仿宋" w:cs="宋体"/>
          <w:b/>
          <w:bCs/>
          <w:color w:val="auto"/>
          <w:kern w:val="0"/>
          <w:sz w:val="24"/>
          <w:szCs w:val="24"/>
          <w:highlight w:val="none"/>
        </w:rPr>
        <w:t>关于调整优化节能产品、环境标志产品政府采购执行机制的通知（财库[2019]9号）</w:t>
      </w:r>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p>
    <w:tbl>
      <w:tblPr>
        <w:tblStyle w:val="61"/>
        <w:tblW w:w="0" w:type="auto"/>
        <w:tblInd w:w="0" w:type="dxa"/>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Layout w:type="fixed"/>
        <w:tblCellMar>
          <w:top w:w="0" w:type="dxa"/>
          <w:left w:w="108" w:type="dxa"/>
          <w:bottom w:w="0" w:type="dxa"/>
          <w:right w:w="108" w:type="dxa"/>
        </w:tblCellMar>
      </w:tblPr>
      <w:tblGrid>
        <w:gridCol w:w="9145"/>
      </w:tblGrid>
      <w:tr w14:paraId="330245A1">
        <w:tblPrEx>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CellMar>
            <w:top w:w="0" w:type="dxa"/>
            <w:left w:w="108" w:type="dxa"/>
            <w:bottom w:w="0" w:type="dxa"/>
            <w:right w:w="108" w:type="dxa"/>
          </w:tblCellMar>
        </w:tblPrEx>
        <w:tc>
          <w:tcPr>
            <w:tcW w:w="9145" w:type="dxa"/>
            <w:tcBorders>
              <w:top w:val="thinThickSmallGap" w:color="0070C0" w:sz="18" w:space="0"/>
              <w:left w:val="thinThickSmallGap" w:color="0070C0" w:sz="18" w:space="0"/>
              <w:bottom w:val="thinThickSmallGap" w:color="0070C0" w:sz="18" w:space="0"/>
              <w:right w:val="thinThickSmallGap" w:color="0070C0" w:sz="18" w:space="0"/>
            </w:tcBorders>
            <w:noWrap/>
          </w:tcPr>
          <w:p w14:paraId="34770686">
            <w:pPr>
              <w:autoSpaceDN w:val="0"/>
              <w:spacing w:line="360" w:lineRule="auto"/>
              <w:jc w:val="center"/>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财政部 发展改革委 生态环境部 市场监管总局</w:t>
            </w:r>
          </w:p>
          <w:p w14:paraId="009584E8">
            <w:pPr>
              <w:autoSpaceDN w:val="0"/>
              <w:spacing w:line="360" w:lineRule="auto"/>
              <w:jc w:val="center"/>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关于调整优化节能产品、环境标志产品政府采购执行机制的通知</w:t>
            </w:r>
          </w:p>
          <w:p w14:paraId="363C9D17">
            <w:pPr>
              <w:autoSpaceDN w:val="0"/>
              <w:spacing w:line="360" w:lineRule="auto"/>
              <w:jc w:val="center"/>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财库〔2019〕9号</w:t>
            </w:r>
          </w:p>
          <w:p w14:paraId="76226BFD">
            <w:pPr>
              <w:autoSpaceDN w:val="0"/>
              <w:spacing w:line="360" w:lineRule="auto"/>
              <w:jc w:val="center"/>
              <w:rPr>
                <w:rFonts w:ascii="仿宋" w:hAnsi="仿宋" w:eastAsia="仿宋" w:cs="宋体"/>
                <w:b/>
                <w:color w:val="auto"/>
                <w:sz w:val="24"/>
                <w:szCs w:val="24"/>
                <w:highlight w:val="none"/>
              </w:rPr>
            </w:pPr>
          </w:p>
          <w:p w14:paraId="6CDE1AC9">
            <w:pPr>
              <w:autoSpaceDN w:val="0"/>
              <w:spacing w:line="360" w:lineRule="auto"/>
              <w:ind w:firstLine="487"/>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有关中央预算单位，各省、自治区、直辖市、计划单列市财政厅（局）、发展改革委（经信委、工信委、工信厅、经信局）、生态环境厅（局）、市场监管部门，新疆生产建设兵团财政局、发展改革委、工信委、环境保护局、市场监管局：</w:t>
            </w:r>
          </w:p>
          <w:p w14:paraId="3FED7F99">
            <w:pPr>
              <w:autoSpaceDN w:val="0"/>
              <w:spacing w:line="360" w:lineRule="auto"/>
              <w:ind w:firstLine="424" w:firstLineChars="177"/>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为落实“放管服”改革要求，完善政府绿色采购政策，简化节能（节水）产品、环境标志产品政府采购执行机制，优化供应商参与政府采购活动的市场环境，现就节能产品、环境标志产品政府采购有关事项通知如下：</w:t>
            </w:r>
          </w:p>
          <w:p w14:paraId="123A290A">
            <w:pPr>
              <w:autoSpaceDN w:val="0"/>
              <w:spacing w:line="360" w:lineRule="auto"/>
              <w:ind w:firstLine="426" w:firstLineChars="177"/>
              <w:rPr>
                <w:rFonts w:ascii="仿宋" w:hAnsi="仿宋" w:eastAsia="仿宋" w:cs="宋体"/>
                <w:color w:val="auto"/>
                <w:sz w:val="24"/>
                <w:szCs w:val="24"/>
                <w:highlight w:val="none"/>
              </w:rPr>
            </w:pPr>
            <w:r>
              <w:rPr>
                <w:rFonts w:hint="eastAsia" w:ascii="仿宋" w:hAnsi="仿宋" w:eastAsia="仿宋" w:cs="宋体"/>
                <w:b/>
                <w:color w:val="auto"/>
                <w:sz w:val="24"/>
                <w:szCs w:val="24"/>
                <w:highlight w:val="none"/>
              </w:rPr>
              <w:t>一、对政府采购节能产品、环境标志产品实施品目清单管理。</w:t>
            </w:r>
            <w:r>
              <w:rPr>
                <w:rFonts w:hint="eastAsia" w:ascii="仿宋" w:hAnsi="仿宋" w:eastAsia="仿宋" w:cs="宋体"/>
                <w:color w:val="auto"/>
                <w:sz w:val="24"/>
                <w:szCs w:val="24"/>
                <w:highlight w:val="none"/>
              </w:rPr>
              <w:t>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42C515C6">
            <w:pPr>
              <w:autoSpaceDN w:val="0"/>
              <w:spacing w:line="360" w:lineRule="auto"/>
              <w:ind w:firstLine="426" w:firstLineChars="177"/>
              <w:rPr>
                <w:rFonts w:ascii="仿宋" w:hAnsi="仿宋" w:eastAsia="仿宋" w:cs="宋体"/>
                <w:color w:val="auto"/>
                <w:sz w:val="24"/>
                <w:szCs w:val="24"/>
                <w:highlight w:val="none"/>
              </w:rPr>
            </w:pPr>
            <w:r>
              <w:rPr>
                <w:rFonts w:hint="eastAsia" w:ascii="仿宋" w:hAnsi="仿宋" w:eastAsia="仿宋" w:cs="宋体"/>
                <w:b/>
                <w:color w:val="auto"/>
                <w:sz w:val="24"/>
                <w:szCs w:val="24"/>
                <w:highlight w:val="none"/>
              </w:rPr>
              <w:t>二、依据品目清单和认证证书实施政府优先采购和强制采购。</w:t>
            </w:r>
            <w:r>
              <w:rPr>
                <w:rFonts w:hint="eastAsia" w:ascii="仿宋" w:hAnsi="仿宋" w:eastAsia="仿宋" w:cs="宋体"/>
                <w:color w:val="auto"/>
                <w:sz w:val="24"/>
                <w:szCs w:val="24"/>
                <w:highlight w:val="none"/>
              </w:rPr>
              <w:t>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7B52894E">
            <w:pPr>
              <w:autoSpaceDN w:val="0"/>
              <w:spacing w:line="360" w:lineRule="auto"/>
              <w:ind w:firstLine="426" w:firstLineChars="177"/>
              <w:rPr>
                <w:rFonts w:ascii="仿宋" w:hAnsi="仿宋" w:eastAsia="仿宋" w:cs="宋体"/>
                <w:color w:val="auto"/>
                <w:sz w:val="24"/>
                <w:szCs w:val="24"/>
                <w:highlight w:val="none"/>
              </w:rPr>
            </w:pPr>
            <w:r>
              <w:rPr>
                <w:rFonts w:hint="eastAsia" w:ascii="仿宋" w:hAnsi="仿宋" w:eastAsia="仿宋" w:cs="宋体"/>
                <w:b/>
                <w:color w:val="auto"/>
                <w:sz w:val="24"/>
                <w:szCs w:val="24"/>
                <w:highlight w:val="none"/>
              </w:rPr>
              <w:t>三、逐步扩大节能产品、环境标志产品认证机构范围。</w:t>
            </w:r>
            <w:r>
              <w:rPr>
                <w:rFonts w:hint="eastAsia" w:ascii="仿宋" w:hAnsi="仿宋" w:eastAsia="仿宋" w:cs="宋体"/>
                <w:color w:val="auto"/>
                <w:sz w:val="24"/>
                <w:szCs w:val="24"/>
                <w:highlight w:val="none"/>
              </w:rPr>
              <w:t>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6D678D91">
            <w:pPr>
              <w:autoSpaceDN w:val="0"/>
              <w:spacing w:line="360" w:lineRule="auto"/>
              <w:ind w:firstLine="426" w:firstLineChars="177"/>
              <w:rPr>
                <w:rFonts w:ascii="仿宋" w:hAnsi="仿宋" w:eastAsia="仿宋" w:cs="宋体"/>
                <w:color w:val="auto"/>
                <w:sz w:val="24"/>
                <w:szCs w:val="24"/>
                <w:highlight w:val="none"/>
              </w:rPr>
            </w:pPr>
            <w:r>
              <w:rPr>
                <w:rFonts w:hint="eastAsia" w:ascii="仿宋" w:hAnsi="仿宋" w:eastAsia="仿宋" w:cs="宋体"/>
                <w:b/>
                <w:color w:val="auto"/>
                <w:sz w:val="24"/>
                <w:szCs w:val="24"/>
                <w:highlight w:val="none"/>
              </w:rPr>
              <w:t>四、发布认证机构和获证产品信息。</w:t>
            </w:r>
            <w:r>
              <w:rPr>
                <w:rFonts w:hint="eastAsia" w:ascii="仿宋" w:hAnsi="仿宋" w:eastAsia="仿宋" w:cs="宋体"/>
                <w:color w:val="auto"/>
                <w:sz w:val="24"/>
                <w:szCs w:val="24"/>
                <w:highlight w:val="none"/>
              </w:rPr>
              <w:t>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67A043D9">
            <w:pPr>
              <w:autoSpaceDN w:val="0"/>
              <w:spacing w:line="360" w:lineRule="auto"/>
              <w:ind w:firstLine="426" w:firstLineChars="177"/>
              <w:rPr>
                <w:rFonts w:ascii="仿宋" w:hAnsi="仿宋" w:eastAsia="仿宋" w:cs="宋体"/>
                <w:color w:val="auto"/>
                <w:sz w:val="24"/>
                <w:szCs w:val="24"/>
                <w:highlight w:val="none"/>
              </w:rPr>
            </w:pPr>
            <w:r>
              <w:rPr>
                <w:rFonts w:hint="eastAsia" w:ascii="仿宋" w:hAnsi="仿宋" w:eastAsia="仿宋" w:cs="宋体"/>
                <w:b/>
                <w:color w:val="auto"/>
                <w:sz w:val="24"/>
                <w:szCs w:val="24"/>
                <w:highlight w:val="none"/>
              </w:rPr>
              <w:t>五、加大政府绿色采购力度。</w:t>
            </w:r>
            <w:r>
              <w:rPr>
                <w:rFonts w:hint="eastAsia" w:ascii="仿宋" w:hAnsi="仿宋" w:eastAsia="仿宋" w:cs="宋体"/>
                <w:color w:val="auto"/>
                <w:sz w:val="24"/>
                <w:szCs w:val="24"/>
                <w:highlight w:val="none"/>
              </w:rPr>
              <w:t>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0E82E5D2">
            <w:pPr>
              <w:autoSpaceDN w:val="0"/>
              <w:spacing w:line="360" w:lineRule="auto"/>
              <w:ind w:firstLine="426" w:firstLineChars="177"/>
              <w:rPr>
                <w:rFonts w:ascii="仿宋" w:hAnsi="仿宋" w:eastAsia="仿宋" w:cs="宋体"/>
                <w:color w:val="auto"/>
                <w:sz w:val="24"/>
                <w:szCs w:val="24"/>
                <w:highlight w:val="none"/>
              </w:rPr>
            </w:pPr>
            <w:r>
              <w:rPr>
                <w:rFonts w:hint="eastAsia" w:ascii="仿宋" w:hAnsi="仿宋" w:eastAsia="仿宋" w:cs="宋体"/>
                <w:b/>
                <w:color w:val="auto"/>
                <w:sz w:val="24"/>
                <w:szCs w:val="24"/>
                <w:highlight w:val="none"/>
              </w:rPr>
              <w:t>六、本通知自2019年4月1日起执行。</w:t>
            </w:r>
            <w:r>
              <w:rPr>
                <w:rFonts w:hint="eastAsia" w:ascii="仿宋" w:hAnsi="仿宋" w:eastAsia="仿宋" w:cs="宋体"/>
                <w:color w:val="auto"/>
                <w:sz w:val="24"/>
                <w:szCs w:val="24"/>
                <w:highlight w:val="none"/>
              </w:rPr>
              <w:t>《财政部 生态环境部关于调整公布第二十二期环境标志产品政府采购清单的通知》（财库〔2018〕70号）和《财政部 国家发展改革委关于调整公布第二十四期节能产品政府采购清单的通知》（财库〔2018〕73号）同时停止执行。</w:t>
            </w:r>
          </w:p>
          <w:p w14:paraId="28512199">
            <w:pPr>
              <w:autoSpaceDN w:val="0"/>
              <w:spacing w:line="360" w:lineRule="auto"/>
              <w:jc w:val="righ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财政部 发展改革委 生态环境部 市场监管总局</w:t>
            </w:r>
          </w:p>
          <w:p w14:paraId="6767D3FA">
            <w:pPr>
              <w:autoSpaceDN w:val="0"/>
              <w:spacing w:line="360" w:lineRule="auto"/>
              <w:jc w:val="right"/>
              <w:rPr>
                <w:rFonts w:ascii="仿宋" w:hAnsi="仿宋" w:eastAsia="仿宋" w:cs="宋体"/>
                <w:color w:val="auto"/>
                <w:kern w:val="0"/>
                <w:sz w:val="24"/>
                <w:szCs w:val="24"/>
                <w:highlight w:val="none"/>
              </w:rPr>
            </w:pPr>
            <w:r>
              <w:rPr>
                <w:rFonts w:hint="eastAsia" w:ascii="仿宋" w:hAnsi="仿宋" w:eastAsia="仿宋" w:cs="宋体"/>
                <w:color w:val="auto"/>
                <w:sz w:val="24"/>
                <w:szCs w:val="24"/>
                <w:highlight w:val="none"/>
              </w:rPr>
              <w:t>2019年2月1日</w:t>
            </w:r>
          </w:p>
        </w:tc>
      </w:tr>
    </w:tbl>
    <w:p w14:paraId="12165FCD">
      <w:pPr>
        <w:widowControl/>
        <w:shd w:val="clear" w:color="auto" w:fill="FFFFFF"/>
        <w:autoSpaceDN w:val="0"/>
        <w:spacing w:line="360" w:lineRule="auto"/>
        <w:jc w:val="center"/>
        <w:textAlignment w:val="baseline"/>
        <w:rPr>
          <w:rFonts w:ascii="仿宋" w:hAnsi="仿宋" w:eastAsia="仿宋" w:cs="宋体"/>
          <w:color w:val="auto"/>
          <w:kern w:val="0"/>
          <w:sz w:val="24"/>
          <w:szCs w:val="24"/>
          <w:highlight w:val="none"/>
        </w:rPr>
      </w:pPr>
    </w:p>
    <w:p w14:paraId="3CFD2287">
      <w:pPr>
        <w:widowControl/>
        <w:autoSpaceDN w:val="0"/>
        <w:spacing w:line="360" w:lineRule="auto"/>
        <w:jc w:val="right"/>
        <w:rPr>
          <w:rFonts w:ascii="仿宋" w:hAnsi="仿宋" w:eastAsia="仿宋" w:cs="宋体"/>
          <w:color w:val="auto"/>
          <w:kern w:val="0"/>
          <w:sz w:val="24"/>
          <w:szCs w:val="24"/>
          <w:highlight w:val="none"/>
        </w:rPr>
      </w:pPr>
    </w:p>
    <w:p w14:paraId="5E8C1BC3">
      <w:pPr>
        <w:keepNext/>
        <w:keepLines/>
        <w:autoSpaceDN w:val="0"/>
        <w:spacing w:before="240" w:line="360" w:lineRule="auto"/>
        <w:jc w:val="left"/>
        <w:outlineLvl w:val="2"/>
        <w:rPr>
          <w:rFonts w:ascii="仿宋" w:hAnsi="仿宋" w:eastAsia="仿宋" w:cs="宋体"/>
          <w:b/>
          <w:bCs/>
          <w:color w:val="auto"/>
          <w:kern w:val="0"/>
          <w:sz w:val="24"/>
          <w:szCs w:val="24"/>
          <w:highlight w:val="none"/>
        </w:rPr>
      </w:pPr>
      <w:r>
        <w:rPr>
          <w:rFonts w:hint="eastAsia" w:ascii="仿宋" w:hAnsi="仿宋" w:eastAsia="仿宋" w:cs="宋体"/>
          <w:b/>
          <w:bCs/>
          <w:color w:val="auto"/>
          <w:kern w:val="0"/>
          <w:sz w:val="24"/>
          <w:szCs w:val="24"/>
          <w:highlight w:val="none"/>
        </w:rPr>
        <w:br w:type="page"/>
      </w:r>
      <w:bookmarkStart w:id="156" w:name="_Toc7663595"/>
      <w:bookmarkStart w:id="157" w:name="_Toc20358290"/>
      <w:bookmarkStart w:id="158" w:name="_Toc7988419"/>
      <w:bookmarkStart w:id="159" w:name="_Toc25765008"/>
      <w:bookmarkStart w:id="160" w:name="_Toc17428347"/>
      <w:bookmarkStart w:id="161" w:name="_Toc7993639"/>
      <w:bookmarkStart w:id="162" w:name="_Toc7488757"/>
      <w:bookmarkStart w:id="163" w:name="_Toc7668948"/>
      <w:bookmarkStart w:id="164" w:name="_Toc7988473"/>
      <w:bookmarkStart w:id="165" w:name="_Toc8007003"/>
      <w:bookmarkStart w:id="166" w:name="_Toc17428252"/>
      <w:bookmarkStart w:id="167" w:name="_Toc7492526"/>
      <w:bookmarkStart w:id="168" w:name="_Toc10432456"/>
      <w:bookmarkStart w:id="169" w:name="_Toc7664195"/>
      <w:bookmarkStart w:id="170" w:name="_Toc7574703"/>
      <w:bookmarkStart w:id="171" w:name="_Toc24471816"/>
      <w:bookmarkStart w:id="172" w:name="_Toc7542914"/>
      <w:r>
        <w:rPr>
          <w:rFonts w:hint="eastAsia" w:ascii="仿宋" w:hAnsi="仿宋" w:eastAsia="仿宋" w:cs="宋体"/>
          <w:b/>
          <w:bCs/>
          <w:color w:val="auto"/>
          <w:kern w:val="0"/>
          <w:sz w:val="24"/>
          <w:szCs w:val="24"/>
          <w:highlight w:val="none"/>
        </w:rPr>
        <w:t>二、关于印发节能产品政府采购品目清单的通知（财库〔2019〕19号）</w:t>
      </w:r>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tbl>
      <w:tblPr>
        <w:tblStyle w:val="61"/>
        <w:tblW w:w="8970" w:type="dxa"/>
        <w:tblInd w:w="0" w:type="dxa"/>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Layout w:type="fixed"/>
        <w:tblCellMar>
          <w:top w:w="0" w:type="dxa"/>
          <w:left w:w="108" w:type="dxa"/>
          <w:bottom w:w="0" w:type="dxa"/>
          <w:right w:w="108" w:type="dxa"/>
        </w:tblCellMar>
      </w:tblPr>
      <w:tblGrid>
        <w:gridCol w:w="8970"/>
      </w:tblGrid>
      <w:tr w14:paraId="5AA456CB">
        <w:tblPrEx>
          <w:tblBorders>
            <w:top w:val="thinThickSmallGap" w:color="0070C0" w:sz="18" w:space="0"/>
            <w:left w:val="thinThickSmallGap" w:color="0070C0" w:sz="18" w:space="0"/>
            <w:bottom w:val="thinThickSmallGap" w:color="0070C0" w:sz="18" w:space="0"/>
            <w:right w:val="thinThickSmallGap" w:color="0070C0" w:sz="18" w:space="0"/>
            <w:insideH w:val="thinThickSmallGap" w:color="0070C0" w:sz="18" w:space="0"/>
            <w:insideV w:val="thinThickSmallGap" w:color="0070C0" w:sz="18" w:space="0"/>
          </w:tblBorders>
          <w:tblCellMar>
            <w:top w:w="0" w:type="dxa"/>
            <w:left w:w="108" w:type="dxa"/>
            <w:bottom w:w="0" w:type="dxa"/>
            <w:right w:w="108" w:type="dxa"/>
          </w:tblCellMar>
        </w:tblPrEx>
        <w:tc>
          <w:tcPr>
            <w:tcW w:w="8969" w:type="dxa"/>
            <w:tcBorders>
              <w:top w:val="thinThickSmallGap" w:color="0070C0" w:sz="18" w:space="0"/>
              <w:left w:val="thinThickSmallGap" w:color="0070C0" w:sz="18" w:space="0"/>
              <w:bottom w:val="thinThickSmallGap" w:color="0070C0" w:sz="18" w:space="0"/>
              <w:right w:val="thinThickSmallGap" w:color="0070C0" w:sz="18" w:space="0"/>
            </w:tcBorders>
            <w:noWrap/>
          </w:tcPr>
          <w:p w14:paraId="36AE7289">
            <w:pPr>
              <w:widowControl/>
              <w:autoSpaceDN w:val="0"/>
              <w:spacing w:line="360" w:lineRule="auto"/>
              <w:jc w:val="center"/>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关于印发节能产品政府采购品目清单的通知</w:t>
            </w:r>
          </w:p>
          <w:p w14:paraId="62CCA404">
            <w:pPr>
              <w:widowControl/>
              <w:autoSpaceDN w:val="0"/>
              <w:spacing w:line="360" w:lineRule="auto"/>
              <w:jc w:val="center"/>
              <w:rPr>
                <w:rFonts w:ascii="仿宋" w:hAnsi="仿宋" w:eastAsia="仿宋" w:cs="宋体"/>
                <w:color w:val="auto"/>
                <w:kern w:val="0"/>
                <w:sz w:val="24"/>
                <w:szCs w:val="24"/>
                <w:highlight w:val="none"/>
              </w:rPr>
            </w:pPr>
            <w:r>
              <w:rPr>
                <w:rFonts w:hint="eastAsia" w:ascii="仿宋" w:hAnsi="仿宋" w:eastAsia="仿宋" w:cs="宋体"/>
                <w:b/>
                <w:color w:val="auto"/>
                <w:kern w:val="0"/>
                <w:sz w:val="24"/>
                <w:szCs w:val="24"/>
                <w:highlight w:val="none"/>
              </w:rPr>
              <w:t>财库〔2019〕19号</w:t>
            </w:r>
          </w:p>
          <w:p w14:paraId="65586558">
            <w:pPr>
              <w:widowControl/>
              <w:autoSpaceDN w:val="0"/>
              <w:spacing w:line="360" w:lineRule="auto"/>
              <w:jc w:val="center"/>
              <w:rPr>
                <w:rFonts w:ascii="仿宋" w:hAnsi="仿宋" w:eastAsia="仿宋" w:cs="宋体"/>
                <w:color w:val="auto"/>
                <w:kern w:val="0"/>
                <w:sz w:val="24"/>
                <w:szCs w:val="24"/>
                <w:highlight w:val="none"/>
              </w:rPr>
            </w:pPr>
          </w:p>
          <w:p w14:paraId="58456044">
            <w:pPr>
              <w:widowControl/>
              <w:autoSpaceDN w:val="0"/>
              <w:spacing w:line="360" w:lineRule="auto"/>
              <w:jc w:val="lef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有关中央预算单位，各省、自治区、直辖市、计划单列市财政厅（局）、发展改革委（经信委、工信委、工信厅、经信局），新疆生产建设兵团财政局、发展改革委：</w:t>
            </w:r>
          </w:p>
          <w:p w14:paraId="76860A74">
            <w:pPr>
              <w:widowControl/>
              <w:autoSpaceDN w:val="0"/>
              <w:spacing w:line="360" w:lineRule="auto"/>
              <w:jc w:val="left"/>
              <w:rPr>
                <w:rFonts w:ascii="仿宋" w:hAnsi="仿宋" w:eastAsia="仿宋" w:cs="宋体"/>
                <w:color w:val="auto"/>
                <w:kern w:val="0"/>
                <w:sz w:val="24"/>
                <w:szCs w:val="24"/>
                <w:highlight w:val="none"/>
              </w:rPr>
            </w:pPr>
          </w:p>
          <w:p w14:paraId="0032EA1A">
            <w:pPr>
              <w:widowControl/>
              <w:autoSpaceDN w:val="0"/>
              <w:spacing w:line="360" w:lineRule="auto"/>
              <w:ind w:firstLine="484" w:firstLineChars="202"/>
              <w:jc w:val="lef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根据《财政部发展改革委</w:t>
            </w:r>
            <w:r>
              <w:rPr>
                <w:rFonts w:hint="eastAsia" w:ascii="宋体" w:hAnsi="宋体" w:eastAsia="仿宋" w:cs="宋体"/>
                <w:color w:val="auto"/>
                <w:kern w:val="0"/>
                <w:sz w:val="24"/>
                <w:szCs w:val="24"/>
                <w:highlight w:val="none"/>
              </w:rPr>
              <w:t> </w:t>
            </w:r>
            <w:r>
              <w:rPr>
                <w:rFonts w:hint="eastAsia" w:ascii="仿宋" w:hAnsi="仿宋" w:eastAsia="仿宋" w:cs="宋体"/>
                <w:color w:val="auto"/>
                <w:kern w:val="0"/>
                <w:sz w:val="24"/>
                <w:szCs w:val="24"/>
                <w:highlight w:val="none"/>
              </w:rPr>
              <w:t>生态环境部</w:t>
            </w:r>
            <w:r>
              <w:rPr>
                <w:rFonts w:hint="eastAsia" w:ascii="宋体" w:hAnsi="宋体" w:eastAsia="仿宋" w:cs="宋体"/>
                <w:color w:val="auto"/>
                <w:kern w:val="0"/>
                <w:sz w:val="24"/>
                <w:szCs w:val="24"/>
                <w:highlight w:val="none"/>
              </w:rPr>
              <w:t> </w:t>
            </w:r>
            <w:r>
              <w:rPr>
                <w:rFonts w:hint="eastAsia" w:ascii="仿宋" w:hAnsi="仿宋" w:eastAsia="仿宋" w:cs="宋体"/>
                <w:color w:val="auto"/>
                <w:kern w:val="0"/>
                <w:sz w:val="24"/>
                <w:szCs w:val="24"/>
                <w:highlight w:val="none"/>
              </w:rPr>
              <w:t>市场监管总局关于调整优化节能产品</w:t>
            </w:r>
            <w:r>
              <w:rPr>
                <w:rFonts w:hint="eastAsia" w:ascii="宋体" w:hAnsi="宋体" w:eastAsia="仿宋" w:cs="宋体"/>
                <w:color w:val="auto"/>
                <w:kern w:val="0"/>
                <w:sz w:val="24"/>
                <w:szCs w:val="24"/>
                <w:highlight w:val="none"/>
              </w:rPr>
              <w:t> </w:t>
            </w:r>
            <w:r>
              <w:rPr>
                <w:rFonts w:hint="eastAsia" w:ascii="仿宋" w:hAnsi="仿宋" w:eastAsia="仿宋" w:cs="宋体"/>
                <w:color w:val="auto"/>
                <w:kern w:val="0"/>
                <w:sz w:val="24"/>
                <w:szCs w:val="24"/>
                <w:highlight w:val="none"/>
              </w:rPr>
              <w:t>环境标志产品政府采购执行机制的通知》（财库〔2019〕9号），我们研究制定节能产品政府采购品目清单，现印发给你们，请遵照执行。</w:t>
            </w:r>
          </w:p>
          <w:p w14:paraId="0C5BEE0D">
            <w:pPr>
              <w:widowControl/>
              <w:autoSpaceDN w:val="0"/>
              <w:spacing w:line="360" w:lineRule="auto"/>
              <w:jc w:val="left"/>
              <w:rPr>
                <w:rFonts w:ascii="仿宋" w:hAnsi="仿宋" w:eastAsia="仿宋" w:cs="宋体"/>
                <w:color w:val="auto"/>
                <w:kern w:val="0"/>
                <w:sz w:val="24"/>
                <w:szCs w:val="24"/>
                <w:highlight w:val="none"/>
              </w:rPr>
            </w:pPr>
          </w:p>
          <w:p w14:paraId="2B607BCB">
            <w:pPr>
              <w:widowControl/>
              <w:autoSpaceDN w:val="0"/>
              <w:spacing w:line="360" w:lineRule="auto"/>
              <w:jc w:val="left"/>
              <w:rPr>
                <w:rFonts w:ascii="仿宋" w:hAnsi="仿宋" w:eastAsia="仿宋" w:cs="宋体"/>
                <w:color w:val="auto"/>
                <w:kern w:val="0"/>
                <w:sz w:val="24"/>
                <w:szCs w:val="24"/>
                <w:highlight w:val="none"/>
              </w:rPr>
            </w:pPr>
          </w:p>
          <w:p w14:paraId="510C5FEF">
            <w:pPr>
              <w:widowControl/>
              <w:autoSpaceDN w:val="0"/>
              <w:spacing w:line="360" w:lineRule="auto"/>
              <w:jc w:val="left"/>
              <w:rPr>
                <w:rFonts w:ascii="仿宋" w:hAnsi="仿宋" w:eastAsia="仿宋" w:cs="宋体"/>
                <w:color w:val="auto"/>
                <w:kern w:val="0"/>
                <w:sz w:val="24"/>
                <w:szCs w:val="24"/>
                <w:highlight w:val="none"/>
              </w:rPr>
            </w:pPr>
          </w:p>
          <w:p w14:paraId="6F892D40">
            <w:pPr>
              <w:widowControl/>
              <w:autoSpaceDN w:val="0"/>
              <w:spacing w:line="360" w:lineRule="auto"/>
              <w:jc w:val="left"/>
              <w:rPr>
                <w:rFonts w:ascii="仿宋" w:hAnsi="仿宋" w:eastAsia="仿宋" w:cs="宋体"/>
                <w:color w:val="auto"/>
                <w:kern w:val="0"/>
                <w:sz w:val="24"/>
                <w:szCs w:val="24"/>
                <w:highlight w:val="none"/>
              </w:rPr>
            </w:pPr>
          </w:p>
          <w:p w14:paraId="40A2CE0D">
            <w:pPr>
              <w:widowControl/>
              <w:autoSpaceDN w:val="0"/>
              <w:spacing w:line="360" w:lineRule="auto"/>
              <w:jc w:val="lef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附件：节能产品政府采购品目清单</w:t>
            </w:r>
          </w:p>
          <w:p w14:paraId="29BDA699">
            <w:pPr>
              <w:widowControl/>
              <w:autoSpaceDN w:val="0"/>
              <w:spacing w:line="360" w:lineRule="auto"/>
              <w:jc w:val="left"/>
              <w:rPr>
                <w:rFonts w:ascii="仿宋" w:hAnsi="仿宋" w:eastAsia="仿宋" w:cs="宋体"/>
                <w:color w:val="auto"/>
                <w:kern w:val="0"/>
                <w:sz w:val="24"/>
                <w:szCs w:val="24"/>
                <w:highlight w:val="none"/>
              </w:rPr>
            </w:pPr>
          </w:p>
          <w:p w14:paraId="17C455B9">
            <w:pPr>
              <w:widowControl/>
              <w:autoSpaceDN w:val="0"/>
              <w:spacing w:line="360" w:lineRule="auto"/>
              <w:jc w:val="left"/>
              <w:rPr>
                <w:rFonts w:ascii="仿宋" w:hAnsi="仿宋" w:eastAsia="仿宋" w:cs="宋体"/>
                <w:color w:val="auto"/>
                <w:kern w:val="0"/>
                <w:sz w:val="24"/>
                <w:szCs w:val="24"/>
                <w:highlight w:val="none"/>
              </w:rPr>
            </w:pPr>
          </w:p>
          <w:p w14:paraId="0BBED297">
            <w:pPr>
              <w:widowControl/>
              <w:autoSpaceDN w:val="0"/>
              <w:spacing w:line="360" w:lineRule="auto"/>
              <w:jc w:val="righ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财政部发展改革委</w:t>
            </w:r>
          </w:p>
          <w:p w14:paraId="049F299A">
            <w:pPr>
              <w:widowControl/>
              <w:autoSpaceDN w:val="0"/>
              <w:spacing w:line="360" w:lineRule="auto"/>
              <w:jc w:val="right"/>
              <w:rPr>
                <w:rFonts w:ascii="仿宋" w:hAnsi="仿宋" w:eastAsia="仿宋" w:cs="宋体"/>
                <w:b/>
                <w:color w:val="auto"/>
                <w:kern w:val="0"/>
                <w:sz w:val="24"/>
                <w:szCs w:val="24"/>
                <w:highlight w:val="none"/>
              </w:rPr>
            </w:pPr>
            <w:r>
              <w:rPr>
                <w:rFonts w:hint="eastAsia" w:ascii="仿宋" w:hAnsi="仿宋" w:eastAsia="仿宋" w:cs="宋体"/>
                <w:color w:val="auto"/>
                <w:kern w:val="0"/>
                <w:sz w:val="24"/>
                <w:szCs w:val="24"/>
                <w:highlight w:val="none"/>
              </w:rPr>
              <w:t>2019年4月2日</w:t>
            </w:r>
          </w:p>
        </w:tc>
      </w:tr>
    </w:tbl>
    <w:p w14:paraId="7A3609EC">
      <w:pPr>
        <w:keepNext/>
        <w:keepLines/>
        <w:autoSpaceDN w:val="0"/>
        <w:spacing w:before="240" w:line="360" w:lineRule="auto"/>
        <w:jc w:val="left"/>
        <w:outlineLvl w:val="3"/>
        <w:rPr>
          <w:rFonts w:ascii="仿宋" w:hAnsi="仿宋" w:eastAsia="仿宋" w:cs="宋体"/>
          <w:b/>
          <w:bCs/>
          <w:color w:val="auto"/>
          <w:sz w:val="24"/>
          <w:szCs w:val="24"/>
          <w:highlight w:val="none"/>
        </w:rPr>
      </w:pPr>
      <w:r>
        <w:rPr>
          <w:rFonts w:hint="eastAsia" w:ascii="仿宋" w:hAnsi="仿宋" w:eastAsia="仿宋" w:cs="宋体"/>
          <w:b/>
          <w:bCs/>
          <w:color w:val="auto"/>
          <w:sz w:val="24"/>
          <w:szCs w:val="24"/>
          <w:highlight w:val="none"/>
        </w:rPr>
        <w:br w:type="page"/>
      </w:r>
      <w:r>
        <w:rPr>
          <w:rFonts w:hint="eastAsia" w:ascii="仿宋" w:hAnsi="仿宋" w:eastAsia="仿宋" w:cs="宋体"/>
          <w:b/>
          <w:bCs/>
          <w:color w:val="auto"/>
          <w:sz w:val="24"/>
          <w:szCs w:val="24"/>
          <w:highlight w:val="none"/>
        </w:rPr>
        <w:t>附：节能产品政府采购品目清单</w:t>
      </w:r>
    </w:p>
    <w:tbl>
      <w:tblPr>
        <w:tblStyle w:val="61"/>
        <w:tblW w:w="9390" w:type="dxa"/>
        <w:tblInd w:w="-295"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671"/>
        <w:gridCol w:w="1857"/>
        <w:gridCol w:w="2267"/>
        <w:gridCol w:w="1549"/>
        <w:gridCol w:w="3046"/>
      </w:tblGrid>
      <w:tr w14:paraId="7219DC2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blHeader/>
        </w:trPr>
        <w:tc>
          <w:tcPr>
            <w:tcW w:w="672" w:type="dxa"/>
            <w:tcBorders>
              <w:top w:val="thinThickSmallGap" w:color="0070C0" w:sz="18" w:space="0"/>
              <w:left w:val="thinThickSmallGap" w:color="0070C0" w:sz="18" w:space="0"/>
              <w:bottom w:val="single" w:color="0070C0" w:sz="6" w:space="0"/>
              <w:right w:val="single" w:color="0070C0" w:sz="6" w:space="0"/>
            </w:tcBorders>
            <w:shd w:val="clear" w:color="auto" w:fill="DAEEF3"/>
            <w:noWrap/>
            <w:vAlign w:val="center"/>
          </w:tcPr>
          <w:p w14:paraId="1E5D0AEF">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品目序号</w:t>
            </w:r>
          </w:p>
        </w:tc>
        <w:tc>
          <w:tcPr>
            <w:tcW w:w="5676" w:type="dxa"/>
            <w:gridSpan w:val="3"/>
            <w:tcBorders>
              <w:top w:val="thinThickSmallGap" w:color="0070C0" w:sz="18" w:space="0"/>
              <w:left w:val="single" w:color="0070C0" w:sz="6" w:space="0"/>
              <w:bottom w:val="single" w:color="0070C0" w:sz="6" w:space="0"/>
              <w:right w:val="single" w:color="0070C0" w:sz="6" w:space="0"/>
            </w:tcBorders>
            <w:shd w:val="clear" w:color="auto" w:fill="DAEEF3"/>
            <w:noWrap/>
            <w:vAlign w:val="center"/>
          </w:tcPr>
          <w:p w14:paraId="0E5C21F4">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名称</w:t>
            </w:r>
          </w:p>
        </w:tc>
        <w:tc>
          <w:tcPr>
            <w:tcW w:w="3048" w:type="dxa"/>
            <w:tcBorders>
              <w:top w:val="thinThickSmallGap" w:color="0070C0" w:sz="18" w:space="0"/>
              <w:left w:val="single" w:color="0070C0" w:sz="6" w:space="0"/>
              <w:bottom w:val="single" w:color="0070C0" w:sz="6" w:space="0"/>
              <w:right w:val="thickThinSmallGap" w:color="0070C0" w:sz="18" w:space="0"/>
            </w:tcBorders>
            <w:shd w:val="clear" w:color="auto" w:fill="DAEEF3"/>
            <w:noWrap/>
            <w:vAlign w:val="center"/>
          </w:tcPr>
          <w:p w14:paraId="7E546A76">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依据的标准</w:t>
            </w:r>
          </w:p>
        </w:tc>
      </w:tr>
      <w:tr w14:paraId="2E2452E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0725E8BA">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14:paraId="3145EDD7">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A020101计算机设备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94CB2D7">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A02010104台式计算机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97F51A6">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7DB4CF3F">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《微型计算机能效限定值及能效等级》（GB 28380）</w:t>
            </w:r>
          </w:p>
        </w:tc>
      </w:tr>
      <w:tr w14:paraId="73DCF58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5880C03E">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249EC91A">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3776277">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A02010105便携式计算</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281CF03E">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85E2211">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《微型计算机能效限定值及能效等级》（GB 28380）</w:t>
            </w:r>
          </w:p>
        </w:tc>
      </w:tr>
      <w:tr w14:paraId="32495D0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407E5B83">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0CF296C4">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8046131">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A02010107平板式微型计算机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08B1F710">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35006335">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《微型计算机能效限定值及能效等级》（GB 28380）</w:t>
            </w:r>
          </w:p>
        </w:tc>
      </w:tr>
      <w:tr w14:paraId="13C548B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2AC46D80">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14:paraId="69E4AD5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A020106输入输出设备</w:t>
            </w: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14:paraId="3BCF5DFE">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A02010601打印设备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4D7A4CCF">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A0201060101喷墨打印机</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1A893499">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《复印机、打印机和传真机能效限定值及能效等级》（GB 21521）</w:t>
            </w:r>
          </w:p>
        </w:tc>
      </w:tr>
      <w:tr w14:paraId="659ABC3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0FE96603">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705C5836">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499B01ED">
            <w:pPr>
              <w:widowControl/>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53AF9FB0">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A0201060102激光打印机</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577C16A">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《复印机、打印机和传真机能效限定值及能效等级》（GB 21521）</w:t>
            </w:r>
          </w:p>
        </w:tc>
      </w:tr>
      <w:tr w14:paraId="10B5498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7365AA7F">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42940E76">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528A391A">
            <w:pPr>
              <w:widowControl/>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717F530F">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A0201060104针式打印机</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66C2080C">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《复印机、打印机和传真机能效限定值及能效等级》（GB 21521）</w:t>
            </w:r>
          </w:p>
        </w:tc>
      </w:tr>
      <w:tr w14:paraId="1278A7F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6C7A46C2">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44060997">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7522068">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A02010604显示设备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40331E62">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A0201060401液晶显示器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E1CBBC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《计算机显示器能效限定值及能效等级》（GB 21520）</w:t>
            </w:r>
          </w:p>
        </w:tc>
      </w:tr>
      <w:tr w14:paraId="0DA21E7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613CF0B0">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0F2AC814">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6366D1E">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A02010609图形图像输入设备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A3BE158">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A0201060901扫描仪</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5231DE8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参照《复印机、打印机和传真机能效限定值及能效等级》（GB 21521中打印速度为 15 页/分的针式打印机相关要求</w:t>
            </w:r>
          </w:p>
        </w:tc>
      </w:tr>
      <w:tr w14:paraId="5010864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6D63F8B5">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3</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1F3C7A15">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A020202投影仪</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EC69E4E">
            <w:pPr>
              <w:autoSpaceDN w:val="0"/>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17B12FD1">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31BB9B9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《投影机能效限定值及能效等级（GB 32028）</w:t>
            </w:r>
          </w:p>
        </w:tc>
      </w:tr>
      <w:tr w14:paraId="546B1A1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3A314541">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4</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52B70E85">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A020204多功能一体机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AC2307C">
            <w:pPr>
              <w:autoSpaceDN w:val="0"/>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1B93F106">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638CEB8D">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《复印机、打印机和传真机能效限定值及能效等级》（GB 21521）</w:t>
            </w:r>
          </w:p>
        </w:tc>
      </w:tr>
      <w:tr w14:paraId="5F71B5B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1B637831">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5</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494A58B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A020519泵</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D297839">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A02051901离心泵</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12AF33A">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4F7D0159">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《清水离心泵能效限定值及节能评价值》（GB 19762）</w:t>
            </w:r>
          </w:p>
        </w:tc>
      </w:tr>
      <w:tr w14:paraId="0C1DE6D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728A82BF">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6</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14:paraId="2DD5058D">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A020523制冷空调设备</w:t>
            </w: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14:paraId="271EC8AE">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A02052301制冷压缩机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3A44EBF3">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冷水机组</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6AA3311F">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《冷水机组能效限定值及能效等级》（GB 19577），《低环境温度空气源热泵（冷水）机组能效限定值及能效等级》（GB 37480）</w:t>
            </w:r>
          </w:p>
        </w:tc>
      </w:tr>
      <w:tr w14:paraId="3FC2952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695217B0">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23BB7B63">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7C467BB5">
            <w:pPr>
              <w:widowControl/>
              <w:jc w:val="left"/>
              <w:rPr>
                <w:rFonts w:ascii="仿宋" w:hAnsi="仿宋" w:eastAsia="仿宋" w:cs="宋体"/>
                <w:b/>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7CEB37CA">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水源热泵机组</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7713BA5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《水（地）源热泵机组能效限定值及能效等级》（GB 30721）</w:t>
            </w:r>
          </w:p>
        </w:tc>
      </w:tr>
      <w:tr w14:paraId="3784770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77704375">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06539E74">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7A658532">
            <w:pPr>
              <w:widowControl/>
              <w:jc w:val="left"/>
              <w:rPr>
                <w:rFonts w:ascii="仿宋" w:hAnsi="仿宋" w:eastAsia="仿宋" w:cs="宋体"/>
                <w:b/>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18F5EC19">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溴化锂吸收式冷水机组</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3B2984DB">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《溴化锂吸收式冷水机组能效限定值及能效等级》（GB 29540）</w:t>
            </w:r>
          </w:p>
        </w:tc>
      </w:tr>
      <w:tr w14:paraId="176EE5F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27C66D83">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2530EA86">
            <w:pPr>
              <w:widowControl/>
              <w:jc w:val="left"/>
              <w:rPr>
                <w:rFonts w:ascii="仿宋" w:hAnsi="仿宋" w:eastAsia="仿宋" w:cs="宋体"/>
                <w:color w:val="auto"/>
                <w:w w:val="90"/>
                <w:sz w:val="24"/>
                <w:szCs w:val="24"/>
                <w:highlight w:val="none"/>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14:paraId="006F5A68">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A02052305 空调机组</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5FDCA4D8">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多联式空调（热泵）机组(制冷量&gt;14000W)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1AAFC82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《多联式空调（热泵）机组能效限定值及能源效率等级》（GB 21454</w:t>
            </w:r>
          </w:p>
        </w:tc>
      </w:tr>
      <w:tr w14:paraId="3CFB24D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2B33D4A0">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46FA3277">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7F190742">
            <w:pPr>
              <w:widowControl/>
              <w:jc w:val="left"/>
              <w:rPr>
                <w:rFonts w:ascii="仿宋" w:hAnsi="仿宋" w:eastAsia="仿宋" w:cs="宋体"/>
                <w:b/>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7F06A61E">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单元式空气调节机(制冷量&gt;14000W)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38C0706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《单元式空气调节机能效限定值及能效等级》（GB 19576）《风管送风式空调机组能效限定值及能效等级》（GB 37479）</w:t>
            </w:r>
          </w:p>
        </w:tc>
      </w:tr>
      <w:tr w14:paraId="5E95575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6C5DD4AA">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58861595">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8036B9B">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A02052309 专用制冷、空调设备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423ED194">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机房空调</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53D51988">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《单元式空气调节机能效限定值及能效等级》（GB 19576）</w:t>
            </w:r>
          </w:p>
        </w:tc>
      </w:tr>
      <w:tr w14:paraId="1E6368E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7A5196F5">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287EAB83">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E83D8FA">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A02052399 其他制冷空调设备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0FAD7A6C">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冷却塔</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4CCB17A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《机械通风冷却塔 第 1 部分：中小型开式冷却塔》（GB /T 7190.1）</w:t>
            </w:r>
          </w:p>
          <w:p w14:paraId="0A243B7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《机械通风冷却塔 第 2 部分：大型开式冷却塔》（GB /T 7190.2</w:t>
            </w:r>
          </w:p>
        </w:tc>
      </w:tr>
      <w:tr w14:paraId="1076E34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40CE0EE1">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7</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55A9FEED">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A020601电机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ACBE8C1">
            <w:pPr>
              <w:autoSpaceDN w:val="0"/>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5B464CB">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5BA7A91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《中小型三相异步电动机能效限定值及能效等级》（GB 18613）</w:t>
            </w:r>
          </w:p>
        </w:tc>
      </w:tr>
      <w:tr w14:paraId="47B9B4B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2718A5EF">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8</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1896AB95">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A020602变压器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6F1D339">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配电变压器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1C20A5C">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6C9CA98E">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《三相配电变压器能效限定值及能效等级》（GB 20052）</w:t>
            </w:r>
          </w:p>
        </w:tc>
      </w:tr>
      <w:tr w14:paraId="4F10453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3CC3A809">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9</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6098C3FF">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A020609 镇流器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3B1E99F">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管型荧光灯镇流器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2BD5730B">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68F6EA05">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《管形荧光灯镇流器能效限定值及能效等级》（GB 17896）</w:t>
            </w:r>
          </w:p>
        </w:tc>
      </w:tr>
      <w:tr w14:paraId="6F1AE89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006ED1DD">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10</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14:paraId="335E5D3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 生活用电器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1CD5A38">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A0206180101 电冰箱</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33B91740">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3B7C88B8">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《家用电冰箱耗电量限定值及能效等级》（GB</w:t>
            </w:r>
            <w:r>
              <w:rPr>
                <w:rFonts w:hint="eastAsia" w:ascii="仿宋" w:hAnsi="仿宋" w:eastAsia="仿宋" w:cs="宋体"/>
                <w:color w:val="auto"/>
                <w:w w:val="90"/>
                <w:sz w:val="24"/>
                <w:szCs w:val="24"/>
                <w:highlight w:val="none"/>
              </w:rPr>
              <w:tab/>
            </w:r>
            <w:r>
              <w:rPr>
                <w:rFonts w:hint="eastAsia" w:ascii="仿宋" w:hAnsi="仿宋" w:eastAsia="仿宋" w:cs="宋体"/>
                <w:color w:val="auto"/>
                <w:w w:val="90"/>
                <w:sz w:val="24"/>
                <w:szCs w:val="24"/>
                <w:highlight w:val="none"/>
              </w:rPr>
              <w:t>12021.2）</w:t>
            </w:r>
          </w:p>
        </w:tc>
      </w:tr>
      <w:tr w14:paraId="4C6B2DD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6B5D1D8C">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5920DBF5">
            <w:pPr>
              <w:widowControl/>
              <w:jc w:val="left"/>
              <w:rPr>
                <w:rFonts w:ascii="仿宋" w:hAnsi="仿宋" w:eastAsia="仿宋" w:cs="宋体"/>
                <w:color w:val="auto"/>
                <w:w w:val="90"/>
                <w:sz w:val="24"/>
                <w:szCs w:val="24"/>
                <w:highlight w:val="none"/>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14:paraId="0E8022AC">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A0206180203 空调机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7D6D0A3">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房间空气调节器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34B751BC">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《转速可控型房间空气调节器能效限定值及能效等级》（GB21455-2013），待 2019 年修订发布后，按《房间空气调节器能效限定值及能效等级》（GB21455-2019</w:t>
            </w:r>
          </w:p>
          <w:p w14:paraId="1379A2E1">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实施。</w:t>
            </w:r>
          </w:p>
        </w:tc>
      </w:tr>
      <w:tr w14:paraId="380ACB2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3547BA8B">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52D1DC06">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3C76D4AB">
            <w:pPr>
              <w:widowControl/>
              <w:jc w:val="left"/>
              <w:rPr>
                <w:rFonts w:ascii="仿宋" w:hAnsi="仿宋" w:eastAsia="仿宋" w:cs="宋体"/>
                <w:b/>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2E7BB696">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多联式空调（热泵）机组（制冷量≤ 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6AD9D201">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《多联式空调（热泵）机组能效限定值及能源效率等级》（GB 21454</w:t>
            </w:r>
          </w:p>
        </w:tc>
      </w:tr>
      <w:tr w14:paraId="5982E2B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010C4760">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1D1DC347">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6946271B">
            <w:pPr>
              <w:widowControl/>
              <w:jc w:val="left"/>
              <w:rPr>
                <w:rFonts w:ascii="仿宋" w:hAnsi="仿宋" w:eastAsia="仿宋" w:cs="宋体"/>
                <w:b/>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5EE35CA9">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单元式空气调节机(制冷量≤14000W)</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2A5352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《单元式空气调节机能效限定值及能源效率等级》（GB 19576）《风管送风式空调机组能效限定值及</w:t>
            </w:r>
          </w:p>
          <w:p w14:paraId="3CA54B87">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能效等级》（GB 37479）</w:t>
            </w:r>
          </w:p>
        </w:tc>
      </w:tr>
      <w:tr w14:paraId="56F5B88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6587893D">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0936A9E0">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8428112">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A0206180301洗衣机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8067F97">
            <w:pPr>
              <w:autoSpaceDN w:val="0"/>
              <w:jc w:val="left"/>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71FD1C9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《电动洗衣机能效水效限定值及等级》（GB 12021.4）</w:t>
            </w:r>
          </w:p>
        </w:tc>
      </w:tr>
      <w:tr w14:paraId="70287B4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799D47A2">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7C2405C7">
            <w:pPr>
              <w:widowControl/>
              <w:jc w:val="left"/>
              <w:rPr>
                <w:rFonts w:ascii="仿宋" w:hAnsi="仿宋" w:eastAsia="仿宋" w:cs="宋体"/>
                <w:color w:val="auto"/>
                <w:w w:val="90"/>
                <w:sz w:val="24"/>
                <w:szCs w:val="24"/>
                <w:highlight w:val="none"/>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14:paraId="05BBE34E">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A02061808 热水器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3E67662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电热水器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540045E9">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《储水式电热水器能效限定值及能效等级》（GB</w:t>
            </w:r>
            <w:r>
              <w:rPr>
                <w:rFonts w:hint="eastAsia" w:ascii="仿宋" w:hAnsi="仿宋" w:eastAsia="仿宋" w:cs="宋体"/>
                <w:color w:val="auto"/>
                <w:w w:val="90"/>
                <w:sz w:val="24"/>
                <w:szCs w:val="24"/>
                <w:highlight w:val="none"/>
              </w:rPr>
              <w:tab/>
            </w:r>
            <w:r>
              <w:rPr>
                <w:rFonts w:hint="eastAsia" w:ascii="仿宋" w:hAnsi="仿宋" w:eastAsia="仿宋" w:cs="宋体"/>
                <w:color w:val="auto"/>
                <w:w w:val="90"/>
                <w:sz w:val="24"/>
                <w:szCs w:val="24"/>
                <w:highlight w:val="none"/>
              </w:rPr>
              <w:t>21519）</w:t>
            </w:r>
          </w:p>
        </w:tc>
      </w:tr>
      <w:tr w14:paraId="711B99C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08DD1DFE">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34FDB054">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25EAA03B">
            <w:pPr>
              <w:widowControl/>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1D668ED9">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燃气热水器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3A32159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《家用燃气快速热水器和燃气采暖热水炉能效限定值及能效等级（GB 20665）</w:t>
            </w:r>
          </w:p>
        </w:tc>
      </w:tr>
      <w:tr w14:paraId="7C52600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429CF09A">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663652E4">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4994D0DA">
            <w:pPr>
              <w:widowControl/>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C1CE2B8">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热泵热水器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7ADA420D">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《热泵热水机（器）能效限定值及能效等级》（GB 29541）</w:t>
            </w:r>
          </w:p>
        </w:tc>
      </w:tr>
      <w:tr w14:paraId="41ABBB7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2CD5E1E3">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34A2A39C">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7D2690A5">
            <w:pPr>
              <w:widowControl/>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7876431">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太阳能热水系统</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74B6F09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《家用太阳能热水系统能效限定值及能效等级》（GB 26969）</w:t>
            </w:r>
          </w:p>
        </w:tc>
      </w:tr>
      <w:tr w14:paraId="58D057A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4B004635">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11</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14:paraId="2F1B6E0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A020619 照明设备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232670C">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普通照明用双端荧光灯</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2CD04755">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5F7BB17A">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《普通照明用双端荧光灯能效限定值及能效等级》（GB 19043）</w:t>
            </w:r>
          </w:p>
        </w:tc>
      </w:tr>
      <w:tr w14:paraId="0B7DF62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59737794">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5EE2F25E">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46CCD7D">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LED道路/隧道照明产品</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35F68D8B">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FCCE3CE">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《道路和隧道照明用 LED 灯具能效限定值及能效等级》（GB 37478</w:t>
            </w:r>
          </w:p>
        </w:tc>
      </w:tr>
      <w:tr w14:paraId="044CFC8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7E969892">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2CC23B36">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8A73FBD">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LED筒灯</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980D9D2">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080C411">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《室内照明用LED产品能效限定值及能效等级》（GB 30255）</w:t>
            </w:r>
          </w:p>
        </w:tc>
      </w:tr>
      <w:tr w14:paraId="7CCAF45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63D0AF55">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5DA42840">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23DF445">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普通照明用非定向自镇流LED灯</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5FD5A63B">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1FDC2C7C">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《室内照明用 LED 产品能效限定值及能效等级》（GB 30255）</w:t>
            </w:r>
          </w:p>
        </w:tc>
      </w:tr>
      <w:tr w14:paraId="0DE4006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2ABD2590">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12</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016259E1">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A020910电视设备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ECC65A5">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A02091001普通电视设备（电视机）</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3671A89C">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0692C24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《平板电视能效限定值及能效等级》（GB 24850）</w:t>
            </w:r>
          </w:p>
        </w:tc>
      </w:tr>
      <w:tr w14:paraId="17B1FA1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5A695396">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13</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5D5B2A01">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A020911视频设备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B65250A">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A02091107 视频监控设备</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6FFF1690">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监视器</w:t>
            </w: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12A5A0B3">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以射频信号为主要信号输入的监视器应符合《平板电视能效限定值及能效等级》（GB 24850），以数字信号为主要信号输入的监视器应符合《计算机显示器能效限定值及能效等级》（GB 21520）</w:t>
            </w:r>
          </w:p>
        </w:tc>
      </w:tr>
      <w:tr w14:paraId="314C8B4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41A9088A">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14</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4A5882B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A031210饮食炊事机械</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1C90EBC">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商用燃气灶具</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222E5B1C">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27EA3CA">
            <w:pPr>
              <w:autoSpaceDN w:val="0"/>
              <w:jc w:val="left"/>
              <w:rPr>
                <w:rFonts w:ascii="仿宋" w:hAnsi="仿宋" w:eastAsia="仿宋" w:cs="宋体"/>
                <w:color w:val="auto"/>
                <w:w w:val="90"/>
                <w:sz w:val="24"/>
                <w:szCs w:val="24"/>
                <w:highlight w:val="none"/>
              </w:rPr>
            </w:pPr>
          </w:p>
        </w:tc>
      </w:tr>
      <w:tr w14:paraId="190A3E0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45E6B053">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15</w:t>
            </w:r>
          </w:p>
        </w:tc>
        <w:tc>
          <w:tcPr>
            <w:tcW w:w="1858" w:type="dxa"/>
            <w:vMerge w:val="restart"/>
            <w:tcBorders>
              <w:top w:val="single" w:color="0070C0" w:sz="6" w:space="0"/>
              <w:left w:val="single" w:color="0070C0" w:sz="6" w:space="0"/>
              <w:bottom w:val="single" w:color="0070C0" w:sz="6" w:space="0"/>
              <w:right w:val="single" w:color="0070C0" w:sz="6" w:space="0"/>
            </w:tcBorders>
            <w:noWrap/>
            <w:vAlign w:val="center"/>
          </w:tcPr>
          <w:p w14:paraId="0D101B7F">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A060805便器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0F5EF5A">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坐便器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10403231">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2EFE201">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《坐便器水效限定值及水效等级</w:t>
            </w:r>
          </w:p>
          <w:p w14:paraId="385F75A9">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（GB 25502）</w:t>
            </w:r>
          </w:p>
        </w:tc>
      </w:tr>
      <w:tr w14:paraId="4C10CE6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09E9833C">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5E7AEA97">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3FFCE72">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蹲便器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09A8C922">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226E213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《蹲便器用水效率限定值及用水效率等级》（GB 30717）</w:t>
            </w:r>
          </w:p>
        </w:tc>
      </w:tr>
      <w:tr w14:paraId="4223AE3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vMerge w:val="continue"/>
            <w:tcBorders>
              <w:top w:val="single" w:color="0070C0" w:sz="6" w:space="0"/>
              <w:left w:val="thinThickSmallGap" w:color="0070C0" w:sz="18" w:space="0"/>
              <w:bottom w:val="single" w:color="0070C0" w:sz="6" w:space="0"/>
              <w:right w:val="single" w:color="0070C0" w:sz="6" w:space="0"/>
            </w:tcBorders>
            <w:vAlign w:val="center"/>
          </w:tcPr>
          <w:p w14:paraId="5CBA1360">
            <w:pPr>
              <w:widowControl/>
              <w:jc w:val="left"/>
              <w:rPr>
                <w:rFonts w:ascii="仿宋" w:hAnsi="仿宋" w:eastAsia="仿宋" w:cs="宋体"/>
                <w:color w:val="auto"/>
                <w:w w:val="90"/>
                <w:sz w:val="24"/>
                <w:szCs w:val="24"/>
                <w:highlight w:val="none"/>
              </w:rPr>
            </w:pPr>
          </w:p>
        </w:tc>
        <w:tc>
          <w:tcPr>
            <w:tcW w:w="5676" w:type="dxa"/>
            <w:vMerge w:val="continue"/>
            <w:tcBorders>
              <w:top w:val="single" w:color="0070C0" w:sz="6" w:space="0"/>
              <w:left w:val="single" w:color="0070C0" w:sz="6" w:space="0"/>
              <w:bottom w:val="single" w:color="0070C0" w:sz="6" w:space="0"/>
              <w:right w:val="single" w:color="0070C0" w:sz="6" w:space="0"/>
            </w:tcBorders>
            <w:vAlign w:val="center"/>
          </w:tcPr>
          <w:p w14:paraId="6B9452E1">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4182538">
            <w:pPr>
              <w:autoSpaceDN w:val="0"/>
              <w:jc w:val="left"/>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小便器</w:t>
            </w: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2E379302">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541B943A">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《小便器用水效率限定值及用水效率等级》（GB 28377）</w:t>
            </w:r>
          </w:p>
        </w:tc>
      </w:tr>
      <w:tr w14:paraId="21A14A6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3A19C053">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16</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54ABC794">
            <w:pPr>
              <w:autoSpaceDN w:val="0"/>
              <w:jc w:val="left"/>
              <w:rPr>
                <w:rFonts w:ascii="仿宋" w:hAnsi="仿宋" w:eastAsia="仿宋" w:cs="宋体"/>
                <w:b/>
                <w:color w:val="auto"/>
                <w:w w:val="90"/>
                <w:sz w:val="24"/>
                <w:szCs w:val="24"/>
                <w:highlight w:val="none"/>
              </w:rPr>
            </w:pPr>
            <w:r>
              <w:rPr>
                <w:rFonts w:hint="eastAsia" w:ascii="仿宋" w:hAnsi="仿宋" w:eastAsia="仿宋" w:cs="宋体"/>
                <w:color w:val="auto"/>
                <w:w w:val="90"/>
                <w:sz w:val="24"/>
                <w:szCs w:val="24"/>
                <w:highlight w:val="none"/>
              </w:rPr>
              <w:t>★</w:t>
            </w:r>
            <w:r>
              <w:rPr>
                <w:rFonts w:hint="eastAsia" w:ascii="仿宋" w:hAnsi="仿宋" w:eastAsia="仿宋" w:cs="宋体"/>
                <w:b/>
                <w:color w:val="auto"/>
                <w:w w:val="90"/>
                <w:sz w:val="24"/>
                <w:szCs w:val="24"/>
                <w:highlight w:val="none"/>
              </w:rPr>
              <w:t>A060806水嘴</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35E16FB">
            <w:pPr>
              <w:autoSpaceDN w:val="0"/>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779FE7CD">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76A481F0">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《水嘴用水效率限定值及用水效率等级》（GB 25501）</w:t>
            </w:r>
          </w:p>
        </w:tc>
      </w:tr>
      <w:tr w14:paraId="5A6781A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single" w:color="0070C0" w:sz="6" w:space="0"/>
              <w:right w:val="single" w:color="0070C0" w:sz="6" w:space="0"/>
            </w:tcBorders>
            <w:noWrap/>
            <w:vAlign w:val="center"/>
          </w:tcPr>
          <w:p w14:paraId="1A0F5218">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17</w:t>
            </w:r>
          </w:p>
        </w:tc>
        <w:tc>
          <w:tcPr>
            <w:tcW w:w="1858" w:type="dxa"/>
            <w:tcBorders>
              <w:top w:val="single" w:color="0070C0" w:sz="6" w:space="0"/>
              <w:left w:val="single" w:color="0070C0" w:sz="6" w:space="0"/>
              <w:bottom w:val="single" w:color="0070C0" w:sz="6" w:space="0"/>
              <w:right w:val="single" w:color="0070C0" w:sz="6" w:space="0"/>
            </w:tcBorders>
            <w:noWrap/>
            <w:vAlign w:val="center"/>
          </w:tcPr>
          <w:p w14:paraId="2695CC7E">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A060807便器冲洗阀</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D2ED82A">
            <w:pPr>
              <w:autoSpaceDN w:val="0"/>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single" w:color="0070C0" w:sz="6" w:space="0"/>
              <w:right w:val="single" w:color="0070C0" w:sz="6" w:space="0"/>
            </w:tcBorders>
            <w:noWrap/>
            <w:vAlign w:val="center"/>
          </w:tcPr>
          <w:p w14:paraId="44856426">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single" w:color="0070C0" w:sz="6" w:space="0"/>
              <w:right w:val="thickThinSmallGap" w:color="0070C0" w:sz="18" w:space="0"/>
            </w:tcBorders>
            <w:noWrap/>
            <w:vAlign w:val="center"/>
          </w:tcPr>
          <w:p w14:paraId="0C085351">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《便器冲洗阀用水效率限定值及用水效率等级》（GB 28379）</w:t>
            </w:r>
          </w:p>
        </w:tc>
      </w:tr>
      <w:tr w14:paraId="6FDB733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672" w:type="dxa"/>
            <w:tcBorders>
              <w:top w:val="single" w:color="0070C0" w:sz="6" w:space="0"/>
              <w:left w:val="thinThickSmallGap" w:color="0070C0" w:sz="18" w:space="0"/>
              <w:bottom w:val="thickThinSmallGap" w:color="0070C0" w:sz="18" w:space="0"/>
              <w:right w:val="single" w:color="0070C0" w:sz="6" w:space="0"/>
            </w:tcBorders>
            <w:noWrap/>
            <w:vAlign w:val="center"/>
          </w:tcPr>
          <w:p w14:paraId="32D4C3B2">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18</w:t>
            </w:r>
          </w:p>
        </w:tc>
        <w:tc>
          <w:tcPr>
            <w:tcW w:w="1858" w:type="dxa"/>
            <w:tcBorders>
              <w:top w:val="single" w:color="0070C0" w:sz="6" w:space="0"/>
              <w:left w:val="single" w:color="0070C0" w:sz="6" w:space="0"/>
              <w:bottom w:val="thickThinSmallGap" w:color="0070C0" w:sz="18" w:space="0"/>
              <w:right w:val="single" w:color="0070C0" w:sz="6" w:space="0"/>
            </w:tcBorders>
            <w:noWrap/>
            <w:vAlign w:val="center"/>
          </w:tcPr>
          <w:p w14:paraId="363C195E">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A060810淋浴器</w:t>
            </w:r>
          </w:p>
        </w:tc>
        <w:tc>
          <w:tcPr>
            <w:tcW w:w="2268" w:type="dxa"/>
            <w:tcBorders>
              <w:top w:val="single" w:color="0070C0" w:sz="6" w:space="0"/>
              <w:left w:val="single" w:color="0070C0" w:sz="6" w:space="0"/>
              <w:bottom w:val="thickThinSmallGap" w:color="0070C0" w:sz="18" w:space="0"/>
              <w:right w:val="single" w:color="0070C0" w:sz="6" w:space="0"/>
            </w:tcBorders>
            <w:noWrap/>
            <w:vAlign w:val="center"/>
          </w:tcPr>
          <w:p w14:paraId="176E81C6">
            <w:pPr>
              <w:autoSpaceDN w:val="0"/>
              <w:jc w:val="left"/>
              <w:rPr>
                <w:rFonts w:ascii="仿宋" w:hAnsi="仿宋" w:eastAsia="仿宋" w:cs="宋体"/>
                <w:color w:val="auto"/>
                <w:w w:val="90"/>
                <w:sz w:val="24"/>
                <w:szCs w:val="24"/>
                <w:highlight w:val="none"/>
              </w:rPr>
            </w:pPr>
          </w:p>
        </w:tc>
        <w:tc>
          <w:tcPr>
            <w:tcW w:w="1550" w:type="dxa"/>
            <w:tcBorders>
              <w:top w:val="single" w:color="0070C0" w:sz="6" w:space="0"/>
              <w:left w:val="single" w:color="0070C0" w:sz="6" w:space="0"/>
              <w:bottom w:val="thickThinSmallGap" w:color="0070C0" w:sz="18" w:space="0"/>
              <w:right w:val="single" w:color="0070C0" w:sz="6" w:space="0"/>
            </w:tcBorders>
            <w:noWrap/>
            <w:vAlign w:val="center"/>
          </w:tcPr>
          <w:p w14:paraId="654E01AD">
            <w:pPr>
              <w:autoSpaceDN w:val="0"/>
              <w:jc w:val="center"/>
              <w:rPr>
                <w:rFonts w:ascii="仿宋" w:hAnsi="仿宋" w:eastAsia="仿宋" w:cs="宋体"/>
                <w:color w:val="auto"/>
                <w:w w:val="90"/>
                <w:sz w:val="24"/>
                <w:szCs w:val="24"/>
                <w:highlight w:val="none"/>
              </w:rPr>
            </w:pPr>
          </w:p>
        </w:tc>
        <w:tc>
          <w:tcPr>
            <w:tcW w:w="3048" w:type="dxa"/>
            <w:tcBorders>
              <w:top w:val="single" w:color="0070C0" w:sz="6" w:space="0"/>
              <w:left w:val="single" w:color="0070C0" w:sz="6" w:space="0"/>
              <w:bottom w:val="thickThinSmallGap" w:color="0070C0" w:sz="18" w:space="0"/>
              <w:right w:val="thickThinSmallGap" w:color="0070C0" w:sz="18" w:space="0"/>
            </w:tcBorders>
            <w:noWrap/>
            <w:vAlign w:val="center"/>
          </w:tcPr>
          <w:p w14:paraId="1EFC3186">
            <w:pPr>
              <w:autoSpaceDN w:val="0"/>
              <w:jc w:val="left"/>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《淋浴器用水效率限定值及用水效率等级》（GB 28378）</w:t>
            </w:r>
          </w:p>
        </w:tc>
      </w:tr>
    </w:tbl>
    <w:p w14:paraId="0566704D">
      <w:pPr>
        <w:autoSpaceDN w:val="0"/>
        <w:spacing w:line="360" w:lineRule="auto"/>
        <w:ind w:left="-850" w:leftChars="-405" w:right="-1050" w:rightChars="-500" w:firstLine="436" w:firstLineChars="201"/>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注：1、节能产品认证应依据相关国家标准的最新版本，依据国家标准中二级能效（水效）指标。</w:t>
      </w:r>
    </w:p>
    <w:p w14:paraId="7326C646">
      <w:pPr>
        <w:autoSpaceDN w:val="0"/>
        <w:spacing w:line="360" w:lineRule="auto"/>
        <w:ind w:left="-850" w:leftChars="-405" w:right="-1050" w:rightChars="-500" w:firstLine="436" w:firstLineChars="201"/>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2、上述产品中认证标准发生变更的，依据原认证标准获得的、仍在有效期内的认证证书可使用至2019年6月1日。</w:t>
      </w:r>
    </w:p>
    <w:p w14:paraId="3F0F29BE">
      <w:pPr>
        <w:autoSpaceDN w:val="0"/>
        <w:spacing w:line="360" w:lineRule="auto"/>
        <w:ind w:left="-850" w:leftChars="-405" w:right="-1050" w:rightChars="-500" w:firstLine="436" w:firstLineChars="201"/>
        <w:rPr>
          <w:rFonts w:ascii="仿宋" w:hAnsi="仿宋" w:eastAsia="仿宋" w:cs="宋体"/>
          <w:color w:val="auto"/>
          <w:sz w:val="24"/>
          <w:szCs w:val="24"/>
          <w:highlight w:val="none"/>
        </w:rPr>
      </w:pPr>
      <w:r>
        <w:rPr>
          <w:rFonts w:hint="eastAsia" w:ascii="仿宋" w:hAnsi="仿宋" w:eastAsia="仿宋" w:cs="宋体"/>
          <w:b/>
          <w:color w:val="auto"/>
          <w:w w:val="90"/>
          <w:sz w:val="24"/>
          <w:szCs w:val="24"/>
          <w:highlight w:val="none"/>
        </w:rPr>
        <w:t>3、以“★”标注的为政府强制采购产品。</w:t>
      </w:r>
    </w:p>
    <w:p w14:paraId="10642368">
      <w:pPr>
        <w:keepNext/>
        <w:keepLines/>
        <w:autoSpaceDN w:val="0"/>
        <w:spacing w:before="240" w:line="360" w:lineRule="auto"/>
        <w:jc w:val="left"/>
        <w:outlineLvl w:val="2"/>
        <w:rPr>
          <w:rFonts w:ascii="仿宋" w:hAnsi="仿宋" w:eastAsia="仿宋" w:cs="宋体"/>
          <w:b/>
          <w:bCs/>
          <w:color w:val="auto"/>
          <w:kern w:val="0"/>
          <w:sz w:val="24"/>
          <w:szCs w:val="24"/>
          <w:highlight w:val="none"/>
        </w:rPr>
      </w:pPr>
      <w:r>
        <w:rPr>
          <w:rFonts w:hint="eastAsia" w:ascii="仿宋" w:hAnsi="仿宋" w:eastAsia="仿宋" w:cs="宋体"/>
          <w:b/>
          <w:bCs/>
          <w:color w:val="auto"/>
          <w:kern w:val="0"/>
          <w:sz w:val="24"/>
          <w:szCs w:val="24"/>
          <w:highlight w:val="none"/>
        </w:rPr>
        <w:br w:type="page"/>
      </w:r>
      <w:bookmarkStart w:id="173" w:name="_Toc7574704"/>
      <w:bookmarkStart w:id="174" w:name="_Toc7492527"/>
      <w:bookmarkStart w:id="175" w:name="_Toc17428348"/>
      <w:bookmarkStart w:id="176" w:name="_Toc17428253"/>
      <w:bookmarkStart w:id="177" w:name="_Toc7988474"/>
      <w:bookmarkStart w:id="178" w:name="_Toc20358291"/>
      <w:bookmarkStart w:id="179" w:name="_Toc10432457"/>
      <w:bookmarkStart w:id="180" w:name="_Toc8007004"/>
      <w:bookmarkStart w:id="181" w:name="_Toc7988420"/>
      <w:bookmarkStart w:id="182" w:name="_Toc7663596"/>
      <w:bookmarkStart w:id="183" w:name="_Toc7993640"/>
      <w:bookmarkStart w:id="184" w:name="_Toc25765009"/>
      <w:bookmarkStart w:id="185" w:name="_Toc7542915"/>
      <w:bookmarkStart w:id="186" w:name="_Toc24471817"/>
      <w:bookmarkStart w:id="187" w:name="_Toc7488758"/>
      <w:bookmarkStart w:id="188" w:name="_Toc7664196"/>
      <w:bookmarkStart w:id="189" w:name="_Toc7668949"/>
      <w:r>
        <w:rPr>
          <w:rFonts w:hint="eastAsia" w:ascii="仿宋" w:hAnsi="仿宋" w:eastAsia="仿宋" w:cs="宋体"/>
          <w:b/>
          <w:bCs/>
          <w:color w:val="auto"/>
          <w:kern w:val="0"/>
          <w:sz w:val="24"/>
          <w:szCs w:val="24"/>
          <w:highlight w:val="none"/>
        </w:rPr>
        <w:t>三、关于印发环境标志产品政府采购品目清单的通知（财库〔2019〕18号）</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p>
    <w:p w14:paraId="3F6FE84F">
      <w:pPr>
        <w:autoSpaceDN w:val="0"/>
        <w:jc w:val="center"/>
        <w:rPr>
          <w:rFonts w:ascii="仿宋" w:hAnsi="仿宋" w:eastAsia="仿宋" w:cs="宋体"/>
          <w:color w:val="auto"/>
          <w:kern w:val="0"/>
          <w:sz w:val="24"/>
          <w:szCs w:val="24"/>
          <w:highlight w:val="none"/>
        </w:rPr>
      </w:pPr>
    </w:p>
    <w:p w14:paraId="6692C440">
      <w:pPr>
        <w:autoSpaceDN w:val="0"/>
        <w:jc w:val="center"/>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关于印发环境标志产品政府采购品目清单的通知</w:t>
      </w:r>
    </w:p>
    <w:p w14:paraId="6B97F7F5">
      <w:pPr>
        <w:autoSpaceDN w:val="0"/>
        <w:jc w:val="center"/>
        <w:rPr>
          <w:rFonts w:ascii="仿宋" w:hAnsi="仿宋" w:eastAsia="仿宋" w:cs="宋体"/>
          <w:color w:val="auto"/>
          <w:sz w:val="24"/>
          <w:szCs w:val="24"/>
          <w:highlight w:val="none"/>
        </w:rPr>
      </w:pPr>
      <w:r>
        <w:rPr>
          <w:rFonts w:hint="eastAsia" w:ascii="仿宋" w:hAnsi="仿宋" w:eastAsia="仿宋" w:cs="宋体"/>
          <w:b/>
          <w:color w:val="auto"/>
          <w:kern w:val="0"/>
          <w:sz w:val="24"/>
          <w:szCs w:val="24"/>
          <w:highlight w:val="none"/>
        </w:rPr>
        <w:t>财库〔2019〕18号</w:t>
      </w:r>
    </w:p>
    <w:p w14:paraId="3EA007E5">
      <w:pPr>
        <w:autoSpaceDN w:val="0"/>
        <w:spacing w:line="360" w:lineRule="auto"/>
        <w:rPr>
          <w:rFonts w:ascii="仿宋" w:hAnsi="仿宋" w:eastAsia="仿宋" w:cs="宋体"/>
          <w:color w:val="auto"/>
          <w:kern w:val="0"/>
          <w:sz w:val="24"/>
          <w:szCs w:val="24"/>
          <w:highlight w:val="none"/>
        </w:rPr>
      </w:pPr>
    </w:p>
    <w:p w14:paraId="4E8B5099">
      <w:pPr>
        <w:autoSpaceDN w:val="0"/>
        <w:spacing w:line="360" w:lineRule="auto"/>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有关中央预算单位，各省、自治区、直辖市、计划单列市财政厅（局）、生态环境厅（局），新疆生产建设兵团财政局、环境保护局：</w:t>
      </w:r>
    </w:p>
    <w:p w14:paraId="42AB576C">
      <w:pPr>
        <w:autoSpaceDN w:val="0"/>
        <w:spacing w:line="360" w:lineRule="auto"/>
        <w:rPr>
          <w:rFonts w:ascii="仿宋" w:hAnsi="仿宋" w:eastAsia="仿宋" w:cs="宋体"/>
          <w:color w:val="auto"/>
          <w:kern w:val="0"/>
          <w:sz w:val="24"/>
          <w:szCs w:val="24"/>
          <w:highlight w:val="none"/>
        </w:rPr>
      </w:pPr>
    </w:p>
    <w:p w14:paraId="2BD308AF">
      <w:pPr>
        <w:autoSpaceDN w:val="0"/>
        <w:spacing w:line="360" w:lineRule="auto"/>
        <w:ind w:firstLine="484" w:firstLineChars="202"/>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根据《财政部发展改革委 生态环境部 市场监管总局关于调整优化节能产品环境标志产品政府采购执行机制的通知》（财库〔2019〕9号），我们研究制定了环境标志产品政府采购品目清单，现印发给你们，请遵照执行。</w:t>
      </w:r>
    </w:p>
    <w:p w14:paraId="40B259DC">
      <w:pPr>
        <w:autoSpaceDN w:val="0"/>
        <w:spacing w:line="360" w:lineRule="auto"/>
        <w:ind w:firstLine="484" w:firstLineChars="202"/>
        <w:rPr>
          <w:rFonts w:ascii="仿宋" w:hAnsi="仿宋" w:eastAsia="仿宋" w:cs="宋体"/>
          <w:color w:val="auto"/>
          <w:kern w:val="0"/>
          <w:sz w:val="24"/>
          <w:szCs w:val="24"/>
          <w:highlight w:val="none"/>
        </w:rPr>
      </w:pPr>
    </w:p>
    <w:p w14:paraId="1A46F9E8">
      <w:pPr>
        <w:autoSpaceDN w:val="0"/>
        <w:spacing w:line="360" w:lineRule="auto"/>
        <w:ind w:firstLine="3360"/>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附件：环境标志产品政府采购品目清单</w:t>
      </w:r>
    </w:p>
    <w:p w14:paraId="5231A148">
      <w:pPr>
        <w:autoSpaceDN w:val="0"/>
        <w:spacing w:line="360" w:lineRule="auto"/>
        <w:ind w:firstLine="3360"/>
        <w:rPr>
          <w:rFonts w:ascii="仿宋" w:hAnsi="仿宋" w:eastAsia="仿宋" w:cs="宋体"/>
          <w:color w:val="auto"/>
          <w:kern w:val="0"/>
          <w:sz w:val="24"/>
          <w:szCs w:val="24"/>
          <w:highlight w:val="none"/>
        </w:rPr>
      </w:pPr>
    </w:p>
    <w:p w14:paraId="5388684A">
      <w:pPr>
        <w:autoSpaceDN w:val="0"/>
        <w:spacing w:line="360" w:lineRule="auto"/>
        <w:jc w:val="righ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财政部   生态环境部</w:t>
      </w:r>
    </w:p>
    <w:p w14:paraId="34CE3E30">
      <w:pPr>
        <w:autoSpaceDN w:val="0"/>
        <w:spacing w:line="360" w:lineRule="auto"/>
        <w:jc w:val="righ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2019年3月29日</w:t>
      </w:r>
    </w:p>
    <w:p w14:paraId="3276E618">
      <w:pPr>
        <w:keepNext/>
        <w:keepLines/>
        <w:autoSpaceDN w:val="0"/>
        <w:spacing w:before="240" w:line="360" w:lineRule="auto"/>
        <w:jc w:val="left"/>
        <w:outlineLvl w:val="3"/>
        <w:rPr>
          <w:rFonts w:ascii="仿宋" w:hAnsi="仿宋" w:eastAsia="仿宋" w:cs="宋体"/>
          <w:b/>
          <w:bCs/>
          <w:color w:val="auto"/>
          <w:sz w:val="24"/>
          <w:szCs w:val="24"/>
          <w:highlight w:val="none"/>
        </w:rPr>
      </w:pPr>
      <w:r>
        <w:rPr>
          <w:rFonts w:hint="eastAsia" w:ascii="仿宋" w:hAnsi="仿宋" w:eastAsia="仿宋" w:cs="宋体"/>
          <w:b/>
          <w:bCs/>
          <w:color w:val="auto"/>
          <w:sz w:val="24"/>
          <w:szCs w:val="24"/>
          <w:highlight w:val="none"/>
        </w:rPr>
        <w:br w:type="page"/>
      </w:r>
      <w:r>
        <w:rPr>
          <w:rFonts w:hint="eastAsia" w:ascii="仿宋" w:hAnsi="仿宋" w:eastAsia="仿宋" w:cs="宋体"/>
          <w:b/>
          <w:bCs/>
          <w:color w:val="auto"/>
          <w:sz w:val="24"/>
          <w:szCs w:val="24"/>
          <w:highlight w:val="none"/>
        </w:rPr>
        <w:t>附：环境标志产品政府采购品目清单</w:t>
      </w:r>
    </w:p>
    <w:tbl>
      <w:tblPr>
        <w:tblStyle w:val="61"/>
        <w:tblW w:w="9555" w:type="dxa"/>
        <w:tblInd w:w="-459"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710"/>
        <w:gridCol w:w="1985"/>
        <w:gridCol w:w="2268"/>
        <w:gridCol w:w="1855"/>
        <w:gridCol w:w="2737"/>
      </w:tblGrid>
      <w:tr w14:paraId="4669413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blHeader/>
        </w:trPr>
        <w:tc>
          <w:tcPr>
            <w:tcW w:w="709" w:type="dxa"/>
            <w:tcBorders>
              <w:top w:val="thinThickSmallGap" w:color="0070C0" w:sz="18" w:space="0"/>
              <w:left w:val="thinThickSmallGap" w:color="0070C0" w:sz="18" w:space="0"/>
              <w:bottom w:val="single" w:color="0070C0" w:sz="6" w:space="0"/>
              <w:right w:val="single" w:color="0070C0" w:sz="6" w:space="0"/>
            </w:tcBorders>
            <w:shd w:val="clear" w:color="auto" w:fill="DAEEF3"/>
            <w:noWrap/>
            <w:vAlign w:val="center"/>
          </w:tcPr>
          <w:p w14:paraId="70C86280">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品目序号</w:t>
            </w:r>
          </w:p>
        </w:tc>
        <w:tc>
          <w:tcPr>
            <w:tcW w:w="6108" w:type="dxa"/>
            <w:gridSpan w:val="3"/>
            <w:tcBorders>
              <w:top w:val="thinThickSmallGap" w:color="0070C0" w:sz="18" w:space="0"/>
              <w:left w:val="single" w:color="0070C0" w:sz="6" w:space="0"/>
              <w:bottom w:val="single" w:color="0070C0" w:sz="6" w:space="0"/>
              <w:right w:val="single" w:color="0070C0" w:sz="6" w:space="0"/>
            </w:tcBorders>
            <w:shd w:val="clear" w:color="auto" w:fill="DAEEF3"/>
            <w:noWrap/>
            <w:vAlign w:val="center"/>
          </w:tcPr>
          <w:p w14:paraId="0C1364B8">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名称</w:t>
            </w:r>
          </w:p>
        </w:tc>
        <w:tc>
          <w:tcPr>
            <w:tcW w:w="2736" w:type="dxa"/>
            <w:tcBorders>
              <w:top w:val="thinThickSmallGap" w:color="0070C0" w:sz="18" w:space="0"/>
              <w:left w:val="single" w:color="0070C0" w:sz="6" w:space="0"/>
              <w:bottom w:val="single" w:color="0070C0" w:sz="6" w:space="0"/>
              <w:right w:val="thickThinSmallGap" w:color="0070C0" w:sz="18" w:space="0"/>
            </w:tcBorders>
            <w:shd w:val="clear" w:color="auto" w:fill="DAEEF3"/>
            <w:noWrap/>
            <w:vAlign w:val="center"/>
          </w:tcPr>
          <w:p w14:paraId="5245E965">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依据的标准</w:t>
            </w:r>
          </w:p>
        </w:tc>
      </w:tr>
      <w:tr w14:paraId="178D570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22C32B2E">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3496AA1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A020101计算机设备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A4CBB2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A02010103服务器</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44B2DCF">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BE9F875">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HJ2507网络服务器</w:t>
            </w:r>
          </w:p>
        </w:tc>
      </w:tr>
      <w:tr w14:paraId="6BFC7C9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7AE4F27C">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3AC9447">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8AA8E5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A02010104台式计算机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50B6FE7">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D08FD9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4A49AEA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910904D">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6C29EF98">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D677A4E">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A02010105便携式计算机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39ACB05">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B538A32">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15A3BD2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5B1B8AFD">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2AFFC41F">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8E64F9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A02010107平板式微型计算机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97FEE92">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778245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52FE93D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A979F1A">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3E09C0E">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77E0CB2">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A02010108网络计算机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AE0EE7A">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751F38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02256D7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3CEC84C8">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33D351F">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9592773">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A02010109计算机工作站</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D874035">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9E0A23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6ED8342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01B06E63">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641EC1A5">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ED9025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A02010199其他计算机设备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64C395AC">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1DE2C8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6E25D67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04ADA269">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332262F3">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A020106输入输出设备</w:t>
            </w: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14:paraId="674E5E1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A02010601打印设备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509A57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A0201060101喷墨打印机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A7259D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HJ2512打印机、传真机及多功能一体机</w:t>
            </w:r>
          </w:p>
        </w:tc>
      </w:tr>
      <w:tr w14:paraId="0E95C31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25DAE852">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63FE39CC">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6B74C9EB">
            <w:pPr>
              <w:widowControl/>
              <w:jc w:val="left"/>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5733033">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A0201060102激光打印机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43D3BBE">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HJ2512打印机、传真机及多功能一体机</w:t>
            </w:r>
          </w:p>
        </w:tc>
      </w:tr>
      <w:tr w14:paraId="3B7A303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432E31B3">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3BEF5328">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71BA3E2F">
            <w:pPr>
              <w:widowControl/>
              <w:jc w:val="left"/>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1BF61E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A0201060103热式打印机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5F711C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HJ2512打印机、传真机及多功能一体机</w:t>
            </w:r>
          </w:p>
        </w:tc>
      </w:tr>
      <w:tr w14:paraId="2D4B5D0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33B653A2">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28AA0BB1">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4795F6EF">
            <w:pPr>
              <w:widowControl/>
              <w:jc w:val="left"/>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C9E8BB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A0201060104针式打印机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AFC3043">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HJ2512打印机、传真机及多功能一体机</w:t>
            </w:r>
          </w:p>
        </w:tc>
      </w:tr>
      <w:tr w14:paraId="47A1340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33D63FDA">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03CD7B44">
            <w:pPr>
              <w:widowControl/>
              <w:jc w:val="left"/>
              <w:rPr>
                <w:rFonts w:ascii="仿宋" w:hAnsi="仿宋" w:eastAsia="仿宋" w:cs="宋体"/>
                <w:color w:val="auto"/>
                <w:w w:val="90"/>
                <w:sz w:val="24"/>
                <w:szCs w:val="24"/>
                <w:highlight w:val="none"/>
              </w:rPr>
            </w:pPr>
          </w:p>
        </w:tc>
        <w:tc>
          <w:tcPr>
            <w:tcW w:w="2268" w:type="dxa"/>
            <w:vMerge w:val="restart"/>
            <w:tcBorders>
              <w:top w:val="single" w:color="0070C0" w:sz="6" w:space="0"/>
              <w:left w:val="single" w:color="0070C0" w:sz="6" w:space="0"/>
              <w:bottom w:val="single" w:color="0070C0" w:sz="6" w:space="0"/>
              <w:right w:val="single" w:color="0070C0" w:sz="6" w:space="0"/>
            </w:tcBorders>
            <w:noWrap/>
            <w:vAlign w:val="center"/>
          </w:tcPr>
          <w:p w14:paraId="21195A4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A02010604显示设备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EAB8B37">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A0201060401液晶显示器</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D2B9FF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6C256D0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2F32357F">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27253ED6">
            <w:pPr>
              <w:widowControl/>
              <w:jc w:val="left"/>
              <w:rPr>
                <w:rFonts w:ascii="仿宋" w:hAnsi="仿宋" w:eastAsia="仿宋" w:cs="宋体"/>
                <w:color w:val="auto"/>
                <w:w w:val="90"/>
                <w:sz w:val="24"/>
                <w:szCs w:val="24"/>
                <w:highlight w:val="none"/>
              </w:rPr>
            </w:pPr>
          </w:p>
        </w:tc>
        <w:tc>
          <w:tcPr>
            <w:tcW w:w="2268" w:type="dxa"/>
            <w:vMerge w:val="continue"/>
            <w:tcBorders>
              <w:top w:val="single" w:color="0070C0" w:sz="6" w:space="0"/>
              <w:left w:val="single" w:color="0070C0" w:sz="6" w:space="0"/>
              <w:bottom w:val="single" w:color="0070C0" w:sz="6" w:space="0"/>
              <w:right w:val="single" w:color="0070C0" w:sz="6" w:space="0"/>
            </w:tcBorders>
            <w:vAlign w:val="center"/>
          </w:tcPr>
          <w:p w14:paraId="5C41969D">
            <w:pPr>
              <w:widowControl/>
              <w:jc w:val="left"/>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9B443C3">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A0201060499其他显示器</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848E75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HJ2536微型计算机、显示器</w:t>
            </w:r>
          </w:p>
        </w:tc>
      </w:tr>
      <w:tr w14:paraId="0DAD2E7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743A2D15">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23C785C0">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72857E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A02010609图形图像输入设备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64B82D4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A0201060901扫描仪</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994338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HJ2517扫描仪</w:t>
            </w:r>
          </w:p>
        </w:tc>
      </w:tr>
      <w:tr w14:paraId="3357A3F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45F42B16">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3</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7DD785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A020202投影仪</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41AE5C1">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083D78C">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B5E2DE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HJ2516投影仪</w:t>
            </w:r>
          </w:p>
        </w:tc>
      </w:tr>
      <w:tr w14:paraId="46115FA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41D829E5">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4</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551ACA9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A020201复印机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5779660">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AFC91DF">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479DB0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HJ424数字式复印（包括多功能）设备</w:t>
            </w:r>
          </w:p>
        </w:tc>
      </w:tr>
      <w:tr w14:paraId="6044E65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65AF4753">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5</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E8DFCC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A020204多功能一体机</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921130E">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ABD4BF4">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319203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HJ424数字式复印（包括多功能）设备</w:t>
            </w:r>
          </w:p>
        </w:tc>
      </w:tr>
      <w:tr w14:paraId="4AB5F16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2EB69DD6">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6</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7391304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A020210文印设备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A7AFBD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A02021001速印机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80738F6">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210E1D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HJ472数字式一体化速印机</w:t>
            </w:r>
          </w:p>
        </w:tc>
      </w:tr>
      <w:tr w14:paraId="3CE4AA0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1C352828">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7</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A109A4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A020301载货汽车（含自卸汽车）</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119C2FC">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CB1073F">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2A23A4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HJ2532轻型汽车</w:t>
            </w:r>
          </w:p>
        </w:tc>
      </w:tr>
      <w:tr w14:paraId="3190210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460FC374">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8</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348CC642">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A020305乘用车（轿车）</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6FCB79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A02030501轿车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F9B90E8">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BEB638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HJ2532轻型汽车</w:t>
            </w:r>
          </w:p>
        </w:tc>
      </w:tr>
      <w:tr w14:paraId="3985F0F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2B0489E9">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D567733">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93A3EBD">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A02030599其他乘用车（轿车）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1D070AA">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0C5B37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HJ2532轻型汽车</w:t>
            </w:r>
          </w:p>
        </w:tc>
      </w:tr>
      <w:tr w14:paraId="727DDE7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6853D0BB">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9</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0F0E15E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A020306客车</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990988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A02030601小型客车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B491B69">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68C47E7">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HJ2532轻型汽车</w:t>
            </w:r>
          </w:p>
        </w:tc>
      </w:tr>
      <w:tr w14:paraId="2814CFC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5ED38229">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10</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6AB8E207">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A020307专用车辆</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9B9CB5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A02030799其他专用汽车</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8DE470C">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BFCCFA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HJ2532轻型汽车</w:t>
            </w:r>
          </w:p>
        </w:tc>
      </w:tr>
      <w:tr w14:paraId="0AF5514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62817E18">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11</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15CA67A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A020523制冷空调设备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CA12C8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A02052301制冷压缩机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030DE63">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2310B5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HJ2531工商用制冷设备</w:t>
            </w:r>
          </w:p>
        </w:tc>
      </w:tr>
      <w:tr w14:paraId="608A5BB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7EDD88B1">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3DF8D7FD">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37CB9E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A02052305空调机组</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C07DE17">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5910C35">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HJ2531工商用制冷设备</w:t>
            </w:r>
          </w:p>
        </w:tc>
      </w:tr>
      <w:tr w14:paraId="383E0D0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4CED927F">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4E75F84C">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2A534D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A02052309专用制冷、空调设备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3E238E5">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D2701E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HJ2531工商用制冷设备</w:t>
            </w:r>
          </w:p>
        </w:tc>
      </w:tr>
      <w:tr w14:paraId="3B33E26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4E7DD3CA">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56D99E6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A020618生活用电器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15F04D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A02061802空气调节电器</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0116C05">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A0206180203空调机</w:t>
            </w: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BA8EB1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HJ2535房间空气调节器</w:t>
            </w:r>
          </w:p>
        </w:tc>
      </w:tr>
      <w:tr w14:paraId="3BD7038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2CFA4B55">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25D6C550">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D1312F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A02061808热水器</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91F6B3D">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5A3313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HJ/T362太阳能集热器</w:t>
            </w:r>
          </w:p>
        </w:tc>
      </w:tr>
      <w:tr w14:paraId="490E810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31CDC61B">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13</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2938D6FD">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A020619照明设备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6E4483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A02061908室内照明灯具</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E292CEC">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1B5E4BE">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HJ2518照明光源</w:t>
            </w:r>
          </w:p>
        </w:tc>
      </w:tr>
      <w:tr w14:paraId="42920E5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273B5712">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14</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5D47569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A020810传真及数据数字通信设备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3979EB0">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A02081001传真通信设备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60DC654">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F554C9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HJ2512打印机、传真机及多功能一体机</w:t>
            </w:r>
          </w:p>
        </w:tc>
      </w:tr>
      <w:tr w14:paraId="61C048A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0E1B5280">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15</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444947D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A020910 电视设备</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DB7053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A02091001普通电视设备（电视机）</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4F4D998">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249E34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HJ2506彩色电视广播接收机</w:t>
            </w:r>
          </w:p>
        </w:tc>
      </w:tr>
      <w:tr w14:paraId="7CC019C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41D15BEC">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5C71023C">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32FEDE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A02091003特殊功能应用电视设备</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B180955">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4089A0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HJ2506彩色电视广播接收机</w:t>
            </w:r>
          </w:p>
        </w:tc>
      </w:tr>
      <w:tr w14:paraId="1A263E6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32925CDA">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16</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04F8CB3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A0601床类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F534E10">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A060101钢木床类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6ACE3BA">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21478FE">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42B2D1D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4AB3341A">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53EA458D">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BE135E2">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A060104木制床类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1CF3A24">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A638A6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41A4DA4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60A4C5B9">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0EC9C85D">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30B8D9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A060199其他床类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20B5FDE">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F8CC4A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3629550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4F588681">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17</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65A2A6F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A0602台、桌类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1C35BB5">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A060201钢木台、桌类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CE165CA">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710465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572DF8D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7445EFBF">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5FBE988A">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298E09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A060205木制台、桌类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62E4F96">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3952C5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4BC3E47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598405A">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09634D69">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019516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A060299其他台、桌类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13E9505">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58B4777">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7B54D1B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684BFE8F">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18</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3E53B21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A0603椅凳类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7BD051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A060301金属骨架为主的椅凳类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61F4B0A">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EC9190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4CD5595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5C34FE41">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67B21C52">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BC23AA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A060302木骨架为主的椅凳类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62CA7A4D">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8394345">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3F18A40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069D90E2">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4FFF4C41">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2FED6D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A060399其他椅凳类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6FDC94D9">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199E12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743A168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72140A7C">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19</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3885411D">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A0604沙发类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2126F5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A060499其他沙发类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63B5077">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7277043">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3E4A828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5C292628">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20</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64F1112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A0605柜类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020753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A060501木质柜类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D38FB04">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482B70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27DCACA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52B8E886">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5DA86F72">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2BE02C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A060503金属质柜类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36D4C66">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58CB25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02BE71D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7D07CF26">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763C947F">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F57D5A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A060599其他柜类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77D678F">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7857A4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102D480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1021EB11">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21</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53A15B8E">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A0606架类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A7B13F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A060601木质架类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FDE2B95">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1FC046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581EA14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7802832">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6DEA3C9">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1B739E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A060602金属质架类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4220F9FE">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3564BB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4D08E60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62573F4B">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04F14E8E">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A0607屏风类</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60D7476">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A060701木质屏风类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49E6025D">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44049BE">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154696C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5F6360FF">
            <w:pPr>
              <w:widowControl/>
              <w:jc w:val="left"/>
              <w:rPr>
                <w:rFonts w:ascii="仿宋" w:hAnsi="仿宋" w:eastAsia="仿宋" w:cs="宋体"/>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7E1C432A">
            <w:pPr>
              <w:widowControl/>
              <w:jc w:val="left"/>
              <w:rPr>
                <w:rFonts w:ascii="仿宋" w:hAnsi="仿宋" w:eastAsia="仿宋" w:cs="宋体"/>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0E5565C">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A060702金属质屏风类</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5D156FC">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9B95D1D">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765B7AE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1EEC038B">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23</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A131C1B">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A060804水池</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DD7E4F6">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463DD3B0">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BDB6FE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HJ/T296卫生陶瓷</w:t>
            </w:r>
          </w:p>
        </w:tc>
      </w:tr>
      <w:tr w14:paraId="398A89C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702E91B5">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24</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C8E1E9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A060805便器</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3B3D6AC">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EA00041">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AE02B6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HJ/T296卫生陶瓷</w:t>
            </w:r>
          </w:p>
        </w:tc>
      </w:tr>
      <w:tr w14:paraId="583579B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6BB7DDFF">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25</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2D120E2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A060806水嘴</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A6F4873">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9128B84">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DE2B7B2">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HJ/T411水嘴</w:t>
            </w:r>
          </w:p>
        </w:tc>
      </w:tr>
      <w:tr w14:paraId="1491599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6DD9F7B9">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26</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DBFD63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A0609组合家具</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40FB71E">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5882A20">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A111669">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000C97B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60C7DB9C">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27</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0645A0D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A0610家用家具零配件</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F9E716B">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BD6BE6B">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0DF9275">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0B26290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0C98B8B9">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28</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025B40B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A0699其他家具</w:t>
            </w:r>
          </w:p>
          <w:p w14:paraId="612BABEF">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用具</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B202993">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006EB71">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02B0D6A">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HJ2547家具/HJ2540 木塑制品</w:t>
            </w:r>
          </w:p>
        </w:tc>
      </w:tr>
      <w:tr w14:paraId="11AB9AE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42858622">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29</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32FEEFE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A070101棉、化纤纺织及印染原料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D0E51F3">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4DA43C3">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1AFC071">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HJ2546纺织产品</w:t>
            </w:r>
          </w:p>
        </w:tc>
      </w:tr>
      <w:tr w14:paraId="0E594B8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2D1E799D">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30</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001645D4">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A090101复印纸（包括再生复印纸）</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C491BB7">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9B9C3F3">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4306CF8">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HJ410文化用纸</w:t>
            </w:r>
          </w:p>
        </w:tc>
      </w:tr>
      <w:tr w14:paraId="67FFB0B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74C06187">
            <w:pPr>
              <w:autoSpaceDN w:val="0"/>
              <w:jc w:val="center"/>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31</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7AE1BA3">
            <w:pPr>
              <w:autoSpaceDN w:val="0"/>
              <w:rPr>
                <w:rFonts w:ascii="仿宋" w:hAnsi="仿宋" w:eastAsia="仿宋" w:cs="宋体"/>
                <w:color w:val="auto"/>
                <w:w w:val="90"/>
                <w:sz w:val="24"/>
                <w:szCs w:val="24"/>
                <w:highlight w:val="none"/>
              </w:rPr>
            </w:pPr>
            <w:r>
              <w:rPr>
                <w:rFonts w:hint="eastAsia" w:ascii="仿宋" w:hAnsi="仿宋" w:eastAsia="仿宋" w:cs="宋体"/>
                <w:color w:val="auto"/>
                <w:w w:val="90"/>
                <w:sz w:val="24"/>
                <w:szCs w:val="24"/>
                <w:highlight w:val="none"/>
              </w:rPr>
              <w:t>A090201鼓粉盒（包括再生鼓粉盒）</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65E4065">
            <w:pPr>
              <w:autoSpaceDN w:val="0"/>
              <w:rPr>
                <w:rFonts w:ascii="仿宋" w:hAnsi="仿宋" w:eastAsia="仿宋" w:cs="宋体"/>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0715FEB">
            <w:pPr>
              <w:autoSpaceDN w:val="0"/>
              <w:rPr>
                <w:rFonts w:ascii="仿宋" w:hAnsi="仿宋" w:eastAsia="仿宋" w:cs="宋体"/>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A24BCCC">
            <w:pPr>
              <w:autoSpaceDN w:val="0"/>
              <w:rPr>
                <w:rFonts w:ascii="仿宋" w:hAnsi="仿宋" w:eastAsia="仿宋" w:cs="宋体"/>
                <w:color w:val="auto"/>
                <w:w w:val="90"/>
                <w:sz w:val="24"/>
                <w:szCs w:val="24"/>
                <w:highlight w:val="none"/>
              </w:rPr>
            </w:pPr>
          </w:p>
        </w:tc>
      </w:tr>
      <w:tr w14:paraId="416DD17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538A3C92">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32</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4321C358">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A100203人造板</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0C6380D">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A10020301胶合板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6FDD938">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B655F07">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HJ571人造板及其制品</w:t>
            </w:r>
          </w:p>
        </w:tc>
      </w:tr>
      <w:tr w14:paraId="58AF06C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0EE073E">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31F74215">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EFB448E">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A10020302纤维板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228D03C">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83F702B">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HJ571人造板及其制品</w:t>
            </w:r>
          </w:p>
        </w:tc>
      </w:tr>
      <w:tr w14:paraId="3D146C8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0423BEFA">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2778E98">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4724244">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A10020303刨花板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A63263D">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B06D82F">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HJ571人造板及其制品</w:t>
            </w:r>
          </w:p>
        </w:tc>
      </w:tr>
      <w:tr w14:paraId="15281E6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2E5F48E">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02EFD0B">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030DE1E">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A10020304细木工板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C6EF407">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7FDF824">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HJ571人造板及其制品</w:t>
            </w:r>
          </w:p>
        </w:tc>
      </w:tr>
      <w:tr w14:paraId="57D4C87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3FC44052">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419E8634">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59B8F07">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A10020399其他人造板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D8DE8E6">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3A40CF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HJ571人造板及其制品</w:t>
            </w:r>
          </w:p>
        </w:tc>
      </w:tr>
      <w:tr w14:paraId="74D0ED1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1C5ABBDD">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33</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0778D63F">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A100204二次加工材,相关板材</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133EEC9">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A10020404人造板表面装饰板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B671E6C">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019391A">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HJ571人造板及其制品/HJ2540 木塑制品</w:t>
            </w:r>
          </w:p>
        </w:tc>
      </w:tr>
      <w:tr w14:paraId="2DAE81A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5B70DF02">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3AA5A47C">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1128A42">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A10020404人造板表面装饰板（地板）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F8B5B89">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7CA5200">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HJ571人造板及其制品/HJ2540 木塑制品</w:t>
            </w:r>
          </w:p>
        </w:tc>
      </w:tr>
      <w:tr w14:paraId="495A444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7AE3744D">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34</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4A260F50">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A100301水泥熟料及水泥</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27A3FAE">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A10030102水泥</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BCF3887">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F74221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HJ2519水泥</w:t>
            </w:r>
          </w:p>
        </w:tc>
      </w:tr>
      <w:tr w14:paraId="0007DF9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4D290324">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35</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56001E82">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A100303水泥混凝土制品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B670287">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A10030301商品混凝土</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552A90B">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487813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HJ/T412预拌混凝土</w:t>
            </w:r>
          </w:p>
        </w:tc>
      </w:tr>
      <w:tr w14:paraId="1B5FFD2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2227DCFB">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36</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11241067">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A100304纤维增强水泥制品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7C1CFF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A10030402纤维增强硅酸钙板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4661651D">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1DCE6A0">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HJ/T223轻质墙体板材</w:t>
            </w:r>
          </w:p>
        </w:tc>
      </w:tr>
      <w:tr w14:paraId="70F6401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7B23D22">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4F180324">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6900D47">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A10030403无石棉纤维水泥制品</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AFBA7AF">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FC719D9">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HJ/T223轻质墙体板材</w:t>
            </w:r>
          </w:p>
        </w:tc>
      </w:tr>
      <w:tr w14:paraId="17EEEF1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124A5719">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37</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0A28495A">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A100305轻质建筑材料及制品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3F98DF8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A10030501石膏板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52CE250">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00A7963">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HJ/T223轻质墙体板材</w:t>
            </w:r>
          </w:p>
        </w:tc>
      </w:tr>
      <w:tr w14:paraId="0633AF5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58A4FD73">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728B997">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89D4870">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A10030503轻质隔墙条板</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774E78C">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4EB5E01">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HJ/T223轻质墙体板材</w:t>
            </w:r>
          </w:p>
        </w:tc>
      </w:tr>
      <w:tr w14:paraId="234FC3F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393C1F2C">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38</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769FD23A">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A100307建筑陶瓷制品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A933837">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A10030701瓷质砖</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6D69EF7">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50F223B">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HJ/T297陶瓷砖</w:t>
            </w:r>
          </w:p>
        </w:tc>
      </w:tr>
      <w:tr w14:paraId="2BCE7EA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7C9AB8F1">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313A48CB">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261374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A10030704炻质砖</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0B400BC">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14131F3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HJ/T297陶瓷砖</w:t>
            </w:r>
          </w:p>
        </w:tc>
      </w:tr>
      <w:tr w14:paraId="57A00A0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072F3AB7">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3C93B284">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0F9BAEBA">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A10030705陶质砖</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C5151E3">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4DD048D">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HJ/T297陶瓷砖</w:t>
            </w:r>
          </w:p>
        </w:tc>
      </w:tr>
      <w:tr w14:paraId="7BFAB50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1AE54A2B">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5CACBD45">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CDD2A00">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A10030799其他建筑陶瓷制品</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AD4EC2C">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4CC282F8">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HJ/T297陶瓷砖</w:t>
            </w:r>
          </w:p>
        </w:tc>
      </w:tr>
      <w:tr w14:paraId="10BFBDA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5E12A877">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39</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54441A96">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A100309建筑防水卷材及制品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EE94387">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A10030901沥青和改性沥青防水卷材</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144DD1F">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E966C83">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HJ455防水卷材</w:t>
            </w:r>
          </w:p>
        </w:tc>
      </w:tr>
      <w:tr w14:paraId="77416CE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5070D467">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8876192">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F368B5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A10030903自粘防水卷材</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412B4E64">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DB2990A">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HJ455防水卷材</w:t>
            </w:r>
          </w:p>
        </w:tc>
      </w:tr>
      <w:tr w14:paraId="4F41C7F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09480DDF">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1B7E05D6">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9AFD89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A10030906 高分子防水卷（片）材</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4E7B3271">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975735A">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HJ455防水卷材</w:t>
            </w:r>
          </w:p>
        </w:tc>
      </w:tr>
      <w:tr w14:paraId="550E103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1DDA03C4">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40</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48D4F51B">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A100310隔热、隔音人造矿物材料及其制品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52B9700">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A10031001矿物绝热和吸声材料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69D7424">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7FC46AE">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HJ/T223轻质墙体板材</w:t>
            </w:r>
          </w:p>
        </w:tc>
      </w:tr>
      <w:tr w14:paraId="1C4CB0E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3558D7FE">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41252E65">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5815578">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A10031002矿物材料制品</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F1AF516">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55AB593D">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HJ/T223轻质墙体板材</w:t>
            </w:r>
          </w:p>
        </w:tc>
      </w:tr>
      <w:tr w14:paraId="5049C49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4A9EF081">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41</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532C2B32">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A100601功能性建筑涂料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6D004F2">
            <w:pPr>
              <w:autoSpaceDN w:val="0"/>
              <w:rPr>
                <w:rFonts w:ascii="仿宋" w:hAnsi="仿宋" w:eastAsia="仿宋" w:cs="宋体"/>
                <w:b/>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34E90836">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8AE8973">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HJ2537水性涂料</w:t>
            </w:r>
          </w:p>
        </w:tc>
      </w:tr>
      <w:tr w14:paraId="2FA3356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1380F87F">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42</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32BAF813">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A100399 其他非金属矿物制品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189C87E">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A10039901其他非金属建筑材料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0844095">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AE25812">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HJ456刚性防水材料</w:t>
            </w:r>
          </w:p>
        </w:tc>
      </w:tr>
      <w:tr w14:paraId="59FD693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restart"/>
            <w:tcBorders>
              <w:top w:val="single" w:color="0070C0" w:sz="6" w:space="0"/>
              <w:left w:val="thinThickSmallGap" w:color="0070C0" w:sz="18" w:space="0"/>
              <w:bottom w:val="single" w:color="0070C0" w:sz="6" w:space="0"/>
              <w:right w:val="single" w:color="0070C0" w:sz="6" w:space="0"/>
            </w:tcBorders>
            <w:noWrap/>
            <w:vAlign w:val="center"/>
          </w:tcPr>
          <w:p w14:paraId="1671C125">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43</w:t>
            </w:r>
          </w:p>
        </w:tc>
        <w:tc>
          <w:tcPr>
            <w:tcW w:w="1985" w:type="dxa"/>
            <w:vMerge w:val="restart"/>
            <w:tcBorders>
              <w:top w:val="single" w:color="0070C0" w:sz="6" w:space="0"/>
              <w:left w:val="single" w:color="0070C0" w:sz="6" w:space="0"/>
              <w:bottom w:val="single" w:color="0070C0" w:sz="6" w:space="0"/>
              <w:right w:val="single" w:color="0070C0" w:sz="6" w:space="0"/>
            </w:tcBorders>
            <w:noWrap/>
            <w:vAlign w:val="center"/>
          </w:tcPr>
          <w:p w14:paraId="4962B1A2">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A100602墙面涂料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661F2F5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A10060202合成树脂乳液内墙涂料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00B3A22B">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73E2FD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HJ2537水性涂料</w:t>
            </w:r>
          </w:p>
        </w:tc>
      </w:tr>
      <w:tr w14:paraId="3003E46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760F762E">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2D390A99">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EF8AF9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A10060203合成树脂乳液外墙涂料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51CB03C">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222B102">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HJ2537水性涂料</w:t>
            </w:r>
          </w:p>
        </w:tc>
      </w:tr>
      <w:tr w14:paraId="651297A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vMerge w:val="continue"/>
            <w:tcBorders>
              <w:top w:val="single" w:color="0070C0" w:sz="6" w:space="0"/>
              <w:left w:val="thinThickSmallGap" w:color="0070C0" w:sz="18" w:space="0"/>
              <w:bottom w:val="single" w:color="0070C0" w:sz="6" w:space="0"/>
              <w:right w:val="single" w:color="0070C0" w:sz="6" w:space="0"/>
            </w:tcBorders>
            <w:vAlign w:val="center"/>
          </w:tcPr>
          <w:p w14:paraId="39F608CA">
            <w:pPr>
              <w:widowControl/>
              <w:jc w:val="left"/>
              <w:rPr>
                <w:rFonts w:ascii="仿宋" w:hAnsi="仿宋" w:eastAsia="仿宋" w:cs="宋体"/>
                <w:b/>
                <w:color w:val="auto"/>
                <w:w w:val="90"/>
                <w:sz w:val="24"/>
                <w:szCs w:val="24"/>
                <w:highlight w:val="none"/>
              </w:rPr>
            </w:pPr>
          </w:p>
        </w:tc>
        <w:tc>
          <w:tcPr>
            <w:tcW w:w="6108" w:type="dxa"/>
            <w:vMerge w:val="continue"/>
            <w:tcBorders>
              <w:top w:val="single" w:color="0070C0" w:sz="6" w:space="0"/>
              <w:left w:val="single" w:color="0070C0" w:sz="6" w:space="0"/>
              <w:bottom w:val="single" w:color="0070C0" w:sz="6" w:space="0"/>
              <w:right w:val="single" w:color="0070C0" w:sz="6" w:space="0"/>
            </w:tcBorders>
            <w:vAlign w:val="center"/>
          </w:tcPr>
          <w:p w14:paraId="200217BC">
            <w:pPr>
              <w:widowControl/>
              <w:jc w:val="left"/>
              <w:rPr>
                <w:rFonts w:ascii="仿宋" w:hAnsi="仿宋" w:eastAsia="仿宋" w:cs="宋体"/>
                <w:b/>
                <w:color w:val="auto"/>
                <w:w w:val="90"/>
                <w:sz w:val="24"/>
                <w:szCs w:val="24"/>
                <w:highlight w:val="none"/>
              </w:rPr>
            </w:pP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71C8F7A">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A10060299其他墙面涂料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6450713A">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7E06DADB">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HJ2537水性涂料</w:t>
            </w:r>
          </w:p>
        </w:tc>
      </w:tr>
      <w:tr w14:paraId="7A4ABCE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34FD8635">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44</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7462837D">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A100604防水涂料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20A4A929">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A10060499其他防水涂料</w:t>
            </w: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79B7C2DD">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C4610C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HJ2537水性涂料</w:t>
            </w:r>
          </w:p>
        </w:tc>
      </w:tr>
      <w:tr w14:paraId="54950F3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46A2A6DD">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45</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4DAC46B8">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A100699其他建筑涂料</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08F511D">
            <w:pPr>
              <w:autoSpaceDN w:val="0"/>
              <w:rPr>
                <w:rFonts w:ascii="仿宋" w:hAnsi="仿宋" w:eastAsia="仿宋" w:cs="宋体"/>
                <w:b/>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66662728">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33103DE">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HJ2537水性涂料</w:t>
            </w:r>
          </w:p>
        </w:tc>
      </w:tr>
      <w:tr w14:paraId="51E756A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225C6DD8">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46</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0F85F949">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A100701门、门槛</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4B0C0E35">
            <w:pPr>
              <w:autoSpaceDN w:val="0"/>
              <w:rPr>
                <w:rFonts w:ascii="仿宋" w:hAnsi="仿宋" w:eastAsia="仿宋" w:cs="宋体"/>
                <w:b/>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2FCF4594">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3FB78AE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 237塑料门窗/HJ459 木质门和钢质门</w:t>
            </w:r>
          </w:p>
        </w:tc>
      </w:tr>
      <w:tr w14:paraId="03975F4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5EC8A67D">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47</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018FD7B9">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A100702窗</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7CA00EC0">
            <w:pPr>
              <w:autoSpaceDN w:val="0"/>
              <w:rPr>
                <w:rFonts w:ascii="仿宋" w:hAnsi="仿宋" w:eastAsia="仿宋" w:cs="宋体"/>
                <w:b/>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178F969D">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0C6E384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HJ/T237塑料门窗</w:t>
            </w:r>
          </w:p>
        </w:tc>
      </w:tr>
      <w:tr w14:paraId="1168792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31E5F2F5">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48</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1ED8A855">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A170108涂料（建筑涂料除外）</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17BB6845">
            <w:pPr>
              <w:autoSpaceDN w:val="0"/>
              <w:rPr>
                <w:rFonts w:ascii="仿宋" w:hAnsi="仿宋" w:eastAsia="仿宋" w:cs="宋体"/>
                <w:b/>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5E4F0022">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62406E6C">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HJ2537水性涂料</w:t>
            </w:r>
          </w:p>
        </w:tc>
      </w:tr>
      <w:tr w14:paraId="69D9B13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single" w:color="0070C0" w:sz="6" w:space="0"/>
              <w:right w:val="single" w:color="0070C0" w:sz="6" w:space="0"/>
            </w:tcBorders>
            <w:noWrap/>
            <w:vAlign w:val="center"/>
          </w:tcPr>
          <w:p w14:paraId="2CE42BDA">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49</w:t>
            </w:r>
          </w:p>
        </w:tc>
        <w:tc>
          <w:tcPr>
            <w:tcW w:w="1985" w:type="dxa"/>
            <w:tcBorders>
              <w:top w:val="single" w:color="0070C0" w:sz="6" w:space="0"/>
              <w:left w:val="single" w:color="0070C0" w:sz="6" w:space="0"/>
              <w:bottom w:val="single" w:color="0070C0" w:sz="6" w:space="0"/>
              <w:right w:val="single" w:color="0070C0" w:sz="6" w:space="0"/>
            </w:tcBorders>
            <w:noWrap/>
            <w:vAlign w:val="center"/>
          </w:tcPr>
          <w:p w14:paraId="7F95A978">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A170112密封用填料及类似品</w:t>
            </w:r>
          </w:p>
        </w:tc>
        <w:tc>
          <w:tcPr>
            <w:tcW w:w="2268" w:type="dxa"/>
            <w:tcBorders>
              <w:top w:val="single" w:color="0070C0" w:sz="6" w:space="0"/>
              <w:left w:val="single" w:color="0070C0" w:sz="6" w:space="0"/>
              <w:bottom w:val="single" w:color="0070C0" w:sz="6" w:space="0"/>
              <w:right w:val="single" w:color="0070C0" w:sz="6" w:space="0"/>
            </w:tcBorders>
            <w:noWrap/>
            <w:vAlign w:val="center"/>
          </w:tcPr>
          <w:p w14:paraId="5038FF5C">
            <w:pPr>
              <w:autoSpaceDN w:val="0"/>
              <w:rPr>
                <w:rFonts w:ascii="仿宋" w:hAnsi="仿宋" w:eastAsia="仿宋" w:cs="宋体"/>
                <w:b/>
                <w:color w:val="auto"/>
                <w:w w:val="90"/>
                <w:sz w:val="24"/>
                <w:szCs w:val="24"/>
                <w:highlight w:val="none"/>
              </w:rPr>
            </w:pPr>
          </w:p>
        </w:tc>
        <w:tc>
          <w:tcPr>
            <w:tcW w:w="1855" w:type="dxa"/>
            <w:tcBorders>
              <w:top w:val="single" w:color="0070C0" w:sz="6" w:space="0"/>
              <w:left w:val="single" w:color="0070C0" w:sz="6" w:space="0"/>
              <w:bottom w:val="single" w:color="0070C0" w:sz="6" w:space="0"/>
              <w:right w:val="single" w:color="0070C0" w:sz="6" w:space="0"/>
            </w:tcBorders>
            <w:noWrap/>
            <w:vAlign w:val="center"/>
          </w:tcPr>
          <w:p w14:paraId="65E70D8E">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single" w:color="0070C0" w:sz="6" w:space="0"/>
              <w:right w:val="thickThinSmallGap" w:color="0070C0" w:sz="18" w:space="0"/>
            </w:tcBorders>
            <w:noWrap/>
            <w:vAlign w:val="center"/>
          </w:tcPr>
          <w:p w14:paraId="24DACB84">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HJ2541胶粘剂</w:t>
            </w:r>
          </w:p>
        </w:tc>
      </w:tr>
      <w:tr w14:paraId="14D454C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709" w:type="dxa"/>
            <w:tcBorders>
              <w:top w:val="single" w:color="0070C0" w:sz="6" w:space="0"/>
              <w:left w:val="thinThickSmallGap" w:color="0070C0" w:sz="18" w:space="0"/>
              <w:bottom w:val="thickThinSmallGap" w:color="0070C0" w:sz="18" w:space="0"/>
              <w:right w:val="single" w:color="0070C0" w:sz="6" w:space="0"/>
            </w:tcBorders>
            <w:noWrap/>
            <w:vAlign w:val="center"/>
          </w:tcPr>
          <w:p w14:paraId="0A9D3A13">
            <w:pPr>
              <w:autoSpaceDN w:val="0"/>
              <w:jc w:val="center"/>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50</w:t>
            </w:r>
          </w:p>
        </w:tc>
        <w:tc>
          <w:tcPr>
            <w:tcW w:w="1985" w:type="dxa"/>
            <w:tcBorders>
              <w:top w:val="single" w:color="0070C0" w:sz="6" w:space="0"/>
              <w:left w:val="single" w:color="0070C0" w:sz="6" w:space="0"/>
              <w:bottom w:val="thickThinSmallGap" w:color="0070C0" w:sz="18" w:space="0"/>
              <w:right w:val="single" w:color="0070C0" w:sz="6" w:space="0"/>
            </w:tcBorders>
            <w:noWrap/>
            <w:vAlign w:val="center"/>
          </w:tcPr>
          <w:p w14:paraId="7080D4A6">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A180201塑料制品</w:t>
            </w:r>
          </w:p>
        </w:tc>
        <w:tc>
          <w:tcPr>
            <w:tcW w:w="2268" w:type="dxa"/>
            <w:tcBorders>
              <w:top w:val="single" w:color="0070C0" w:sz="6" w:space="0"/>
              <w:left w:val="single" w:color="0070C0" w:sz="6" w:space="0"/>
              <w:bottom w:val="thickThinSmallGap" w:color="0070C0" w:sz="18" w:space="0"/>
              <w:right w:val="single" w:color="0070C0" w:sz="6" w:space="0"/>
            </w:tcBorders>
            <w:noWrap/>
            <w:vAlign w:val="center"/>
          </w:tcPr>
          <w:p w14:paraId="60B9F170">
            <w:pPr>
              <w:autoSpaceDN w:val="0"/>
              <w:rPr>
                <w:rFonts w:ascii="仿宋" w:hAnsi="仿宋" w:eastAsia="仿宋" w:cs="宋体"/>
                <w:b/>
                <w:color w:val="auto"/>
                <w:w w:val="90"/>
                <w:sz w:val="24"/>
                <w:szCs w:val="24"/>
                <w:highlight w:val="none"/>
              </w:rPr>
            </w:pPr>
          </w:p>
        </w:tc>
        <w:tc>
          <w:tcPr>
            <w:tcW w:w="1855" w:type="dxa"/>
            <w:tcBorders>
              <w:top w:val="single" w:color="0070C0" w:sz="6" w:space="0"/>
              <w:left w:val="single" w:color="0070C0" w:sz="6" w:space="0"/>
              <w:bottom w:val="thickThinSmallGap" w:color="0070C0" w:sz="18" w:space="0"/>
              <w:right w:val="single" w:color="0070C0" w:sz="6" w:space="0"/>
            </w:tcBorders>
            <w:noWrap/>
            <w:vAlign w:val="center"/>
          </w:tcPr>
          <w:p w14:paraId="37827D73">
            <w:pPr>
              <w:autoSpaceDN w:val="0"/>
              <w:rPr>
                <w:rFonts w:ascii="仿宋" w:hAnsi="仿宋" w:eastAsia="仿宋" w:cs="宋体"/>
                <w:b/>
                <w:color w:val="auto"/>
                <w:w w:val="90"/>
                <w:sz w:val="24"/>
                <w:szCs w:val="24"/>
                <w:highlight w:val="none"/>
              </w:rPr>
            </w:pPr>
          </w:p>
        </w:tc>
        <w:tc>
          <w:tcPr>
            <w:tcW w:w="2736" w:type="dxa"/>
            <w:tcBorders>
              <w:top w:val="single" w:color="0070C0" w:sz="6" w:space="0"/>
              <w:left w:val="single" w:color="0070C0" w:sz="6" w:space="0"/>
              <w:bottom w:val="thickThinSmallGap" w:color="0070C0" w:sz="18" w:space="0"/>
              <w:right w:val="thickThinSmallGap" w:color="0070C0" w:sz="18" w:space="0"/>
            </w:tcBorders>
            <w:noWrap/>
            <w:vAlign w:val="center"/>
          </w:tcPr>
          <w:p w14:paraId="5462618F">
            <w:pPr>
              <w:autoSpaceDN w:val="0"/>
              <w:rPr>
                <w:rFonts w:ascii="仿宋" w:hAnsi="仿宋" w:eastAsia="仿宋" w:cs="宋体"/>
                <w:b/>
                <w:color w:val="auto"/>
                <w:w w:val="90"/>
                <w:sz w:val="24"/>
                <w:szCs w:val="24"/>
                <w:highlight w:val="none"/>
              </w:rPr>
            </w:pPr>
            <w:r>
              <w:rPr>
                <w:rFonts w:hint="eastAsia" w:ascii="仿宋" w:hAnsi="仿宋" w:eastAsia="仿宋" w:cs="宋体"/>
                <w:b/>
                <w:color w:val="auto"/>
                <w:w w:val="90"/>
                <w:sz w:val="24"/>
                <w:szCs w:val="24"/>
                <w:highlight w:val="none"/>
              </w:rPr>
              <w:t>HJ/T226建筑用塑料管材/HJ/T231 再生塑料制品</w:t>
            </w:r>
          </w:p>
        </w:tc>
      </w:tr>
    </w:tbl>
    <w:p w14:paraId="60C49C4E">
      <w:pPr>
        <w:autoSpaceDN w:val="0"/>
        <w:spacing w:line="360" w:lineRule="auto"/>
        <w:ind w:left="-850" w:leftChars="-405" w:right="-1050" w:rightChars="-500" w:firstLine="436" w:firstLineChars="201"/>
        <w:rPr>
          <w:rFonts w:ascii="仿宋" w:hAnsi="仿宋" w:eastAsia="仿宋" w:cs="宋体"/>
          <w:color w:val="auto"/>
          <w:kern w:val="0"/>
          <w:sz w:val="24"/>
          <w:szCs w:val="24"/>
          <w:highlight w:val="none"/>
        </w:rPr>
      </w:pPr>
      <w:r>
        <w:rPr>
          <w:rFonts w:hint="eastAsia" w:ascii="仿宋" w:hAnsi="仿宋" w:eastAsia="仿宋" w:cs="宋体"/>
          <w:b/>
          <w:color w:val="auto"/>
          <w:w w:val="90"/>
          <w:sz w:val="24"/>
          <w:szCs w:val="24"/>
          <w:highlight w:val="none"/>
        </w:rPr>
        <w:t>注：环境标志产品认证应依据相关标准的最新版本。</w:t>
      </w:r>
    </w:p>
    <w:p w14:paraId="3C00831C">
      <w:pPr>
        <w:keepNext/>
        <w:keepLines/>
        <w:autoSpaceDN w:val="0"/>
        <w:spacing w:before="240" w:line="360" w:lineRule="auto"/>
        <w:jc w:val="left"/>
        <w:outlineLvl w:val="2"/>
        <w:rPr>
          <w:rFonts w:ascii="仿宋" w:hAnsi="仿宋" w:eastAsia="仿宋" w:cs="宋体"/>
          <w:b/>
          <w:bCs/>
          <w:color w:val="auto"/>
          <w:kern w:val="0"/>
          <w:sz w:val="24"/>
          <w:szCs w:val="24"/>
          <w:highlight w:val="none"/>
        </w:rPr>
      </w:pPr>
      <w:r>
        <w:rPr>
          <w:rFonts w:hint="eastAsia" w:ascii="仿宋" w:hAnsi="仿宋" w:eastAsia="仿宋" w:cs="宋体"/>
          <w:b/>
          <w:bCs/>
          <w:color w:val="auto"/>
          <w:kern w:val="0"/>
          <w:sz w:val="24"/>
          <w:szCs w:val="24"/>
          <w:highlight w:val="none"/>
        </w:rPr>
        <w:br w:type="page"/>
      </w:r>
      <w:bookmarkStart w:id="190" w:name="_Toc7988421"/>
      <w:bookmarkStart w:id="191" w:name="_Toc17428254"/>
      <w:bookmarkStart w:id="192" w:name="_Toc7492528"/>
      <w:bookmarkStart w:id="193" w:name="_Toc7574705"/>
      <w:bookmarkStart w:id="194" w:name="_Toc10432458"/>
      <w:bookmarkStart w:id="195" w:name="_Toc8007005"/>
      <w:bookmarkStart w:id="196" w:name="_Toc7488759"/>
      <w:bookmarkStart w:id="197" w:name="_Toc7664197"/>
      <w:bookmarkStart w:id="198" w:name="_Toc24471818"/>
      <w:bookmarkStart w:id="199" w:name="_Toc7993641"/>
      <w:bookmarkStart w:id="200" w:name="_Toc7542916"/>
      <w:bookmarkStart w:id="201" w:name="_Toc7668950"/>
      <w:bookmarkStart w:id="202" w:name="_Toc17428349"/>
      <w:bookmarkStart w:id="203" w:name="_Toc25765010"/>
      <w:bookmarkStart w:id="204" w:name="_Toc20358292"/>
      <w:bookmarkStart w:id="205" w:name="_Toc7663597"/>
      <w:bookmarkStart w:id="206" w:name="_Toc7988475"/>
      <w:r>
        <w:rPr>
          <w:rFonts w:hint="eastAsia" w:ascii="仿宋" w:hAnsi="仿宋" w:eastAsia="仿宋" w:cs="宋体"/>
          <w:b/>
          <w:bCs/>
          <w:color w:val="auto"/>
          <w:kern w:val="0"/>
          <w:sz w:val="24"/>
          <w:szCs w:val="24"/>
          <w:highlight w:val="none"/>
        </w:rPr>
        <w:t>四、市场监管总局关于发布参与实施政府采购节能产品、环境标志产品认证机构名录的公告（2019年第16号）</w:t>
      </w:r>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6BFF6466">
      <w:pPr>
        <w:widowControl/>
        <w:shd w:val="clear" w:color="auto" w:fill="FFFFFF"/>
        <w:autoSpaceDN w:val="0"/>
        <w:spacing w:before="68" w:after="299" w:line="360" w:lineRule="auto"/>
        <w:jc w:val="center"/>
        <w:textAlignment w:val="baseline"/>
        <w:rPr>
          <w:rFonts w:ascii="仿宋" w:hAnsi="仿宋" w:eastAsia="仿宋" w:cs="宋体"/>
          <w:b/>
          <w:color w:val="auto"/>
          <w:kern w:val="0"/>
          <w:sz w:val="24"/>
          <w:szCs w:val="24"/>
          <w:highlight w:val="none"/>
        </w:rPr>
      </w:pPr>
    </w:p>
    <w:p w14:paraId="088083CE">
      <w:pPr>
        <w:widowControl/>
        <w:shd w:val="clear" w:color="auto" w:fill="FFFFFF"/>
        <w:autoSpaceDN w:val="0"/>
        <w:spacing w:before="68" w:after="299" w:line="360" w:lineRule="auto"/>
        <w:jc w:val="center"/>
        <w:textAlignment w:val="baseline"/>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市场监管总局关于发布参与实施政府采购节能产品、环境</w:t>
      </w:r>
    </w:p>
    <w:p w14:paraId="5B2F801C">
      <w:pPr>
        <w:widowControl/>
        <w:shd w:val="clear" w:color="auto" w:fill="FFFFFF"/>
        <w:autoSpaceDN w:val="0"/>
        <w:spacing w:before="68" w:after="299" w:line="360" w:lineRule="auto"/>
        <w:jc w:val="center"/>
        <w:textAlignment w:val="baseline"/>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标志产品认证机构名录的公告</w:t>
      </w:r>
    </w:p>
    <w:p w14:paraId="18CBBA43">
      <w:pPr>
        <w:widowControl/>
        <w:shd w:val="clear" w:color="auto" w:fill="FFFFFF"/>
        <w:autoSpaceDN w:val="0"/>
        <w:spacing w:before="68" w:after="299" w:line="360" w:lineRule="auto"/>
        <w:jc w:val="center"/>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2019年第16号</w:t>
      </w:r>
    </w:p>
    <w:p w14:paraId="38856C7B">
      <w:pPr>
        <w:widowControl/>
        <w:shd w:val="clear" w:color="auto" w:fill="FFFFFF"/>
        <w:autoSpaceDN w:val="0"/>
        <w:spacing w:before="68" w:after="299" w:line="360" w:lineRule="auto"/>
        <w:ind w:firstLine="424" w:firstLineChars="177"/>
        <w:jc w:val="lef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33B1C749">
      <w:pPr>
        <w:widowControl/>
        <w:shd w:val="clear" w:color="auto" w:fill="FFFFFF"/>
        <w:autoSpaceDN w:val="0"/>
        <w:spacing w:before="68" w:after="299" w:line="360" w:lineRule="auto"/>
        <w:ind w:firstLine="424" w:firstLineChars="177"/>
        <w:jc w:val="lef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自本公告发布后，新增认证机构应尽快完成政府采购认证信息系统对接，对接完成后方可开展相关认证工作。</w:t>
      </w:r>
    </w:p>
    <w:p w14:paraId="4B4B49C8">
      <w:pPr>
        <w:widowControl/>
        <w:shd w:val="clear" w:color="auto" w:fill="FFFFFF"/>
        <w:autoSpaceDN w:val="0"/>
        <w:spacing w:before="68" w:after="299" w:line="360" w:lineRule="auto"/>
        <w:jc w:val="righ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市场监管总局</w:t>
      </w:r>
    </w:p>
    <w:p w14:paraId="3430D8D7">
      <w:pPr>
        <w:widowControl/>
        <w:shd w:val="clear" w:color="auto" w:fill="FFFFFF"/>
        <w:autoSpaceDN w:val="0"/>
        <w:spacing w:before="68" w:after="299" w:line="360" w:lineRule="auto"/>
        <w:jc w:val="righ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2019年4月3日</w:t>
      </w:r>
    </w:p>
    <w:p w14:paraId="6571AD6C">
      <w:pPr>
        <w:keepNext/>
        <w:keepLines/>
        <w:autoSpaceDN w:val="0"/>
        <w:spacing w:before="240" w:line="360" w:lineRule="auto"/>
        <w:jc w:val="left"/>
        <w:outlineLvl w:val="3"/>
        <w:rPr>
          <w:rFonts w:ascii="仿宋" w:hAnsi="仿宋" w:eastAsia="仿宋" w:cs="宋体"/>
          <w:b/>
          <w:bCs/>
          <w:color w:val="auto"/>
          <w:sz w:val="24"/>
          <w:szCs w:val="24"/>
          <w:highlight w:val="none"/>
        </w:rPr>
      </w:pPr>
      <w:r>
        <w:rPr>
          <w:rFonts w:hint="eastAsia" w:ascii="仿宋" w:hAnsi="仿宋" w:eastAsia="仿宋" w:cs="宋体"/>
          <w:b/>
          <w:bCs/>
          <w:color w:val="auto"/>
          <w:sz w:val="24"/>
          <w:szCs w:val="24"/>
          <w:highlight w:val="none"/>
        </w:rPr>
        <w:br w:type="page"/>
      </w:r>
      <w:r>
        <w:rPr>
          <w:rFonts w:hint="eastAsia" w:ascii="仿宋" w:hAnsi="仿宋" w:eastAsia="仿宋" w:cs="宋体"/>
          <w:b/>
          <w:bCs/>
          <w:color w:val="auto"/>
          <w:sz w:val="24"/>
          <w:szCs w:val="24"/>
          <w:highlight w:val="none"/>
        </w:rPr>
        <w:t>附1：参与实施政府采购节能产品认证机构名录</w:t>
      </w:r>
    </w:p>
    <w:tbl>
      <w:tblPr>
        <w:tblStyle w:val="61"/>
        <w:tblW w:w="9090" w:type="dxa"/>
        <w:tblInd w:w="-176"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567"/>
        <w:gridCol w:w="1135"/>
        <w:gridCol w:w="1348"/>
        <w:gridCol w:w="1309"/>
        <w:gridCol w:w="1597"/>
        <w:gridCol w:w="3134"/>
      </w:tblGrid>
      <w:tr w14:paraId="6DD7A0B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trPr>
        <w:tc>
          <w:tcPr>
            <w:tcW w:w="568" w:type="dxa"/>
            <w:vMerge w:val="restart"/>
            <w:tcBorders>
              <w:top w:val="thinThickSmallGap" w:color="0070C0" w:sz="18" w:space="0"/>
              <w:left w:val="thinThickSmallGap" w:color="0070C0" w:sz="18"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14:paraId="330E013E">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序号</w:t>
            </w:r>
          </w:p>
        </w:tc>
        <w:tc>
          <w:tcPr>
            <w:tcW w:w="2481" w:type="dxa"/>
            <w:gridSpan w:val="2"/>
            <w:tcBorders>
              <w:top w:val="thinThickSmallGap" w:color="0070C0" w:sz="18" w:space="0"/>
              <w:left w:val="single" w:color="0070C0" w:sz="6"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14:paraId="4D6172DA">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一级目录</w:t>
            </w:r>
          </w:p>
        </w:tc>
        <w:tc>
          <w:tcPr>
            <w:tcW w:w="2904" w:type="dxa"/>
            <w:gridSpan w:val="2"/>
            <w:tcBorders>
              <w:top w:val="thinThickSmallGap" w:color="0070C0" w:sz="18" w:space="0"/>
              <w:left w:val="single" w:color="0070C0" w:sz="6"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14:paraId="00A11273">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二级目录</w:t>
            </w:r>
          </w:p>
        </w:tc>
        <w:tc>
          <w:tcPr>
            <w:tcW w:w="3132" w:type="dxa"/>
            <w:vMerge w:val="restart"/>
            <w:tcBorders>
              <w:top w:val="thinThickSmallGap" w:color="0070C0" w:sz="18" w:space="0"/>
              <w:left w:val="single" w:color="0070C0" w:sz="6" w:space="0"/>
              <w:bottom w:val="single" w:color="0070C0" w:sz="6" w:space="0"/>
              <w:right w:val="thickThinSmallGap" w:color="0070C0" w:sz="18" w:space="0"/>
            </w:tcBorders>
            <w:shd w:val="clear" w:color="auto" w:fill="DAEEF3"/>
            <w:noWrap/>
            <w:tcMar>
              <w:top w:w="0" w:type="dxa"/>
              <w:left w:w="108" w:type="dxa"/>
              <w:bottom w:w="0" w:type="dxa"/>
              <w:right w:w="108" w:type="dxa"/>
            </w:tcMar>
            <w:vAlign w:val="center"/>
          </w:tcPr>
          <w:p w14:paraId="5B7EB5A1">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认证机构名录</w:t>
            </w:r>
          </w:p>
        </w:tc>
      </w:tr>
      <w:tr w14:paraId="612B98D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blHeader/>
        </w:trPr>
        <w:tc>
          <w:tcPr>
            <w:tcW w:w="568" w:type="dxa"/>
            <w:vMerge w:val="continue"/>
            <w:tcBorders>
              <w:top w:val="thinThickSmallGap" w:color="0070C0" w:sz="18" w:space="0"/>
              <w:left w:val="thinThickSmallGap" w:color="0070C0" w:sz="18" w:space="0"/>
              <w:bottom w:val="single" w:color="0070C0" w:sz="6" w:space="0"/>
              <w:right w:val="single" w:color="0070C0" w:sz="6" w:space="0"/>
            </w:tcBorders>
            <w:shd w:val="clear" w:color="auto" w:fill="FFFFFF"/>
            <w:vAlign w:val="center"/>
          </w:tcPr>
          <w:p w14:paraId="76F90C61">
            <w:pPr>
              <w:widowControl/>
              <w:jc w:val="left"/>
              <w:rPr>
                <w:rFonts w:ascii="仿宋" w:hAnsi="仿宋" w:eastAsia="仿宋" w:cs="宋体"/>
                <w:b/>
                <w:color w:val="auto"/>
                <w:w w:val="90"/>
                <w:kern w:val="0"/>
                <w:sz w:val="24"/>
                <w:szCs w:val="24"/>
                <w:highlight w:val="none"/>
              </w:rPr>
            </w:pPr>
          </w:p>
        </w:tc>
        <w:tc>
          <w:tcPr>
            <w:tcW w:w="1134" w:type="dxa"/>
            <w:tcBorders>
              <w:top w:val="single" w:color="0070C0" w:sz="6" w:space="0"/>
              <w:left w:val="single" w:color="0070C0" w:sz="6" w:space="0"/>
              <w:bottom w:val="single" w:color="0070C0" w:sz="6" w:space="0"/>
              <w:right w:val="single" w:color="0070C0" w:sz="6" w:space="0"/>
            </w:tcBorders>
            <w:shd w:val="clear" w:color="auto" w:fill="DAEEF3"/>
            <w:noWrap/>
            <w:tcMar>
              <w:top w:w="0" w:type="dxa"/>
              <w:left w:w="108" w:type="dxa"/>
              <w:bottom w:w="0" w:type="dxa"/>
              <w:right w:w="108" w:type="dxa"/>
            </w:tcMar>
            <w:vAlign w:val="center"/>
          </w:tcPr>
          <w:p w14:paraId="69463A07">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产品代码</w:t>
            </w:r>
          </w:p>
        </w:tc>
        <w:tc>
          <w:tcPr>
            <w:tcW w:w="1347" w:type="dxa"/>
            <w:tcBorders>
              <w:top w:val="single" w:color="0070C0" w:sz="6" w:space="0"/>
              <w:left w:val="single" w:color="0070C0" w:sz="6" w:space="0"/>
              <w:bottom w:val="single" w:color="0070C0" w:sz="6" w:space="0"/>
              <w:right w:val="single" w:color="0070C0" w:sz="6" w:space="0"/>
            </w:tcBorders>
            <w:shd w:val="clear" w:color="auto" w:fill="DAEEF3"/>
            <w:noWrap/>
            <w:tcMar>
              <w:top w:w="0" w:type="dxa"/>
              <w:left w:w="0" w:type="dxa"/>
              <w:bottom w:w="0" w:type="dxa"/>
              <w:right w:w="0" w:type="dxa"/>
            </w:tcMar>
            <w:vAlign w:val="center"/>
          </w:tcPr>
          <w:p w14:paraId="44BACE7A">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产品名称</w:t>
            </w:r>
          </w:p>
        </w:tc>
        <w:tc>
          <w:tcPr>
            <w:tcW w:w="1308" w:type="dxa"/>
            <w:tcBorders>
              <w:top w:val="single" w:color="0070C0" w:sz="6" w:space="0"/>
              <w:left w:val="single" w:color="0070C0" w:sz="6" w:space="0"/>
              <w:bottom w:val="single" w:color="0070C0" w:sz="6" w:space="0"/>
              <w:right w:val="single" w:color="0070C0" w:sz="6" w:space="0"/>
            </w:tcBorders>
            <w:shd w:val="clear" w:color="auto" w:fill="DAEEF3"/>
            <w:noWrap/>
            <w:tcMar>
              <w:top w:w="0" w:type="dxa"/>
              <w:left w:w="0" w:type="dxa"/>
              <w:bottom w:w="0" w:type="dxa"/>
              <w:right w:w="0" w:type="dxa"/>
            </w:tcMar>
            <w:vAlign w:val="center"/>
          </w:tcPr>
          <w:p w14:paraId="17A82104">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产品代码</w:t>
            </w:r>
          </w:p>
        </w:tc>
        <w:tc>
          <w:tcPr>
            <w:tcW w:w="1596" w:type="dxa"/>
            <w:tcBorders>
              <w:top w:val="single" w:color="0070C0" w:sz="6" w:space="0"/>
              <w:left w:val="single" w:color="0070C0" w:sz="6" w:space="0"/>
              <w:bottom w:val="single" w:color="0070C0" w:sz="6" w:space="0"/>
              <w:right w:val="single" w:color="0070C0" w:sz="6" w:space="0"/>
            </w:tcBorders>
            <w:shd w:val="clear" w:color="auto" w:fill="DAEEF3"/>
            <w:noWrap/>
            <w:tcMar>
              <w:top w:w="0" w:type="dxa"/>
              <w:left w:w="0" w:type="dxa"/>
              <w:bottom w:w="0" w:type="dxa"/>
              <w:right w:w="0" w:type="dxa"/>
            </w:tcMar>
            <w:vAlign w:val="center"/>
          </w:tcPr>
          <w:p w14:paraId="4BA3ADEA">
            <w:pPr>
              <w:widowControl/>
              <w:autoSpaceDN w:val="0"/>
              <w:spacing w:line="276" w:lineRule="auto"/>
              <w:jc w:val="center"/>
              <w:textAlignment w:val="baseline"/>
              <w:rPr>
                <w:rFonts w:ascii="仿宋" w:hAnsi="仿宋" w:eastAsia="仿宋" w:cs="宋体"/>
                <w:b/>
                <w:color w:val="auto"/>
                <w:w w:val="90"/>
                <w:kern w:val="0"/>
                <w:sz w:val="24"/>
                <w:szCs w:val="24"/>
                <w:highlight w:val="none"/>
              </w:rPr>
            </w:pPr>
            <w:r>
              <w:rPr>
                <w:rFonts w:hint="eastAsia" w:ascii="仿宋" w:hAnsi="仿宋" w:eastAsia="仿宋" w:cs="宋体"/>
                <w:b/>
                <w:color w:val="auto"/>
                <w:w w:val="90"/>
                <w:kern w:val="0"/>
                <w:sz w:val="24"/>
                <w:szCs w:val="24"/>
                <w:highlight w:val="none"/>
              </w:rPr>
              <w:t>产品名称</w:t>
            </w:r>
          </w:p>
        </w:tc>
        <w:tc>
          <w:tcPr>
            <w:tcW w:w="3132" w:type="dxa"/>
            <w:vMerge w:val="continue"/>
            <w:tcBorders>
              <w:top w:val="thinThickSmallGap" w:color="0070C0" w:sz="18" w:space="0"/>
              <w:left w:val="single" w:color="0070C0" w:sz="6" w:space="0"/>
              <w:bottom w:val="single" w:color="0070C0" w:sz="6" w:space="0"/>
              <w:right w:val="thickThinSmallGap" w:color="0070C0" w:sz="18" w:space="0"/>
            </w:tcBorders>
            <w:shd w:val="clear" w:color="auto" w:fill="FFFFFF"/>
            <w:vAlign w:val="center"/>
          </w:tcPr>
          <w:p w14:paraId="11279BE2">
            <w:pPr>
              <w:widowControl/>
              <w:jc w:val="left"/>
              <w:rPr>
                <w:rFonts w:ascii="仿宋" w:hAnsi="仿宋" w:eastAsia="仿宋" w:cs="宋体"/>
                <w:b/>
                <w:color w:val="auto"/>
                <w:w w:val="90"/>
                <w:kern w:val="0"/>
                <w:sz w:val="24"/>
                <w:szCs w:val="24"/>
                <w:highlight w:val="none"/>
              </w:rPr>
            </w:pPr>
          </w:p>
        </w:tc>
      </w:tr>
      <w:tr w14:paraId="283283F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49D14FE">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8F0C83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A020101</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B92DD47">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计算机设备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493FD45">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A02010104</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1BF7F3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台式计算机</w:t>
            </w:r>
          </w:p>
        </w:tc>
        <w:tc>
          <w:tcPr>
            <w:tcW w:w="3132" w:type="dxa"/>
            <w:vMerge w:val="restart"/>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31765429">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59199384">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北京赛西认证有限责任公司</w:t>
            </w:r>
          </w:p>
          <w:p w14:paraId="05148CC4">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中国网络安全审查技术与认证中心</w:t>
            </w:r>
          </w:p>
          <w:p w14:paraId="44A93EEC">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广州赛宝认证中心服务有限公司</w:t>
            </w:r>
          </w:p>
        </w:tc>
      </w:tr>
      <w:tr w14:paraId="31E3D83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54AEFFC6">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7E420013">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2B5D8354">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6E3561D">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A02010105</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579C4294">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便携式计算机</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7754E07A">
            <w:pPr>
              <w:widowControl/>
              <w:jc w:val="left"/>
              <w:rPr>
                <w:rFonts w:ascii="仿宋" w:hAnsi="仿宋" w:eastAsia="仿宋" w:cs="宋体"/>
                <w:color w:val="auto"/>
                <w:w w:val="90"/>
                <w:kern w:val="0"/>
                <w:sz w:val="24"/>
                <w:szCs w:val="24"/>
                <w:highlight w:val="none"/>
              </w:rPr>
            </w:pPr>
          </w:p>
        </w:tc>
      </w:tr>
      <w:tr w14:paraId="4EA8A21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379D8327">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2C90CEC9">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3F2A20FC">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D472C34">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A02010107</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5957D131">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平板式微型计算机</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32B0528D">
            <w:pPr>
              <w:widowControl/>
              <w:jc w:val="left"/>
              <w:rPr>
                <w:rFonts w:ascii="仿宋" w:hAnsi="仿宋" w:eastAsia="仿宋" w:cs="宋体"/>
                <w:color w:val="auto"/>
                <w:w w:val="90"/>
                <w:kern w:val="0"/>
                <w:sz w:val="24"/>
                <w:szCs w:val="24"/>
                <w:highlight w:val="none"/>
              </w:rPr>
            </w:pPr>
          </w:p>
        </w:tc>
      </w:tr>
      <w:tr w14:paraId="586D6B1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B315B9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2</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B5E6CA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A020106</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E73D26E">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输入输出设备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A46255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A02010601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B3E8A6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打印设备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3CD8D6E7">
            <w:pPr>
              <w:widowControl/>
              <w:jc w:val="left"/>
              <w:rPr>
                <w:rFonts w:ascii="仿宋" w:hAnsi="仿宋" w:eastAsia="仿宋" w:cs="宋体"/>
                <w:color w:val="auto"/>
                <w:w w:val="90"/>
                <w:kern w:val="0"/>
                <w:sz w:val="24"/>
                <w:szCs w:val="24"/>
                <w:highlight w:val="none"/>
              </w:rPr>
            </w:pPr>
          </w:p>
        </w:tc>
      </w:tr>
      <w:tr w14:paraId="76704B3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2306A9F4">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4203ADC2">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38F9EDA5">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14B9E1A">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A02010604</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7221F271">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显示设备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6B144195">
            <w:pPr>
              <w:widowControl/>
              <w:jc w:val="left"/>
              <w:rPr>
                <w:rFonts w:ascii="仿宋" w:hAnsi="仿宋" w:eastAsia="仿宋" w:cs="宋体"/>
                <w:color w:val="auto"/>
                <w:w w:val="90"/>
                <w:kern w:val="0"/>
                <w:sz w:val="24"/>
                <w:szCs w:val="24"/>
                <w:highlight w:val="none"/>
              </w:rPr>
            </w:pPr>
          </w:p>
        </w:tc>
      </w:tr>
      <w:tr w14:paraId="0EDA9A2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1426CA94">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52E5D824">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72F16175">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21721C9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A02010609</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08BB97B2">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图形图像输入设备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5144262E">
            <w:pPr>
              <w:widowControl/>
              <w:jc w:val="left"/>
              <w:rPr>
                <w:rFonts w:ascii="仿宋" w:hAnsi="仿宋" w:eastAsia="仿宋" w:cs="宋体"/>
                <w:color w:val="auto"/>
                <w:w w:val="90"/>
                <w:kern w:val="0"/>
                <w:sz w:val="24"/>
                <w:szCs w:val="24"/>
                <w:highlight w:val="none"/>
              </w:rPr>
            </w:pPr>
          </w:p>
        </w:tc>
      </w:tr>
      <w:tr w14:paraId="18B882E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6F2397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3</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FD4D22B">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A020202</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17ED870">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投影仪</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37FECAD">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B1F2D5E">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37F48F8C">
            <w:pPr>
              <w:widowControl/>
              <w:jc w:val="left"/>
              <w:rPr>
                <w:rFonts w:ascii="仿宋" w:hAnsi="仿宋" w:eastAsia="仿宋" w:cs="宋体"/>
                <w:color w:val="auto"/>
                <w:w w:val="90"/>
                <w:kern w:val="0"/>
                <w:sz w:val="24"/>
                <w:szCs w:val="24"/>
                <w:highlight w:val="none"/>
              </w:rPr>
            </w:pPr>
          </w:p>
        </w:tc>
      </w:tr>
      <w:tr w14:paraId="0D1ECA3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4605087">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4</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E233F14">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A020204</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0B2A61E">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多功能一体机</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AF05EB0">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282B0907">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07F857FF">
            <w:pPr>
              <w:widowControl/>
              <w:jc w:val="left"/>
              <w:rPr>
                <w:rFonts w:ascii="仿宋" w:hAnsi="仿宋" w:eastAsia="仿宋" w:cs="宋体"/>
                <w:color w:val="auto"/>
                <w:w w:val="90"/>
                <w:kern w:val="0"/>
                <w:sz w:val="24"/>
                <w:szCs w:val="24"/>
                <w:highlight w:val="none"/>
              </w:rPr>
            </w:pPr>
          </w:p>
        </w:tc>
      </w:tr>
      <w:tr w14:paraId="6A7303E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4C7A61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5</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B4BD97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A020519</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83FEFB6">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泵</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4ADB9A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A02051901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E446C9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离心泵</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54FBA3C9">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494F3E12">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电能（北京）认证中心有限公司</w:t>
            </w:r>
          </w:p>
          <w:p w14:paraId="0DCF0E39">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方圆标志认证集团有限公司</w:t>
            </w:r>
          </w:p>
        </w:tc>
      </w:tr>
      <w:tr w14:paraId="2F3DB4C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71A8557">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6</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741309D">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A020523</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A3BF7E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制冷空调设备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2DD1FB40">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A02052301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7105EE4">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制冷压缩机</w:t>
            </w:r>
          </w:p>
        </w:tc>
        <w:tc>
          <w:tcPr>
            <w:tcW w:w="3132" w:type="dxa"/>
            <w:vMerge w:val="restart"/>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202204BD">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2E4E56F1">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威凯认证检测有限公司</w:t>
            </w:r>
          </w:p>
          <w:p w14:paraId="21E13994">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合肥通用机械产品认证有限公司</w:t>
            </w:r>
          </w:p>
          <w:p w14:paraId="3BF65183">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北京中冷通质量认证中心有限公司</w:t>
            </w:r>
          </w:p>
        </w:tc>
      </w:tr>
      <w:tr w14:paraId="4DD7CD8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4CA2C284">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734AE5B2">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7E4CA39F">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27CDEB1">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A02052305</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768AF147">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空调机组</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5CF27567">
            <w:pPr>
              <w:widowControl/>
              <w:jc w:val="left"/>
              <w:rPr>
                <w:rFonts w:ascii="仿宋" w:hAnsi="仿宋" w:eastAsia="仿宋" w:cs="宋体"/>
                <w:color w:val="auto"/>
                <w:w w:val="90"/>
                <w:kern w:val="0"/>
                <w:sz w:val="24"/>
                <w:szCs w:val="24"/>
                <w:highlight w:val="none"/>
              </w:rPr>
            </w:pPr>
          </w:p>
        </w:tc>
      </w:tr>
      <w:tr w14:paraId="32A8E42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3C1A9810">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32C9DBE5">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3831DFC1">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82A6CE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A02052309</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4A0640F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专用制冷、空调设备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491CF5B2">
            <w:pPr>
              <w:widowControl/>
              <w:jc w:val="left"/>
              <w:rPr>
                <w:rFonts w:ascii="仿宋" w:hAnsi="仿宋" w:eastAsia="仿宋" w:cs="宋体"/>
                <w:color w:val="auto"/>
                <w:w w:val="90"/>
                <w:kern w:val="0"/>
                <w:sz w:val="24"/>
                <w:szCs w:val="24"/>
                <w:highlight w:val="none"/>
              </w:rPr>
            </w:pPr>
          </w:p>
        </w:tc>
      </w:tr>
      <w:tr w14:paraId="6674B05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43BFC459">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1B82F4D2">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230F3F59">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AA411F7">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A02052399</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48F593A7">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其他制冷空调设备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6883CF0C">
            <w:pPr>
              <w:widowControl/>
              <w:jc w:val="left"/>
              <w:rPr>
                <w:rFonts w:ascii="仿宋" w:hAnsi="仿宋" w:eastAsia="仿宋" w:cs="宋体"/>
                <w:color w:val="auto"/>
                <w:w w:val="90"/>
                <w:kern w:val="0"/>
                <w:sz w:val="24"/>
                <w:szCs w:val="24"/>
                <w:highlight w:val="none"/>
              </w:rPr>
            </w:pPr>
          </w:p>
        </w:tc>
      </w:tr>
      <w:tr w14:paraId="3DC17C8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CD95A7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7</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ACC4635">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A020601</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9074CB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电机</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FCE9030">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C926BBE">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72C88A6E">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36BFD378">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威凯认证检测有限公司</w:t>
            </w:r>
          </w:p>
          <w:p w14:paraId="72082E99">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电能（北京）认证中心有限公司</w:t>
            </w:r>
          </w:p>
          <w:p w14:paraId="37E48B8C">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中国船级社质量认证公司</w:t>
            </w:r>
          </w:p>
        </w:tc>
      </w:tr>
      <w:tr w14:paraId="71D1829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9EF0F5A">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8</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7F96AC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A020602</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DF29C61">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变压器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5480ACA">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C914ECF">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38F5AE21">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10A82B58">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电能（北京）认证中心有限公司</w:t>
            </w:r>
          </w:p>
          <w:p w14:paraId="762594C2">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方圆标志认证集团有限公司</w:t>
            </w:r>
          </w:p>
        </w:tc>
      </w:tr>
      <w:tr w14:paraId="4864DAB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7C03EB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9</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D13BCB5">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A020609</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4C0323D">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镇流器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15B62F8">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2066BBE">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675638BA">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3FC5028B">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深圳市计量质量检测研究院</w:t>
            </w:r>
          </w:p>
          <w:p w14:paraId="5904B922">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中标合信（北京）认证有限公司</w:t>
            </w:r>
          </w:p>
        </w:tc>
      </w:tr>
      <w:tr w14:paraId="3E88A0B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D8306E4">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10</w:t>
            </w:r>
          </w:p>
        </w:tc>
        <w:tc>
          <w:tcPr>
            <w:tcW w:w="1134"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602E1F5">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A020618</w:t>
            </w:r>
          </w:p>
        </w:tc>
        <w:tc>
          <w:tcPr>
            <w:tcW w:w="1347" w:type="dxa"/>
            <w:vMerge w:val="restart"/>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09CB838">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生活用电器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EB6590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A0206180101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0AC8CD6">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电冰箱</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060017B7">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1992899F">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威凯认证检测有限公司</w:t>
            </w:r>
          </w:p>
          <w:p w14:paraId="0A2A0C23">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中家院（北京）检测认证有限公司</w:t>
            </w:r>
          </w:p>
        </w:tc>
      </w:tr>
      <w:tr w14:paraId="45D399A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637131B8">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0A580DB8">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16710B9C">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40A07F6">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A0206180203</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1208B77A">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空调机</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0" w:type="dxa"/>
              <w:bottom w:w="0" w:type="dxa"/>
              <w:right w:w="0" w:type="dxa"/>
            </w:tcMar>
            <w:vAlign w:val="center"/>
          </w:tcPr>
          <w:p w14:paraId="791D2C92">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5BEC2693">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威凯认证检测有限公司</w:t>
            </w:r>
          </w:p>
          <w:p w14:paraId="4D7E2275">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中家院（北京）检测认证有限公司</w:t>
            </w:r>
          </w:p>
          <w:p w14:paraId="06B86420">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合肥通用机械产品认证有限公司</w:t>
            </w:r>
          </w:p>
        </w:tc>
      </w:tr>
      <w:tr w14:paraId="2CD8C3A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115E0A61">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5E3EBA50">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0A740752">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245DFBF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A0206180301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25822EFB">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洗衣机</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0" w:type="dxa"/>
              <w:bottom w:w="0" w:type="dxa"/>
              <w:right w:w="0" w:type="dxa"/>
            </w:tcMar>
            <w:vAlign w:val="center"/>
          </w:tcPr>
          <w:p w14:paraId="34121FDE">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4608FA5C">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威凯认证检测有限公司</w:t>
            </w:r>
          </w:p>
          <w:p w14:paraId="28A2A79B">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中家院（北京）检测认证有限公司</w:t>
            </w:r>
          </w:p>
        </w:tc>
      </w:tr>
      <w:tr w14:paraId="52E53BA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568" w:type="dxa"/>
            <w:vMerge w:val="continue"/>
            <w:tcBorders>
              <w:top w:val="single" w:color="0070C0" w:sz="6" w:space="0"/>
              <w:left w:val="thinThickSmallGap" w:color="0070C0" w:sz="18" w:space="0"/>
              <w:bottom w:val="single" w:color="0070C0" w:sz="6" w:space="0"/>
              <w:right w:val="single" w:color="0070C0" w:sz="6" w:space="0"/>
            </w:tcBorders>
            <w:shd w:val="clear" w:color="auto" w:fill="FFFFFF"/>
            <w:vAlign w:val="center"/>
          </w:tcPr>
          <w:p w14:paraId="593E308F">
            <w:pPr>
              <w:widowControl/>
              <w:jc w:val="left"/>
              <w:rPr>
                <w:rFonts w:ascii="仿宋" w:hAnsi="仿宋" w:eastAsia="仿宋" w:cs="宋体"/>
                <w:color w:val="auto"/>
                <w:w w:val="90"/>
                <w:kern w:val="0"/>
                <w:sz w:val="24"/>
                <w:szCs w:val="24"/>
                <w:highlight w:val="none"/>
              </w:rPr>
            </w:pPr>
          </w:p>
        </w:tc>
        <w:tc>
          <w:tcPr>
            <w:tcW w:w="2481"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08BD8800">
            <w:pPr>
              <w:widowControl/>
              <w:jc w:val="left"/>
              <w:rPr>
                <w:rFonts w:ascii="仿宋" w:hAnsi="仿宋" w:eastAsia="仿宋" w:cs="宋体"/>
                <w:color w:val="auto"/>
                <w:w w:val="90"/>
                <w:kern w:val="0"/>
                <w:sz w:val="24"/>
                <w:szCs w:val="24"/>
                <w:highlight w:val="none"/>
              </w:rPr>
            </w:pPr>
          </w:p>
        </w:tc>
        <w:tc>
          <w:tcPr>
            <w:tcW w:w="1347" w:type="dxa"/>
            <w:vMerge w:val="continue"/>
            <w:tcBorders>
              <w:top w:val="single" w:color="0070C0" w:sz="6" w:space="0"/>
              <w:left w:val="single" w:color="0070C0" w:sz="6" w:space="0"/>
              <w:bottom w:val="single" w:color="0070C0" w:sz="6" w:space="0"/>
              <w:right w:val="single" w:color="0070C0" w:sz="6" w:space="0"/>
            </w:tcBorders>
            <w:shd w:val="clear" w:color="auto" w:fill="FFFFFF"/>
            <w:vAlign w:val="center"/>
          </w:tcPr>
          <w:p w14:paraId="06A2DCC5">
            <w:pPr>
              <w:widowControl/>
              <w:jc w:val="left"/>
              <w:rPr>
                <w:rFonts w:ascii="仿宋" w:hAnsi="仿宋" w:eastAsia="仿宋" w:cs="宋体"/>
                <w:color w:val="auto"/>
                <w:w w:val="90"/>
                <w:kern w:val="0"/>
                <w:sz w:val="24"/>
                <w:szCs w:val="24"/>
                <w:highlight w:val="none"/>
              </w:rPr>
            </w:pP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F11910B">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A02061808</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0" w:type="dxa"/>
              <w:bottom w:w="0" w:type="dxa"/>
              <w:right w:w="0" w:type="dxa"/>
            </w:tcMar>
            <w:vAlign w:val="center"/>
          </w:tcPr>
          <w:p w14:paraId="16207E0D">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热水器</w:t>
            </w: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0" w:type="dxa"/>
              <w:bottom w:w="0" w:type="dxa"/>
              <w:right w:w="0" w:type="dxa"/>
            </w:tcMar>
            <w:vAlign w:val="center"/>
          </w:tcPr>
          <w:p w14:paraId="774687D2">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788407F7">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威凯认证检测有限公司</w:t>
            </w:r>
          </w:p>
          <w:p w14:paraId="13FFFCA3">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中家院（北京）检测认证有限公司</w:t>
            </w:r>
          </w:p>
          <w:p w14:paraId="32E5A918">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合肥通用机械产品认证有限公司(范围仅限于“热泵热水器”)</w:t>
            </w:r>
          </w:p>
        </w:tc>
      </w:tr>
      <w:tr w14:paraId="3FB1E5F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82E73DA">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11</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B6055B0">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A020619</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DD8C029">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照明设备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0E352A4">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722AA46">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6228559B">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61FF3E33">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深圳市计量质量检测研究院</w:t>
            </w:r>
          </w:p>
          <w:p w14:paraId="0F2C579B">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中标合信（北京）认证有限公司</w:t>
            </w:r>
          </w:p>
        </w:tc>
      </w:tr>
      <w:tr w14:paraId="45248C0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3B663E0">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12</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7E2F669">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A020910</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799FE9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电视设备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2AD024D2">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A02091001</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B57D93F">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普通电视设备（电视机）</w:t>
            </w:r>
          </w:p>
        </w:tc>
        <w:tc>
          <w:tcPr>
            <w:tcW w:w="3132" w:type="dxa"/>
            <w:vMerge w:val="restart"/>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09DE37EB">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5EE8A60A">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北京泰瑞特认证有限责任公司</w:t>
            </w:r>
          </w:p>
          <w:p w14:paraId="619F302F">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广州赛宝认证中心服务有限公司</w:t>
            </w:r>
          </w:p>
        </w:tc>
      </w:tr>
      <w:tr w14:paraId="4E21579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09932AB">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13</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B9E859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A020911</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BCDFC6A">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视频设备</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FBCE774">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A02091107</w:t>
            </w: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D3295A6">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视频监控设备</w:t>
            </w:r>
          </w:p>
        </w:tc>
        <w:tc>
          <w:tcPr>
            <w:tcW w:w="3132" w:type="dxa"/>
            <w:vMerge w:val="continue"/>
            <w:tcBorders>
              <w:top w:val="single" w:color="0070C0" w:sz="6" w:space="0"/>
              <w:left w:val="single" w:color="0070C0" w:sz="6" w:space="0"/>
              <w:bottom w:val="single" w:color="0070C0" w:sz="6" w:space="0"/>
              <w:right w:val="thickThinSmallGap" w:color="0070C0" w:sz="18" w:space="0"/>
            </w:tcBorders>
            <w:shd w:val="clear" w:color="auto" w:fill="FFFFFF"/>
            <w:vAlign w:val="center"/>
          </w:tcPr>
          <w:p w14:paraId="59DC033E">
            <w:pPr>
              <w:widowControl/>
              <w:jc w:val="left"/>
              <w:rPr>
                <w:rFonts w:ascii="仿宋" w:hAnsi="仿宋" w:eastAsia="仿宋" w:cs="宋体"/>
                <w:color w:val="auto"/>
                <w:w w:val="90"/>
                <w:kern w:val="0"/>
                <w:sz w:val="24"/>
                <w:szCs w:val="24"/>
                <w:highlight w:val="none"/>
              </w:rPr>
            </w:pPr>
          </w:p>
        </w:tc>
      </w:tr>
      <w:tr w14:paraId="30F0F20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726FCE3">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14</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30446BC">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A031210</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4D17CFD">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饮食炊事机械</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7938192">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1D0A8A7">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tcBorders>
              <w:top w:val="single" w:color="0070C0" w:sz="6" w:space="0"/>
              <w:left w:val="single" w:color="0070C0" w:sz="6" w:space="0"/>
              <w:bottom w:val="single" w:color="0070C0" w:sz="6" w:space="0"/>
              <w:right w:val="thickThinSmallGap" w:color="0070C0" w:sz="18" w:space="0"/>
            </w:tcBorders>
            <w:shd w:val="clear" w:color="auto" w:fill="FFFFFF"/>
            <w:noWrap/>
            <w:tcMar>
              <w:top w:w="0" w:type="dxa"/>
              <w:left w:w="108" w:type="dxa"/>
              <w:bottom w:w="0" w:type="dxa"/>
              <w:right w:w="108" w:type="dxa"/>
            </w:tcMar>
            <w:vAlign w:val="center"/>
          </w:tcPr>
          <w:p w14:paraId="181750F0">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525D6249">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北京鉴衡认证中心</w:t>
            </w:r>
          </w:p>
          <w:p w14:paraId="0EC51B51">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中国市政工程华北设计研究总院有限公司</w:t>
            </w:r>
          </w:p>
        </w:tc>
      </w:tr>
      <w:tr w14:paraId="48B5428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C8A6206">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15</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1A3A58EE">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A060805</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74360EFD">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便器</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58AB7A1">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2C587F25">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vMerge w:val="restart"/>
            <w:tcBorders>
              <w:top w:val="single" w:color="0070C0" w:sz="6" w:space="0"/>
              <w:left w:val="single" w:color="0070C0" w:sz="6" w:space="0"/>
              <w:bottom w:val="thickThinSmallGap" w:color="0070C0" w:sz="18" w:space="0"/>
              <w:right w:val="thickThinSmallGap" w:color="0070C0" w:sz="18" w:space="0"/>
            </w:tcBorders>
            <w:shd w:val="clear" w:color="auto" w:fill="FFFFFF"/>
            <w:noWrap/>
            <w:tcMar>
              <w:top w:w="0" w:type="dxa"/>
              <w:left w:w="108" w:type="dxa"/>
              <w:bottom w:w="0" w:type="dxa"/>
              <w:right w:w="108" w:type="dxa"/>
            </w:tcMar>
            <w:vAlign w:val="center"/>
          </w:tcPr>
          <w:p w14:paraId="0BA0BAE6">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中国质量认证中心</w:t>
            </w:r>
          </w:p>
          <w:p w14:paraId="77DF3072">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北京新华节水产品认证有限公司</w:t>
            </w:r>
          </w:p>
          <w:p w14:paraId="4FFB994E">
            <w:pPr>
              <w:widowControl/>
              <w:autoSpaceDN w:val="0"/>
              <w:spacing w:line="276" w:lineRule="auto"/>
              <w:jc w:val="left"/>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方圆标志认证集团有限公司</w:t>
            </w:r>
          </w:p>
        </w:tc>
      </w:tr>
      <w:tr w14:paraId="4FAE061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6AE2E4E7">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16</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5A9961D2">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A060806</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3B99C22">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水嘴</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B408AE1">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38FF9AF">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vMerge w:val="continue"/>
            <w:tcBorders>
              <w:top w:val="single" w:color="0070C0" w:sz="6" w:space="0"/>
              <w:left w:val="single" w:color="0070C0" w:sz="6" w:space="0"/>
              <w:bottom w:val="thickThinSmallGap" w:color="0070C0" w:sz="18" w:space="0"/>
              <w:right w:val="thickThinSmallGap" w:color="0070C0" w:sz="18" w:space="0"/>
            </w:tcBorders>
            <w:shd w:val="clear" w:color="auto" w:fill="FFFFFF"/>
            <w:vAlign w:val="center"/>
          </w:tcPr>
          <w:p w14:paraId="24D8113D">
            <w:pPr>
              <w:widowControl/>
              <w:jc w:val="left"/>
              <w:rPr>
                <w:rFonts w:ascii="仿宋" w:hAnsi="仿宋" w:eastAsia="仿宋" w:cs="宋体"/>
                <w:color w:val="auto"/>
                <w:w w:val="90"/>
                <w:kern w:val="0"/>
                <w:sz w:val="24"/>
                <w:szCs w:val="24"/>
                <w:highlight w:val="none"/>
              </w:rPr>
            </w:pPr>
          </w:p>
        </w:tc>
      </w:tr>
      <w:tr w14:paraId="036AB01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E81283E">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17</w:t>
            </w:r>
          </w:p>
        </w:tc>
        <w:tc>
          <w:tcPr>
            <w:tcW w:w="1134"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3EA9D66A">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A060807</w:t>
            </w:r>
          </w:p>
        </w:tc>
        <w:tc>
          <w:tcPr>
            <w:tcW w:w="1347"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012D5A9B">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便器冲洗阀</w:t>
            </w:r>
          </w:p>
        </w:tc>
        <w:tc>
          <w:tcPr>
            <w:tcW w:w="1308"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4018C0E2">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single" w:color="0070C0" w:sz="6" w:space="0"/>
              <w:right w:val="single" w:color="0070C0" w:sz="6" w:space="0"/>
            </w:tcBorders>
            <w:shd w:val="clear" w:color="auto" w:fill="FFFFFF"/>
            <w:noWrap/>
            <w:tcMar>
              <w:top w:w="0" w:type="dxa"/>
              <w:left w:w="108" w:type="dxa"/>
              <w:bottom w:w="0" w:type="dxa"/>
              <w:right w:w="108" w:type="dxa"/>
            </w:tcMar>
            <w:vAlign w:val="center"/>
          </w:tcPr>
          <w:p w14:paraId="2173C264">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vMerge w:val="continue"/>
            <w:tcBorders>
              <w:top w:val="single" w:color="0070C0" w:sz="6" w:space="0"/>
              <w:left w:val="single" w:color="0070C0" w:sz="6" w:space="0"/>
              <w:bottom w:val="thickThinSmallGap" w:color="0070C0" w:sz="18" w:space="0"/>
              <w:right w:val="thickThinSmallGap" w:color="0070C0" w:sz="18" w:space="0"/>
            </w:tcBorders>
            <w:shd w:val="clear" w:color="auto" w:fill="FFFFFF"/>
            <w:vAlign w:val="center"/>
          </w:tcPr>
          <w:p w14:paraId="102DABAC">
            <w:pPr>
              <w:widowControl/>
              <w:jc w:val="left"/>
              <w:rPr>
                <w:rFonts w:ascii="仿宋" w:hAnsi="仿宋" w:eastAsia="仿宋" w:cs="宋体"/>
                <w:color w:val="auto"/>
                <w:w w:val="90"/>
                <w:kern w:val="0"/>
                <w:sz w:val="24"/>
                <w:szCs w:val="24"/>
                <w:highlight w:val="none"/>
              </w:rPr>
            </w:pPr>
          </w:p>
        </w:tc>
      </w:tr>
      <w:tr w14:paraId="473D7B7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tcBorders>
              <w:top w:val="single" w:color="0070C0" w:sz="6" w:space="0"/>
              <w:left w:val="thinThickSmallGap" w:color="0070C0" w:sz="18"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14:paraId="1E7066F9">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18</w:t>
            </w:r>
          </w:p>
        </w:tc>
        <w:tc>
          <w:tcPr>
            <w:tcW w:w="1134"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14:paraId="0EAF848A">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A060810</w:t>
            </w:r>
          </w:p>
        </w:tc>
        <w:tc>
          <w:tcPr>
            <w:tcW w:w="1347"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14:paraId="49FA4D3D">
            <w:pPr>
              <w:widowControl/>
              <w:autoSpaceDN w:val="0"/>
              <w:spacing w:line="276" w:lineRule="auto"/>
              <w:jc w:val="center"/>
              <w:textAlignment w:val="baseline"/>
              <w:rPr>
                <w:rFonts w:ascii="仿宋" w:hAnsi="仿宋" w:eastAsia="仿宋" w:cs="宋体"/>
                <w:color w:val="auto"/>
                <w:w w:val="90"/>
                <w:kern w:val="0"/>
                <w:sz w:val="24"/>
                <w:szCs w:val="24"/>
                <w:highlight w:val="none"/>
              </w:rPr>
            </w:pPr>
            <w:r>
              <w:rPr>
                <w:rFonts w:hint="eastAsia" w:ascii="仿宋" w:hAnsi="仿宋" w:eastAsia="仿宋" w:cs="宋体"/>
                <w:color w:val="auto"/>
                <w:w w:val="90"/>
                <w:kern w:val="0"/>
                <w:sz w:val="24"/>
                <w:szCs w:val="24"/>
                <w:highlight w:val="none"/>
              </w:rPr>
              <w:t>淋浴器</w:t>
            </w:r>
          </w:p>
        </w:tc>
        <w:tc>
          <w:tcPr>
            <w:tcW w:w="1308"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14:paraId="5C06C7CB">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1596"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14:paraId="3E3A72E5">
            <w:pPr>
              <w:widowControl/>
              <w:autoSpaceDN w:val="0"/>
              <w:spacing w:line="276" w:lineRule="auto"/>
              <w:jc w:val="center"/>
              <w:textAlignment w:val="baseline"/>
              <w:rPr>
                <w:rFonts w:ascii="仿宋" w:hAnsi="仿宋" w:eastAsia="仿宋" w:cs="宋体"/>
                <w:color w:val="auto"/>
                <w:w w:val="90"/>
                <w:kern w:val="0"/>
                <w:sz w:val="24"/>
                <w:szCs w:val="24"/>
                <w:highlight w:val="none"/>
              </w:rPr>
            </w:pPr>
          </w:p>
        </w:tc>
        <w:tc>
          <w:tcPr>
            <w:tcW w:w="3132" w:type="dxa"/>
            <w:vMerge w:val="continue"/>
            <w:tcBorders>
              <w:top w:val="single" w:color="0070C0" w:sz="6" w:space="0"/>
              <w:left w:val="single" w:color="0070C0" w:sz="6" w:space="0"/>
              <w:bottom w:val="thickThinSmallGap" w:color="0070C0" w:sz="18" w:space="0"/>
              <w:right w:val="thickThinSmallGap" w:color="0070C0" w:sz="18" w:space="0"/>
            </w:tcBorders>
            <w:shd w:val="clear" w:color="auto" w:fill="FFFFFF"/>
            <w:vAlign w:val="center"/>
          </w:tcPr>
          <w:p w14:paraId="084D4E4A">
            <w:pPr>
              <w:widowControl/>
              <w:jc w:val="left"/>
              <w:rPr>
                <w:rFonts w:ascii="仿宋" w:hAnsi="仿宋" w:eastAsia="仿宋" w:cs="宋体"/>
                <w:color w:val="auto"/>
                <w:w w:val="90"/>
                <w:kern w:val="0"/>
                <w:sz w:val="24"/>
                <w:szCs w:val="24"/>
                <w:highlight w:val="none"/>
              </w:rPr>
            </w:pPr>
          </w:p>
        </w:tc>
      </w:tr>
    </w:tbl>
    <w:p w14:paraId="5659B5F8">
      <w:pPr>
        <w:keepNext/>
        <w:keepLines/>
        <w:autoSpaceDN w:val="0"/>
        <w:spacing w:before="240" w:line="360" w:lineRule="auto"/>
        <w:jc w:val="left"/>
        <w:outlineLvl w:val="3"/>
        <w:rPr>
          <w:rFonts w:ascii="仿宋" w:hAnsi="仿宋" w:eastAsia="仿宋" w:cs="宋体"/>
          <w:b/>
          <w:bCs/>
          <w:color w:val="auto"/>
          <w:sz w:val="24"/>
          <w:szCs w:val="24"/>
          <w:highlight w:val="none"/>
        </w:rPr>
      </w:pPr>
      <w:r>
        <w:rPr>
          <w:rFonts w:hint="eastAsia" w:ascii="仿宋" w:hAnsi="仿宋" w:eastAsia="仿宋" w:cs="宋体"/>
          <w:b/>
          <w:bCs/>
          <w:color w:val="auto"/>
          <w:sz w:val="24"/>
          <w:szCs w:val="24"/>
          <w:highlight w:val="none"/>
        </w:rPr>
        <w:t>附2：参与实施政府采购环境标志产品认证机构名录</w:t>
      </w:r>
    </w:p>
    <w:tbl>
      <w:tblPr>
        <w:tblStyle w:val="61"/>
        <w:tblW w:w="9105" w:type="dxa"/>
        <w:tblInd w:w="-176"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851"/>
        <w:gridCol w:w="2287"/>
        <w:gridCol w:w="5967"/>
      </w:tblGrid>
      <w:tr w14:paraId="3AD55D0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blHeader/>
        </w:trPr>
        <w:tc>
          <w:tcPr>
            <w:tcW w:w="851" w:type="dxa"/>
            <w:tcBorders>
              <w:top w:val="thinThickSmallGap" w:color="0070C0" w:sz="18" w:space="0"/>
              <w:left w:val="thinThickSmallGap" w:color="0070C0" w:sz="18" w:space="0"/>
              <w:bottom w:val="single" w:color="0070C0" w:sz="6" w:space="0"/>
              <w:right w:val="single" w:color="0070C0" w:sz="6" w:space="0"/>
            </w:tcBorders>
            <w:shd w:val="clear" w:color="auto" w:fill="FDE9D9"/>
            <w:noWrap/>
            <w:tcMar>
              <w:top w:w="0" w:type="dxa"/>
              <w:left w:w="108" w:type="dxa"/>
              <w:bottom w:w="0" w:type="dxa"/>
              <w:right w:w="108" w:type="dxa"/>
            </w:tcMar>
            <w:vAlign w:val="center"/>
          </w:tcPr>
          <w:p w14:paraId="05F4B553">
            <w:pPr>
              <w:widowControl/>
              <w:autoSpaceDN w:val="0"/>
              <w:spacing w:line="276" w:lineRule="auto"/>
              <w:jc w:val="center"/>
              <w:textAlignment w:val="baseline"/>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序号</w:t>
            </w:r>
          </w:p>
        </w:tc>
        <w:tc>
          <w:tcPr>
            <w:tcW w:w="2288" w:type="dxa"/>
            <w:tcBorders>
              <w:top w:val="thinThickSmallGap" w:color="0070C0" w:sz="18" w:space="0"/>
              <w:left w:val="single" w:color="0070C0" w:sz="6" w:space="0"/>
              <w:bottom w:val="single" w:color="0070C0" w:sz="6" w:space="0"/>
              <w:right w:val="single" w:color="0070C0" w:sz="6" w:space="0"/>
            </w:tcBorders>
            <w:shd w:val="clear" w:color="auto" w:fill="FDE9D9"/>
            <w:noWrap/>
            <w:tcMar>
              <w:top w:w="0" w:type="dxa"/>
              <w:left w:w="108" w:type="dxa"/>
              <w:bottom w:w="0" w:type="dxa"/>
              <w:right w:w="108" w:type="dxa"/>
            </w:tcMar>
            <w:vAlign w:val="center"/>
          </w:tcPr>
          <w:p w14:paraId="34A0C243">
            <w:pPr>
              <w:widowControl/>
              <w:autoSpaceDN w:val="0"/>
              <w:spacing w:line="276" w:lineRule="auto"/>
              <w:jc w:val="center"/>
              <w:textAlignment w:val="baseline"/>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目录</w:t>
            </w:r>
          </w:p>
        </w:tc>
        <w:tc>
          <w:tcPr>
            <w:tcW w:w="5970" w:type="dxa"/>
            <w:tcBorders>
              <w:top w:val="thinThickSmallGap" w:color="0070C0" w:sz="18" w:space="0"/>
              <w:left w:val="single" w:color="0070C0" w:sz="6" w:space="0"/>
              <w:bottom w:val="single" w:color="0070C0" w:sz="6" w:space="0"/>
              <w:right w:val="thickThinSmallGap" w:color="0070C0" w:sz="18" w:space="0"/>
            </w:tcBorders>
            <w:shd w:val="clear" w:color="auto" w:fill="FDE9D9"/>
            <w:noWrap/>
            <w:tcMar>
              <w:top w:w="0" w:type="dxa"/>
              <w:left w:w="108" w:type="dxa"/>
              <w:bottom w:w="0" w:type="dxa"/>
              <w:right w:w="108" w:type="dxa"/>
            </w:tcMar>
            <w:vAlign w:val="center"/>
          </w:tcPr>
          <w:p w14:paraId="0299D5A0">
            <w:pPr>
              <w:widowControl/>
              <w:autoSpaceDN w:val="0"/>
              <w:spacing w:line="276" w:lineRule="auto"/>
              <w:jc w:val="center"/>
              <w:textAlignment w:val="baseline"/>
              <w:rPr>
                <w:rFonts w:ascii="仿宋" w:hAnsi="仿宋" w:eastAsia="仿宋" w:cs="宋体"/>
                <w:b/>
                <w:color w:val="auto"/>
                <w:kern w:val="0"/>
                <w:sz w:val="24"/>
                <w:szCs w:val="24"/>
                <w:highlight w:val="none"/>
              </w:rPr>
            </w:pPr>
            <w:r>
              <w:rPr>
                <w:rFonts w:hint="eastAsia" w:ascii="仿宋" w:hAnsi="仿宋" w:eastAsia="仿宋" w:cs="宋体"/>
                <w:b/>
                <w:color w:val="auto"/>
                <w:kern w:val="0"/>
                <w:sz w:val="24"/>
                <w:szCs w:val="24"/>
                <w:highlight w:val="none"/>
              </w:rPr>
              <w:t>认证机构名录</w:t>
            </w:r>
          </w:p>
        </w:tc>
      </w:tr>
      <w:tr w14:paraId="29610B0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851" w:type="dxa"/>
            <w:tcBorders>
              <w:top w:val="single" w:color="0070C0" w:sz="6" w:space="0"/>
              <w:left w:val="thinThickSmallGap" w:color="0070C0" w:sz="18"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14:paraId="16F77DCC">
            <w:pPr>
              <w:widowControl/>
              <w:autoSpaceDN w:val="0"/>
              <w:spacing w:line="276" w:lineRule="auto"/>
              <w:jc w:val="center"/>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1</w:t>
            </w:r>
          </w:p>
        </w:tc>
        <w:tc>
          <w:tcPr>
            <w:tcW w:w="2288" w:type="dxa"/>
            <w:tcBorders>
              <w:top w:val="single" w:color="0070C0" w:sz="6" w:space="0"/>
              <w:left w:val="single" w:color="0070C0" w:sz="6" w:space="0"/>
              <w:bottom w:val="thickThinSmallGap" w:color="0070C0" w:sz="18" w:space="0"/>
              <w:right w:val="single" w:color="0070C0" w:sz="6" w:space="0"/>
            </w:tcBorders>
            <w:shd w:val="clear" w:color="auto" w:fill="FFFFFF"/>
            <w:noWrap/>
            <w:tcMar>
              <w:top w:w="0" w:type="dxa"/>
              <w:left w:w="108" w:type="dxa"/>
              <w:bottom w:w="0" w:type="dxa"/>
              <w:right w:w="108" w:type="dxa"/>
            </w:tcMar>
            <w:vAlign w:val="center"/>
          </w:tcPr>
          <w:p w14:paraId="42922361">
            <w:pPr>
              <w:widowControl/>
              <w:autoSpaceDN w:val="0"/>
              <w:spacing w:line="276" w:lineRule="auto"/>
              <w:jc w:val="center"/>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环境标志产品</w:t>
            </w:r>
          </w:p>
        </w:tc>
        <w:tc>
          <w:tcPr>
            <w:tcW w:w="5970" w:type="dxa"/>
            <w:tcBorders>
              <w:top w:val="single" w:color="0070C0" w:sz="6" w:space="0"/>
              <w:left w:val="single" w:color="0070C0" w:sz="6" w:space="0"/>
              <w:bottom w:val="thickThinSmallGap" w:color="0070C0" w:sz="18" w:space="0"/>
              <w:right w:val="thickThinSmallGap" w:color="0070C0" w:sz="18" w:space="0"/>
            </w:tcBorders>
            <w:shd w:val="clear" w:color="auto" w:fill="FFFFFF"/>
            <w:noWrap/>
            <w:tcMar>
              <w:top w:w="0" w:type="dxa"/>
              <w:left w:w="108" w:type="dxa"/>
              <w:bottom w:w="0" w:type="dxa"/>
              <w:right w:w="108" w:type="dxa"/>
            </w:tcMar>
            <w:vAlign w:val="center"/>
          </w:tcPr>
          <w:p w14:paraId="3D19A56F">
            <w:pPr>
              <w:widowControl/>
              <w:autoSpaceDN w:val="0"/>
              <w:spacing w:line="276" w:lineRule="auto"/>
              <w:jc w:val="lef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中环联合（北京）认证中心有限公司</w:t>
            </w:r>
          </w:p>
          <w:p w14:paraId="1CE6ADDB">
            <w:pPr>
              <w:widowControl/>
              <w:autoSpaceDN w:val="0"/>
              <w:spacing w:line="276" w:lineRule="auto"/>
              <w:jc w:val="lef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中标合信（北京）认证有限公司</w:t>
            </w:r>
          </w:p>
          <w:p w14:paraId="61D4541B">
            <w:pPr>
              <w:widowControl/>
              <w:autoSpaceDN w:val="0"/>
              <w:spacing w:line="276" w:lineRule="auto"/>
              <w:jc w:val="lef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中环协（北京）认证有限公司</w:t>
            </w:r>
          </w:p>
          <w:p w14:paraId="5CB47A5F">
            <w:pPr>
              <w:widowControl/>
              <w:autoSpaceDN w:val="0"/>
              <w:spacing w:line="276" w:lineRule="auto"/>
              <w:jc w:val="left"/>
              <w:textAlignment w:val="baseline"/>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天津华诚认证有限公司</w:t>
            </w:r>
          </w:p>
        </w:tc>
      </w:tr>
      <w:bookmarkEnd w:id="151"/>
      <w:bookmarkEnd w:id="152"/>
      <w:bookmarkEnd w:id="153"/>
      <w:bookmarkEnd w:id="154"/>
      <w:bookmarkEnd w:id="155"/>
    </w:tbl>
    <w:p w14:paraId="55F05B53">
      <w:pPr>
        <w:autoSpaceDN w:val="0"/>
        <w:rPr>
          <w:rFonts w:ascii="仿宋" w:hAnsi="仿宋" w:eastAsia="仿宋" w:cs="宋体"/>
          <w:b/>
          <w:bCs/>
          <w:color w:val="auto"/>
          <w:sz w:val="24"/>
          <w:szCs w:val="24"/>
          <w:highlight w:val="none"/>
        </w:rPr>
      </w:pPr>
    </w:p>
    <w:p w14:paraId="2B917CFA">
      <w:pPr>
        <w:rPr>
          <w:rFonts w:ascii="Times New Roman" w:hAnsi="Times New Roman" w:eastAsia="宋体" w:cs="Times New Roman"/>
          <w:color w:val="auto"/>
          <w:szCs w:val="24"/>
          <w:highlight w:val="none"/>
        </w:rPr>
      </w:pPr>
    </w:p>
    <w:p w14:paraId="6D6E82EA">
      <w:pPr>
        <w:rPr>
          <w:rFonts w:ascii="Times New Roman" w:hAnsi="Times New Roman" w:eastAsia="宋体" w:cs="Times New Roman"/>
          <w:color w:val="auto"/>
          <w:szCs w:val="24"/>
          <w:highlight w:val="none"/>
        </w:rPr>
      </w:pPr>
    </w:p>
    <w:bookmarkEnd w:id="0"/>
    <w:p w14:paraId="04FAE9EE">
      <w:pPr>
        <w:rPr>
          <w:color w:val="auto"/>
          <w:highlight w:val="none"/>
        </w:rPr>
      </w:pPr>
    </w:p>
    <w:sectPr>
      <w:pgSz w:w="11906" w:h="16838"/>
      <w:pgMar w:top="1440" w:right="1800" w:bottom="1440" w:left="1800" w:header="851" w:footer="107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ヒラギノ角ゴ Pro W3">
    <w:altName w:val="微软雅黑"/>
    <w:panose1 w:val="00000000000000000000"/>
    <w:charset w:val="00"/>
    <w:family w:val="roman"/>
    <w:pitch w:val="default"/>
    <w:sig w:usb0="00000000" w:usb1="00000000" w:usb2="00000000" w:usb3="00000000" w:csb0="00040001" w:csb1="00000000"/>
  </w:font>
  <w:font w:name="..ì.">
    <w:altName w:val="宋体"/>
    <w:panose1 w:val="00000000000000000000"/>
    <w:charset w:val="86"/>
    <w:family w:val="roman"/>
    <w:pitch w:val="default"/>
    <w:sig w:usb0="00000000" w:usb1="00000000" w:usb2="00000000" w:usb3="00000000" w:csb0="00040001" w:csb1="00000000"/>
  </w:font>
  <w:font w:name="Calibri Bold">
    <w:altName w:val="Calibri"/>
    <w:panose1 w:val="020F0702030404030204"/>
    <w:charset w:val="00"/>
    <w:family w:val="roman"/>
    <w:pitch w:val="default"/>
    <w:sig w:usb0="00000000" w:usb1="00000000" w:usb2="00000000" w:usb3="00000000" w:csb0="00040001" w:csb1="00000000"/>
  </w:font>
  <w:font w:name="???|CS?o｡ﾀ?">
    <w:altName w:val="Yu Gothic UI"/>
    <w:panose1 w:val="00000000000000000000"/>
    <w:charset w:val="80"/>
    <w:family w:val="modern"/>
    <w:pitch w:val="default"/>
    <w:sig w:usb0="00000000" w:usb1="00000000" w:usb2="00000010" w:usb3="00000000" w:csb0="00020000" w:csb1="00000000"/>
  </w:font>
  <w:font w:name="??">
    <w:altName w:val="Times New Roman"/>
    <w:panose1 w:val="00000000000000000000"/>
    <w:charset w:val="00"/>
    <w:family w:val="moder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昆仑楷体">
    <w:altName w:val="黑体"/>
    <w:panose1 w:val="00000000000000000000"/>
    <w:charset w:val="86"/>
    <w:family w:val="modern"/>
    <w:pitch w:val="default"/>
    <w:sig w:usb0="00000000" w:usb1="00000000" w:usb2="00000010" w:usb3="00000000" w:csb0="00040000" w:csb1="00000000"/>
  </w:font>
  <w:font w:name="Helvetica">
    <w:altName w:val="Arial"/>
    <w:panose1 w:val="020B0504020202020204"/>
    <w:charset w:val="00"/>
    <w:family w:val="swiss"/>
    <w:pitch w:val="default"/>
    <w:sig w:usb0="00000000" w:usb1="00000000" w:usb2="00000009" w:usb3="00000000" w:csb0="000001FF" w:csb1="00000000"/>
  </w:font>
  <w:font w:name="长城仿宋">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Cambria Bold">
    <w:altName w:val="Cambria"/>
    <w:panose1 w:val="02040803050406030204"/>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ˎ̥">
    <w:altName w:val="Malgun Gothic Semilight"/>
    <w:panose1 w:val="00000000000000000000"/>
    <w:charset w:val="00"/>
    <w:family w:val="roman"/>
    <w:pitch w:val="default"/>
    <w:sig w:usb0="00000000" w:usb1="00000000" w:usb2="00000000" w:usb3="00000000" w:csb0="00040001" w:csb1="00000000"/>
  </w:font>
  <w:font w:name="MS UI Gothic">
    <w:panose1 w:val="020B0600070205080204"/>
    <w:charset w:val="80"/>
    <w:family w:val="swiss"/>
    <w:pitch w:val="default"/>
    <w:sig w:usb0="E00002FF" w:usb1="6AC7FDFB" w:usb2="08000012" w:usb3="00000000" w:csb0="4002009F" w:csb1="DFD70000"/>
  </w:font>
  <w:font w:name="Microsoft YaHei UI">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C5389">
    <w:pPr>
      <w:pStyle w:val="3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C9AE6">
    <w:pPr>
      <w:pStyle w:val="37"/>
      <w:jc w:val="center"/>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C3EFF">
    <w:pPr>
      <w:pStyle w:val="3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34CB9">
    <w:pPr>
      <w:pStyle w:val="37"/>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429118">
                          <w:pPr>
                            <w:pStyle w:val="37"/>
                          </w:pPr>
                          <w:r>
                            <w:fldChar w:fldCharType="begin"/>
                          </w:r>
                          <w:r>
                            <w:instrText xml:space="preserve"> PAGE  \* MERGEFORMAT </w:instrText>
                          </w:r>
                          <w:r>
                            <w:fldChar w:fldCharType="separate"/>
                          </w:r>
                          <w:r>
                            <w:t>56</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Xf0g8IBAACN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Bl39IPCAQAAjQMAAA4AAAAAAAAAAQAgAAAAHgEAAGRycy9lMm9Eb2MueG1sUEsF&#10;BgAAAAAGAAYAWQEAAFIFAAAAAA==&#10;">
              <v:fill on="f" focussize="0,0"/>
              <v:stroke on="f"/>
              <v:imagedata o:title=""/>
              <o:lock v:ext="edit" aspectratio="f"/>
              <v:textbox inset="0mm,0mm,0mm,0mm" style="mso-fit-shape-to-text:t;">
                <w:txbxContent>
                  <w:p w14:paraId="4E429118">
                    <w:pPr>
                      <w:pStyle w:val="37"/>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227C1">
    <w:pPr>
      <w:pStyle w:val="3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A7BA594">
                          <w:pPr>
                            <w:pStyle w:val="37"/>
                          </w:pPr>
                          <w:r>
                            <w:fldChar w:fldCharType="begin"/>
                          </w:r>
                          <w:r>
                            <w:instrText xml:space="preserve"> PAGE  \* MERGEFORMAT </w:instrText>
                          </w:r>
                          <w:r>
                            <w:fldChar w:fldCharType="separate"/>
                          </w:r>
                          <w:r>
                            <w:t>56</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14:paraId="3A7BA594">
                    <w:pPr>
                      <w:pStyle w:val="37"/>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09FBC">
    <w:pPr>
      <w:pStyle w:val="37"/>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C365DE">
                          <w:pPr>
                            <w:pStyle w:val="37"/>
                          </w:pPr>
                          <w:r>
                            <w:fldChar w:fldCharType="begin"/>
                          </w:r>
                          <w:r>
                            <w:instrText xml:space="preserve"> PAGE  \* MERGEFORMAT </w:instrText>
                          </w:r>
                          <w:r>
                            <w:fldChar w:fldCharType="separate"/>
                          </w:r>
                          <w:r>
                            <w:t>56</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ip7u8EBAACN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bkGhLtjwsKln4w6Qk3FcEqF0bRReQ3+vJesp79o+x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pip7u8EBAACNAwAADgAAAAAAAAABACAAAAAeAQAAZHJzL2Uyb0RvYy54bWxQSwUG&#10;AAAAAAYABgBZAQAAUQUAAAAA&#10;">
              <v:fill on="f" focussize="0,0"/>
              <v:stroke on="f"/>
              <v:imagedata o:title=""/>
              <o:lock v:ext="edit" aspectratio="f"/>
              <v:textbox inset="0mm,0mm,0mm,0mm" style="mso-fit-shape-to-text:t;">
                <w:txbxContent>
                  <w:p w14:paraId="56C365DE">
                    <w:pPr>
                      <w:pStyle w:val="37"/>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27348">
    <w:pPr>
      <w:pStyle w:val="38"/>
      <w:tabs>
        <w:tab w:val="left" w:pos="7734"/>
      </w:tabs>
      <w:jc w:val="left"/>
    </w:pPr>
    <w:r>
      <w:rPr>
        <w:rFonts w:hint="eastAsia"/>
      </w:rPr>
      <w:tab/>
    </w:r>
    <w:r>
      <w:rPr>
        <w:rFonts w:hint="eastAsia"/>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27901">
    <w:pPr>
      <w:pStyle w:val="38"/>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607B8">
    <w:pPr>
      <w:pStyle w:val="3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B94464">
    <w:pPr>
      <w:pStyle w:val="3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B887B6"/>
    <w:multiLevelType w:val="singleLevel"/>
    <w:tmpl w:val="ACB887B6"/>
    <w:lvl w:ilvl="0" w:tentative="0">
      <w:start w:val="1"/>
      <w:numFmt w:val="decimal"/>
      <w:lvlText w:val="(%1)"/>
      <w:lvlJc w:val="left"/>
      <w:pPr>
        <w:tabs>
          <w:tab w:val="left" w:pos="312"/>
        </w:tabs>
      </w:pPr>
    </w:lvl>
  </w:abstractNum>
  <w:abstractNum w:abstractNumId="1">
    <w:nsid w:val="D91A6FAE"/>
    <w:multiLevelType w:val="singleLevel"/>
    <w:tmpl w:val="D91A6FAE"/>
    <w:lvl w:ilvl="0" w:tentative="0">
      <w:start w:val="1"/>
      <w:numFmt w:val="decimal"/>
      <w:suff w:val="nothing"/>
      <w:lvlText w:val="（%1）"/>
      <w:lvlJc w:val="left"/>
      <w:pPr>
        <w:ind w:left="0" w:firstLine="0"/>
      </w:pPr>
    </w:lvl>
  </w:abstractNum>
  <w:abstractNum w:abstractNumId="2">
    <w:nsid w:val="FFFFFF7E"/>
    <w:multiLevelType w:val="singleLevel"/>
    <w:tmpl w:val="FFFFFF7E"/>
    <w:lvl w:ilvl="0" w:tentative="0">
      <w:start w:val="1"/>
      <w:numFmt w:val="decimal"/>
      <w:pStyle w:val="24"/>
      <w:lvlText w:val="%1."/>
      <w:lvlJc w:val="left"/>
      <w:pPr>
        <w:tabs>
          <w:tab w:val="left" w:pos="1200"/>
        </w:tabs>
        <w:ind w:left="1200" w:hanging="360"/>
      </w:pPr>
    </w:lvl>
  </w:abstractNum>
  <w:abstractNum w:abstractNumId="3">
    <w:nsid w:val="004C1BFA"/>
    <w:multiLevelType w:val="multilevel"/>
    <w:tmpl w:val="004C1BFA"/>
    <w:lvl w:ilvl="0" w:tentative="0">
      <w:start w:val="1"/>
      <w:numFmt w:val="decimal"/>
      <w:pStyle w:val="356"/>
      <w:lvlText w:val="%1"/>
      <w:lvlJc w:val="left"/>
      <w:pPr>
        <w:ind w:left="704" w:hanging="420"/>
      </w:pPr>
      <w:rPr>
        <w:rFonts w:cs="Times New Roman"/>
      </w:rPr>
    </w:lvl>
    <w:lvl w:ilvl="1" w:tentative="0">
      <w:start w:val="1"/>
      <w:numFmt w:val="lowerLetter"/>
      <w:pStyle w:val="514"/>
      <w:lvlText w:val="%2)"/>
      <w:lvlJc w:val="left"/>
      <w:pPr>
        <w:ind w:left="1124" w:hanging="420"/>
      </w:pPr>
      <w:rPr>
        <w:rFonts w:cs="Times New Roman"/>
      </w:rPr>
    </w:lvl>
    <w:lvl w:ilvl="2" w:tentative="0">
      <w:start w:val="1"/>
      <w:numFmt w:val="lowerRoman"/>
      <w:lvlText w:val="%3."/>
      <w:lvlJc w:val="right"/>
      <w:pPr>
        <w:ind w:left="1544" w:hanging="420"/>
      </w:pPr>
      <w:rPr>
        <w:rFonts w:cs="Times New Roman"/>
      </w:rPr>
    </w:lvl>
    <w:lvl w:ilvl="3" w:tentative="0">
      <w:start w:val="1"/>
      <w:numFmt w:val="decimal"/>
      <w:lvlText w:val="%4."/>
      <w:lvlJc w:val="left"/>
      <w:pPr>
        <w:ind w:left="1964" w:hanging="420"/>
      </w:pPr>
      <w:rPr>
        <w:rFonts w:cs="Times New Roman"/>
      </w:rPr>
    </w:lvl>
    <w:lvl w:ilvl="4" w:tentative="0">
      <w:start w:val="1"/>
      <w:numFmt w:val="lowerLetter"/>
      <w:lvlText w:val="%5)"/>
      <w:lvlJc w:val="left"/>
      <w:pPr>
        <w:ind w:left="2384" w:hanging="420"/>
      </w:pPr>
      <w:rPr>
        <w:rFonts w:cs="Times New Roman"/>
      </w:rPr>
    </w:lvl>
    <w:lvl w:ilvl="5" w:tentative="0">
      <w:start w:val="1"/>
      <w:numFmt w:val="lowerRoman"/>
      <w:lvlText w:val="%6."/>
      <w:lvlJc w:val="right"/>
      <w:pPr>
        <w:ind w:left="2804" w:hanging="420"/>
      </w:pPr>
      <w:rPr>
        <w:rFonts w:cs="Times New Roman"/>
      </w:rPr>
    </w:lvl>
    <w:lvl w:ilvl="6" w:tentative="0">
      <w:start w:val="1"/>
      <w:numFmt w:val="decimal"/>
      <w:lvlText w:val="%7."/>
      <w:lvlJc w:val="left"/>
      <w:pPr>
        <w:ind w:left="3224" w:hanging="420"/>
      </w:pPr>
      <w:rPr>
        <w:rFonts w:cs="Times New Roman"/>
      </w:rPr>
    </w:lvl>
    <w:lvl w:ilvl="7" w:tentative="0">
      <w:start w:val="1"/>
      <w:numFmt w:val="lowerLetter"/>
      <w:lvlText w:val="%8)"/>
      <w:lvlJc w:val="left"/>
      <w:pPr>
        <w:ind w:left="3644" w:hanging="420"/>
      </w:pPr>
      <w:rPr>
        <w:rFonts w:cs="Times New Roman"/>
      </w:rPr>
    </w:lvl>
    <w:lvl w:ilvl="8" w:tentative="0">
      <w:start w:val="1"/>
      <w:numFmt w:val="lowerRoman"/>
      <w:lvlText w:val="%9."/>
      <w:lvlJc w:val="right"/>
      <w:pPr>
        <w:ind w:left="4064" w:hanging="420"/>
      </w:pPr>
      <w:rPr>
        <w:rFonts w:cs="Times New Roman"/>
      </w:rPr>
    </w:lvl>
  </w:abstractNum>
  <w:abstractNum w:abstractNumId="4">
    <w:nsid w:val="09890BCC"/>
    <w:multiLevelType w:val="multilevel"/>
    <w:tmpl w:val="09890BCC"/>
    <w:lvl w:ilvl="0" w:tentative="0">
      <w:start w:val="1"/>
      <w:numFmt w:val="decimal"/>
      <w:pStyle w:val="14"/>
      <w:lvlText w:val="%1．"/>
      <w:lvlJc w:val="left"/>
      <w:pPr>
        <w:tabs>
          <w:tab w:val="left" w:pos="900"/>
        </w:tabs>
        <w:ind w:left="900" w:hanging="720"/>
      </w:p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5">
    <w:nsid w:val="0E772A46"/>
    <w:multiLevelType w:val="multilevel"/>
    <w:tmpl w:val="0E772A46"/>
    <w:lvl w:ilvl="0" w:tentative="0">
      <w:start w:val="1"/>
      <w:numFmt w:val="chineseCounting"/>
      <w:suff w:val="nothing"/>
      <w:lvlText w:val="%1、"/>
      <w:lvlJc w:val="left"/>
      <w:pPr>
        <w:ind w:left="0" w:firstLine="0"/>
      </w:pPr>
      <w:rPr>
        <w:rFonts w:hint="eastAsia" w:ascii="宋体" w:hAnsi="宋体" w:eastAsia="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120D21CC"/>
    <w:multiLevelType w:val="multilevel"/>
    <w:tmpl w:val="120D21CC"/>
    <w:lvl w:ilvl="0" w:tentative="0">
      <w:start w:val="1"/>
      <w:numFmt w:val="decimal"/>
      <w:pStyle w:val="226"/>
      <w:lvlText w:val="（%1）"/>
      <w:lvlJc w:val="left"/>
      <w:pPr>
        <w:tabs>
          <w:tab w:val="left" w:pos="420"/>
        </w:tabs>
        <w:ind w:left="420" w:hanging="42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7">
    <w:nsid w:val="37851814"/>
    <w:multiLevelType w:val="multilevel"/>
    <w:tmpl w:val="37851814"/>
    <w:lvl w:ilvl="0" w:tentative="0">
      <w:start w:val="1"/>
      <w:numFmt w:val="decimal"/>
      <w:pStyle w:val="234"/>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8">
    <w:nsid w:val="54020BF1"/>
    <w:multiLevelType w:val="multilevel"/>
    <w:tmpl w:val="54020BF1"/>
    <w:lvl w:ilvl="0" w:tentative="0">
      <w:start w:val="1"/>
      <w:numFmt w:val="bullet"/>
      <w:lvlText w:val=""/>
      <w:lvlJc w:val="left"/>
      <w:pPr>
        <w:ind w:left="845" w:hanging="420"/>
      </w:pPr>
      <w:rPr>
        <w:rFonts w:hint="default" w:ascii="Wingdings" w:hAnsi="Wingdings"/>
      </w:rPr>
    </w:lvl>
    <w:lvl w:ilvl="1" w:tentative="0">
      <w:start w:val="1"/>
      <w:numFmt w:val="bullet"/>
      <w:lvlText w:val=""/>
      <w:lvlJc w:val="left"/>
      <w:pPr>
        <w:ind w:left="1265" w:hanging="420"/>
      </w:pPr>
      <w:rPr>
        <w:rFonts w:hint="default" w:ascii="Wingdings" w:hAnsi="Wingdings"/>
      </w:rPr>
    </w:lvl>
    <w:lvl w:ilvl="2" w:tentative="0">
      <w:start w:val="1"/>
      <w:numFmt w:val="bullet"/>
      <w:lvlText w:val=""/>
      <w:lvlJc w:val="left"/>
      <w:pPr>
        <w:ind w:left="1685" w:hanging="420"/>
      </w:pPr>
      <w:rPr>
        <w:rFonts w:hint="default" w:ascii="Wingdings" w:hAnsi="Wingdings"/>
      </w:rPr>
    </w:lvl>
    <w:lvl w:ilvl="3" w:tentative="0">
      <w:start w:val="1"/>
      <w:numFmt w:val="bullet"/>
      <w:lvlText w:val=""/>
      <w:lvlJc w:val="left"/>
      <w:pPr>
        <w:ind w:left="2105" w:hanging="420"/>
      </w:pPr>
      <w:rPr>
        <w:rFonts w:hint="default" w:ascii="Wingdings" w:hAnsi="Wingdings"/>
      </w:rPr>
    </w:lvl>
    <w:lvl w:ilvl="4" w:tentative="0">
      <w:start w:val="1"/>
      <w:numFmt w:val="bullet"/>
      <w:lvlText w:val=""/>
      <w:lvlJc w:val="left"/>
      <w:pPr>
        <w:ind w:left="2525" w:hanging="420"/>
      </w:pPr>
      <w:rPr>
        <w:rFonts w:hint="default" w:ascii="Wingdings" w:hAnsi="Wingdings"/>
      </w:rPr>
    </w:lvl>
    <w:lvl w:ilvl="5" w:tentative="0">
      <w:start w:val="1"/>
      <w:numFmt w:val="bullet"/>
      <w:lvlText w:val=""/>
      <w:lvlJc w:val="left"/>
      <w:pPr>
        <w:ind w:left="2945" w:hanging="420"/>
      </w:pPr>
      <w:rPr>
        <w:rFonts w:hint="default" w:ascii="Wingdings" w:hAnsi="Wingdings"/>
      </w:rPr>
    </w:lvl>
    <w:lvl w:ilvl="6" w:tentative="0">
      <w:start w:val="1"/>
      <w:numFmt w:val="bullet"/>
      <w:lvlText w:val=""/>
      <w:lvlJc w:val="left"/>
      <w:pPr>
        <w:ind w:left="3365" w:hanging="420"/>
      </w:pPr>
      <w:rPr>
        <w:rFonts w:hint="default" w:ascii="Wingdings" w:hAnsi="Wingdings"/>
      </w:rPr>
    </w:lvl>
    <w:lvl w:ilvl="7" w:tentative="0">
      <w:start w:val="1"/>
      <w:numFmt w:val="bullet"/>
      <w:lvlText w:val=""/>
      <w:lvlJc w:val="left"/>
      <w:pPr>
        <w:ind w:left="3785" w:hanging="420"/>
      </w:pPr>
      <w:rPr>
        <w:rFonts w:hint="default" w:ascii="Wingdings" w:hAnsi="Wingdings"/>
      </w:rPr>
    </w:lvl>
    <w:lvl w:ilvl="8" w:tentative="0">
      <w:start w:val="1"/>
      <w:numFmt w:val="bullet"/>
      <w:lvlText w:val=""/>
      <w:lvlJc w:val="left"/>
      <w:pPr>
        <w:ind w:left="4205" w:hanging="420"/>
      </w:pPr>
      <w:rPr>
        <w:rFonts w:hint="default" w:ascii="Wingdings" w:hAnsi="Wingdings"/>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
    <w:lvlOverride w:ilvl="0">
      <w:startOverride w:val="1"/>
    </w:lvlOverride>
  </w:num>
  <w:num w:numId="8">
    <w:abstractNumId w:val="0"/>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diYWVjYzNjM2Q3MDVlNWEzYWIwMjY4YzcyMTM0ZmUifQ=="/>
    <w:docVar w:name="KGWebUrl" w:val="http://oa.zjgsu.edu.cn/zftal-zhbgpt-web/common/weboffice/server.zf?jsessionid=0180535E626E8E8EEF3E916D91F78817"/>
  </w:docVars>
  <w:rsids>
    <w:rsidRoot w:val="00D910AE"/>
    <w:rsid w:val="00002EEF"/>
    <w:rsid w:val="000157C2"/>
    <w:rsid w:val="00016690"/>
    <w:rsid w:val="00016899"/>
    <w:rsid w:val="00077C14"/>
    <w:rsid w:val="000972F1"/>
    <w:rsid w:val="000B1A79"/>
    <w:rsid w:val="001707DE"/>
    <w:rsid w:val="001D1178"/>
    <w:rsid w:val="001D6C0F"/>
    <w:rsid w:val="00285221"/>
    <w:rsid w:val="002859CB"/>
    <w:rsid w:val="00291450"/>
    <w:rsid w:val="002919D3"/>
    <w:rsid w:val="002D0769"/>
    <w:rsid w:val="002D2D7A"/>
    <w:rsid w:val="002E23A5"/>
    <w:rsid w:val="002E38E4"/>
    <w:rsid w:val="002E498B"/>
    <w:rsid w:val="002F6025"/>
    <w:rsid w:val="00300CEF"/>
    <w:rsid w:val="003111D3"/>
    <w:rsid w:val="00312FA4"/>
    <w:rsid w:val="00325C20"/>
    <w:rsid w:val="003330C1"/>
    <w:rsid w:val="00334336"/>
    <w:rsid w:val="0033586E"/>
    <w:rsid w:val="0039558B"/>
    <w:rsid w:val="003F2324"/>
    <w:rsid w:val="00403BB8"/>
    <w:rsid w:val="00405C3C"/>
    <w:rsid w:val="004A088A"/>
    <w:rsid w:val="004B1B73"/>
    <w:rsid w:val="004B2426"/>
    <w:rsid w:val="004C4A67"/>
    <w:rsid w:val="004C7A8C"/>
    <w:rsid w:val="004F254A"/>
    <w:rsid w:val="00525372"/>
    <w:rsid w:val="005262E4"/>
    <w:rsid w:val="0053232F"/>
    <w:rsid w:val="00537D02"/>
    <w:rsid w:val="005406B5"/>
    <w:rsid w:val="00564DE4"/>
    <w:rsid w:val="005A5F85"/>
    <w:rsid w:val="005F463E"/>
    <w:rsid w:val="00643D8C"/>
    <w:rsid w:val="00654633"/>
    <w:rsid w:val="006743ED"/>
    <w:rsid w:val="006A4548"/>
    <w:rsid w:val="006F3115"/>
    <w:rsid w:val="00731203"/>
    <w:rsid w:val="00737403"/>
    <w:rsid w:val="007379F9"/>
    <w:rsid w:val="00745D76"/>
    <w:rsid w:val="0075194C"/>
    <w:rsid w:val="00760FBA"/>
    <w:rsid w:val="00797333"/>
    <w:rsid w:val="007B74F5"/>
    <w:rsid w:val="007C54A4"/>
    <w:rsid w:val="007E2DFD"/>
    <w:rsid w:val="007F17FD"/>
    <w:rsid w:val="00874A74"/>
    <w:rsid w:val="0088277F"/>
    <w:rsid w:val="008943A5"/>
    <w:rsid w:val="008A75AC"/>
    <w:rsid w:val="008B600D"/>
    <w:rsid w:val="008D2F23"/>
    <w:rsid w:val="008F46A2"/>
    <w:rsid w:val="00913F68"/>
    <w:rsid w:val="009323A6"/>
    <w:rsid w:val="00A40F4E"/>
    <w:rsid w:val="00A442DC"/>
    <w:rsid w:val="00A66CA9"/>
    <w:rsid w:val="00B07FBC"/>
    <w:rsid w:val="00B206EC"/>
    <w:rsid w:val="00B2192F"/>
    <w:rsid w:val="00B233CB"/>
    <w:rsid w:val="00B30565"/>
    <w:rsid w:val="00B51557"/>
    <w:rsid w:val="00BB15C2"/>
    <w:rsid w:val="00BC5A20"/>
    <w:rsid w:val="00BD5FDD"/>
    <w:rsid w:val="00BE4569"/>
    <w:rsid w:val="00C00AEA"/>
    <w:rsid w:val="00C028EC"/>
    <w:rsid w:val="00C1091E"/>
    <w:rsid w:val="00C10BCA"/>
    <w:rsid w:val="00C23AB0"/>
    <w:rsid w:val="00C23CDE"/>
    <w:rsid w:val="00CB7A4E"/>
    <w:rsid w:val="00CC412C"/>
    <w:rsid w:val="00CE47CD"/>
    <w:rsid w:val="00D06BF0"/>
    <w:rsid w:val="00D11904"/>
    <w:rsid w:val="00D11B86"/>
    <w:rsid w:val="00D16AB6"/>
    <w:rsid w:val="00D257C5"/>
    <w:rsid w:val="00D27CC1"/>
    <w:rsid w:val="00D515DE"/>
    <w:rsid w:val="00D821B1"/>
    <w:rsid w:val="00D910AE"/>
    <w:rsid w:val="00DB4616"/>
    <w:rsid w:val="00DF083E"/>
    <w:rsid w:val="00DF29E0"/>
    <w:rsid w:val="00DF5F58"/>
    <w:rsid w:val="00E004F8"/>
    <w:rsid w:val="00E5189A"/>
    <w:rsid w:val="00E80370"/>
    <w:rsid w:val="00E95B60"/>
    <w:rsid w:val="00EA058C"/>
    <w:rsid w:val="00EB0C27"/>
    <w:rsid w:val="00EE2410"/>
    <w:rsid w:val="00F03C16"/>
    <w:rsid w:val="00F133AA"/>
    <w:rsid w:val="00F46312"/>
    <w:rsid w:val="00F74272"/>
    <w:rsid w:val="00F85B13"/>
    <w:rsid w:val="00F93DAC"/>
    <w:rsid w:val="00FD0CC6"/>
    <w:rsid w:val="00FF7E52"/>
    <w:rsid w:val="01791910"/>
    <w:rsid w:val="01AF7562"/>
    <w:rsid w:val="01BC2D82"/>
    <w:rsid w:val="02356D6A"/>
    <w:rsid w:val="028B4E8E"/>
    <w:rsid w:val="02925A61"/>
    <w:rsid w:val="02B96468"/>
    <w:rsid w:val="030B374D"/>
    <w:rsid w:val="0326440A"/>
    <w:rsid w:val="03443858"/>
    <w:rsid w:val="0369158A"/>
    <w:rsid w:val="041D6583"/>
    <w:rsid w:val="048E122E"/>
    <w:rsid w:val="04E23328"/>
    <w:rsid w:val="05065269"/>
    <w:rsid w:val="052D36E5"/>
    <w:rsid w:val="05EF03F3"/>
    <w:rsid w:val="0610493F"/>
    <w:rsid w:val="06147E59"/>
    <w:rsid w:val="062F6624"/>
    <w:rsid w:val="06541A9E"/>
    <w:rsid w:val="069F7DB0"/>
    <w:rsid w:val="06F2019A"/>
    <w:rsid w:val="06F86E33"/>
    <w:rsid w:val="06FC2DC7"/>
    <w:rsid w:val="07057522"/>
    <w:rsid w:val="071B5392"/>
    <w:rsid w:val="07224AC8"/>
    <w:rsid w:val="07807554"/>
    <w:rsid w:val="079925E1"/>
    <w:rsid w:val="07B54E60"/>
    <w:rsid w:val="07D94EB6"/>
    <w:rsid w:val="08B52B24"/>
    <w:rsid w:val="08F17D67"/>
    <w:rsid w:val="08FF6B9F"/>
    <w:rsid w:val="0949606C"/>
    <w:rsid w:val="094D790A"/>
    <w:rsid w:val="098502D3"/>
    <w:rsid w:val="09BE4C65"/>
    <w:rsid w:val="09D27A29"/>
    <w:rsid w:val="0A16757C"/>
    <w:rsid w:val="0A3E36F7"/>
    <w:rsid w:val="0A780FD3"/>
    <w:rsid w:val="0AA01957"/>
    <w:rsid w:val="0ADB7197"/>
    <w:rsid w:val="0AF3628F"/>
    <w:rsid w:val="0B064214"/>
    <w:rsid w:val="0B3C7C36"/>
    <w:rsid w:val="0BBC0505"/>
    <w:rsid w:val="0BE43E2A"/>
    <w:rsid w:val="0C6812D0"/>
    <w:rsid w:val="0C851169"/>
    <w:rsid w:val="0D3E56CD"/>
    <w:rsid w:val="0D4E1EA3"/>
    <w:rsid w:val="0DD979BE"/>
    <w:rsid w:val="0E48092C"/>
    <w:rsid w:val="0E545297"/>
    <w:rsid w:val="0E9B1118"/>
    <w:rsid w:val="0EEB2A4C"/>
    <w:rsid w:val="0F9A0092"/>
    <w:rsid w:val="101A2510"/>
    <w:rsid w:val="104B091B"/>
    <w:rsid w:val="1084221D"/>
    <w:rsid w:val="10B72A0C"/>
    <w:rsid w:val="10BB15FD"/>
    <w:rsid w:val="1102547E"/>
    <w:rsid w:val="111746C5"/>
    <w:rsid w:val="112C0073"/>
    <w:rsid w:val="1152290F"/>
    <w:rsid w:val="1178361C"/>
    <w:rsid w:val="117A1879"/>
    <w:rsid w:val="118C512A"/>
    <w:rsid w:val="11F078CC"/>
    <w:rsid w:val="121B4BF4"/>
    <w:rsid w:val="129F0AAB"/>
    <w:rsid w:val="12AB56BA"/>
    <w:rsid w:val="13223BB5"/>
    <w:rsid w:val="136F5004"/>
    <w:rsid w:val="13731A92"/>
    <w:rsid w:val="13B567D8"/>
    <w:rsid w:val="13BD7245"/>
    <w:rsid w:val="14550A82"/>
    <w:rsid w:val="14884E2D"/>
    <w:rsid w:val="14BB6070"/>
    <w:rsid w:val="14D56A06"/>
    <w:rsid w:val="14EF3F6B"/>
    <w:rsid w:val="151856A7"/>
    <w:rsid w:val="15454D0E"/>
    <w:rsid w:val="15712BD2"/>
    <w:rsid w:val="158F12AA"/>
    <w:rsid w:val="1592600A"/>
    <w:rsid w:val="16414353"/>
    <w:rsid w:val="17455FEB"/>
    <w:rsid w:val="17481711"/>
    <w:rsid w:val="1767603B"/>
    <w:rsid w:val="18131D1F"/>
    <w:rsid w:val="182F0E04"/>
    <w:rsid w:val="1838202B"/>
    <w:rsid w:val="18C748B7"/>
    <w:rsid w:val="18C80D5B"/>
    <w:rsid w:val="18CE20EA"/>
    <w:rsid w:val="18DA283C"/>
    <w:rsid w:val="19566367"/>
    <w:rsid w:val="19575C3B"/>
    <w:rsid w:val="19894F54"/>
    <w:rsid w:val="19991019"/>
    <w:rsid w:val="19BB441C"/>
    <w:rsid w:val="19D52777"/>
    <w:rsid w:val="1A4C776A"/>
    <w:rsid w:val="1AC6751C"/>
    <w:rsid w:val="1AF1649A"/>
    <w:rsid w:val="1AFC6E58"/>
    <w:rsid w:val="1BEA2178"/>
    <w:rsid w:val="1BEE6D2B"/>
    <w:rsid w:val="1C281B11"/>
    <w:rsid w:val="1C2C7DBA"/>
    <w:rsid w:val="1C7E5859"/>
    <w:rsid w:val="1CE7377A"/>
    <w:rsid w:val="1D040DAB"/>
    <w:rsid w:val="1D4604F3"/>
    <w:rsid w:val="1D7C655F"/>
    <w:rsid w:val="1DF20628"/>
    <w:rsid w:val="1E1E36A6"/>
    <w:rsid w:val="1E4F5A7B"/>
    <w:rsid w:val="1E761FB4"/>
    <w:rsid w:val="1F0B19A2"/>
    <w:rsid w:val="1F15637C"/>
    <w:rsid w:val="1F371E52"/>
    <w:rsid w:val="1F427E7B"/>
    <w:rsid w:val="1FAE731F"/>
    <w:rsid w:val="1FF64A1D"/>
    <w:rsid w:val="2059498F"/>
    <w:rsid w:val="207B66B3"/>
    <w:rsid w:val="207D68CF"/>
    <w:rsid w:val="20904E15"/>
    <w:rsid w:val="21333432"/>
    <w:rsid w:val="21385966"/>
    <w:rsid w:val="217E4766"/>
    <w:rsid w:val="21D00C81"/>
    <w:rsid w:val="21D20555"/>
    <w:rsid w:val="21E8421C"/>
    <w:rsid w:val="22066484"/>
    <w:rsid w:val="223D3B7A"/>
    <w:rsid w:val="226E008B"/>
    <w:rsid w:val="22D958E1"/>
    <w:rsid w:val="22E83DA8"/>
    <w:rsid w:val="22FC115A"/>
    <w:rsid w:val="23775858"/>
    <w:rsid w:val="238B1783"/>
    <w:rsid w:val="239F5281"/>
    <w:rsid w:val="23C12CA0"/>
    <w:rsid w:val="23CD2307"/>
    <w:rsid w:val="242C042C"/>
    <w:rsid w:val="248F1CB6"/>
    <w:rsid w:val="24E76A0D"/>
    <w:rsid w:val="25CA2314"/>
    <w:rsid w:val="265D4703"/>
    <w:rsid w:val="26704BBE"/>
    <w:rsid w:val="26C64400"/>
    <w:rsid w:val="26E33204"/>
    <w:rsid w:val="26EF2BC4"/>
    <w:rsid w:val="26F1147D"/>
    <w:rsid w:val="27455C6D"/>
    <w:rsid w:val="27572D81"/>
    <w:rsid w:val="27987C58"/>
    <w:rsid w:val="27B33F58"/>
    <w:rsid w:val="27B8643F"/>
    <w:rsid w:val="27FA7609"/>
    <w:rsid w:val="28127A77"/>
    <w:rsid w:val="28133675"/>
    <w:rsid w:val="283E1BE5"/>
    <w:rsid w:val="285C501C"/>
    <w:rsid w:val="28996270"/>
    <w:rsid w:val="28C055AB"/>
    <w:rsid w:val="290A5ABA"/>
    <w:rsid w:val="29493E47"/>
    <w:rsid w:val="29534B10"/>
    <w:rsid w:val="2A3049B2"/>
    <w:rsid w:val="2A391AB9"/>
    <w:rsid w:val="2A4B17EC"/>
    <w:rsid w:val="2ACB0237"/>
    <w:rsid w:val="2B326508"/>
    <w:rsid w:val="2B856638"/>
    <w:rsid w:val="2BDE1B3D"/>
    <w:rsid w:val="2C2C73FB"/>
    <w:rsid w:val="2C4D184B"/>
    <w:rsid w:val="2C5F157F"/>
    <w:rsid w:val="2C6B4AC3"/>
    <w:rsid w:val="2C730B86"/>
    <w:rsid w:val="2CCB6BEF"/>
    <w:rsid w:val="2CD226C8"/>
    <w:rsid w:val="2D23435A"/>
    <w:rsid w:val="2D7626DC"/>
    <w:rsid w:val="2D79220F"/>
    <w:rsid w:val="2EE43FBD"/>
    <w:rsid w:val="2F112B18"/>
    <w:rsid w:val="2F454A5C"/>
    <w:rsid w:val="2F741AF9"/>
    <w:rsid w:val="2FA96B3D"/>
    <w:rsid w:val="2FB054D4"/>
    <w:rsid w:val="30313232"/>
    <w:rsid w:val="306D4751"/>
    <w:rsid w:val="30E844F1"/>
    <w:rsid w:val="311F12DD"/>
    <w:rsid w:val="314C7B56"/>
    <w:rsid w:val="31501496"/>
    <w:rsid w:val="31AA32FC"/>
    <w:rsid w:val="31BA3142"/>
    <w:rsid w:val="31C14142"/>
    <w:rsid w:val="31D976DD"/>
    <w:rsid w:val="31ED3189"/>
    <w:rsid w:val="326A2A2B"/>
    <w:rsid w:val="32861A63"/>
    <w:rsid w:val="3291399D"/>
    <w:rsid w:val="3293373B"/>
    <w:rsid w:val="329B4993"/>
    <w:rsid w:val="33524AF4"/>
    <w:rsid w:val="33A67824"/>
    <w:rsid w:val="343E1A7A"/>
    <w:rsid w:val="34A00986"/>
    <w:rsid w:val="34BD790F"/>
    <w:rsid w:val="350C7DCA"/>
    <w:rsid w:val="350E5DAF"/>
    <w:rsid w:val="352E1AEE"/>
    <w:rsid w:val="355879C5"/>
    <w:rsid w:val="35CC6F22"/>
    <w:rsid w:val="36015455"/>
    <w:rsid w:val="360B24B9"/>
    <w:rsid w:val="36127662"/>
    <w:rsid w:val="36335B90"/>
    <w:rsid w:val="364D6772"/>
    <w:rsid w:val="3666792F"/>
    <w:rsid w:val="367E6AA5"/>
    <w:rsid w:val="36857E34"/>
    <w:rsid w:val="36ED02CA"/>
    <w:rsid w:val="379A346B"/>
    <w:rsid w:val="379B25D7"/>
    <w:rsid w:val="37B025A2"/>
    <w:rsid w:val="37CE76BC"/>
    <w:rsid w:val="37ED5C00"/>
    <w:rsid w:val="384004B6"/>
    <w:rsid w:val="389D2E4B"/>
    <w:rsid w:val="392B06F0"/>
    <w:rsid w:val="395D3A1B"/>
    <w:rsid w:val="396B70C2"/>
    <w:rsid w:val="397B72CC"/>
    <w:rsid w:val="3995213C"/>
    <w:rsid w:val="39964C0C"/>
    <w:rsid w:val="3A2C1FD8"/>
    <w:rsid w:val="3A2F2590"/>
    <w:rsid w:val="3A824DB6"/>
    <w:rsid w:val="3A9236C4"/>
    <w:rsid w:val="3AD870A0"/>
    <w:rsid w:val="3B464036"/>
    <w:rsid w:val="3B5068F7"/>
    <w:rsid w:val="3B842468"/>
    <w:rsid w:val="3B887743"/>
    <w:rsid w:val="3B921D33"/>
    <w:rsid w:val="3B9C1EA7"/>
    <w:rsid w:val="3C2B135B"/>
    <w:rsid w:val="3C502C92"/>
    <w:rsid w:val="3C5A336A"/>
    <w:rsid w:val="3CC233F6"/>
    <w:rsid w:val="3CDB69FF"/>
    <w:rsid w:val="3CF47AC1"/>
    <w:rsid w:val="3D113ED7"/>
    <w:rsid w:val="3DD26D7F"/>
    <w:rsid w:val="3DEB4A20"/>
    <w:rsid w:val="3E2148E6"/>
    <w:rsid w:val="3E541694"/>
    <w:rsid w:val="3E64615F"/>
    <w:rsid w:val="3E6F7DAB"/>
    <w:rsid w:val="3E98746E"/>
    <w:rsid w:val="3E9C3F6D"/>
    <w:rsid w:val="3EC104C1"/>
    <w:rsid w:val="3EEB27FE"/>
    <w:rsid w:val="3F8C02D7"/>
    <w:rsid w:val="3F8F1FEF"/>
    <w:rsid w:val="3FF73B50"/>
    <w:rsid w:val="40185F30"/>
    <w:rsid w:val="40750F19"/>
    <w:rsid w:val="40A47108"/>
    <w:rsid w:val="40A7333F"/>
    <w:rsid w:val="410706BB"/>
    <w:rsid w:val="415154E2"/>
    <w:rsid w:val="41753E74"/>
    <w:rsid w:val="42022339"/>
    <w:rsid w:val="426B77AA"/>
    <w:rsid w:val="42843695"/>
    <w:rsid w:val="442742D8"/>
    <w:rsid w:val="447119F7"/>
    <w:rsid w:val="44832FFF"/>
    <w:rsid w:val="44B034E0"/>
    <w:rsid w:val="44E06E90"/>
    <w:rsid w:val="44F87A23"/>
    <w:rsid w:val="45107462"/>
    <w:rsid w:val="45632161"/>
    <w:rsid w:val="45723C79"/>
    <w:rsid w:val="457C0654"/>
    <w:rsid w:val="458C4D3B"/>
    <w:rsid w:val="45B20519"/>
    <w:rsid w:val="4654384D"/>
    <w:rsid w:val="466E4440"/>
    <w:rsid w:val="46853538"/>
    <w:rsid w:val="47512AB9"/>
    <w:rsid w:val="47527A52"/>
    <w:rsid w:val="478B5BE9"/>
    <w:rsid w:val="479F09BE"/>
    <w:rsid w:val="48074B4D"/>
    <w:rsid w:val="488A581A"/>
    <w:rsid w:val="48945CB4"/>
    <w:rsid w:val="48D72771"/>
    <w:rsid w:val="48ED216D"/>
    <w:rsid w:val="4A677B24"/>
    <w:rsid w:val="4A8174A6"/>
    <w:rsid w:val="4ABB5C20"/>
    <w:rsid w:val="4B3A44A1"/>
    <w:rsid w:val="4B712EE6"/>
    <w:rsid w:val="4B885FA4"/>
    <w:rsid w:val="4BB171F6"/>
    <w:rsid w:val="4BB8681F"/>
    <w:rsid w:val="4BD05870"/>
    <w:rsid w:val="4C0B2731"/>
    <w:rsid w:val="4C272D43"/>
    <w:rsid w:val="4C653BF0"/>
    <w:rsid w:val="4C8F3363"/>
    <w:rsid w:val="4C984320"/>
    <w:rsid w:val="4C9B1D07"/>
    <w:rsid w:val="4D074245"/>
    <w:rsid w:val="4D0B0C3B"/>
    <w:rsid w:val="4D730019"/>
    <w:rsid w:val="4D7B4228"/>
    <w:rsid w:val="4DBC0187"/>
    <w:rsid w:val="4DED0341"/>
    <w:rsid w:val="4F0A0A7E"/>
    <w:rsid w:val="4F245FE4"/>
    <w:rsid w:val="4F552641"/>
    <w:rsid w:val="4F555807"/>
    <w:rsid w:val="4FEB4D54"/>
    <w:rsid w:val="4FEE76AD"/>
    <w:rsid w:val="4FF04118"/>
    <w:rsid w:val="4FF57980"/>
    <w:rsid w:val="5023629C"/>
    <w:rsid w:val="502D4DCB"/>
    <w:rsid w:val="5066262C"/>
    <w:rsid w:val="50E62F1C"/>
    <w:rsid w:val="51516E38"/>
    <w:rsid w:val="515B7CB7"/>
    <w:rsid w:val="51786173"/>
    <w:rsid w:val="51C43518"/>
    <w:rsid w:val="51D33A37"/>
    <w:rsid w:val="51DB3A12"/>
    <w:rsid w:val="52030738"/>
    <w:rsid w:val="520F39C4"/>
    <w:rsid w:val="528374C6"/>
    <w:rsid w:val="528E2CE3"/>
    <w:rsid w:val="52911BE2"/>
    <w:rsid w:val="5299786A"/>
    <w:rsid w:val="52B24DB9"/>
    <w:rsid w:val="52E837CD"/>
    <w:rsid w:val="53220A8C"/>
    <w:rsid w:val="532742F5"/>
    <w:rsid w:val="53806B14"/>
    <w:rsid w:val="53B8319F"/>
    <w:rsid w:val="540006A2"/>
    <w:rsid w:val="54E81862"/>
    <w:rsid w:val="54F209D1"/>
    <w:rsid w:val="55164621"/>
    <w:rsid w:val="55795E1B"/>
    <w:rsid w:val="55A31CC2"/>
    <w:rsid w:val="565A63C6"/>
    <w:rsid w:val="567A72D5"/>
    <w:rsid w:val="57260FCD"/>
    <w:rsid w:val="57790E97"/>
    <w:rsid w:val="578F06BB"/>
    <w:rsid w:val="579655A5"/>
    <w:rsid w:val="579752FC"/>
    <w:rsid w:val="57BB325E"/>
    <w:rsid w:val="57C2283E"/>
    <w:rsid w:val="57C87729"/>
    <w:rsid w:val="57F450C3"/>
    <w:rsid w:val="581666E6"/>
    <w:rsid w:val="582D6CCD"/>
    <w:rsid w:val="586121B4"/>
    <w:rsid w:val="58813437"/>
    <w:rsid w:val="58922210"/>
    <w:rsid w:val="589917F1"/>
    <w:rsid w:val="59314366"/>
    <w:rsid w:val="59525C4D"/>
    <w:rsid w:val="5A48414F"/>
    <w:rsid w:val="5A5C0D28"/>
    <w:rsid w:val="5AF03C74"/>
    <w:rsid w:val="5B9A0D03"/>
    <w:rsid w:val="5B9C33A6"/>
    <w:rsid w:val="5BA81D4B"/>
    <w:rsid w:val="5BBA55DA"/>
    <w:rsid w:val="5C190553"/>
    <w:rsid w:val="5C367B35"/>
    <w:rsid w:val="5C500B28"/>
    <w:rsid w:val="5C7C039B"/>
    <w:rsid w:val="5CF81C6E"/>
    <w:rsid w:val="5D1C19D8"/>
    <w:rsid w:val="5D256B55"/>
    <w:rsid w:val="5D706898"/>
    <w:rsid w:val="5DD40BD5"/>
    <w:rsid w:val="5DED58A9"/>
    <w:rsid w:val="5E40270F"/>
    <w:rsid w:val="5E783C56"/>
    <w:rsid w:val="5EEC45AB"/>
    <w:rsid w:val="5F437D21"/>
    <w:rsid w:val="5F5E475F"/>
    <w:rsid w:val="5F867F04"/>
    <w:rsid w:val="60363DC9"/>
    <w:rsid w:val="605B5D36"/>
    <w:rsid w:val="60A76A75"/>
    <w:rsid w:val="60B44CEE"/>
    <w:rsid w:val="60D12EC9"/>
    <w:rsid w:val="61176BE7"/>
    <w:rsid w:val="61700C3D"/>
    <w:rsid w:val="618D36C0"/>
    <w:rsid w:val="61AE5BE1"/>
    <w:rsid w:val="61E82EA1"/>
    <w:rsid w:val="62574D12"/>
    <w:rsid w:val="62A72D5C"/>
    <w:rsid w:val="62BA151E"/>
    <w:rsid w:val="62C40459"/>
    <w:rsid w:val="62E10A89"/>
    <w:rsid w:val="63000BBC"/>
    <w:rsid w:val="633D0FCB"/>
    <w:rsid w:val="63CD05A1"/>
    <w:rsid w:val="63F26259"/>
    <w:rsid w:val="64430863"/>
    <w:rsid w:val="6458643A"/>
    <w:rsid w:val="646063F6"/>
    <w:rsid w:val="64680C55"/>
    <w:rsid w:val="646C600B"/>
    <w:rsid w:val="64B17EC2"/>
    <w:rsid w:val="65C50B86"/>
    <w:rsid w:val="65C60DEB"/>
    <w:rsid w:val="67492C4F"/>
    <w:rsid w:val="674E1D56"/>
    <w:rsid w:val="6751773B"/>
    <w:rsid w:val="675635B6"/>
    <w:rsid w:val="676A4358"/>
    <w:rsid w:val="67803B7C"/>
    <w:rsid w:val="67AD4D09"/>
    <w:rsid w:val="68833924"/>
    <w:rsid w:val="68A33FC6"/>
    <w:rsid w:val="695F7AC2"/>
    <w:rsid w:val="696F0688"/>
    <w:rsid w:val="697469DA"/>
    <w:rsid w:val="6AFD13E6"/>
    <w:rsid w:val="6B00125C"/>
    <w:rsid w:val="6BEA35FD"/>
    <w:rsid w:val="6C91288D"/>
    <w:rsid w:val="6CE8198E"/>
    <w:rsid w:val="6CEB5F3B"/>
    <w:rsid w:val="6CF46B9E"/>
    <w:rsid w:val="6D0D53A0"/>
    <w:rsid w:val="6D1159A2"/>
    <w:rsid w:val="6D14184B"/>
    <w:rsid w:val="6D2F407A"/>
    <w:rsid w:val="6D8758DA"/>
    <w:rsid w:val="6D9E29F3"/>
    <w:rsid w:val="6E146DCC"/>
    <w:rsid w:val="6E4219E4"/>
    <w:rsid w:val="6E966AF8"/>
    <w:rsid w:val="6EBC193D"/>
    <w:rsid w:val="6F2F65B3"/>
    <w:rsid w:val="6F360946"/>
    <w:rsid w:val="6F4638FD"/>
    <w:rsid w:val="6F647FD2"/>
    <w:rsid w:val="6F9603E0"/>
    <w:rsid w:val="6FFB46E7"/>
    <w:rsid w:val="702A2EE5"/>
    <w:rsid w:val="7082629A"/>
    <w:rsid w:val="70A82003"/>
    <w:rsid w:val="70CE5434"/>
    <w:rsid w:val="7105409D"/>
    <w:rsid w:val="715916C6"/>
    <w:rsid w:val="71AF7A24"/>
    <w:rsid w:val="72895FDA"/>
    <w:rsid w:val="72E72D01"/>
    <w:rsid w:val="72F464CC"/>
    <w:rsid w:val="73AA2C22"/>
    <w:rsid w:val="73CF2113"/>
    <w:rsid w:val="73EF6311"/>
    <w:rsid w:val="74387CB8"/>
    <w:rsid w:val="74411194"/>
    <w:rsid w:val="744A543C"/>
    <w:rsid w:val="74B44E65"/>
    <w:rsid w:val="74FD6465"/>
    <w:rsid w:val="751007EA"/>
    <w:rsid w:val="7531025A"/>
    <w:rsid w:val="7551712E"/>
    <w:rsid w:val="758E71FE"/>
    <w:rsid w:val="75BD235C"/>
    <w:rsid w:val="75D141C0"/>
    <w:rsid w:val="75E17EDC"/>
    <w:rsid w:val="761A49D3"/>
    <w:rsid w:val="771816DB"/>
    <w:rsid w:val="772269FE"/>
    <w:rsid w:val="77297D8C"/>
    <w:rsid w:val="773724A9"/>
    <w:rsid w:val="77390BA8"/>
    <w:rsid w:val="776F1462"/>
    <w:rsid w:val="779416A9"/>
    <w:rsid w:val="77E84A4C"/>
    <w:rsid w:val="78172511"/>
    <w:rsid w:val="781A1483"/>
    <w:rsid w:val="78342545"/>
    <w:rsid w:val="7838579C"/>
    <w:rsid w:val="789F75AD"/>
    <w:rsid w:val="78C049FB"/>
    <w:rsid w:val="78E734DC"/>
    <w:rsid w:val="78FA1106"/>
    <w:rsid w:val="79A56C45"/>
    <w:rsid w:val="79E47F9A"/>
    <w:rsid w:val="7A5E2B5E"/>
    <w:rsid w:val="7AC0574F"/>
    <w:rsid w:val="7AF63774"/>
    <w:rsid w:val="7B1526FE"/>
    <w:rsid w:val="7B3B1E3C"/>
    <w:rsid w:val="7B6E00A7"/>
    <w:rsid w:val="7B7D7929"/>
    <w:rsid w:val="7B97347C"/>
    <w:rsid w:val="7BD04C7A"/>
    <w:rsid w:val="7BFD3595"/>
    <w:rsid w:val="7C140119"/>
    <w:rsid w:val="7C217284"/>
    <w:rsid w:val="7C2211FF"/>
    <w:rsid w:val="7C3D41A1"/>
    <w:rsid w:val="7C502461"/>
    <w:rsid w:val="7C661E10"/>
    <w:rsid w:val="7CE72622"/>
    <w:rsid w:val="7D7A6BA6"/>
    <w:rsid w:val="7DBA7990"/>
    <w:rsid w:val="7DD547CA"/>
    <w:rsid w:val="7DDB4957"/>
    <w:rsid w:val="7E1C41A7"/>
    <w:rsid w:val="7E953F59"/>
    <w:rsid w:val="7EA30424"/>
    <w:rsid w:val="7EE84089"/>
    <w:rsid w:val="7FE85121"/>
    <w:rsid w:val="7FEC5323"/>
    <w:rsid w:val="7FFA05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99" w:name="heading 7"/>
    <w:lsdException w:qFormat="1" w:uiPriority="99" w:name="heading 8"/>
    <w:lsdException w:qFormat="1" w:uiPriority="99" w:name="heading 9"/>
    <w:lsdException w:qFormat="1" w:uiPriority="99" w:name="index 1"/>
    <w:lsdException w:qFormat="1" w:uiPriority="99" w:name="index 2"/>
    <w:lsdException w:qFormat="1" w:uiPriority="99" w:name="index 3"/>
    <w:lsdException w:qFormat="1" w:uiPriority="99" w:name="index 4"/>
    <w:lsdException w:qFormat="1" w:uiPriority="99" w:name="index 5"/>
    <w:lsdException w:uiPriority="99" w:name="index 6"/>
    <w:lsdException w:qFormat="1" w:unhideWhenUsed="0" w:uiPriority="0" w:semiHidden="0"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qFormat="1" w:uiPriority="99" w:name="toc 4"/>
    <w:lsdException w:qFormat="1" w:uiPriority="99" w:name="toc 5"/>
    <w:lsdException w:qFormat="1" w:uiPriority="99" w:name="toc 6"/>
    <w:lsdException w:qFormat="1" w:uiPriority="99" w:name="toc 7"/>
    <w:lsdException w:qFormat="1" w:uiPriority="99" w:name="toc 8"/>
    <w:lsdException w:qFormat="1" w:uiPriority="99" w:name="toc 9"/>
    <w:lsdException w:qFormat="1" w:uiPriority="0"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99" w:name="caption"/>
    <w:lsdException w:qFormat="1" w:uiPriority="99" w:name="table of figures"/>
    <w:lsdException w:uiPriority="99" w:name="envelope address"/>
    <w:lsdException w:uiPriority="99" w:name="envelope return"/>
    <w:lsdException w:qFormat="1" w:uiPriority="0" w:name="footnote reference"/>
    <w:lsdException w:qFormat="1" w:uiPriority="0" w:name="annotation reference"/>
    <w:lsdException w:uiPriority="99" w:name="line number"/>
    <w:lsdException w:qFormat="1" w:unhideWhenUsed="0" w:uiPriority="0" w:semiHidden="0" w:name="page number"/>
    <w:lsdException w:qFormat="1" w:uiPriority="0" w:name="endnote reference"/>
    <w:lsdException w:qFormat="1" w:uiPriority="99" w:name="endnote text"/>
    <w:lsdException w:uiPriority="99" w:name="table of authorities"/>
    <w:lsdException w:uiPriority="99" w:name="macro"/>
    <w:lsdException w:qFormat="1" w:uiPriority="99" w:name="toa heading"/>
    <w:lsdException w:qFormat="1" w:uiPriority="99" w:name="List"/>
    <w:lsdException w:uiPriority="99" w:name="List Bullet"/>
    <w:lsdException w:qFormat="1" w:uiPriority="99" w:name="List Number"/>
    <w:lsdException w:qFormat="1" w:uiPriority="99" w:name="List 2"/>
    <w:lsdException w:qFormat="1" w:uiPriority="99" w:name="List 3"/>
    <w:lsdException w:qFormat="1" w:uiPriority="99" w:name="List 4"/>
    <w:lsdException w:qFormat="1"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iPriority="99" w:name="List Number 3"/>
    <w:lsdException w:uiPriority="99" w:name="List Number 4"/>
    <w:lsdException w:uiPriority="99" w:name="List Number 5"/>
    <w:lsdException w:qFormat="1" w:unhideWhenUsed="0" w:uiPriority="99" w:semiHidden="0" w:name="Title"/>
    <w:lsdException w:uiPriority="99" w:name="Closing"/>
    <w:lsdException w:qFormat="1"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iPriority="99" w:name="Salutation"/>
    <w:lsdException w:qFormat="1" w:uiPriority="99" w:name="Date"/>
    <w:lsdException w:qFormat="1" w:uiPriority="99" w:name="Body Text First Indent"/>
    <w:lsdException w:qFormat="1" w:unhideWhenUsed="0" w:uiPriority="0" w:semiHidden="0" w:name="Body Text First Indent 2"/>
    <w:lsdException w:uiPriority="99" w:name="Note Heading"/>
    <w:lsdException w:qFormat="1" w:uiPriority="99" w:name="Body Text 2"/>
    <w:lsdException w:qFormat="1" w:uiPriority="99" w:name="Body Text 3"/>
    <w:lsdException w:qFormat="1" w:uiPriority="99" w:semiHidden="0" w:name="Body Text Indent 2"/>
    <w:lsdException w:qFormat="1" w:uiPriority="99" w:name="Body Text Indent 3"/>
    <w:lsdException w:qFormat="1" w:uiPriority="99" w:name="Block Text"/>
    <w:lsdException w:qFormat="1" w:uiPriority="99" w:semiHidden="0" w:name="Hyperlink"/>
    <w:lsdException w:qFormat="1" w:uiPriority="0" w:name="FollowedHyperlink"/>
    <w:lsdException w:qFormat="1" w:unhideWhenUsed="0" w:uiPriority="22" w:semiHidden="0" w:name="Strong"/>
    <w:lsdException w:qFormat="1" w:unhideWhenUsed="0" w:uiPriority="20" w:semiHidden="0" w:name="Emphasis"/>
    <w:lsdException w:qFormat="1" w:uiPriority="99" w:name="Document Map"/>
    <w:lsdException w:qFormat="1"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name="HTML Preformatted"/>
    <w:lsdException w:qFormat="1"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qFormat="1" w:uiPriority="0"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qFormat="1"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76"/>
    <w:autoRedefine/>
    <w:qFormat/>
    <w:uiPriority w:val="0"/>
    <w:pPr>
      <w:keepNext/>
      <w:jc w:val="center"/>
      <w:outlineLvl w:val="0"/>
    </w:pPr>
    <w:rPr>
      <w:rFonts w:ascii="Times New Roman" w:hAnsi="Times New Roman" w:eastAsia="宋体" w:cs="Times New Roman"/>
      <w:b/>
      <w:bCs/>
      <w:kern w:val="0"/>
      <w:sz w:val="24"/>
      <w:szCs w:val="24"/>
    </w:rPr>
  </w:style>
  <w:style w:type="paragraph" w:styleId="4">
    <w:name w:val="heading 2"/>
    <w:basedOn w:val="1"/>
    <w:next w:val="1"/>
    <w:link w:val="77"/>
    <w:autoRedefine/>
    <w:semiHidden/>
    <w:unhideWhenUsed/>
    <w:qFormat/>
    <w:uiPriority w:val="0"/>
    <w:pPr>
      <w:keepNext/>
      <w:keepLines/>
      <w:spacing w:before="260" w:after="260" w:line="415" w:lineRule="auto"/>
      <w:outlineLvl w:val="1"/>
    </w:pPr>
    <w:rPr>
      <w:rFonts w:ascii="等线 Light" w:hAnsi="等线 Light" w:eastAsia="等线 Light" w:cs="Times New Roman"/>
      <w:b/>
      <w:bCs/>
      <w:sz w:val="32"/>
      <w:szCs w:val="32"/>
    </w:rPr>
  </w:style>
  <w:style w:type="paragraph" w:styleId="5">
    <w:name w:val="heading 3"/>
    <w:basedOn w:val="1"/>
    <w:next w:val="1"/>
    <w:link w:val="78"/>
    <w:autoRedefine/>
    <w:semiHidden/>
    <w:unhideWhenUsed/>
    <w:qFormat/>
    <w:uiPriority w:val="0"/>
    <w:pPr>
      <w:keepNext/>
      <w:keepLines/>
      <w:spacing w:before="260" w:after="260" w:line="415" w:lineRule="auto"/>
      <w:outlineLvl w:val="2"/>
    </w:pPr>
    <w:rPr>
      <w:rFonts w:ascii="Times New Roman" w:hAnsi="Times New Roman" w:eastAsia="宋体" w:cs="Times New Roman"/>
      <w:b/>
      <w:bCs/>
      <w:kern w:val="0"/>
      <w:sz w:val="32"/>
      <w:szCs w:val="32"/>
    </w:rPr>
  </w:style>
  <w:style w:type="paragraph" w:styleId="6">
    <w:name w:val="heading 4"/>
    <w:basedOn w:val="1"/>
    <w:next w:val="1"/>
    <w:link w:val="79"/>
    <w:autoRedefine/>
    <w:semiHidden/>
    <w:unhideWhenUsed/>
    <w:qFormat/>
    <w:uiPriority w:val="0"/>
    <w:pPr>
      <w:keepNext/>
      <w:keepLines/>
      <w:spacing w:before="280" w:after="290" w:line="374" w:lineRule="auto"/>
      <w:outlineLvl w:val="3"/>
    </w:pPr>
    <w:rPr>
      <w:rFonts w:ascii="Arial" w:hAnsi="Arial" w:eastAsia="黑体" w:cs="Times New Roman"/>
      <w:b/>
      <w:bCs/>
      <w:kern w:val="0"/>
      <w:sz w:val="28"/>
      <w:szCs w:val="28"/>
    </w:rPr>
  </w:style>
  <w:style w:type="paragraph" w:styleId="7">
    <w:name w:val="heading 5"/>
    <w:basedOn w:val="1"/>
    <w:next w:val="1"/>
    <w:link w:val="80"/>
    <w:autoRedefine/>
    <w:semiHidden/>
    <w:unhideWhenUsed/>
    <w:qFormat/>
    <w:uiPriority w:val="0"/>
    <w:pPr>
      <w:keepNext/>
      <w:keepLines/>
      <w:spacing w:before="280" w:after="290" w:line="374" w:lineRule="auto"/>
      <w:outlineLvl w:val="4"/>
    </w:pPr>
    <w:rPr>
      <w:rFonts w:ascii="Times New Roman" w:hAnsi="Times New Roman" w:eastAsia="宋体" w:cs="Times New Roman"/>
      <w:b/>
      <w:bCs/>
      <w:kern w:val="0"/>
      <w:sz w:val="28"/>
      <w:szCs w:val="28"/>
    </w:rPr>
  </w:style>
  <w:style w:type="paragraph" w:styleId="8">
    <w:name w:val="heading 6"/>
    <w:next w:val="1"/>
    <w:link w:val="81"/>
    <w:autoRedefine/>
    <w:semiHidden/>
    <w:unhideWhenUsed/>
    <w:qFormat/>
    <w:uiPriority w:val="0"/>
    <w:pPr>
      <w:wordWrap w:val="0"/>
      <w:spacing w:after="160"/>
      <w:ind w:left="2000" w:hanging="400"/>
      <w:jc w:val="both"/>
      <w:outlineLvl w:val="5"/>
    </w:pPr>
    <w:rPr>
      <w:rFonts w:ascii="Times New Roman" w:hAnsi="Times New Roman" w:eastAsia="宋体" w:cs="Times New Roman"/>
      <w:b/>
      <w:sz w:val="21"/>
      <w:lang w:val="en-US" w:eastAsia="zh-CN" w:bidi="ar-SA"/>
    </w:rPr>
  </w:style>
  <w:style w:type="paragraph" w:styleId="9">
    <w:name w:val="heading 7"/>
    <w:next w:val="1"/>
    <w:link w:val="82"/>
    <w:autoRedefine/>
    <w:semiHidden/>
    <w:unhideWhenUsed/>
    <w:qFormat/>
    <w:uiPriority w:val="99"/>
    <w:pPr>
      <w:wordWrap w:val="0"/>
      <w:spacing w:after="160"/>
      <w:ind w:left="2200" w:hanging="400"/>
      <w:jc w:val="both"/>
      <w:outlineLvl w:val="6"/>
    </w:pPr>
    <w:rPr>
      <w:rFonts w:ascii="Times New Roman" w:hAnsi="Times New Roman" w:eastAsia="宋体" w:cs="Times New Roman"/>
      <w:sz w:val="21"/>
      <w:lang w:val="en-US" w:eastAsia="zh-CN" w:bidi="ar-SA"/>
    </w:rPr>
  </w:style>
  <w:style w:type="paragraph" w:styleId="10">
    <w:name w:val="heading 8"/>
    <w:next w:val="1"/>
    <w:link w:val="83"/>
    <w:autoRedefine/>
    <w:semiHidden/>
    <w:unhideWhenUsed/>
    <w:qFormat/>
    <w:uiPriority w:val="99"/>
    <w:pPr>
      <w:wordWrap w:val="0"/>
      <w:spacing w:after="160"/>
      <w:ind w:left="2400" w:hanging="400"/>
      <w:jc w:val="both"/>
      <w:outlineLvl w:val="7"/>
    </w:pPr>
    <w:rPr>
      <w:rFonts w:ascii="Times New Roman" w:hAnsi="Times New Roman" w:eastAsia="宋体" w:cs="Times New Roman"/>
      <w:sz w:val="21"/>
      <w:lang w:val="en-US" w:eastAsia="zh-CN" w:bidi="ar-SA"/>
    </w:rPr>
  </w:style>
  <w:style w:type="paragraph" w:styleId="11">
    <w:name w:val="heading 9"/>
    <w:basedOn w:val="1"/>
    <w:next w:val="1"/>
    <w:link w:val="84"/>
    <w:autoRedefine/>
    <w:semiHidden/>
    <w:unhideWhenUsed/>
    <w:qFormat/>
    <w:uiPriority w:val="99"/>
    <w:pPr>
      <w:keepNext/>
      <w:keepLines/>
      <w:spacing w:before="240" w:after="64" w:line="316" w:lineRule="auto"/>
      <w:outlineLvl w:val="8"/>
    </w:pPr>
    <w:rPr>
      <w:rFonts w:ascii="Arial" w:hAnsi="Arial" w:eastAsia="黑体" w:cs="Times New Roman"/>
      <w:kern w:val="0"/>
      <w:sz w:val="20"/>
      <w:szCs w:val="20"/>
    </w:rPr>
  </w:style>
  <w:style w:type="character" w:default="1" w:styleId="65">
    <w:name w:val="Default Paragraph Font"/>
    <w:autoRedefine/>
    <w:semiHidden/>
    <w:unhideWhenUsed/>
    <w:qFormat/>
    <w:uiPriority w:val="1"/>
  </w:style>
  <w:style w:type="table" w:default="1" w:styleId="61">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link w:val="95"/>
    <w:autoRedefine/>
    <w:semiHidden/>
    <w:unhideWhenUsed/>
    <w:qFormat/>
    <w:uiPriority w:val="99"/>
    <w:pPr>
      <w:spacing w:after="120"/>
    </w:pPr>
    <w:rPr>
      <w:rFonts w:ascii="Times New Roman" w:hAnsi="Times New Roman" w:eastAsia="宋体" w:cs="Times New Roman"/>
      <w:kern w:val="0"/>
      <w:sz w:val="28"/>
      <w:szCs w:val="24"/>
    </w:rPr>
  </w:style>
  <w:style w:type="paragraph" w:styleId="12">
    <w:name w:val="List 3"/>
    <w:basedOn w:val="1"/>
    <w:autoRedefine/>
    <w:semiHidden/>
    <w:unhideWhenUsed/>
    <w:qFormat/>
    <w:uiPriority w:val="99"/>
    <w:pPr>
      <w:ind w:left="100" w:leftChars="400" w:hanging="200" w:hangingChars="200"/>
    </w:pPr>
    <w:rPr>
      <w:rFonts w:ascii="Times New Roman" w:hAnsi="Times New Roman" w:eastAsia="宋体" w:cs="Times New Roman"/>
      <w:szCs w:val="20"/>
    </w:rPr>
  </w:style>
  <w:style w:type="paragraph" w:styleId="13">
    <w:name w:val="toc 7"/>
    <w:next w:val="1"/>
    <w:autoRedefine/>
    <w:semiHidden/>
    <w:unhideWhenUsed/>
    <w:qFormat/>
    <w:uiPriority w:val="99"/>
    <w:pPr>
      <w:wordWrap w:val="0"/>
      <w:ind w:left="2125"/>
      <w:jc w:val="both"/>
    </w:pPr>
    <w:rPr>
      <w:rFonts w:ascii="Times New Roman" w:hAnsi="Times New Roman" w:eastAsia="宋体" w:cs="Times New Roman"/>
      <w:sz w:val="21"/>
      <w:lang w:val="en-US" w:eastAsia="zh-CN" w:bidi="ar-SA"/>
    </w:rPr>
  </w:style>
  <w:style w:type="paragraph" w:styleId="14">
    <w:name w:val="List Number"/>
    <w:basedOn w:val="1"/>
    <w:autoRedefine/>
    <w:semiHidden/>
    <w:unhideWhenUsed/>
    <w:qFormat/>
    <w:uiPriority w:val="99"/>
    <w:pPr>
      <w:widowControl/>
      <w:numPr>
        <w:ilvl w:val="0"/>
        <w:numId w:val="1"/>
      </w:numPr>
      <w:spacing w:afterLines="50"/>
      <w:ind w:left="1800"/>
      <w:jc w:val="left"/>
    </w:pPr>
    <w:rPr>
      <w:rFonts w:ascii="Times New Roman" w:hAnsi="Times New Roman" w:eastAsia="宋体" w:cs="Times New Roman"/>
      <w:kern w:val="0"/>
      <w:sz w:val="24"/>
      <w:szCs w:val="20"/>
    </w:rPr>
  </w:style>
  <w:style w:type="paragraph" w:styleId="15">
    <w:name w:val="Normal Indent"/>
    <w:basedOn w:val="1"/>
    <w:link w:val="87"/>
    <w:autoRedefine/>
    <w:semiHidden/>
    <w:unhideWhenUsed/>
    <w:qFormat/>
    <w:uiPriority w:val="0"/>
    <w:pPr>
      <w:ind w:firstLine="420"/>
    </w:pPr>
  </w:style>
  <w:style w:type="paragraph" w:styleId="16">
    <w:name w:val="caption"/>
    <w:basedOn w:val="1"/>
    <w:next w:val="1"/>
    <w:autoRedefine/>
    <w:semiHidden/>
    <w:unhideWhenUsed/>
    <w:qFormat/>
    <w:uiPriority w:val="99"/>
    <w:pPr>
      <w:spacing w:before="152" w:after="160"/>
    </w:pPr>
    <w:rPr>
      <w:rFonts w:ascii="Arial" w:hAnsi="Arial" w:eastAsia="黑体" w:cs="Arial"/>
      <w:sz w:val="20"/>
      <w:szCs w:val="20"/>
    </w:rPr>
  </w:style>
  <w:style w:type="paragraph" w:styleId="17">
    <w:name w:val="index 5"/>
    <w:basedOn w:val="1"/>
    <w:next w:val="1"/>
    <w:autoRedefine/>
    <w:semiHidden/>
    <w:unhideWhenUsed/>
    <w:qFormat/>
    <w:uiPriority w:val="99"/>
    <w:pPr>
      <w:widowControl/>
      <w:spacing w:before="60" w:after="60"/>
      <w:ind w:left="1440"/>
    </w:pPr>
    <w:rPr>
      <w:rFonts w:ascii="Arial" w:hAnsi="Arial" w:eastAsia="宋体" w:cs="Arial"/>
      <w:kern w:val="0"/>
      <w:sz w:val="20"/>
      <w:szCs w:val="20"/>
      <w:lang w:val="en-GB" w:eastAsia="fr-FR"/>
    </w:rPr>
  </w:style>
  <w:style w:type="paragraph" w:styleId="18">
    <w:name w:val="Document Map"/>
    <w:basedOn w:val="1"/>
    <w:link w:val="104"/>
    <w:autoRedefine/>
    <w:semiHidden/>
    <w:unhideWhenUsed/>
    <w:qFormat/>
    <w:uiPriority w:val="99"/>
    <w:pPr>
      <w:shd w:val="clear" w:color="auto" w:fill="000080"/>
    </w:pPr>
    <w:rPr>
      <w:rFonts w:ascii="宋体" w:hAnsi="Times New Roman" w:eastAsia="宋体" w:cs="Times New Roman"/>
      <w:sz w:val="18"/>
      <w:szCs w:val="18"/>
    </w:rPr>
  </w:style>
  <w:style w:type="paragraph" w:styleId="19">
    <w:name w:val="toa heading"/>
    <w:basedOn w:val="1"/>
    <w:next w:val="1"/>
    <w:autoRedefine/>
    <w:semiHidden/>
    <w:unhideWhenUsed/>
    <w:qFormat/>
    <w:uiPriority w:val="99"/>
    <w:pPr>
      <w:spacing w:before="120"/>
    </w:pPr>
    <w:rPr>
      <w:rFonts w:ascii="Arial" w:hAnsi="Times New Roman" w:eastAsia="宋体" w:cs="Times New Roman"/>
      <w:kern w:val="0"/>
      <w:sz w:val="24"/>
      <w:szCs w:val="20"/>
    </w:rPr>
  </w:style>
  <w:style w:type="paragraph" w:styleId="20">
    <w:name w:val="annotation text"/>
    <w:basedOn w:val="1"/>
    <w:link w:val="710"/>
    <w:autoRedefine/>
    <w:semiHidden/>
    <w:unhideWhenUsed/>
    <w:qFormat/>
    <w:uiPriority w:val="99"/>
    <w:pPr>
      <w:jc w:val="left"/>
    </w:pPr>
    <w:rPr>
      <w:rFonts w:ascii="Times New Roman" w:hAnsi="Times New Roman" w:eastAsia="宋体" w:cs="Times New Roman"/>
      <w:kern w:val="0"/>
      <w:sz w:val="20"/>
      <w:szCs w:val="24"/>
    </w:rPr>
  </w:style>
  <w:style w:type="paragraph" w:styleId="21">
    <w:name w:val="Body Text 3"/>
    <w:basedOn w:val="1"/>
    <w:link w:val="101"/>
    <w:autoRedefine/>
    <w:semiHidden/>
    <w:unhideWhenUsed/>
    <w:qFormat/>
    <w:uiPriority w:val="99"/>
    <w:pPr>
      <w:snapToGrid w:val="0"/>
      <w:spacing w:before="50" w:after="50"/>
    </w:pPr>
    <w:rPr>
      <w:rFonts w:ascii="Times New Roman" w:hAnsi="宋体" w:eastAsia="仿宋_GB2312" w:cs="Times New Roman"/>
      <w:b/>
      <w:bCs/>
      <w:kern w:val="0"/>
      <w:sz w:val="24"/>
      <w:szCs w:val="20"/>
    </w:rPr>
  </w:style>
  <w:style w:type="paragraph" w:styleId="22">
    <w:name w:val="Body Text Indent"/>
    <w:basedOn w:val="1"/>
    <w:next w:val="23"/>
    <w:link w:val="96"/>
    <w:autoRedefine/>
    <w:semiHidden/>
    <w:unhideWhenUsed/>
    <w:qFormat/>
    <w:uiPriority w:val="99"/>
    <w:pPr>
      <w:spacing w:line="200" w:lineRule="exact"/>
      <w:ind w:firstLine="301"/>
    </w:pPr>
    <w:rPr>
      <w:rFonts w:ascii="宋体" w:hAnsi="Courier New" w:eastAsia="宋体" w:cs="Times New Roman"/>
      <w:spacing w:val="-4"/>
      <w:kern w:val="0"/>
      <w:sz w:val="18"/>
      <w:szCs w:val="20"/>
    </w:rPr>
  </w:style>
  <w:style w:type="paragraph" w:styleId="23">
    <w:name w:val="Body Text First Indent 2"/>
    <w:basedOn w:val="22"/>
    <w:next w:val="1"/>
    <w:autoRedefine/>
    <w:qFormat/>
    <w:uiPriority w:val="0"/>
    <w:pPr>
      <w:spacing w:after="120" w:line="240" w:lineRule="auto"/>
      <w:ind w:left="420" w:leftChars="200" w:firstLine="420" w:firstLineChars="200"/>
    </w:pPr>
    <w:rPr>
      <w:rFonts w:ascii="Times New Roman" w:hAnsi="Times New Roman"/>
      <w:spacing w:val="0"/>
      <w:sz w:val="21"/>
      <w:szCs w:val="24"/>
    </w:rPr>
  </w:style>
  <w:style w:type="paragraph" w:styleId="24">
    <w:name w:val="List Number 3"/>
    <w:basedOn w:val="1"/>
    <w:autoRedefine/>
    <w:semiHidden/>
    <w:unhideWhenUsed/>
    <w:qFormat/>
    <w:uiPriority w:val="99"/>
    <w:pPr>
      <w:numPr>
        <w:ilvl w:val="0"/>
        <w:numId w:val="2"/>
      </w:numPr>
    </w:pPr>
    <w:rPr>
      <w:rFonts w:ascii="Times New Roman" w:hAnsi="Times New Roman" w:eastAsia="宋体" w:cs="Times New Roman"/>
      <w:szCs w:val="24"/>
    </w:rPr>
  </w:style>
  <w:style w:type="paragraph" w:styleId="25">
    <w:name w:val="List 2"/>
    <w:basedOn w:val="1"/>
    <w:autoRedefine/>
    <w:semiHidden/>
    <w:unhideWhenUsed/>
    <w:qFormat/>
    <w:uiPriority w:val="99"/>
    <w:pPr>
      <w:ind w:left="100" w:leftChars="200" w:hanging="200" w:hangingChars="200"/>
    </w:pPr>
    <w:rPr>
      <w:rFonts w:ascii="Times New Roman" w:hAnsi="Times New Roman" w:eastAsia="宋体" w:cs="Times New Roman"/>
      <w:sz w:val="28"/>
      <w:szCs w:val="24"/>
    </w:rPr>
  </w:style>
  <w:style w:type="paragraph" w:styleId="26">
    <w:name w:val="Block Text"/>
    <w:basedOn w:val="1"/>
    <w:autoRedefine/>
    <w:semiHidden/>
    <w:unhideWhenUsed/>
    <w:qFormat/>
    <w:uiPriority w:val="99"/>
    <w:pPr>
      <w:adjustRightInd w:val="0"/>
      <w:ind w:left="420" w:right="33"/>
      <w:jc w:val="left"/>
    </w:pPr>
    <w:rPr>
      <w:rFonts w:ascii="Times New Roman" w:hAnsi="Times New Roman" w:eastAsia="宋体" w:cs="Times New Roman"/>
      <w:kern w:val="0"/>
      <w:sz w:val="24"/>
      <w:szCs w:val="20"/>
    </w:rPr>
  </w:style>
  <w:style w:type="paragraph" w:styleId="27">
    <w:name w:val="index 4"/>
    <w:basedOn w:val="1"/>
    <w:next w:val="1"/>
    <w:autoRedefine/>
    <w:semiHidden/>
    <w:unhideWhenUsed/>
    <w:qFormat/>
    <w:uiPriority w:val="99"/>
    <w:pPr>
      <w:ind w:left="600" w:leftChars="600"/>
    </w:pPr>
    <w:rPr>
      <w:rFonts w:ascii="Times New Roman" w:hAnsi="Times New Roman" w:eastAsia="宋体" w:cs="Times New Roman"/>
      <w:szCs w:val="24"/>
    </w:rPr>
  </w:style>
  <w:style w:type="paragraph" w:styleId="28">
    <w:name w:val="toc 5"/>
    <w:next w:val="1"/>
    <w:autoRedefine/>
    <w:semiHidden/>
    <w:unhideWhenUsed/>
    <w:qFormat/>
    <w:uiPriority w:val="99"/>
    <w:pPr>
      <w:wordWrap w:val="0"/>
      <w:ind w:left="1275"/>
      <w:jc w:val="both"/>
    </w:pPr>
    <w:rPr>
      <w:rFonts w:ascii="Times New Roman" w:hAnsi="Times New Roman" w:eastAsia="宋体" w:cs="Times New Roman"/>
      <w:sz w:val="21"/>
      <w:lang w:val="en-US" w:eastAsia="zh-CN" w:bidi="ar-SA"/>
    </w:rPr>
  </w:style>
  <w:style w:type="paragraph" w:styleId="29">
    <w:name w:val="toc 3"/>
    <w:basedOn w:val="1"/>
    <w:next w:val="1"/>
    <w:autoRedefine/>
    <w:semiHidden/>
    <w:unhideWhenUsed/>
    <w:qFormat/>
    <w:uiPriority w:val="39"/>
    <w:pPr>
      <w:ind w:left="840" w:leftChars="400"/>
    </w:pPr>
    <w:rPr>
      <w:rFonts w:ascii="Calibri" w:hAnsi="Calibri" w:eastAsia="宋体" w:cs="Times New Roman"/>
    </w:rPr>
  </w:style>
  <w:style w:type="paragraph" w:styleId="30">
    <w:name w:val="Plain Text"/>
    <w:basedOn w:val="1"/>
    <w:link w:val="105"/>
    <w:autoRedefine/>
    <w:unhideWhenUsed/>
    <w:qFormat/>
    <w:uiPriority w:val="99"/>
    <w:pPr>
      <w:spacing w:beforeLines="50" w:afterLines="50" w:line="400" w:lineRule="exact"/>
    </w:pPr>
    <w:rPr>
      <w:rFonts w:ascii="宋体" w:hAnsi="Courier New" w:eastAsia="宋体" w:cs="Times New Roman"/>
      <w:kern w:val="0"/>
      <w:sz w:val="24"/>
      <w:szCs w:val="24"/>
    </w:rPr>
  </w:style>
  <w:style w:type="paragraph" w:styleId="31">
    <w:name w:val="toc 8"/>
    <w:next w:val="1"/>
    <w:autoRedefine/>
    <w:semiHidden/>
    <w:unhideWhenUsed/>
    <w:qFormat/>
    <w:uiPriority w:val="99"/>
    <w:pPr>
      <w:wordWrap w:val="0"/>
      <w:ind w:left="2550"/>
      <w:jc w:val="both"/>
    </w:pPr>
    <w:rPr>
      <w:rFonts w:ascii="Times New Roman" w:hAnsi="Times New Roman" w:eastAsia="宋体" w:cs="Times New Roman"/>
      <w:sz w:val="21"/>
      <w:lang w:val="en-US" w:eastAsia="zh-CN" w:bidi="ar-SA"/>
    </w:rPr>
  </w:style>
  <w:style w:type="paragraph" w:styleId="32">
    <w:name w:val="index 3"/>
    <w:basedOn w:val="1"/>
    <w:next w:val="1"/>
    <w:autoRedefine/>
    <w:semiHidden/>
    <w:unhideWhenUsed/>
    <w:qFormat/>
    <w:uiPriority w:val="99"/>
    <w:pPr>
      <w:ind w:left="400" w:leftChars="400"/>
    </w:pPr>
    <w:rPr>
      <w:rFonts w:ascii="宋体" w:hAnsi="Times New Roman" w:eastAsia="宋体" w:cs="Times New Roman"/>
      <w:sz w:val="24"/>
      <w:szCs w:val="20"/>
    </w:rPr>
  </w:style>
  <w:style w:type="paragraph" w:styleId="33">
    <w:name w:val="Date"/>
    <w:basedOn w:val="1"/>
    <w:next w:val="1"/>
    <w:link w:val="98"/>
    <w:autoRedefine/>
    <w:semiHidden/>
    <w:unhideWhenUsed/>
    <w:qFormat/>
    <w:uiPriority w:val="99"/>
    <w:pPr>
      <w:ind w:left="2500" w:leftChars="2500"/>
    </w:pPr>
    <w:rPr>
      <w:rFonts w:ascii="Times New Roman" w:hAnsi="Times New Roman" w:eastAsia="楷体_GB2312" w:cs="Times New Roman"/>
      <w:kern w:val="0"/>
      <w:sz w:val="32"/>
      <w:szCs w:val="20"/>
    </w:rPr>
  </w:style>
  <w:style w:type="paragraph" w:styleId="34">
    <w:name w:val="Body Text Indent 2"/>
    <w:basedOn w:val="1"/>
    <w:link w:val="102"/>
    <w:autoRedefine/>
    <w:unhideWhenUsed/>
    <w:qFormat/>
    <w:uiPriority w:val="99"/>
    <w:pPr>
      <w:snapToGrid w:val="0"/>
      <w:ind w:firstLine="542" w:firstLineChars="225"/>
    </w:pPr>
    <w:rPr>
      <w:rFonts w:ascii="仿宋_GB2312" w:hAnsi="宋体" w:eastAsia="宋体" w:cs="Times New Roman"/>
      <w:b/>
      <w:bCs/>
      <w:color w:val="000000"/>
      <w:kern w:val="0"/>
      <w:sz w:val="24"/>
      <w:szCs w:val="24"/>
    </w:rPr>
  </w:style>
  <w:style w:type="paragraph" w:styleId="35">
    <w:name w:val="endnote text"/>
    <w:basedOn w:val="1"/>
    <w:link w:val="92"/>
    <w:autoRedefine/>
    <w:semiHidden/>
    <w:unhideWhenUsed/>
    <w:qFormat/>
    <w:uiPriority w:val="99"/>
    <w:pPr>
      <w:snapToGrid w:val="0"/>
      <w:jc w:val="left"/>
    </w:pPr>
    <w:rPr>
      <w:rFonts w:ascii="Calibri" w:hAnsi="Calibri" w:eastAsia="宋体" w:cs="Times New Roman"/>
      <w:szCs w:val="20"/>
    </w:rPr>
  </w:style>
  <w:style w:type="paragraph" w:styleId="36">
    <w:name w:val="Balloon Text"/>
    <w:basedOn w:val="1"/>
    <w:link w:val="107"/>
    <w:autoRedefine/>
    <w:semiHidden/>
    <w:unhideWhenUsed/>
    <w:qFormat/>
    <w:uiPriority w:val="99"/>
    <w:rPr>
      <w:rFonts w:ascii="Times New Roman" w:hAnsi="Times New Roman" w:eastAsia="宋体" w:cs="Times New Roman"/>
      <w:kern w:val="0"/>
      <w:sz w:val="18"/>
      <w:szCs w:val="18"/>
    </w:rPr>
  </w:style>
  <w:style w:type="paragraph" w:styleId="37">
    <w:name w:val="footer"/>
    <w:basedOn w:val="1"/>
    <w:link w:val="91"/>
    <w:autoRedefine/>
    <w:unhideWhenUsed/>
    <w:qFormat/>
    <w:uiPriority w:val="99"/>
    <w:pPr>
      <w:tabs>
        <w:tab w:val="center" w:pos="4153"/>
        <w:tab w:val="right" w:pos="8306"/>
      </w:tabs>
      <w:snapToGrid w:val="0"/>
      <w:jc w:val="left"/>
    </w:pPr>
    <w:rPr>
      <w:rFonts w:ascii="Times New Roman" w:hAnsi="Times New Roman" w:eastAsia="黑体" w:cs="Times New Roman"/>
      <w:kern w:val="0"/>
      <w:sz w:val="18"/>
      <w:szCs w:val="18"/>
    </w:rPr>
  </w:style>
  <w:style w:type="paragraph" w:styleId="38">
    <w:name w:val="header"/>
    <w:basedOn w:val="1"/>
    <w:link w:val="90"/>
    <w:autoRedefine/>
    <w:unhideWhenUsed/>
    <w:qFormat/>
    <w:uiPriority w:val="99"/>
    <w:pPr>
      <w:pBdr>
        <w:bottom w:val="single" w:color="auto" w:sz="6" w:space="1"/>
      </w:pBdr>
      <w:tabs>
        <w:tab w:val="center" w:pos="4153"/>
        <w:tab w:val="right" w:pos="8306"/>
      </w:tabs>
      <w:snapToGrid w:val="0"/>
      <w:jc w:val="center"/>
    </w:pPr>
    <w:rPr>
      <w:rFonts w:ascii="Times New Roman" w:hAnsi="Times New Roman" w:eastAsia="仿宋_GB2312" w:cs="Times New Roman"/>
      <w:kern w:val="0"/>
      <w:sz w:val="18"/>
      <w:szCs w:val="20"/>
    </w:rPr>
  </w:style>
  <w:style w:type="paragraph" w:styleId="39">
    <w:name w:val="Signature"/>
    <w:basedOn w:val="1"/>
    <w:link w:val="94"/>
    <w:autoRedefine/>
    <w:semiHidden/>
    <w:unhideWhenUsed/>
    <w:qFormat/>
    <w:uiPriority w:val="99"/>
    <w:pPr>
      <w:widowControl/>
      <w:ind w:left="4252"/>
      <w:jc w:val="left"/>
    </w:pPr>
    <w:rPr>
      <w:rFonts w:ascii="Calibri" w:hAnsi="Calibri" w:eastAsia="宋体" w:cs="Times New Roman"/>
      <w:kern w:val="0"/>
      <w:sz w:val="24"/>
      <w:szCs w:val="20"/>
      <w:lang w:val="en-GB" w:eastAsia="en-US"/>
    </w:rPr>
  </w:style>
  <w:style w:type="paragraph" w:styleId="40">
    <w:name w:val="toc 1"/>
    <w:basedOn w:val="1"/>
    <w:next w:val="1"/>
    <w:autoRedefine/>
    <w:unhideWhenUsed/>
    <w:qFormat/>
    <w:uiPriority w:val="39"/>
    <w:rPr>
      <w:rFonts w:ascii="Times New Roman" w:hAnsi="Times New Roman" w:eastAsia="宋体" w:cs="Times New Roman"/>
      <w:szCs w:val="24"/>
    </w:rPr>
  </w:style>
  <w:style w:type="paragraph" w:styleId="41">
    <w:name w:val="toc 4"/>
    <w:next w:val="1"/>
    <w:autoRedefine/>
    <w:semiHidden/>
    <w:unhideWhenUsed/>
    <w:qFormat/>
    <w:uiPriority w:val="99"/>
    <w:pPr>
      <w:wordWrap w:val="0"/>
      <w:ind w:left="850"/>
      <w:jc w:val="both"/>
    </w:pPr>
    <w:rPr>
      <w:rFonts w:ascii="Times New Roman" w:hAnsi="Times New Roman" w:eastAsia="宋体" w:cs="Times New Roman"/>
      <w:sz w:val="21"/>
      <w:lang w:val="en-US" w:eastAsia="zh-CN" w:bidi="ar-SA"/>
    </w:rPr>
  </w:style>
  <w:style w:type="paragraph" w:styleId="42">
    <w:name w:val="Subtitle"/>
    <w:next w:val="1"/>
    <w:link w:val="97"/>
    <w:autoRedefine/>
    <w:qFormat/>
    <w:uiPriority w:val="99"/>
    <w:pPr>
      <w:wordWrap w:val="0"/>
      <w:spacing w:after="60"/>
      <w:jc w:val="center"/>
    </w:pPr>
    <w:rPr>
      <w:rFonts w:ascii="Times New Roman" w:hAnsi="Times New Roman" w:eastAsia="宋体" w:cs="Times New Roman"/>
      <w:sz w:val="24"/>
      <w:lang w:val="en-US" w:eastAsia="zh-CN" w:bidi="ar-SA"/>
    </w:rPr>
  </w:style>
  <w:style w:type="paragraph" w:styleId="43">
    <w:name w:val="List"/>
    <w:basedOn w:val="1"/>
    <w:autoRedefine/>
    <w:semiHidden/>
    <w:unhideWhenUsed/>
    <w:qFormat/>
    <w:uiPriority w:val="99"/>
    <w:pPr>
      <w:ind w:left="200" w:hanging="200" w:hangingChars="200"/>
    </w:pPr>
    <w:rPr>
      <w:rFonts w:ascii="Times New Roman" w:hAnsi="Times New Roman" w:eastAsia="宋体" w:cs="Times New Roman"/>
      <w:sz w:val="28"/>
      <w:szCs w:val="24"/>
    </w:rPr>
  </w:style>
  <w:style w:type="paragraph" w:styleId="44">
    <w:name w:val="footnote text"/>
    <w:basedOn w:val="1"/>
    <w:link w:val="88"/>
    <w:autoRedefine/>
    <w:semiHidden/>
    <w:unhideWhenUsed/>
    <w:qFormat/>
    <w:uiPriority w:val="99"/>
    <w:pPr>
      <w:snapToGrid w:val="0"/>
      <w:jc w:val="left"/>
    </w:pPr>
    <w:rPr>
      <w:rFonts w:ascii="Calibri" w:hAnsi="Calibri" w:eastAsia="宋体" w:cs="Times New Roman"/>
      <w:sz w:val="18"/>
      <w:szCs w:val="20"/>
    </w:rPr>
  </w:style>
  <w:style w:type="paragraph" w:styleId="45">
    <w:name w:val="toc 6"/>
    <w:basedOn w:val="1"/>
    <w:next w:val="1"/>
    <w:autoRedefine/>
    <w:semiHidden/>
    <w:unhideWhenUsed/>
    <w:qFormat/>
    <w:uiPriority w:val="99"/>
    <w:pPr>
      <w:wordWrap w:val="0"/>
      <w:ind w:left="1700"/>
    </w:pPr>
    <w:rPr>
      <w:rFonts w:ascii="Times New Roman" w:hAnsi="Times New Roman" w:eastAsia="宋体" w:cs="Times New Roman"/>
    </w:rPr>
  </w:style>
  <w:style w:type="paragraph" w:styleId="46">
    <w:name w:val="List 5"/>
    <w:basedOn w:val="1"/>
    <w:autoRedefine/>
    <w:semiHidden/>
    <w:unhideWhenUsed/>
    <w:qFormat/>
    <w:uiPriority w:val="99"/>
    <w:pPr>
      <w:ind w:left="2100" w:hanging="420"/>
    </w:pPr>
    <w:rPr>
      <w:rFonts w:ascii="Calibri" w:hAnsi="Calibri" w:eastAsia="楷体_GB2312" w:cs="Times New Roman"/>
      <w:sz w:val="32"/>
    </w:rPr>
  </w:style>
  <w:style w:type="paragraph" w:styleId="47">
    <w:name w:val="Body Text Indent 3"/>
    <w:basedOn w:val="1"/>
    <w:link w:val="103"/>
    <w:autoRedefine/>
    <w:semiHidden/>
    <w:unhideWhenUsed/>
    <w:qFormat/>
    <w:uiPriority w:val="99"/>
    <w:pPr>
      <w:snapToGrid w:val="0"/>
      <w:ind w:firstLine="480" w:firstLineChars="200"/>
      <w:jc w:val="left"/>
    </w:pPr>
    <w:rPr>
      <w:rFonts w:ascii="仿宋_GB2312" w:hAnsi="宋体" w:eastAsia="仿宋_GB2312" w:cs="Times New Roman"/>
      <w:color w:val="000000"/>
      <w:kern w:val="0"/>
      <w:sz w:val="24"/>
      <w:szCs w:val="24"/>
    </w:rPr>
  </w:style>
  <w:style w:type="paragraph" w:styleId="48">
    <w:name w:val="index 7"/>
    <w:basedOn w:val="1"/>
    <w:next w:val="1"/>
    <w:autoRedefine/>
    <w:qFormat/>
    <w:uiPriority w:val="0"/>
    <w:pPr>
      <w:ind w:left="1200" w:leftChars="1200"/>
    </w:pPr>
  </w:style>
  <w:style w:type="paragraph" w:styleId="49">
    <w:name w:val="table of figures"/>
    <w:basedOn w:val="1"/>
    <w:next w:val="1"/>
    <w:autoRedefine/>
    <w:semiHidden/>
    <w:unhideWhenUsed/>
    <w:qFormat/>
    <w:uiPriority w:val="99"/>
    <w:pPr>
      <w:ind w:left="200" w:leftChars="200" w:hanging="200" w:hangingChars="200"/>
    </w:pPr>
    <w:rPr>
      <w:rFonts w:ascii="Times New Roman" w:hAnsi="Times New Roman" w:eastAsia="宋体" w:cs="Times New Roman"/>
      <w:szCs w:val="24"/>
    </w:rPr>
  </w:style>
  <w:style w:type="paragraph" w:styleId="50">
    <w:name w:val="toc 2"/>
    <w:basedOn w:val="1"/>
    <w:next w:val="1"/>
    <w:autoRedefine/>
    <w:unhideWhenUsed/>
    <w:qFormat/>
    <w:uiPriority w:val="39"/>
    <w:pPr>
      <w:ind w:left="420" w:leftChars="200"/>
    </w:pPr>
    <w:rPr>
      <w:rFonts w:ascii="Calibri" w:hAnsi="Calibri" w:eastAsia="宋体" w:cs="Times New Roman"/>
    </w:rPr>
  </w:style>
  <w:style w:type="paragraph" w:styleId="51">
    <w:name w:val="toc 9"/>
    <w:next w:val="1"/>
    <w:autoRedefine/>
    <w:semiHidden/>
    <w:unhideWhenUsed/>
    <w:qFormat/>
    <w:uiPriority w:val="99"/>
    <w:pPr>
      <w:wordWrap w:val="0"/>
      <w:ind w:left="2975"/>
      <w:jc w:val="both"/>
    </w:pPr>
    <w:rPr>
      <w:rFonts w:ascii="Times New Roman" w:hAnsi="Times New Roman" w:eastAsia="宋体" w:cs="Times New Roman"/>
      <w:sz w:val="21"/>
      <w:lang w:val="en-US" w:eastAsia="zh-CN" w:bidi="ar-SA"/>
    </w:rPr>
  </w:style>
  <w:style w:type="paragraph" w:styleId="52">
    <w:name w:val="Body Text 2"/>
    <w:basedOn w:val="1"/>
    <w:link w:val="100"/>
    <w:autoRedefine/>
    <w:semiHidden/>
    <w:unhideWhenUsed/>
    <w:qFormat/>
    <w:uiPriority w:val="99"/>
    <w:pPr>
      <w:widowControl/>
      <w:snapToGrid w:val="0"/>
      <w:spacing w:before="50" w:afterLines="50" w:line="400" w:lineRule="exact"/>
      <w:jc w:val="left"/>
    </w:pPr>
    <w:rPr>
      <w:rFonts w:ascii="宋体" w:hAnsi="宋体" w:eastAsia="宋体" w:cs="Times New Roman"/>
      <w:color w:val="000000"/>
      <w:kern w:val="0"/>
      <w:sz w:val="24"/>
      <w:szCs w:val="24"/>
    </w:rPr>
  </w:style>
  <w:style w:type="paragraph" w:styleId="53">
    <w:name w:val="List 4"/>
    <w:basedOn w:val="1"/>
    <w:autoRedefine/>
    <w:semiHidden/>
    <w:unhideWhenUsed/>
    <w:qFormat/>
    <w:uiPriority w:val="99"/>
    <w:pPr>
      <w:ind w:left="1680" w:hanging="420"/>
    </w:pPr>
    <w:rPr>
      <w:rFonts w:ascii="Calibri" w:hAnsi="Calibri" w:eastAsia="楷体_GB2312" w:cs="Times New Roman"/>
      <w:sz w:val="32"/>
    </w:rPr>
  </w:style>
  <w:style w:type="paragraph" w:styleId="54">
    <w:name w:val="HTML Preformatted"/>
    <w:basedOn w:val="1"/>
    <w:link w:val="85"/>
    <w:autoRedefine/>
    <w:semiHidden/>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Times New Roman"/>
      <w:kern w:val="0"/>
      <w:sz w:val="24"/>
      <w:szCs w:val="24"/>
    </w:rPr>
  </w:style>
  <w:style w:type="paragraph" w:styleId="55">
    <w:name w:val="Normal (Web)"/>
    <w:basedOn w:val="1"/>
    <w:autoRedefine/>
    <w:semiHidden/>
    <w:unhideWhenUsed/>
    <w:qFormat/>
    <w:uiPriority w:val="99"/>
    <w:pPr>
      <w:widowControl/>
      <w:spacing w:before="100" w:beforeAutospacing="1" w:after="100" w:afterAutospacing="1"/>
      <w:jc w:val="left"/>
    </w:pPr>
    <w:rPr>
      <w:rFonts w:ascii="宋体" w:hAnsi="宋体" w:eastAsia="宋体" w:cs="Times New Roman"/>
      <w:color w:val="000000"/>
      <w:kern w:val="0"/>
      <w:sz w:val="24"/>
      <w:szCs w:val="24"/>
    </w:rPr>
  </w:style>
  <w:style w:type="paragraph" w:styleId="56">
    <w:name w:val="index 1"/>
    <w:basedOn w:val="1"/>
    <w:next w:val="1"/>
    <w:autoRedefine/>
    <w:semiHidden/>
    <w:unhideWhenUsed/>
    <w:qFormat/>
    <w:uiPriority w:val="99"/>
    <w:pPr>
      <w:spacing w:line="220" w:lineRule="exact"/>
      <w:jc w:val="center"/>
    </w:pPr>
    <w:rPr>
      <w:rFonts w:ascii="仿宋_GB2312" w:hAnsi="Calibri" w:eastAsia="仿宋_GB2312" w:cs="Times New Roman"/>
      <w:szCs w:val="21"/>
    </w:rPr>
  </w:style>
  <w:style w:type="paragraph" w:styleId="57">
    <w:name w:val="index 2"/>
    <w:basedOn w:val="1"/>
    <w:next w:val="1"/>
    <w:autoRedefine/>
    <w:semiHidden/>
    <w:unhideWhenUsed/>
    <w:qFormat/>
    <w:uiPriority w:val="99"/>
    <w:pPr>
      <w:ind w:left="200" w:leftChars="200"/>
    </w:pPr>
    <w:rPr>
      <w:rFonts w:ascii="宋体" w:hAnsi="Times New Roman" w:eastAsia="宋体" w:cs="Times New Roman"/>
      <w:sz w:val="24"/>
      <w:szCs w:val="20"/>
    </w:rPr>
  </w:style>
  <w:style w:type="paragraph" w:styleId="58">
    <w:name w:val="Title"/>
    <w:basedOn w:val="1"/>
    <w:next w:val="1"/>
    <w:link w:val="93"/>
    <w:autoRedefine/>
    <w:qFormat/>
    <w:uiPriority w:val="99"/>
    <w:pPr>
      <w:spacing w:line="520" w:lineRule="exact"/>
      <w:jc w:val="center"/>
      <w:outlineLvl w:val="3"/>
    </w:pPr>
    <w:rPr>
      <w:rFonts w:ascii="Cambria" w:hAnsi="Cambria" w:eastAsia="宋体" w:cs="Times New Roman"/>
      <w:b/>
      <w:bCs/>
      <w:kern w:val="0"/>
      <w:sz w:val="28"/>
      <w:szCs w:val="32"/>
    </w:rPr>
  </w:style>
  <w:style w:type="paragraph" w:styleId="59">
    <w:name w:val="annotation subject"/>
    <w:basedOn w:val="20"/>
    <w:next w:val="20"/>
    <w:link w:val="106"/>
    <w:autoRedefine/>
    <w:semiHidden/>
    <w:unhideWhenUsed/>
    <w:qFormat/>
    <w:uiPriority w:val="99"/>
    <w:rPr>
      <w:b/>
      <w:bCs/>
      <w:szCs w:val="20"/>
    </w:rPr>
  </w:style>
  <w:style w:type="paragraph" w:styleId="60">
    <w:name w:val="Body Text First Indent"/>
    <w:basedOn w:val="2"/>
    <w:next w:val="45"/>
    <w:link w:val="99"/>
    <w:autoRedefine/>
    <w:semiHidden/>
    <w:unhideWhenUsed/>
    <w:qFormat/>
    <w:uiPriority w:val="99"/>
    <w:pPr>
      <w:ind w:firstLine="420" w:firstLineChars="100"/>
    </w:pPr>
    <w:rPr>
      <w:rFonts w:ascii="Calibri" w:hAnsi="Calibri"/>
      <w:sz w:val="21"/>
    </w:rPr>
  </w:style>
  <w:style w:type="table" w:styleId="62">
    <w:name w:val="Table Grid"/>
    <w:basedOn w:val="6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Theme"/>
    <w:basedOn w:val="61"/>
    <w:autoRedefine/>
    <w:semiHidden/>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Classic 1"/>
    <w:basedOn w:val="61"/>
    <w:autoRedefine/>
    <w:semiHidden/>
    <w:unhideWhenUsed/>
    <w:qFormat/>
    <w:uiPriority w:val="0"/>
    <w:pPr>
      <w:widowControl w:val="0"/>
      <w:jc w:val="both"/>
    </w:pPr>
    <w:tblPr>
      <w:tblBorders>
        <w:top w:val="single" w:color="000000" w:sz="12" w:space="0"/>
        <w:bottom w:val="single" w:color="000000" w:sz="12" w:space="0"/>
      </w:tblBorders>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character" w:styleId="66">
    <w:name w:val="Strong"/>
    <w:autoRedefine/>
    <w:qFormat/>
    <w:uiPriority w:val="22"/>
    <w:rPr>
      <w:rFonts w:hint="eastAsia" w:ascii="宋体" w:hAnsi="宋体" w:eastAsia="宋体"/>
      <w:b/>
      <w:bCs/>
      <w:kern w:val="2"/>
      <w:sz w:val="24"/>
      <w:szCs w:val="24"/>
      <w:lang w:val="en-US" w:eastAsia="zh-CN" w:bidi="ar-SA"/>
    </w:rPr>
  </w:style>
  <w:style w:type="character" w:styleId="67">
    <w:name w:val="endnote reference"/>
    <w:autoRedefine/>
    <w:semiHidden/>
    <w:unhideWhenUsed/>
    <w:qFormat/>
    <w:uiPriority w:val="0"/>
    <w:rPr>
      <w:vertAlign w:val="superscript"/>
    </w:rPr>
  </w:style>
  <w:style w:type="character" w:styleId="68">
    <w:name w:val="page number"/>
    <w:basedOn w:val="65"/>
    <w:autoRedefine/>
    <w:qFormat/>
    <w:uiPriority w:val="0"/>
  </w:style>
  <w:style w:type="character" w:styleId="69">
    <w:name w:val="FollowedHyperlink"/>
    <w:autoRedefine/>
    <w:semiHidden/>
    <w:unhideWhenUsed/>
    <w:qFormat/>
    <w:uiPriority w:val="0"/>
    <w:rPr>
      <w:rFonts w:hint="eastAsia" w:ascii="宋体" w:hAnsi="宋体" w:eastAsia="宋体"/>
      <w:color w:val="800080"/>
      <w:kern w:val="2"/>
      <w:sz w:val="24"/>
      <w:szCs w:val="24"/>
      <w:u w:val="single"/>
      <w:lang w:val="en-US" w:eastAsia="zh-CN" w:bidi="ar-SA"/>
    </w:rPr>
  </w:style>
  <w:style w:type="character" w:styleId="70">
    <w:name w:val="Emphasis"/>
    <w:autoRedefine/>
    <w:qFormat/>
    <w:uiPriority w:val="20"/>
    <w:rPr>
      <w:i/>
      <w:sz w:val="21"/>
    </w:rPr>
  </w:style>
  <w:style w:type="character" w:styleId="71">
    <w:name w:val="Hyperlink"/>
    <w:autoRedefine/>
    <w:unhideWhenUsed/>
    <w:qFormat/>
    <w:uiPriority w:val="99"/>
    <w:rPr>
      <w:color w:val="0000FF"/>
      <w:u w:val="single"/>
    </w:rPr>
  </w:style>
  <w:style w:type="character" w:styleId="72">
    <w:name w:val="annotation reference"/>
    <w:autoRedefine/>
    <w:semiHidden/>
    <w:unhideWhenUsed/>
    <w:qFormat/>
    <w:uiPriority w:val="0"/>
    <w:rPr>
      <w:rFonts w:hint="eastAsia" w:ascii="宋体" w:hAnsi="宋体" w:eastAsia="宋体"/>
      <w:kern w:val="2"/>
      <w:sz w:val="21"/>
      <w:szCs w:val="21"/>
      <w:lang w:val="en-US" w:eastAsia="zh-CN" w:bidi="ar-SA"/>
    </w:rPr>
  </w:style>
  <w:style w:type="character" w:styleId="73">
    <w:name w:val="footnote reference"/>
    <w:autoRedefine/>
    <w:semiHidden/>
    <w:unhideWhenUsed/>
    <w:qFormat/>
    <w:uiPriority w:val="0"/>
    <w:rPr>
      <w:vertAlign w:val="superscript"/>
    </w:rPr>
  </w:style>
  <w:style w:type="character" w:styleId="74">
    <w:name w:val="HTML Sample"/>
    <w:basedOn w:val="65"/>
    <w:autoRedefine/>
    <w:semiHidden/>
    <w:unhideWhenUsed/>
    <w:qFormat/>
    <w:uiPriority w:val="99"/>
    <w:rPr>
      <w:rFonts w:ascii="Courier New" w:hAnsi="Courier New"/>
    </w:rPr>
  </w:style>
  <w:style w:type="paragraph" w:customStyle="1" w:styleId="75">
    <w:name w:val="正文缩进1"/>
    <w:basedOn w:val="1"/>
    <w:autoRedefine/>
    <w:qFormat/>
    <w:uiPriority w:val="99"/>
    <w:pPr>
      <w:ind w:firstLine="420"/>
    </w:pPr>
    <w:rPr>
      <w:rFonts w:ascii="Times New Roman" w:hAnsi="Times New Roman" w:eastAsia="宋体" w:cs="Times New Roman"/>
      <w:kern w:val="0"/>
      <w:szCs w:val="20"/>
    </w:rPr>
  </w:style>
  <w:style w:type="character" w:customStyle="1" w:styleId="76">
    <w:name w:val="标题 1 字符"/>
    <w:basedOn w:val="65"/>
    <w:link w:val="3"/>
    <w:autoRedefine/>
    <w:qFormat/>
    <w:uiPriority w:val="0"/>
    <w:rPr>
      <w:rFonts w:ascii="Times New Roman" w:hAnsi="Times New Roman" w:eastAsia="宋体" w:cs="Times New Roman"/>
      <w:b/>
      <w:bCs/>
      <w:kern w:val="0"/>
      <w:sz w:val="24"/>
      <w:szCs w:val="24"/>
    </w:rPr>
  </w:style>
  <w:style w:type="character" w:customStyle="1" w:styleId="77">
    <w:name w:val="标题 2 字符"/>
    <w:basedOn w:val="65"/>
    <w:link w:val="4"/>
    <w:autoRedefine/>
    <w:semiHidden/>
    <w:qFormat/>
    <w:uiPriority w:val="0"/>
    <w:rPr>
      <w:rFonts w:ascii="等线 Light" w:hAnsi="等线 Light" w:eastAsia="等线 Light" w:cs="Times New Roman"/>
      <w:b/>
      <w:bCs/>
      <w:sz w:val="32"/>
      <w:szCs w:val="32"/>
    </w:rPr>
  </w:style>
  <w:style w:type="character" w:customStyle="1" w:styleId="78">
    <w:name w:val="标题 3 字符"/>
    <w:basedOn w:val="65"/>
    <w:link w:val="5"/>
    <w:autoRedefine/>
    <w:semiHidden/>
    <w:qFormat/>
    <w:uiPriority w:val="0"/>
    <w:rPr>
      <w:rFonts w:ascii="Times New Roman" w:hAnsi="Times New Roman" w:eastAsia="宋体" w:cs="Times New Roman"/>
      <w:b/>
      <w:bCs/>
      <w:kern w:val="0"/>
      <w:sz w:val="32"/>
      <w:szCs w:val="32"/>
    </w:rPr>
  </w:style>
  <w:style w:type="character" w:customStyle="1" w:styleId="79">
    <w:name w:val="标题 4 字符"/>
    <w:basedOn w:val="65"/>
    <w:link w:val="6"/>
    <w:autoRedefine/>
    <w:semiHidden/>
    <w:qFormat/>
    <w:uiPriority w:val="0"/>
    <w:rPr>
      <w:rFonts w:ascii="Arial" w:hAnsi="Arial" w:eastAsia="黑体" w:cs="Times New Roman"/>
      <w:b/>
      <w:bCs/>
      <w:kern w:val="0"/>
      <w:sz w:val="28"/>
      <w:szCs w:val="28"/>
    </w:rPr>
  </w:style>
  <w:style w:type="character" w:customStyle="1" w:styleId="80">
    <w:name w:val="标题 5 字符"/>
    <w:basedOn w:val="65"/>
    <w:link w:val="7"/>
    <w:autoRedefine/>
    <w:semiHidden/>
    <w:qFormat/>
    <w:uiPriority w:val="0"/>
    <w:rPr>
      <w:rFonts w:ascii="Times New Roman" w:hAnsi="Times New Roman" w:eastAsia="宋体" w:cs="Times New Roman"/>
      <w:b/>
      <w:bCs/>
      <w:kern w:val="0"/>
      <w:sz w:val="28"/>
      <w:szCs w:val="28"/>
    </w:rPr>
  </w:style>
  <w:style w:type="character" w:customStyle="1" w:styleId="81">
    <w:name w:val="标题 6 字符"/>
    <w:basedOn w:val="65"/>
    <w:link w:val="8"/>
    <w:autoRedefine/>
    <w:semiHidden/>
    <w:qFormat/>
    <w:uiPriority w:val="0"/>
    <w:rPr>
      <w:rFonts w:ascii="Times New Roman" w:hAnsi="Times New Roman" w:eastAsia="宋体" w:cs="Times New Roman"/>
      <w:b/>
      <w:kern w:val="0"/>
      <w:szCs w:val="20"/>
    </w:rPr>
  </w:style>
  <w:style w:type="character" w:customStyle="1" w:styleId="82">
    <w:name w:val="标题 7 字符"/>
    <w:basedOn w:val="65"/>
    <w:link w:val="9"/>
    <w:autoRedefine/>
    <w:semiHidden/>
    <w:qFormat/>
    <w:uiPriority w:val="99"/>
    <w:rPr>
      <w:rFonts w:ascii="Times New Roman" w:hAnsi="Times New Roman" w:eastAsia="宋体" w:cs="Times New Roman"/>
      <w:kern w:val="0"/>
      <w:szCs w:val="20"/>
    </w:rPr>
  </w:style>
  <w:style w:type="character" w:customStyle="1" w:styleId="83">
    <w:name w:val="标题 8 字符"/>
    <w:basedOn w:val="65"/>
    <w:link w:val="10"/>
    <w:autoRedefine/>
    <w:semiHidden/>
    <w:qFormat/>
    <w:uiPriority w:val="99"/>
    <w:rPr>
      <w:rFonts w:ascii="Times New Roman" w:hAnsi="Times New Roman" w:eastAsia="宋体" w:cs="Times New Roman"/>
      <w:kern w:val="0"/>
      <w:szCs w:val="20"/>
    </w:rPr>
  </w:style>
  <w:style w:type="character" w:customStyle="1" w:styleId="84">
    <w:name w:val="标题 9 字符"/>
    <w:basedOn w:val="65"/>
    <w:link w:val="11"/>
    <w:autoRedefine/>
    <w:semiHidden/>
    <w:qFormat/>
    <w:uiPriority w:val="99"/>
    <w:rPr>
      <w:rFonts w:ascii="Arial" w:hAnsi="Arial" w:eastAsia="黑体" w:cs="Times New Roman"/>
      <w:kern w:val="0"/>
      <w:sz w:val="20"/>
      <w:szCs w:val="20"/>
    </w:rPr>
  </w:style>
  <w:style w:type="character" w:customStyle="1" w:styleId="85">
    <w:name w:val="HTML 预设格式 字符"/>
    <w:basedOn w:val="65"/>
    <w:link w:val="54"/>
    <w:autoRedefine/>
    <w:semiHidden/>
    <w:qFormat/>
    <w:uiPriority w:val="0"/>
    <w:rPr>
      <w:rFonts w:ascii="宋体" w:hAnsi="宋体" w:eastAsia="宋体" w:cs="Times New Roman"/>
      <w:kern w:val="0"/>
      <w:sz w:val="24"/>
      <w:szCs w:val="24"/>
    </w:rPr>
  </w:style>
  <w:style w:type="paragraph" w:customStyle="1" w:styleId="86">
    <w:name w:val="msonormal"/>
    <w:basedOn w:val="1"/>
    <w:autoRedefine/>
    <w:qFormat/>
    <w:uiPriority w:val="99"/>
    <w:pPr>
      <w:widowControl/>
      <w:spacing w:before="100" w:beforeAutospacing="1" w:after="100" w:afterAutospacing="1"/>
      <w:jc w:val="left"/>
    </w:pPr>
    <w:rPr>
      <w:rFonts w:ascii="宋体" w:hAnsi="宋体" w:eastAsia="宋体" w:cs="Times New Roman"/>
      <w:color w:val="000000"/>
      <w:kern w:val="0"/>
      <w:sz w:val="24"/>
      <w:szCs w:val="24"/>
    </w:rPr>
  </w:style>
  <w:style w:type="character" w:customStyle="1" w:styleId="87">
    <w:name w:val="正文缩进 字符"/>
    <w:link w:val="15"/>
    <w:autoRedefine/>
    <w:semiHidden/>
    <w:qFormat/>
    <w:locked/>
    <w:uiPriority w:val="0"/>
  </w:style>
  <w:style w:type="character" w:customStyle="1" w:styleId="88">
    <w:name w:val="脚注文本 字符"/>
    <w:basedOn w:val="65"/>
    <w:link w:val="44"/>
    <w:autoRedefine/>
    <w:semiHidden/>
    <w:qFormat/>
    <w:uiPriority w:val="99"/>
    <w:rPr>
      <w:rFonts w:ascii="Calibri" w:hAnsi="Calibri" w:eastAsia="宋体" w:cs="Times New Roman"/>
      <w:sz w:val="18"/>
      <w:szCs w:val="20"/>
    </w:rPr>
  </w:style>
  <w:style w:type="character" w:customStyle="1" w:styleId="89">
    <w:name w:val="批注文字 字符"/>
    <w:basedOn w:val="65"/>
    <w:autoRedefine/>
    <w:semiHidden/>
    <w:qFormat/>
    <w:uiPriority w:val="0"/>
  </w:style>
  <w:style w:type="character" w:customStyle="1" w:styleId="90">
    <w:name w:val="页眉 字符"/>
    <w:basedOn w:val="65"/>
    <w:link w:val="38"/>
    <w:autoRedefine/>
    <w:qFormat/>
    <w:uiPriority w:val="99"/>
    <w:rPr>
      <w:rFonts w:ascii="Times New Roman" w:hAnsi="Times New Roman" w:eastAsia="仿宋_GB2312" w:cs="Times New Roman"/>
      <w:kern w:val="0"/>
      <w:sz w:val="18"/>
      <w:szCs w:val="20"/>
    </w:rPr>
  </w:style>
  <w:style w:type="character" w:customStyle="1" w:styleId="91">
    <w:name w:val="页脚 字符"/>
    <w:basedOn w:val="65"/>
    <w:link w:val="37"/>
    <w:autoRedefine/>
    <w:qFormat/>
    <w:uiPriority w:val="99"/>
    <w:rPr>
      <w:rFonts w:ascii="Times New Roman" w:hAnsi="Times New Roman" w:eastAsia="黑体" w:cs="Times New Roman"/>
      <w:kern w:val="0"/>
      <w:sz w:val="18"/>
      <w:szCs w:val="18"/>
    </w:rPr>
  </w:style>
  <w:style w:type="character" w:customStyle="1" w:styleId="92">
    <w:name w:val="尾注文本 字符"/>
    <w:basedOn w:val="65"/>
    <w:link w:val="35"/>
    <w:autoRedefine/>
    <w:semiHidden/>
    <w:qFormat/>
    <w:uiPriority w:val="99"/>
    <w:rPr>
      <w:rFonts w:ascii="Calibri" w:hAnsi="Calibri" w:eastAsia="宋体" w:cs="Times New Roman"/>
      <w:szCs w:val="20"/>
    </w:rPr>
  </w:style>
  <w:style w:type="character" w:customStyle="1" w:styleId="93">
    <w:name w:val="标题 字符"/>
    <w:basedOn w:val="65"/>
    <w:link w:val="58"/>
    <w:autoRedefine/>
    <w:qFormat/>
    <w:uiPriority w:val="99"/>
    <w:rPr>
      <w:rFonts w:ascii="Cambria" w:hAnsi="Cambria" w:eastAsia="宋体" w:cs="Times New Roman"/>
      <w:b/>
      <w:bCs/>
      <w:kern w:val="0"/>
      <w:sz w:val="28"/>
      <w:szCs w:val="32"/>
    </w:rPr>
  </w:style>
  <w:style w:type="character" w:customStyle="1" w:styleId="94">
    <w:name w:val="签名 字符"/>
    <w:basedOn w:val="65"/>
    <w:link w:val="39"/>
    <w:autoRedefine/>
    <w:semiHidden/>
    <w:qFormat/>
    <w:uiPriority w:val="99"/>
    <w:rPr>
      <w:rFonts w:ascii="Calibri" w:hAnsi="Calibri" w:eastAsia="宋体" w:cs="Times New Roman"/>
      <w:kern w:val="0"/>
      <w:sz w:val="24"/>
      <w:szCs w:val="20"/>
      <w:lang w:val="en-GB" w:eastAsia="en-US"/>
    </w:rPr>
  </w:style>
  <w:style w:type="character" w:customStyle="1" w:styleId="95">
    <w:name w:val="正文文本 字符"/>
    <w:basedOn w:val="65"/>
    <w:link w:val="2"/>
    <w:autoRedefine/>
    <w:semiHidden/>
    <w:qFormat/>
    <w:uiPriority w:val="99"/>
    <w:rPr>
      <w:rFonts w:ascii="Times New Roman" w:hAnsi="Times New Roman" w:eastAsia="宋体" w:cs="Times New Roman"/>
      <w:kern w:val="0"/>
      <w:sz w:val="28"/>
      <w:szCs w:val="24"/>
    </w:rPr>
  </w:style>
  <w:style w:type="character" w:customStyle="1" w:styleId="96">
    <w:name w:val="正文文本缩进 字符"/>
    <w:basedOn w:val="65"/>
    <w:link w:val="22"/>
    <w:autoRedefine/>
    <w:semiHidden/>
    <w:qFormat/>
    <w:uiPriority w:val="99"/>
    <w:rPr>
      <w:rFonts w:ascii="宋体" w:hAnsi="Courier New" w:eastAsia="宋体" w:cs="Times New Roman"/>
      <w:spacing w:val="-4"/>
      <w:kern w:val="0"/>
      <w:sz w:val="18"/>
      <w:szCs w:val="20"/>
    </w:rPr>
  </w:style>
  <w:style w:type="character" w:customStyle="1" w:styleId="97">
    <w:name w:val="副标题 字符"/>
    <w:basedOn w:val="65"/>
    <w:link w:val="42"/>
    <w:autoRedefine/>
    <w:qFormat/>
    <w:uiPriority w:val="99"/>
    <w:rPr>
      <w:rFonts w:ascii="Times New Roman" w:hAnsi="Times New Roman" w:eastAsia="宋体" w:cs="Times New Roman"/>
      <w:kern w:val="0"/>
      <w:sz w:val="24"/>
      <w:szCs w:val="20"/>
    </w:rPr>
  </w:style>
  <w:style w:type="character" w:customStyle="1" w:styleId="98">
    <w:name w:val="日期 字符"/>
    <w:basedOn w:val="65"/>
    <w:link w:val="33"/>
    <w:autoRedefine/>
    <w:semiHidden/>
    <w:qFormat/>
    <w:uiPriority w:val="99"/>
    <w:rPr>
      <w:rFonts w:ascii="Times New Roman" w:hAnsi="Times New Roman" w:eastAsia="楷体_GB2312" w:cs="Times New Roman"/>
      <w:kern w:val="0"/>
      <w:sz w:val="32"/>
      <w:szCs w:val="20"/>
    </w:rPr>
  </w:style>
  <w:style w:type="character" w:customStyle="1" w:styleId="99">
    <w:name w:val="正文文本首行缩进 字符"/>
    <w:basedOn w:val="95"/>
    <w:link w:val="60"/>
    <w:autoRedefine/>
    <w:semiHidden/>
    <w:qFormat/>
    <w:uiPriority w:val="99"/>
    <w:rPr>
      <w:rFonts w:ascii="Calibri" w:hAnsi="Calibri" w:eastAsia="宋体" w:cs="Times New Roman"/>
      <w:kern w:val="0"/>
      <w:sz w:val="28"/>
      <w:szCs w:val="24"/>
    </w:rPr>
  </w:style>
  <w:style w:type="character" w:customStyle="1" w:styleId="100">
    <w:name w:val="正文文本 2 字符"/>
    <w:basedOn w:val="65"/>
    <w:link w:val="52"/>
    <w:autoRedefine/>
    <w:semiHidden/>
    <w:qFormat/>
    <w:uiPriority w:val="99"/>
    <w:rPr>
      <w:rFonts w:ascii="宋体" w:hAnsi="宋体" w:eastAsia="宋体" w:cs="Times New Roman"/>
      <w:color w:val="000000"/>
      <w:kern w:val="0"/>
      <w:sz w:val="24"/>
      <w:szCs w:val="24"/>
    </w:rPr>
  </w:style>
  <w:style w:type="character" w:customStyle="1" w:styleId="101">
    <w:name w:val="正文文本 3 字符"/>
    <w:basedOn w:val="65"/>
    <w:link w:val="21"/>
    <w:autoRedefine/>
    <w:semiHidden/>
    <w:qFormat/>
    <w:uiPriority w:val="99"/>
    <w:rPr>
      <w:rFonts w:ascii="Times New Roman" w:hAnsi="宋体" w:eastAsia="仿宋_GB2312" w:cs="Times New Roman"/>
      <w:b/>
      <w:bCs/>
      <w:kern w:val="0"/>
      <w:sz w:val="24"/>
      <w:szCs w:val="20"/>
    </w:rPr>
  </w:style>
  <w:style w:type="character" w:customStyle="1" w:styleId="102">
    <w:name w:val="正文文本缩进 2 字符"/>
    <w:basedOn w:val="65"/>
    <w:link w:val="34"/>
    <w:autoRedefine/>
    <w:semiHidden/>
    <w:qFormat/>
    <w:uiPriority w:val="99"/>
    <w:rPr>
      <w:rFonts w:ascii="仿宋_GB2312" w:hAnsi="宋体" w:eastAsia="宋体" w:cs="Times New Roman"/>
      <w:b/>
      <w:bCs/>
      <w:color w:val="000000"/>
      <w:kern w:val="0"/>
      <w:sz w:val="24"/>
      <w:szCs w:val="24"/>
    </w:rPr>
  </w:style>
  <w:style w:type="character" w:customStyle="1" w:styleId="103">
    <w:name w:val="正文文本缩进 3 字符"/>
    <w:basedOn w:val="65"/>
    <w:link w:val="47"/>
    <w:autoRedefine/>
    <w:semiHidden/>
    <w:qFormat/>
    <w:uiPriority w:val="99"/>
    <w:rPr>
      <w:rFonts w:ascii="仿宋_GB2312" w:hAnsi="宋体" w:eastAsia="仿宋_GB2312" w:cs="Times New Roman"/>
      <w:color w:val="000000"/>
      <w:kern w:val="0"/>
      <w:sz w:val="24"/>
      <w:szCs w:val="24"/>
    </w:rPr>
  </w:style>
  <w:style w:type="character" w:customStyle="1" w:styleId="104">
    <w:name w:val="文档结构图 字符"/>
    <w:basedOn w:val="65"/>
    <w:link w:val="18"/>
    <w:autoRedefine/>
    <w:semiHidden/>
    <w:qFormat/>
    <w:uiPriority w:val="99"/>
    <w:rPr>
      <w:rFonts w:ascii="宋体" w:hAnsi="Times New Roman" w:eastAsia="宋体" w:cs="Times New Roman"/>
      <w:sz w:val="18"/>
      <w:szCs w:val="18"/>
      <w:shd w:val="clear" w:color="auto" w:fill="000080"/>
    </w:rPr>
  </w:style>
  <w:style w:type="character" w:customStyle="1" w:styleId="105">
    <w:name w:val="纯文本 字符"/>
    <w:basedOn w:val="65"/>
    <w:link w:val="30"/>
    <w:autoRedefine/>
    <w:semiHidden/>
    <w:qFormat/>
    <w:uiPriority w:val="99"/>
    <w:rPr>
      <w:rFonts w:ascii="宋体" w:hAnsi="Courier New" w:eastAsia="宋体" w:cs="Times New Roman"/>
      <w:kern w:val="0"/>
      <w:sz w:val="24"/>
      <w:szCs w:val="24"/>
    </w:rPr>
  </w:style>
  <w:style w:type="character" w:customStyle="1" w:styleId="106">
    <w:name w:val="批注主题 字符"/>
    <w:basedOn w:val="89"/>
    <w:link w:val="59"/>
    <w:autoRedefine/>
    <w:semiHidden/>
    <w:qFormat/>
    <w:uiPriority w:val="99"/>
    <w:rPr>
      <w:rFonts w:ascii="Times New Roman" w:hAnsi="Times New Roman" w:eastAsia="宋体" w:cs="Times New Roman"/>
      <w:b/>
      <w:bCs/>
      <w:kern w:val="0"/>
      <w:sz w:val="20"/>
      <w:szCs w:val="20"/>
    </w:rPr>
  </w:style>
  <w:style w:type="character" w:customStyle="1" w:styleId="107">
    <w:name w:val="批注框文本 字符"/>
    <w:basedOn w:val="65"/>
    <w:link w:val="36"/>
    <w:autoRedefine/>
    <w:semiHidden/>
    <w:qFormat/>
    <w:uiPriority w:val="99"/>
    <w:rPr>
      <w:rFonts w:ascii="Times New Roman" w:hAnsi="Times New Roman" w:eastAsia="宋体" w:cs="Times New Roman"/>
      <w:kern w:val="0"/>
      <w:sz w:val="18"/>
      <w:szCs w:val="18"/>
    </w:rPr>
  </w:style>
  <w:style w:type="paragraph" w:styleId="108">
    <w:name w:val="No Spacing"/>
    <w:autoRedefine/>
    <w:qFormat/>
    <w:uiPriority w:val="99"/>
    <w:rPr>
      <w:rFonts w:ascii="Calibri" w:hAnsi="Calibri" w:eastAsia="Times New Roman" w:cs="Times New Roman"/>
      <w:kern w:val="2"/>
      <w:sz w:val="22"/>
      <w:szCs w:val="22"/>
      <w:lang w:val="en-US" w:eastAsia="zh-CN" w:bidi="ar-SA"/>
    </w:rPr>
  </w:style>
  <w:style w:type="paragraph" w:customStyle="1" w:styleId="109">
    <w:name w:val="修订1"/>
    <w:autoRedefine/>
    <w:semiHidden/>
    <w:qFormat/>
    <w:uiPriority w:val="99"/>
    <w:rPr>
      <w:rFonts w:ascii="Times New Roman" w:hAnsi="Times New Roman" w:eastAsia="宋体" w:cs="Times New Roman"/>
      <w:kern w:val="2"/>
      <w:sz w:val="21"/>
      <w:szCs w:val="24"/>
      <w:lang w:val="en-US" w:eastAsia="zh-CN" w:bidi="ar-SA"/>
    </w:rPr>
  </w:style>
  <w:style w:type="paragraph" w:styleId="110">
    <w:name w:val="List Paragraph"/>
    <w:basedOn w:val="1"/>
    <w:autoRedefine/>
    <w:qFormat/>
    <w:uiPriority w:val="99"/>
    <w:pPr>
      <w:widowControl/>
      <w:ind w:left="720" w:firstLine="360"/>
      <w:contextualSpacing/>
      <w:jc w:val="left"/>
    </w:pPr>
    <w:rPr>
      <w:rFonts w:ascii="Calibri" w:hAnsi="Calibri" w:eastAsia="宋体" w:cs="Times New Roman"/>
      <w:kern w:val="0"/>
      <w:sz w:val="22"/>
      <w:lang w:eastAsia="en-US" w:bidi="en-US"/>
    </w:rPr>
  </w:style>
  <w:style w:type="paragraph" w:styleId="111">
    <w:name w:val="Quote"/>
    <w:next w:val="1"/>
    <w:link w:val="112"/>
    <w:autoRedefine/>
    <w:qFormat/>
    <w:uiPriority w:val="99"/>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112">
    <w:name w:val="引用 字符"/>
    <w:basedOn w:val="65"/>
    <w:link w:val="111"/>
    <w:autoRedefine/>
    <w:qFormat/>
    <w:uiPriority w:val="99"/>
    <w:rPr>
      <w:rFonts w:ascii="Times New Roman" w:hAnsi="Times New Roman" w:eastAsia="宋体" w:cs="Times New Roman"/>
      <w:i/>
      <w:kern w:val="0"/>
      <w:szCs w:val="20"/>
    </w:rPr>
  </w:style>
  <w:style w:type="paragraph" w:styleId="113">
    <w:name w:val="Intense Quote"/>
    <w:next w:val="1"/>
    <w:link w:val="114"/>
    <w:autoRedefine/>
    <w:qFormat/>
    <w:uiPriority w:val="99"/>
    <w:pPr>
      <w:wordWrap w:val="0"/>
      <w:spacing w:before="360" w:after="360"/>
      <w:ind w:left="950" w:right="950"/>
      <w:jc w:val="center"/>
    </w:pPr>
    <w:rPr>
      <w:rFonts w:ascii="Times New Roman" w:hAnsi="Times New Roman" w:eastAsia="宋体" w:cs="Times New Roman"/>
      <w:i/>
      <w:sz w:val="21"/>
      <w:lang w:val="en-US" w:eastAsia="zh-CN" w:bidi="ar-SA"/>
    </w:rPr>
  </w:style>
  <w:style w:type="character" w:customStyle="1" w:styleId="114">
    <w:name w:val="明显引用 字符"/>
    <w:basedOn w:val="65"/>
    <w:link w:val="113"/>
    <w:autoRedefine/>
    <w:qFormat/>
    <w:uiPriority w:val="99"/>
    <w:rPr>
      <w:rFonts w:ascii="Times New Roman" w:hAnsi="Times New Roman" w:eastAsia="宋体" w:cs="Times New Roman"/>
      <w:i/>
      <w:kern w:val="0"/>
      <w:szCs w:val="20"/>
    </w:rPr>
  </w:style>
  <w:style w:type="paragraph" w:customStyle="1" w:styleId="115">
    <w:name w:val="TOC 标题1"/>
    <w:next w:val="1"/>
    <w:autoRedefine/>
    <w:semiHidden/>
    <w:unhideWhenUsed/>
    <w:qFormat/>
    <w:uiPriority w:val="99"/>
    <w:pPr>
      <w:wordWrap w:val="0"/>
    </w:pPr>
    <w:rPr>
      <w:rFonts w:ascii="Times New Roman" w:hAnsi="Times New Roman" w:eastAsia="宋体" w:cs="Times New Roman"/>
      <w:sz w:val="32"/>
      <w:lang w:val="en-US" w:eastAsia="zh-CN" w:bidi="ar-SA"/>
    </w:rPr>
  </w:style>
  <w:style w:type="character" w:customStyle="1" w:styleId="116">
    <w:name w:val="List Paragraph Char"/>
    <w:link w:val="117"/>
    <w:autoRedefine/>
    <w:qFormat/>
    <w:locked/>
    <w:uiPriority w:val="0"/>
    <w:rPr>
      <w:szCs w:val="24"/>
    </w:rPr>
  </w:style>
  <w:style w:type="paragraph" w:customStyle="1" w:styleId="117">
    <w:name w:val="列表段落1"/>
    <w:basedOn w:val="1"/>
    <w:link w:val="116"/>
    <w:autoRedefine/>
    <w:qFormat/>
    <w:uiPriority w:val="0"/>
    <w:pPr>
      <w:ind w:firstLine="420" w:firstLineChars="200"/>
    </w:pPr>
    <w:rPr>
      <w:szCs w:val="24"/>
    </w:rPr>
  </w:style>
  <w:style w:type="character" w:customStyle="1" w:styleId="118">
    <w:name w:val="目录3 Char"/>
    <w:link w:val="119"/>
    <w:autoRedefine/>
    <w:qFormat/>
    <w:locked/>
    <w:uiPriority w:val="99"/>
    <w:rPr>
      <w:rFonts w:ascii="宋体" w:hAnsi="宋体" w:eastAsia="宋体"/>
      <w:b/>
      <w:sz w:val="24"/>
    </w:rPr>
  </w:style>
  <w:style w:type="paragraph" w:customStyle="1" w:styleId="119">
    <w:name w:val="目录3"/>
    <w:basedOn w:val="1"/>
    <w:link w:val="118"/>
    <w:autoRedefine/>
    <w:qFormat/>
    <w:uiPriority w:val="99"/>
    <w:pPr>
      <w:adjustRightInd w:val="0"/>
      <w:snapToGrid w:val="0"/>
      <w:jc w:val="left"/>
    </w:pPr>
    <w:rPr>
      <w:rFonts w:ascii="宋体" w:hAnsi="宋体" w:eastAsia="宋体"/>
      <w:b/>
      <w:sz w:val="24"/>
    </w:rPr>
  </w:style>
  <w:style w:type="paragraph" w:customStyle="1" w:styleId="120">
    <w:name w:val="正文_4"/>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121">
    <w:name w:val="正文_14"/>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22">
    <w:name w:val="无间隔 Char"/>
    <w:link w:val="123"/>
    <w:autoRedefine/>
    <w:qFormat/>
    <w:locked/>
    <w:uiPriority w:val="0"/>
    <w:rPr>
      <w:rFonts w:ascii="Times New Roman" w:hAnsi="Times New Roman" w:eastAsia="Times New Roman" w:cs="Times New Roman"/>
      <w:szCs w:val="24"/>
    </w:rPr>
  </w:style>
  <w:style w:type="paragraph" w:customStyle="1" w:styleId="123">
    <w:name w:val="无间隔1"/>
    <w:link w:val="122"/>
    <w:autoRedefine/>
    <w:qFormat/>
    <w:uiPriority w:val="0"/>
    <w:pPr>
      <w:widowControl w:val="0"/>
      <w:jc w:val="both"/>
    </w:pPr>
    <w:rPr>
      <w:rFonts w:ascii="Times New Roman" w:hAnsi="Times New Roman" w:eastAsia="Times New Roman" w:cs="Times New Roman"/>
      <w:kern w:val="2"/>
      <w:sz w:val="21"/>
      <w:szCs w:val="24"/>
      <w:lang w:val="en-US" w:eastAsia="zh-CN" w:bidi="ar-SA"/>
    </w:rPr>
  </w:style>
  <w:style w:type="character" w:customStyle="1" w:styleId="124">
    <w:name w:val="普通文字 Char Char_0"/>
    <w:link w:val="125"/>
    <w:autoRedefine/>
    <w:qFormat/>
    <w:locked/>
    <w:uiPriority w:val="0"/>
    <w:rPr>
      <w:rFonts w:ascii="Arial Unicode MS" w:hAnsi="Arial Unicode MS" w:eastAsia="ヒラギノ角ゴ Pro W3"/>
      <w:color w:val="000000"/>
    </w:rPr>
  </w:style>
  <w:style w:type="paragraph" w:customStyle="1" w:styleId="125">
    <w:name w:val="纯文本_0"/>
    <w:link w:val="124"/>
    <w:autoRedefine/>
    <w:qFormat/>
    <w:uiPriority w:val="0"/>
    <w:pPr>
      <w:widowControl w:val="0"/>
      <w:jc w:val="both"/>
    </w:pPr>
    <w:rPr>
      <w:rFonts w:ascii="Arial Unicode MS" w:hAnsi="Arial Unicode MS" w:eastAsia="ヒラギノ角ゴ Pro W3" w:cstheme="minorBidi"/>
      <w:color w:val="000000"/>
      <w:kern w:val="2"/>
      <w:sz w:val="21"/>
      <w:szCs w:val="22"/>
      <w:lang w:val="en-US" w:eastAsia="zh-CN" w:bidi="ar-SA"/>
    </w:rPr>
  </w:style>
  <w:style w:type="character" w:customStyle="1" w:styleId="126">
    <w:name w:val="样式1 Char Char"/>
    <w:link w:val="127"/>
    <w:autoRedefine/>
    <w:qFormat/>
    <w:locked/>
    <w:uiPriority w:val="0"/>
    <w:rPr>
      <w:rFonts w:ascii="宋体" w:hAnsi="宋体" w:eastAsia="宋体"/>
      <w:b/>
      <w:sz w:val="24"/>
    </w:rPr>
  </w:style>
  <w:style w:type="paragraph" w:customStyle="1" w:styleId="127">
    <w:name w:val="样式1"/>
    <w:basedOn w:val="1"/>
    <w:link w:val="126"/>
    <w:autoRedefine/>
    <w:qFormat/>
    <w:uiPriority w:val="0"/>
    <w:pPr>
      <w:spacing w:before="120" w:after="120" w:line="300" w:lineRule="auto"/>
    </w:pPr>
    <w:rPr>
      <w:rFonts w:ascii="宋体" w:hAnsi="宋体" w:eastAsia="宋体"/>
      <w:b/>
      <w:sz w:val="24"/>
    </w:rPr>
  </w:style>
  <w:style w:type="paragraph" w:customStyle="1" w:styleId="128">
    <w:name w:val="正文_1"/>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29">
    <w:name w:val="纯文本 Char_0"/>
    <w:link w:val="130"/>
    <w:autoRedefine/>
    <w:qFormat/>
    <w:locked/>
    <w:uiPriority w:val="0"/>
    <w:rPr>
      <w:rFonts w:ascii="宋体" w:hAnsi="宋体" w:eastAsia="ヒラギノ角ゴ Pro W3"/>
      <w:color w:val="000000"/>
    </w:rPr>
  </w:style>
  <w:style w:type="paragraph" w:customStyle="1" w:styleId="130">
    <w:name w:val="纯文本_1"/>
    <w:link w:val="129"/>
    <w:autoRedefine/>
    <w:qFormat/>
    <w:uiPriority w:val="0"/>
    <w:pPr>
      <w:widowControl w:val="0"/>
      <w:jc w:val="both"/>
    </w:pPr>
    <w:rPr>
      <w:rFonts w:ascii="宋体" w:hAnsi="宋体" w:eastAsia="ヒラギノ角ゴ Pro W3" w:cstheme="minorBidi"/>
      <w:color w:val="000000"/>
      <w:kern w:val="2"/>
      <w:sz w:val="21"/>
      <w:szCs w:val="22"/>
      <w:lang w:val="en-US" w:eastAsia="zh-CN" w:bidi="ar-SA"/>
    </w:rPr>
  </w:style>
  <w:style w:type="paragraph" w:customStyle="1" w:styleId="131">
    <w:name w:val="正文_0"/>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32">
    <w:name w:val="彩色网格 - 强调文字颜色 1 Char"/>
    <w:link w:val="133"/>
    <w:autoRedefine/>
    <w:qFormat/>
    <w:locked/>
    <w:uiPriority w:val="0"/>
    <w:rPr>
      <w:i/>
      <w:iCs/>
      <w:color w:val="000000"/>
    </w:rPr>
  </w:style>
  <w:style w:type="paragraph" w:customStyle="1" w:styleId="133">
    <w:name w:val="彩色网格 - 强调文字颜色 11"/>
    <w:basedOn w:val="1"/>
    <w:next w:val="1"/>
    <w:link w:val="132"/>
    <w:autoRedefine/>
    <w:qFormat/>
    <w:uiPriority w:val="0"/>
    <w:rPr>
      <w:i/>
      <w:iCs/>
      <w:color w:val="000000"/>
    </w:rPr>
  </w:style>
  <w:style w:type="character" w:customStyle="1" w:styleId="134">
    <w:name w:val="样式 纯文本普通文字 Char纯文本 Char Char普通文字纯文本 Char Char Char Char Char...6 Char Char"/>
    <w:link w:val="135"/>
    <w:autoRedefine/>
    <w:qFormat/>
    <w:locked/>
    <w:uiPriority w:val="0"/>
    <w:rPr>
      <w:rFonts w:ascii="宋体" w:hAnsi="Courier New" w:eastAsia="宋体"/>
      <w:color w:val="000000"/>
      <w:szCs w:val="21"/>
    </w:rPr>
  </w:style>
  <w:style w:type="paragraph" w:customStyle="1" w:styleId="135">
    <w:name w:val="样式 纯文本普通文字 Char纯文本 Char Char普通文字纯文本 Char Char Char Char Char...6"/>
    <w:basedOn w:val="30"/>
    <w:link w:val="134"/>
    <w:autoRedefine/>
    <w:qFormat/>
    <w:uiPriority w:val="0"/>
    <w:pPr>
      <w:spacing w:beforeLines="0" w:afterLines="0" w:line="240" w:lineRule="auto"/>
    </w:pPr>
    <w:rPr>
      <w:rFonts w:cstheme="minorBidi"/>
      <w:color w:val="000000"/>
      <w:kern w:val="2"/>
      <w:sz w:val="21"/>
      <w:szCs w:val="21"/>
    </w:rPr>
  </w:style>
  <w:style w:type="character" w:customStyle="1" w:styleId="136">
    <w:name w:val="引用 Char1"/>
    <w:link w:val="137"/>
    <w:autoRedefine/>
    <w:qFormat/>
    <w:locked/>
    <w:uiPriority w:val="0"/>
    <w:rPr>
      <w:i/>
      <w:iCs/>
      <w:color w:val="000000"/>
      <w:szCs w:val="24"/>
    </w:rPr>
  </w:style>
  <w:style w:type="paragraph" w:customStyle="1" w:styleId="137">
    <w:name w:val="引用1"/>
    <w:basedOn w:val="1"/>
    <w:next w:val="1"/>
    <w:link w:val="136"/>
    <w:autoRedefine/>
    <w:qFormat/>
    <w:uiPriority w:val="0"/>
    <w:rPr>
      <w:i/>
      <w:iCs/>
      <w:color w:val="000000"/>
      <w:szCs w:val="24"/>
    </w:rPr>
  </w:style>
  <w:style w:type="character" w:customStyle="1" w:styleId="138">
    <w:name w:val="标题4 Char Char"/>
    <w:link w:val="139"/>
    <w:autoRedefine/>
    <w:qFormat/>
    <w:locked/>
    <w:uiPriority w:val="0"/>
    <w:rPr>
      <w:rFonts w:ascii="Arial" w:hAnsi="Arial" w:cs="Arial"/>
      <w:b/>
      <w:bCs/>
      <w:sz w:val="24"/>
      <w:szCs w:val="32"/>
    </w:rPr>
  </w:style>
  <w:style w:type="paragraph" w:customStyle="1" w:styleId="139">
    <w:name w:val="标题4"/>
    <w:basedOn w:val="1"/>
    <w:link w:val="138"/>
    <w:autoRedefine/>
    <w:qFormat/>
    <w:uiPriority w:val="0"/>
    <w:rPr>
      <w:rFonts w:ascii="Arial" w:hAnsi="Arial" w:cs="Arial"/>
      <w:b/>
      <w:bCs/>
      <w:sz w:val="24"/>
      <w:szCs w:val="32"/>
    </w:rPr>
  </w:style>
  <w:style w:type="character" w:customStyle="1" w:styleId="140">
    <w:name w:val="明显引用 Char1"/>
    <w:link w:val="141"/>
    <w:autoRedefine/>
    <w:qFormat/>
    <w:locked/>
    <w:uiPriority w:val="0"/>
    <w:rPr>
      <w:b/>
      <w:bCs/>
      <w:i/>
      <w:iCs/>
      <w:color w:val="4F81BD"/>
      <w:szCs w:val="24"/>
    </w:rPr>
  </w:style>
  <w:style w:type="paragraph" w:customStyle="1" w:styleId="141">
    <w:name w:val="Intense Quote1"/>
    <w:basedOn w:val="1"/>
    <w:next w:val="1"/>
    <w:link w:val="140"/>
    <w:autoRedefine/>
    <w:qFormat/>
    <w:uiPriority w:val="0"/>
    <w:pPr>
      <w:pBdr>
        <w:bottom w:val="single" w:color="4F81BD" w:sz="4" w:space="4"/>
      </w:pBdr>
      <w:spacing w:before="200" w:after="280"/>
      <w:ind w:left="936" w:right="936"/>
    </w:pPr>
    <w:rPr>
      <w:b/>
      <w:bCs/>
      <w:i/>
      <w:iCs/>
      <w:color w:val="4F81BD"/>
      <w:szCs w:val="24"/>
    </w:rPr>
  </w:style>
  <w:style w:type="paragraph" w:customStyle="1" w:styleId="142">
    <w:name w:val="正文_1_1"/>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43">
    <w:name w:val="标题5 Char Char"/>
    <w:link w:val="144"/>
    <w:autoRedefine/>
    <w:qFormat/>
    <w:locked/>
    <w:uiPriority w:val="0"/>
    <w:rPr>
      <w:rFonts w:ascii="Arial" w:hAnsi="Arial" w:cs="Arial"/>
      <w:b/>
      <w:bCs/>
      <w:sz w:val="24"/>
      <w:szCs w:val="32"/>
    </w:rPr>
  </w:style>
  <w:style w:type="paragraph" w:customStyle="1" w:styleId="144">
    <w:name w:val="标题5"/>
    <w:basedOn w:val="5"/>
    <w:link w:val="143"/>
    <w:autoRedefine/>
    <w:qFormat/>
    <w:uiPriority w:val="0"/>
    <w:pPr>
      <w:spacing w:line="412" w:lineRule="auto"/>
    </w:pPr>
    <w:rPr>
      <w:rFonts w:ascii="Arial" w:hAnsi="Arial" w:cs="Arial" w:eastAsiaTheme="minorEastAsia"/>
      <w:kern w:val="2"/>
      <w:sz w:val="24"/>
    </w:rPr>
  </w:style>
  <w:style w:type="character" w:customStyle="1" w:styleId="145">
    <w:name w:val="正文文字4 Char1_0"/>
    <w:link w:val="146"/>
    <w:autoRedefine/>
    <w:qFormat/>
    <w:locked/>
    <w:uiPriority w:val="0"/>
  </w:style>
  <w:style w:type="paragraph" w:customStyle="1" w:styleId="146">
    <w:name w:val="正文文本缩进_0"/>
    <w:basedOn w:val="131"/>
    <w:link w:val="145"/>
    <w:autoRedefine/>
    <w:qFormat/>
    <w:uiPriority w:val="0"/>
    <w:pPr>
      <w:spacing w:after="120"/>
      <w:ind w:left="420" w:leftChars="200"/>
    </w:pPr>
    <w:rPr>
      <w:rFonts w:asciiTheme="minorHAnsi" w:hAnsiTheme="minorHAnsi" w:eastAsiaTheme="minorEastAsia" w:cstheme="minorBidi"/>
    </w:rPr>
  </w:style>
  <w:style w:type="character" w:customStyle="1" w:styleId="147">
    <w:name w:val="内文 Char Char"/>
    <w:link w:val="148"/>
    <w:autoRedefine/>
    <w:qFormat/>
    <w:locked/>
    <w:uiPriority w:val="0"/>
    <w:rPr>
      <w:rFonts w:ascii="Arial" w:hAnsi="Arial" w:eastAsia="Times New Roman" w:cs="Arial"/>
      <w:szCs w:val="24"/>
    </w:rPr>
  </w:style>
  <w:style w:type="paragraph" w:customStyle="1" w:styleId="148">
    <w:name w:val="内文"/>
    <w:link w:val="147"/>
    <w:autoRedefine/>
    <w:qFormat/>
    <w:uiPriority w:val="0"/>
    <w:pPr>
      <w:adjustRightInd w:val="0"/>
      <w:snapToGrid w:val="0"/>
      <w:spacing w:line="400" w:lineRule="exact"/>
      <w:ind w:firstLine="200" w:firstLineChars="200"/>
      <w:jc w:val="both"/>
    </w:pPr>
    <w:rPr>
      <w:rFonts w:ascii="Arial" w:hAnsi="Arial" w:eastAsia="Times New Roman" w:cs="Arial"/>
      <w:kern w:val="2"/>
      <w:sz w:val="21"/>
      <w:szCs w:val="24"/>
      <w:lang w:val="en-US" w:eastAsia="zh-CN" w:bidi="ar-SA"/>
    </w:rPr>
  </w:style>
  <w:style w:type="paragraph" w:customStyle="1" w:styleId="149">
    <w:name w:val="正文_3"/>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普通文字 Char Char_1"/>
    <w:link w:val="151"/>
    <w:autoRedefine/>
    <w:qFormat/>
    <w:locked/>
    <w:uiPriority w:val="0"/>
    <w:rPr>
      <w:rFonts w:ascii="宋体" w:hAnsi="Courier New" w:eastAsia="宋体"/>
      <w:szCs w:val="21"/>
    </w:rPr>
  </w:style>
  <w:style w:type="paragraph" w:customStyle="1" w:styleId="151">
    <w:name w:val="纯文本_1_0"/>
    <w:basedOn w:val="142"/>
    <w:link w:val="150"/>
    <w:autoRedefine/>
    <w:qFormat/>
    <w:uiPriority w:val="0"/>
    <w:rPr>
      <w:rFonts w:ascii="宋体" w:hAnsi="Courier New" w:cstheme="minorBidi"/>
      <w:szCs w:val="21"/>
    </w:rPr>
  </w:style>
  <w:style w:type="paragraph" w:customStyle="1" w:styleId="152">
    <w:name w:val="正文_2"/>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53">
    <w:name w:val="样式 正文文本 Char Char"/>
    <w:link w:val="154"/>
    <w:autoRedefine/>
    <w:qFormat/>
    <w:locked/>
    <w:uiPriority w:val="0"/>
    <w:rPr>
      <w:rFonts w:ascii="Arial" w:hAnsi="Arial" w:cs="Arial"/>
      <w:color w:val="000000"/>
    </w:rPr>
  </w:style>
  <w:style w:type="paragraph" w:customStyle="1" w:styleId="154">
    <w:name w:val="样式 正文文本"/>
    <w:basedOn w:val="1"/>
    <w:link w:val="153"/>
    <w:autoRedefine/>
    <w:qFormat/>
    <w:uiPriority w:val="0"/>
    <w:pPr>
      <w:adjustRightInd w:val="0"/>
      <w:snapToGrid w:val="0"/>
      <w:spacing w:line="400" w:lineRule="exact"/>
      <w:ind w:firstLine="200" w:firstLineChars="200"/>
    </w:pPr>
    <w:rPr>
      <w:rFonts w:ascii="Arial" w:hAnsi="Arial" w:cs="Arial"/>
      <w:color w:val="000000"/>
    </w:rPr>
  </w:style>
  <w:style w:type="character" w:customStyle="1" w:styleId="155">
    <w:name w:val="浅色底纹 - 强调文字颜色 2 Char"/>
    <w:link w:val="156"/>
    <w:autoRedefine/>
    <w:qFormat/>
    <w:locked/>
    <w:uiPriority w:val="0"/>
    <w:rPr>
      <w:b/>
      <w:bCs/>
      <w:i/>
      <w:iCs/>
      <w:color w:val="4F81BD"/>
    </w:rPr>
  </w:style>
  <w:style w:type="paragraph" w:customStyle="1" w:styleId="156">
    <w:name w:val="浅色底纹 - 强调文字颜色 21"/>
    <w:basedOn w:val="1"/>
    <w:next w:val="1"/>
    <w:link w:val="155"/>
    <w:autoRedefine/>
    <w:qFormat/>
    <w:uiPriority w:val="0"/>
    <w:pPr>
      <w:pBdr>
        <w:bottom w:val="single" w:color="4F81BD" w:sz="4" w:space="4"/>
      </w:pBdr>
      <w:spacing w:before="200" w:after="280"/>
      <w:ind w:left="936" w:right="936"/>
    </w:pPr>
    <w:rPr>
      <w:b/>
      <w:bCs/>
      <w:i/>
      <w:iCs/>
      <w:color w:val="4F81BD"/>
    </w:rPr>
  </w:style>
  <w:style w:type="character" w:customStyle="1" w:styleId="157">
    <w:name w:val="Intense Quote Char"/>
    <w:link w:val="158"/>
    <w:autoRedefine/>
    <w:qFormat/>
    <w:locked/>
    <w:uiPriority w:val="0"/>
    <w:rPr>
      <w:b/>
      <w:i/>
      <w:color w:val="4F81BD"/>
      <w:sz w:val="22"/>
    </w:rPr>
  </w:style>
  <w:style w:type="paragraph" w:customStyle="1" w:styleId="158">
    <w:name w:val="明显引用1"/>
    <w:basedOn w:val="1"/>
    <w:next w:val="1"/>
    <w:link w:val="157"/>
    <w:autoRedefine/>
    <w:qFormat/>
    <w:uiPriority w:val="0"/>
    <w:pPr>
      <w:pBdr>
        <w:bottom w:val="single" w:color="4F81BD" w:sz="4" w:space="4"/>
      </w:pBdr>
      <w:spacing w:before="200" w:after="280"/>
      <w:ind w:left="936" w:right="936"/>
    </w:pPr>
    <w:rPr>
      <w:b/>
      <w:i/>
      <w:color w:val="4F81BD"/>
      <w:sz w:val="22"/>
    </w:rPr>
  </w:style>
  <w:style w:type="character" w:customStyle="1" w:styleId="159">
    <w:name w:val="Default Char Char"/>
    <w:link w:val="160"/>
    <w:autoRedefine/>
    <w:qFormat/>
    <w:locked/>
    <w:uiPriority w:val="0"/>
    <w:rPr>
      <w:rFonts w:ascii="..ì." w:hAnsi="..ì." w:eastAsia="..ì." w:cs="..ì."/>
      <w:color w:val="000000"/>
      <w:sz w:val="24"/>
      <w:szCs w:val="24"/>
    </w:rPr>
  </w:style>
  <w:style w:type="paragraph" w:customStyle="1" w:styleId="160">
    <w:name w:val="Default"/>
    <w:link w:val="159"/>
    <w:autoRedefine/>
    <w:qFormat/>
    <w:uiPriority w:val="0"/>
    <w:pPr>
      <w:widowControl w:val="0"/>
      <w:autoSpaceDE w:val="0"/>
      <w:autoSpaceDN w:val="0"/>
      <w:adjustRightInd w:val="0"/>
    </w:pPr>
    <w:rPr>
      <w:rFonts w:ascii="..ì." w:hAnsi="..ì." w:eastAsia="..ì." w:cs="..ì."/>
      <w:color w:val="000000"/>
      <w:kern w:val="2"/>
      <w:sz w:val="24"/>
      <w:szCs w:val="24"/>
      <w:lang w:val="en-US" w:eastAsia="zh-CN" w:bidi="ar-SA"/>
    </w:rPr>
  </w:style>
  <w:style w:type="character" w:customStyle="1" w:styleId="161">
    <w:name w:val="Quote Char"/>
    <w:link w:val="162"/>
    <w:autoRedefine/>
    <w:qFormat/>
    <w:locked/>
    <w:uiPriority w:val="0"/>
    <w:rPr>
      <w:i/>
      <w:color w:val="000000"/>
      <w:sz w:val="22"/>
    </w:rPr>
  </w:style>
  <w:style w:type="paragraph" w:customStyle="1" w:styleId="162">
    <w:name w:val="引用11"/>
    <w:basedOn w:val="1"/>
    <w:next w:val="1"/>
    <w:link w:val="161"/>
    <w:autoRedefine/>
    <w:qFormat/>
    <w:uiPriority w:val="0"/>
    <w:rPr>
      <w:i/>
      <w:color w:val="000000"/>
      <w:sz w:val="22"/>
    </w:rPr>
  </w:style>
  <w:style w:type="character" w:customStyle="1" w:styleId="163">
    <w:name w:val="明显引用 Char"/>
    <w:link w:val="164"/>
    <w:autoRedefine/>
    <w:qFormat/>
    <w:locked/>
    <w:uiPriority w:val="0"/>
    <w:rPr>
      <w:b/>
      <w:bCs/>
      <w:i/>
      <w:iCs/>
      <w:color w:val="4F81BD"/>
    </w:rPr>
  </w:style>
  <w:style w:type="paragraph" w:customStyle="1" w:styleId="164">
    <w:name w:val="明显引用2"/>
    <w:basedOn w:val="1"/>
    <w:next w:val="1"/>
    <w:link w:val="163"/>
    <w:autoRedefine/>
    <w:qFormat/>
    <w:uiPriority w:val="0"/>
    <w:pPr>
      <w:pBdr>
        <w:bottom w:val="single" w:color="4F81BD" w:sz="4" w:space="4"/>
      </w:pBdr>
      <w:spacing w:before="200" w:after="280"/>
      <w:ind w:left="936" w:right="936"/>
    </w:pPr>
    <w:rPr>
      <w:b/>
      <w:bCs/>
      <w:i/>
      <w:iCs/>
      <w:color w:val="4F81BD"/>
    </w:rPr>
  </w:style>
  <w:style w:type="paragraph" w:customStyle="1" w:styleId="165">
    <w:name w:val="样式 标题 3 + (中文) 黑体 小四 非加粗 段前: 7.8 磅 段后: 0 磅 行距: 固定值 20 磅"/>
    <w:basedOn w:val="5"/>
    <w:autoRedefine/>
    <w:qFormat/>
    <w:uiPriority w:val="99"/>
    <w:pPr>
      <w:spacing w:before="0" w:after="0" w:line="400" w:lineRule="exact"/>
    </w:pPr>
    <w:rPr>
      <w:rFonts w:ascii="Calibri" w:hAnsi="Calibri" w:eastAsia="黑体" w:cs="宋体"/>
      <w:b w:val="0"/>
      <w:bCs w:val="0"/>
      <w:sz w:val="24"/>
      <w:szCs w:val="20"/>
    </w:rPr>
  </w:style>
  <w:style w:type="paragraph" w:customStyle="1" w:styleId="166">
    <w:name w:val="pa-1"/>
    <w:basedOn w:val="1"/>
    <w:autoRedefine/>
    <w:qFormat/>
    <w:uiPriority w:val="99"/>
    <w:pPr>
      <w:widowControl/>
      <w:spacing w:line="480" w:lineRule="atLeast"/>
      <w:jc w:val="center"/>
    </w:pPr>
    <w:rPr>
      <w:rFonts w:ascii="宋体" w:hAnsi="宋体" w:eastAsia="宋体" w:cs="宋体"/>
      <w:kern w:val="0"/>
      <w:sz w:val="24"/>
    </w:rPr>
  </w:style>
  <w:style w:type="paragraph" w:customStyle="1" w:styleId="167">
    <w:name w:val="ca-28"/>
    <w:basedOn w:val="1"/>
    <w:autoRedefine/>
    <w:qFormat/>
    <w:uiPriority w:val="99"/>
    <w:pPr>
      <w:widowControl/>
      <w:jc w:val="left"/>
    </w:pPr>
    <w:rPr>
      <w:rFonts w:ascii="宋体" w:hAnsi="宋体" w:eastAsia="宋体" w:cs="宋体"/>
      <w:color w:val="FF0000"/>
      <w:kern w:val="0"/>
      <w:szCs w:val="21"/>
    </w:rPr>
  </w:style>
  <w:style w:type="paragraph" w:customStyle="1" w:styleId="168">
    <w:name w:val="正文_2_1"/>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69">
    <w:name w:val="xl40"/>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170">
    <w:name w:val="pa-41"/>
    <w:basedOn w:val="1"/>
    <w:autoRedefine/>
    <w:qFormat/>
    <w:uiPriority w:val="99"/>
    <w:pPr>
      <w:widowControl/>
      <w:spacing w:line="280" w:lineRule="atLeast"/>
      <w:ind w:firstLine="420"/>
    </w:pPr>
    <w:rPr>
      <w:rFonts w:ascii="宋体" w:hAnsi="宋体" w:eastAsia="宋体" w:cs="宋体"/>
      <w:kern w:val="0"/>
      <w:sz w:val="24"/>
    </w:rPr>
  </w:style>
  <w:style w:type="paragraph" w:customStyle="1" w:styleId="171">
    <w:name w:val="pa-107"/>
    <w:basedOn w:val="1"/>
    <w:autoRedefine/>
    <w:qFormat/>
    <w:uiPriority w:val="99"/>
    <w:pPr>
      <w:widowControl/>
      <w:spacing w:line="720" w:lineRule="atLeast"/>
      <w:ind w:firstLine="3000"/>
    </w:pPr>
    <w:rPr>
      <w:rFonts w:ascii="宋体" w:hAnsi="宋体" w:eastAsia="宋体" w:cs="宋体"/>
      <w:kern w:val="0"/>
      <w:sz w:val="24"/>
    </w:rPr>
  </w:style>
  <w:style w:type="paragraph" w:customStyle="1" w:styleId="172">
    <w:name w:val="pa-131"/>
    <w:basedOn w:val="1"/>
    <w:autoRedefine/>
    <w:qFormat/>
    <w:uiPriority w:val="99"/>
    <w:pPr>
      <w:widowControl/>
      <w:spacing w:line="280" w:lineRule="atLeast"/>
      <w:jc w:val="left"/>
    </w:pPr>
    <w:rPr>
      <w:rFonts w:ascii="宋体" w:hAnsi="宋体" w:eastAsia="宋体" w:cs="宋体"/>
      <w:kern w:val="0"/>
      <w:sz w:val="24"/>
    </w:rPr>
  </w:style>
  <w:style w:type="paragraph" w:customStyle="1" w:styleId="173">
    <w:name w:val="p0"/>
    <w:basedOn w:val="1"/>
    <w:autoRedefine/>
    <w:qFormat/>
    <w:uiPriority w:val="99"/>
    <w:pPr>
      <w:widowControl/>
    </w:pPr>
    <w:rPr>
      <w:rFonts w:ascii="Times New Roman" w:hAnsi="Times New Roman" w:eastAsia="宋体" w:cs="Times New Roman"/>
      <w:kern w:val="0"/>
      <w:szCs w:val="21"/>
    </w:rPr>
  </w:style>
  <w:style w:type="paragraph" w:customStyle="1" w:styleId="174">
    <w:name w:val="正文_0_0"/>
    <w:autoRedefine/>
    <w:qFormat/>
    <w:uiPriority w:val="99"/>
    <w:pPr>
      <w:widowControl w:val="0"/>
      <w:jc w:val="both"/>
    </w:pPr>
    <w:rPr>
      <w:rFonts w:ascii="Times New Roman" w:hAnsi="Times New Roman" w:eastAsia="ヒラギノ角ゴ Pro W3" w:cs="Times New Roman"/>
      <w:color w:val="000000"/>
      <w:kern w:val="2"/>
      <w:sz w:val="21"/>
      <w:lang w:val="en-US" w:eastAsia="zh-CN" w:bidi="ar-SA"/>
    </w:rPr>
  </w:style>
  <w:style w:type="paragraph" w:customStyle="1" w:styleId="175">
    <w:name w:val="标题 3_0"/>
    <w:next w:val="174"/>
    <w:autoRedefine/>
    <w:qFormat/>
    <w:uiPriority w:val="99"/>
    <w:pPr>
      <w:keepNext/>
      <w:keepLines/>
      <w:widowControl w:val="0"/>
      <w:spacing w:line="360" w:lineRule="auto"/>
      <w:jc w:val="both"/>
      <w:outlineLvl w:val="2"/>
    </w:pPr>
    <w:rPr>
      <w:rFonts w:ascii="Calibri Bold" w:hAnsi="Calibri Bold" w:eastAsia="ヒラギノ角ゴ Pro W3" w:cs="Times New Roman"/>
      <w:color w:val="000000"/>
      <w:kern w:val="2"/>
      <w:sz w:val="24"/>
      <w:lang w:val="en-US" w:eastAsia="zh-CN" w:bidi="ar-SA"/>
    </w:rPr>
  </w:style>
  <w:style w:type="paragraph" w:customStyle="1" w:styleId="176">
    <w:name w:val="xl38"/>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b/>
      <w:bCs/>
      <w:color w:val="000000"/>
      <w:kern w:val="0"/>
      <w:sz w:val="18"/>
      <w:szCs w:val="18"/>
    </w:rPr>
  </w:style>
  <w:style w:type="paragraph" w:customStyle="1" w:styleId="177">
    <w:name w:val="pa-129"/>
    <w:basedOn w:val="1"/>
    <w:autoRedefine/>
    <w:qFormat/>
    <w:uiPriority w:val="99"/>
    <w:pPr>
      <w:widowControl/>
      <w:spacing w:line="300" w:lineRule="atLeast"/>
    </w:pPr>
    <w:rPr>
      <w:rFonts w:ascii="宋体" w:hAnsi="宋体" w:eastAsia="宋体" w:cs="宋体"/>
      <w:kern w:val="0"/>
      <w:sz w:val="24"/>
    </w:rPr>
  </w:style>
  <w:style w:type="paragraph" w:customStyle="1" w:styleId="178">
    <w:name w:val="投标标题 2"/>
    <w:basedOn w:val="16"/>
    <w:autoRedefine/>
    <w:qFormat/>
    <w:uiPriority w:val="99"/>
    <w:pPr>
      <w:spacing w:before="0" w:after="0"/>
      <w:ind w:firstLine="6290" w:firstLineChars="2282"/>
    </w:pPr>
    <w:rPr>
      <w:rFonts w:ascii="Calibri" w:hAnsi="Calibri" w:cs="Times New Roman"/>
      <w:b/>
      <w:bCs/>
      <w:sz w:val="28"/>
      <w:szCs w:val="22"/>
    </w:rPr>
  </w:style>
  <w:style w:type="paragraph" w:customStyle="1" w:styleId="179">
    <w:name w:val="xl75"/>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180">
    <w:name w:val="Char Char Char Char"/>
    <w:basedOn w:val="1"/>
    <w:autoRedefine/>
    <w:qFormat/>
    <w:uiPriority w:val="99"/>
    <w:rPr>
      <w:rFonts w:ascii="Calibri" w:hAnsi="Calibri" w:eastAsia="宋体" w:cs="Times New Roman"/>
    </w:rPr>
  </w:style>
  <w:style w:type="paragraph" w:customStyle="1" w:styleId="181">
    <w:name w:val="pa-43"/>
    <w:basedOn w:val="1"/>
    <w:autoRedefine/>
    <w:qFormat/>
    <w:uiPriority w:val="99"/>
    <w:pPr>
      <w:widowControl/>
      <w:spacing w:line="280" w:lineRule="atLeast"/>
      <w:jc w:val="center"/>
    </w:pPr>
    <w:rPr>
      <w:rFonts w:ascii="宋体" w:hAnsi="宋体" w:eastAsia="宋体" w:cs="宋体"/>
      <w:kern w:val="0"/>
      <w:sz w:val="24"/>
    </w:rPr>
  </w:style>
  <w:style w:type="character" w:customStyle="1" w:styleId="182">
    <w:name w:val="内文正文 Char"/>
    <w:link w:val="183"/>
    <w:autoRedefine/>
    <w:qFormat/>
    <w:locked/>
    <w:uiPriority w:val="0"/>
    <w:rPr>
      <w:rFonts w:ascii="宋体" w:hAnsi="???|CS?o｡ﾀ?" w:eastAsia="宋体"/>
      <w:szCs w:val="28"/>
    </w:rPr>
  </w:style>
  <w:style w:type="paragraph" w:customStyle="1" w:styleId="183">
    <w:name w:val="内文正文"/>
    <w:basedOn w:val="30"/>
    <w:link w:val="182"/>
    <w:autoRedefine/>
    <w:qFormat/>
    <w:uiPriority w:val="0"/>
    <w:pPr>
      <w:autoSpaceDE w:val="0"/>
      <w:autoSpaceDN w:val="0"/>
      <w:ind w:firstLine="200" w:firstLineChars="200"/>
    </w:pPr>
    <w:rPr>
      <w:rFonts w:hAnsi="???|CS?o｡ﾀ?" w:cstheme="minorBidi"/>
      <w:kern w:val="2"/>
      <w:sz w:val="21"/>
      <w:szCs w:val="28"/>
    </w:rPr>
  </w:style>
  <w:style w:type="paragraph" w:customStyle="1" w:styleId="184">
    <w:name w:val="Normal_21"/>
    <w:autoRedefine/>
    <w:qFormat/>
    <w:uiPriority w:val="99"/>
    <w:rPr>
      <w:rFonts w:ascii="黑体" w:hAnsi="黑体" w:eastAsia="黑体" w:cs="Times New Roman"/>
      <w:b/>
      <w:sz w:val="32"/>
      <w:szCs w:val="24"/>
      <w:lang w:val="en-US" w:eastAsia="zh-CN" w:bidi="ar-SA"/>
    </w:rPr>
  </w:style>
  <w:style w:type="paragraph" w:customStyle="1" w:styleId="185">
    <w:name w:val="td-6"/>
    <w:basedOn w:val="1"/>
    <w:autoRedefine/>
    <w:qFormat/>
    <w:uiPriority w:val="99"/>
    <w:pPr>
      <w:widowControl/>
      <w:pBdr>
        <w:top w:val="single" w:color="000000" w:sz="12" w:space="0"/>
        <w:left w:val="single" w:color="000000" w:sz="4" w:space="4"/>
        <w:bottom w:val="single" w:color="000000" w:sz="4" w:space="0"/>
        <w:right w:val="single" w:color="000000" w:sz="12" w:space="0"/>
      </w:pBdr>
      <w:jc w:val="left"/>
    </w:pPr>
    <w:rPr>
      <w:rFonts w:ascii="宋体" w:hAnsi="宋体" w:eastAsia="宋体" w:cs="宋体"/>
      <w:kern w:val="0"/>
      <w:sz w:val="24"/>
    </w:rPr>
  </w:style>
  <w:style w:type="paragraph" w:customStyle="1" w:styleId="186">
    <w:name w:val="td-9"/>
    <w:basedOn w:val="1"/>
    <w:autoRedefine/>
    <w:qFormat/>
    <w:uiPriority w:val="99"/>
    <w:pPr>
      <w:widowControl/>
      <w:pBdr>
        <w:top w:val="single" w:color="000000" w:sz="4" w:space="0"/>
        <w:left w:val="single" w:color="000000" w:sz="12" w:space="4"/>
        <w:bottom w:val="single" w:color="000000" w:sz="12" w:space="0"/>
        <w:right w:val="single" w:color="000000" w:sz="4" w:space="0"/>
      </w:pBdr>
      <w:jc w:val="left"/>
    </w:pPr>
    <w:rPr>
      <w:rFonts w:ascii="宋体" w:hAnsi="宋体" w:eastAsia="宋体" w:cs="宋体"/>
      <w:kern w:val="0"/>
      <w:sz w:val="24"/>
    </w:rPr>
  </w:style>
  <w:style w:type="paragraph" w:customStyle="1" w:styleId="187">
    <w:name w:val="pa-11"/>
    <w:basedOn w:val="1"/>
    <w:autoRedefine/>
    <w:qFormat/>
    <w:uiPriority w:val="99"/>
    <w:pPr>
      <w:widowControl/>
      <w:spacing w:line="280" w:lineRule="atLeast"/>
    </w:pPr>
    <w:rPr>
      <w:rFonts w:ascii="宋体" w:hAnsi="宋体" w:eastAsia="宋体" w:cs="宋体"/>
      <w:kern w:val="0"/>
      <w:sz w:val="24"/>
    </w:rPr>
  </w:style>
  <w:style w:type="paragraph" w:customStyle="1" w:styleId="188">
    <w:name w:val="pa-97"/>
    <w:basedOn w:val="1"/>
    <w:autoRedefine/>
    <w:qFormat/>
    <w:uiPriority w:val="99"/>
    <w:pPr>
      <w:widowControl/>
      <w:spacing w:line="720" w:lineRule="atLeast"/>
    </w:pPr>
    <w:rPr>
      <w:rFonts w:ascii="宋体" w:hAnsi="宋体" w:eastAsia="宋体" w:cs="宋体"/>
      <w:kern w:val="0"/>
      <w:sz w:val="24"/>
    </w:rPr>
  </w:style>
  <w:style w:type="paragraph" w:customStyle="1" w:styleId="189">
    <w:name w:val="pa-23"/>
    <w:basedOn w:val="1"/>
    <w:autoRedefine/>
    <w:qFormat/>
    <w:uiPriority w:val="99"/>
    <w:pPr>
      <w:widowControl/>
      <w:spacing w:line="360" w:lineRule="atLeast"/>
      <w:ind w:firstLine="420"/>
    </w:pPr>
    <w:rPr>
      <w:rFonts w:ascii="宋体" w:hAnsi="宋体" w:eastAsia="宋体" w:cs="宋体"/>
      <w:kern w:val="0"/>
      <w:sz w:val="24"/>
    </w:rPr>
  </w:style>
  <w:style w:type="paragraph" w:customStyle="1" w:styleId="190">
    <w:name w:val="Char2 Char Char Char Char Char Char"/>
    <w:basedOn w:val="1"/>
    <w:autoRedefine/>
    <w:qFormat/>
    <w:uiPriority w:val="99"/>
    <w:pPr>
      <w:autoSpaceDE w:val="0"/>
      <w:autoSpaceDN w:val="0"/>
      <w:adjustRightInd w:val="0"/>
      <w:snapToGrid w:val="0"/>
      <w:spacing w:line="500" w:lineRule="exact"/>
      <w:ind w:firstLine="562" w:firstLineChars="200"/>
      <w:jc w:val="center"/>
    </w:pPr>
    <w:rPr>
      <w:rFonts w:ascii="Calibri" w:hAnsi="Calibri" w:eastAsia="仿宋_GB2312" w:cs="Times New Roman"/>
      <w:b/>
      <w:color w:val="000000"/>
      <w:sz w:val="28"/>
      <w:szCs w:val="28"/>
    </w:rPr>
  </w:style>
  <w:style w:type="paragraph" w:customStyle="1" w:styleId="191">
    <w:name w:val="ca-19"/>
    <w:basedOn w:val="1"/>
    <w:autoRedefine/>
    <w:qFormat/>
    <w:uiPriority w:val="99"/>
    <w:pPr>
      <w:widowControl/>
      <w:jc w:val="left"/>
    </w:pPr>
    <w:rPr>
      <w:rFonts w:ascii="Calibri" w:hAnsi="Calibri" w:eastAsia="宋体" w:cs="Times New Roman"/>
      <w:kern w:val="0"/>
      <w:sz w:val="18"/>
      <w:szCs w:val="18"/>
    </w:rPr>
  </w:style>
  <w:style w:type="paragraph" w:customStyle="1" w:styleId="192">
    <w:name w:val="正文，首行缩进:"/>
    <w:basedOn w:val="1"/>
    <w:autoRedefine/>
    <w:qFormat/>
    <w:uiPriority w:val="99"/>
    <w:pPr>
      <w:tabs>
        <w:tab w:val="left" w:pos="3376"/>
      </w:tabs>
      <w:spacing w:line="460" w:lineRule="exact"/>
      <w:ind w:firstLine="480" w:firstLineChars="200"/>
      <w:jc w:val="left"/>
    </w:pPr>
    <w:rPr>
      <w:rFonts w:ascii="宋体" w:hAnsi="宋体" w:eastAsia="宋体" w:cs="宋体"/>
      <w:sz w:val="24"/>
      <w:szCs w:val="20"/>
    </w:rPr>
  </w:style>
  <w:style w:type="paragraph" w:customStyle="1" w:styleId="193">
    <w:name w:val="Normal_18"/>
    <w:autoRedefine/>
    <w:qFormat/>
    <w:uiPriority w:val="99"/>
    <w:rPr>
      <w:rFonts w:ascii="黑体" w:hAnsi="黑体" w:eastAsia="黑体" w:cs="Times New Roman"/>
      <w:b/>
      <w:sz w:val="32"/>
      <w:szCs w:val="24"/>
      <w:lang w:val="en-US" w:eastAsia="zh-CN" w:bidi="ar-SA"/>
    </w:rPr>
  </w:style>
  <w:style w:type="paragraph" w:customStyle="1" w:styleId="194">
    <w:name w:val="pa-82"/>
    <w:basedOn w:val="1"/>
    <w:autoRedefine/>
    <w:qFormat/>
    <w:uiPriority w:val="99"/>
    <w:pPr>
      <w:widowControl/>
      <w:spacing w:line="480" w:lineRule="atLeast"/>
      <w:jc w:val="center"/>
    </w:pPr>
    <w:rPr>
      <w:rFonts w:ascii="宋体" w:hAnsi="宋体" w:eastAsia="宋体" w:cs="宋体"/>
      <w:kern w:val="0"/>
      <w:sz w:val="24"/>
    </w:rPr>
  </w:style>
  <w:style w:type="paragraph" w:customStyle="1" w:styleId="195">
    <w:name w:val="正文_11"/>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96">
    <w:name w:val="pa-127"/>
    <w:basedOn w:val="1"/>
    <w:autoRedefine/>
    <w:qFormat/>
    <w:uiPriority w:val="99"/>
    <w:pPr>
      <w:widowControl/>
      <w:spacing w:line="480" w:lineRule="atLeast"/>
      <w:ind w:firstLine="960"/>
    </w:pPr>
    <w:rPr>
      <w:rFonts w:ascii="宋体" w:hAnsi="宋体" w:eastAsia="宋体" w:cs="宋体"/>
      <w:kern w:val="0"/>
      <w:sz w:val="24"/>
    </w:rPr>
  </w:style>
  <w:style w:type="paragraph" w:customStyle="1" w:styleId="197">
    <w:name w:val="默认段落字体 Para Char Char Char Char"/>
    <w:basedOn w:val="1"/>
    <w:autoRedefine/>
    <w:qFormat/>
    <w:uiPriority w:val="99"/>
    <w:rPr>
      <w:rFonts w:ascii="Times New Roman" w:hAnsi="Times New Roman" w:eastAsia="宋体" w:cs="Times New Roman"/>
      <w:spacing w:val="20"/>
      <w:sz w:val="28"/>
      <w:szCs w:val="21"/>
    </w:rPr>
  </w:style>
  <w:style w:type="paragraph" w:customStyle="1" w:styleId="198">
    <w:name w:val="td-1"/>
    <w:basedOn w:val="1"/>
    <w:autoRedefine/>
    <w:qFormat/>
    <w:uiPriority w:val="99"/>
    <w:pPr>
      <w:widowControl/>
      <w:pBdr>
        <w:top w:val="single" w:color="000000" w:sz="6" w:space="0"/>
        <w:left w:val="single" w:color="000000" w:sz="6" w:space="4"/>
        <w:bottom w:val="single" w:color="000000" w:sz="6" w:space="0"/>
        <w:right w:val="single" w:color="000000" w:sz="6" w:space="0"/>
      </w:pBdr>
      <w:jc w:val="left"/>
    </w:pPr>
    <w:rPr>
      <w:rFonts w:ascii="宋体" w:hAnsi="宋体" w:eastAsia="宋体" w:cs="宋体"/>
      <w:kern w:val="0"/>
      <w:sz w:val="24"/>
    </w:rPr>
  </w:style>
  <w:style w:type="paragraph" w:customStyle="1" w:styleId="199">
    <w:name w:val="页眉_0"/>
    <w:basedOn w:val="152"/>
    <w:autoRedefine/>
    <w:qFormat/>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customStyle="1" w:styleId="200">
    <w:name w:val="pa-113"/>
    <w:basedOn w:val="1"/>
    <w:autoRedefine/>
    <w:qFormat/>
    <w:uiPriority w:val="99"/>
    <w:pPr>
      <w:widowControl/>
      <w:spacing w:line="360" w:lineRule="atLeast"/>
      <w:ind w:firstLine="2960"/>
    </w:pPr>
    <w:rPr>
      <w:rFonts w:ascii="宋体" w:hAnsi="宋体" w:eastAsia="宋体" w:cs="宋体"/>
      <w:kern w:val="0"/>
      <w:sz w:val="24"/>
    </w:rPr>
  </w:style>
  <w:style w:type="paragraph" w:customStyle="1" w:styleId="201">
    <w:name w:val="ca-1"/>
    <w:basedOn w:val="1"/>
    <w:autoRedefine/>
    <w:qFormat/>
    <w:uiPriority w:val="99"/>
    <w:pPr>
      <w:widowControl/>
      <w:jc w:val="left"/>
    </w:pPr>
    <w:rPr>
      <w:rFonts w:ascii="宋体" w:hAnsi="宋体" w:eastAsia="宋体" w:cs="宋体"/>
      <w:color w:val="000000"/>
      <w:spacing w:val="40"/>
      <w:kern w:val="0"/>
      <w:sz w:val="44"/>
      <w:szCs w:val="44"/>
    </w:rPr>
  </w:style>
  <w:style w:type="paragraph" w:customStyle="1" w:styleId="202">
    <w:name w:val="ca-2"/>
    <w:basedOn w:val="1"/>
    <w:autoRedefine/>
    <w:qFormat/>
    <w:uiPriority w:val="99"/>
    <w:pPr>
      <w:widowControl/>
      <w:jc w:val="left"/>
    </w:pPr>
    <w:rPr>
      <w:rFonts w:ascii="Calibri" w:hAnsi="Calibri" w:eastAsia="宋体" w:cs="Times New Roman"/>
      <w:color w:val="000000"/>
      <w:kern w:val="0"/>
      <w:sz w:val="36"/>
      <w:szCs w:val="36"/>
    </w:rPr>
  </w:style>
  <w:style w:type="paragraph" w:customStyle="1" w:styleId="203">
    <w:name w:val="ca-53"/>
    <w:basedOn w:val="1"/>
    <w:autoRedefine/>
    <w:qFormat/>
    <w:uiPriority w:val="99"/>
    <w:pPr>
      <w:widowControl/>
      <w:jc w:val="left"/>
    </w:pPr>
    <w:rPr>
      <w:rFonts w:ascii="Calibri" w:hAnsi="Calibri" w:eastAsia="宋体" w:cs="Times New Roman"/>
      <w:b/>
      <w:bCs/>
      <w:spacing w:val="-20"/>
      <w:kern w:val="0"/>
      <w:sz w:val="36"/>
      <w:szCs w:val="36"/>
    </w:rPr>
  </w:style>
  <w:style w:type="paragraph" w:customStyle="1" w:styleId="204">
    <w:name w:val="xl30"/>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205">
    <w:name w:val="xl34"/>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Arial" w:hAnsi="Arial" w:eastAsia="宋体" w:cs="Arial"/>
      <w:color w:val="000000"/>
      <w:kern w:val="0"/>
      <w:sz w:val="18"/>
      <w:szCs w:val="18"/>
    </w:rPr>
  </w:style>
  <w:style w:type="paragraph" w:customStyle="1" w:styleId="206">
    <w:name w:val="pa-90"/>
    <w:basedOn w:val="1"/>
    <w:autoRedefine/>
    <w:qFormat/>
    <w:uiPriority w:val="99"/>
    <w:pPr>
      <w:widowControl/>
      <w:spacing w:line="280" w:lineRule="atLeast"/>
    </w:pPr>
    <w:rPr>
      <w:rFonts w:ascii="宋体" w:hAnsi="宋体" w:eastAsia="宋体" w:cs="宋体"/>
      <w:kern w:val="0"/>
      <w:sz w:val="24"/>
    </w:rPr>
  </w:style>
  <w:style w:type="paragraph" w:customStyle="1" w:styleId="207">
    <w:name w:val="pa-47"/>
    <w:basedOn w:val="1"/>
    <w:autoRedefine/>
    <w:qFormat/>
    <w:uiPriority w:val="99"/>
    <w:pPr>
      <w:widowControl/>
      <w:spacing w:line="280" w:lineRule="atLeast"/>
      <w:ind w:firstLine="280"/>
      <w:jc w:val="center"/>
    </w:pPr>
    <w:rPr>
      <w:rFonts w:ascii="宋体" w:hAnsi="宋体" w:eastAsia="宋体" w:cs="宋体"/>
      <w:kern w:val="0"/>
      <w:sz w:val="24"/>
    </w:rPr>
  </w:style>
  <w:style w:type="paragraph" w:customStyle="1" w:styleId="208">
    <w:name w:val="pa-78"/>
    <w:basedOn w:val="1"/>
    <w:autoRedefine/>
    <w:qFormat/>
    <w:uiPriority w:val="99"/>
    <w:pPr>
      <w:widowControl/>
      <w:spacing w:line="340" w:lineRule="atLeast"/>
    </w:pPr>
    <w:rPr>
      <w:rFonts w:ascii="宋体" w:hAnsi="宋体" w:eastAsia="宋体" w:cs="宋体"/>
      <w:kern w:val="0"/>
      <w:sz w:val="24"/>
    </w:rPr>
  </w:style>
  <w:style w:type="paragraph" w:customStyle="1" w:styleId="209">
    <w:name w:val="Para-----"/>
    <w:autoRedefine/>
    <w:qFormat/>
    <w:uiPriority w:val="99"/>
    <w:pPr>
      <w:tabs>
        <w:tab w:val="left" w:pos="1152"/>
        <w:tab w:val="left" w:pos="1728"/>
        <w:tab w:val="left" w:pos="2304"/>
        <w:tab w:val="left" w:pos="3456"/>
        <w:tab w:val="left" w:pos="4032"/>
        <w:tab w:val="left" w:pos="4608"/>
        <w:tab w:val="left" w:pos="5184"/>
        <w:tab w:val="left" w:leader="underscore" w:pos="5760"/>
        <w:tab w:val="left" w:pos="6912"/>
        <w:tab w:val="left" w:pos="7488"/>
        <w:tab w:val="left" w:pos="8064"/>
        <w:tab w:val="left" w:pos="8640"/>
      </w:tabs>
      <w:spacing w:line="360" w:lineRule="auto"/>
      <w:ind w:left="1145"/>
    </w:pPr>
    <w:rPr>
      <w:rFonts w:ascii="Arial" w:hAnsi="Arial" w:eastAsia="宋体" w:cs="Arial"/>
      <w:lang w:val="en-US" w:eastAsia="zh-CN" w:bidi="ar-SA"/>
    </w:rPr>
  </w:style>
  <w:style w:type="paragraph" w:customStyle="1" w:styleId="210">
    <w:name w:val="pa-124"/>
    <w:basedOn w:val="1"/>
    <w:autoRedefine/>
    <w:qFormat/>
    <w:uiPriority w:val="99"/>
    <w:pPr>
      <w:widowControl/>
      <w:spacing w:line="760" w:lineRule="atLeast"/>
    </w:pPr>
    <w:rPr>
      <w:rFonts w:ascii="宋体" w:hAnsi="宋体" w:eastAsia="宋体" w:cs="宋体"/>
      <w:kern w:val="0"/>
      <w:sz w:val="24"/>
    </w:rPr>
  </w:style>
  <w:style w:type="paragraph" w:customStyle="1" w:styleId="211">
    <w:name w:val="pa-62"/>
    <w:basedOn w:val="1"/>
    <w:autoRedefine/>
    <w:qFormat/>
    <w:uiPriority w:val="99"/>
    <w:pPr>
      <w:widowControl/>
      <w:spacing w:line="360" w:lineRule="atLeast"/>
      <w:ind w:firstLine="420"/>
    </w:pPr>
    <w:rPr>
      <w:rFonts w:ascii="宋体" w:hAnsi="宋体" w:eastAsia="宋体" w:cs="宋体"/>
      <w:kern w:val="0"/>
      <w:sz w:val="24"/>
    </w:rPr>
  </w:style>
  <w:style w:type="paragraph" w:customStyle="1" w:styleId="212">
    <w:name w:val="正文1"/>
    <w:autoRedefine/>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213">
    <w:name w:val="pa-24"/>
    <w:basedOn w:val="1"/>
    <w:autoRedefine/>
    <w:qFormat/>
    <w:uiPriority w:val="99"/>
    <w:pPr>
      <w:widowControl/>
      <w:spacing w:line="360" w:lineRule="atLeast"/>
      <w:ind w:firstLine="480"/>
    </w:pPr>
    <w:rPr>
      <w:rFonts w:ascii="宋体" w:hAnsi="宋体" w:eastAsia="宋体" w:cs="宋体"/>
      <w:kern w:val="0"/>
      <w:sz w:val="24"/>
    </w:rPr>
  </w:style>
  <w:style w:type="paragraph" w:customStyle="1" w:styleId="214">
    <w:name w:val="样式 正文缩进正文（首行缩进两字）特点ALT+Z表正文正文非缩进四号段1Normal Indent Char2..."/>
    <w:basedOn w:val="4"/>
    <w:next w:val="5"/>
    <w:autoRedefine/>
    <w:qFormat/>
    <w:uiPriority w:val="99"/>
    <w:pPr>
      <w:spacing w:before="240" w:after="120" w:line="400" w:lineRule="exact"/>
      <w:ind w:left="1140" w:hanging="630"/>
      <w:jc w:val="center"/>
    </w:pPr>
    <w:rPr>
      <w:rFonts w:ascii="宋体" w:hAnsi="宋体" w:eastAsia="宋体"/>
      <w:bCs w:val="0"/>
      <w:kern w:val="0"/>
      <w:sz w:val="24"/>
      <w:szCs w:val="20"/>
    </w:rPr>
  </w:style>
  <w:style w:type="paragraph" w:customStyle="1" w:styleId="215">
    <w:name w:val="Normal_0"/>
    <w:autoRedefine/>
    <w:qFormat/>
    <w:uiPriority w:val="99"/>
    <w:rPr>
      <w:rFonts w:ascii="黑体" w:hAnsi="黑体" w:eastAsia="黑体" w:cs="Times New Roman"/>
      <w:b/>
      <w:sz w:val="32"/>
      <w:szCs w:val="24"/>
      <w:lang w:val="en-US" w:eastAsia="zh-CN" w:bidi="ar-SA"/>
    </w:rPr>
  </w:style>
  <w:style w:type="paragraph" w:customStyle="1" w:styleId="216">
    <w:name w:val="pa-17"/>
    <w:basedOn w:val="1"/>
    <w:autoRedefine/>
    <w:qFormat/>
    <w:uiPriority w:val="99"/>
    <w:pPr>
      <w:widowControl/>
      <w:spacing w:line="240" w:lineRule="atLeast"/>
      <w:jc w:val="center"/>
    </w:pPr>
    <w:rPr>
      <w:rFonts w:ascii="宋体" w:hAnsi="宋体" w:eastAsia="宋体" w:cs="宋体"/>
      <w:kern w:val="0"/>
      <w:sz w:val="24"/>
    </w:rPr>
  </w:style>
  <w:style w:type="paragraph" w:customStyle="1" w:styleId="217">
    <w:name w:val="pa-12"/>
    <w:basedOn w:val="1"/>
    <w:autoRedefine/>
    <w:qFormat/>
    <w:uiPriority w:val="99"/>
    <w:pPr>
      <w:widowControl/>
      <w:spacing w:line="360" w:lineRule="atLeast"/>
    </w:pPr>
    <w:rPr>
      <w:rFonts w:ascii="宋体" w:hAnsi="宋体" w:eastAsia="宋体" w:cs="宋体"/>
      <w:kern w:val="0"/>
      <w:sz w:val="24"/>
    </w:rPr>
  </w:style>
  <w:style w:type="paragraph" w:customStyle="1" w:styleId="218">
    <w:name w:val="6'"/>
    <w:basedOn w:val="1"/>
    <w:autoRedefine/>
    <w:qFormat/>
    <w:uiPriority w:val="99"/>
    <w:pPr>
      <w:autoSpaceDE w:val="0"/>
      <w:autoSpaceDN w:val="0"/>
      <w:adjustRightInd w:val="0"/>
      <w:snapToGrid w:val="0"/>
      <w:spacing w:line="320" w:lineRule="exact"/>
      <w:jc w:val="center"/>
    </w:pPr>
    <w:rPr>
      <w:rFonts w:ascii="Calibri" w:hAnsi="Calibri" w:eastAsia="宋体" w:cs="Times New Roman"/>
      <w:spacing w:val="20"/>
      <w:kern w:val="28"/>
      <w:szCs w:val="20"/>
    </w:rPr>
  </w:style>
  <w:style w:type="paragraph" w:customStyle="1" w:styleId="219">
    <w:name w:val="pa-8"/>
    <w:basedOn w:val="1"/>
    <w:autoRedefine/>
    <w:qFormat/>
    <w:uiPriority w:val="99"/>
    <w:pPr>
      <w:widowControl/>
      <w:spacing w:line="360" w:lineRule="atLeast"/>
    </w:pPr>
    <w:rPr>
      <w:rFonts w:ascii="宋体" w:hAnsi="宋体" w:eastAsia="宋体" w:cs="宋体"/>
      <w:kern w:val="0"/>
      <w:sz w:val="24"/>
    </w:rPr>
  </w:style>
  <w:style w:type="paragraph" w:customStyle="1" w:styleId="220">
    <w:name w:val="样式 标题 1 + 黑体 三号 非加粗 居中 段前: 6 磅 段后: 6 磅 行距: 固定值 20 磅"/>
    <w:basedOn w:val="3"/>
    <w:autoRedefine/>
    <w:qFormat/>
    <w:uiPriority w:val="99"/>
    <w:pPr>
      <w:keepLines/>
      <w:spacing w:before="120" w:after="120" w:line="400" w:lineRule="exact"/>
    </w:pPr>
    <w:rPr>
      <w:rFonts w:ascii="黑体" w:hAnsi="黑体" w:eastAsia="黑体" w:cs="宋体"/>
      <w:b w:val="0"/>
      <w:bCs w:val="0"/>
      <w:kern w:val="44"/>
      <w:sz w:val="32"/>
      <w:szCs w:val="20"/>
    </w:rPr>
  </w:style>
  <w:style w:type="paragraph" w:customStyle="1" w:styleId="221">
    <w:name w:val="xl64"/>
    <w:basedOn w:val="1"/>
    <w:autoRedefine/>
    <w:qFormat/>
    <w:uiPriority w:val="99"/>
    <w:pPr>
      <w:widowControl/>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222">
    <w:name w:val="样式 样式 标题 3section:33l3Level 3 HeadH3heading 3h3Bold Headbh... + ... Char"/>
    <w:basedOn w:val="1"/>
    <w:autoRedefine/>
    <w:qFormat/>
    <w:uiPriority w:val="99"/>
    <w:pPr>
      <w:keepNext/>
      <w:keepLines/>
      <w:spacing w:beforeLines="50" w:line="360" w:lineRule="auto"/>
      <w:ind w:left="800" w:leftChars="400"/>
      <w:outlineLvl w:val="2"/>
    </w:pPr>
    <w:rPr>
      <w:rFonts w:ascii="宋体" w:hAnsi="宋体" w:eastAsia="宋体" w:cs="宋体"/>
      <w:b/>
      <w:bCs/>
      <w:color w:val="FF0000"/>
      <w:sz w:val="24"/>
    </w:rPr>
  </w:style>
  <w:style w:type="paragraph" w:customStyle="1" w:styleId="223">
    <w:name w:val="正文_3_0"/>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24">
    <w:name w:val="pa-53"/>
    <w:basedOn w:val="1"/>
    <w:autoRedefine/>
    <w:qFormat/>
    <w:uiPriority w:val="99"/>
    <w:pPr>
      <w:widowControl/>
      <w:spacing w:line="280" w:lineRule="atLeast"/>
      <w:ind w:firstLine="100"/>
    </w:pPr>
    <w:rPr>
      <w:rFonts w:ascii="宋体" w:hAnsi="宋体" w:eastAsia="宋体" w:cs="宋体"/>
      <w:kern w:val="0"/>
      <w:sz w:val="24"/>
    </w:rPr>
  </w:style>
  <w:style w:type="paragraph" w:customStyle="1" w:styleId="225">
    <w:name w:val="空半行"/>
    <w:basedOn w:val="1"/>
    <w:autoRedefine/>
    <w:qFormat/>
    <w:uiPriority w:val="99"/>
    <w:pPr>
      <w:adjustRightInd w:val="0"/>
      <w:spacing w:line="120" w:lineRule="exact"/>
    </w:pPr>
    <w:rPr>
      <w:rFonts w:ascii="Times New Roman" w:hAnsi="Times New Roman" w:eastAsia="仿宋_GB2312" w:cs="Times New Roman"/>
      <w:color w:val="FFFFFF"/>
      <w:kern w:val="0"/>
      <w:sz w:val="30"/>
      <w:szCs w:val="20"/>
    </w:rPr>
  </w:style>
  <w:style w:type="paragraph" w:customStyle="1" w:styleId="226">
    <w:name w:val="Rechtliche Stellung Unterzeichner"/>
    <w:basedOn w:val="39"/>
    <w:autoRedefine/>
    <w:qFormat/>
    <w:uiPriority w:val="99"/>
    <w:pPr>
      <w:numPr>
        <w:ilvl w:val="0"/>
        <w:numId w:val="3"/>
      </w:numPr>
      <w:tabs>
        <w:tab w:val="left" w:pos="360"/>
        <w:tab w:val="left" w:pos="567"/>
        <w:tab w:val="left" w:pos="1134"/>
        <w:tab w:val="right" w:pos="9639"/>
      </w:tabs>
      <w:ind w:left="4252" w:firstLine="0"/>
      <w:jc w:val="both"/>
    </w:pPr>
    <w:rPr>
      <w:rFonts w:ascii="Arial" w:hAnsi="Arial"/>
      <w:lang w:val="de-DE" w:eastAsia="de-DE"/>
    </w:rPr>
  </w:style>
  <w:style w:type="paragraph" w:customStyle="1" w:styleId="227">
    <w:name w:val="pa-61"/>
    <w:basedOn w:val="1"/>
    <w:autoRedefine/>
    <w:qFormat/>
    <w:uiPriority w:val="99"/>
    <w:pPr>
      <w:widowControl/>
      <w:spacing w:line="240" w:lineRule="atLeast"/>
    </w:pPr>
    <w:rPr>
      <w:rFonts w:ascii="宋体" w:hAnsi="宋体" w:eastAsia="宋体" w:cs="宋体"/>
      <w:kern w:val="0"/>
      <w:sz w:val="24"/>
    </w:rPr>
  </w:style>
  <w:style w:type="paragraph" w:customStyle="1" w:styleId="228">
    <w:name w:val="pa-63"/>
    <w:basedOn w:val="1"/>
    <w:autoRedefine/>
    <w:qFormat/>
    <w:uiPriority w:val="99"/>
    <w:pPr>
      <w:widowControl/>
      <w:spacing w:line="360" w:lineRule="atLeast"/>
      <w:ind w:firstLine="300"/>
      <w:jc w:val="left"/>
    </w:pPr>
    <w:rPr>
      <w:rFonts w:ascii="宋体" w:hAnsi="宋体" w:eastAsia="宋体" w:cs="宋体"/>
      <w:kern w:val="0"/>
      <w:sz w:val="24"/>
    </w:rPr>
  </w:style>
  <w:style w:type="paragraph" w:customStyle="1" w:styleId="229">
    <w:name w:val="pa-30"/>
    <w:basedOn w:val="1"/>
    <w:autoRedefine/>
    <w:qFormat/>
    <w:uiPriority w:val="99"/>
    <w:pPr>
      <w:widowControl/>
      <w:spacing w:line="360" w:lineRule="atLeast"/>
      <w:ind w:firstLine="4100"/>
    </w:pPr>
    <w:rPr>
      <w:rFonts w:ascii="宋体" w:hAnsi="宋体" w:eastAsia="宋体" w:cs="宋体"/>
      <w:kern w:val="0"/>
      <w:sz w:val="24"/>
    </w:rPr>
  </w:style>
  <w:style w:type="paragraph" w:customStyle="1" w:styleId="230">
    <w:name w:val="BJ-Blob"/>
    <w:autoRedefine/>
    <w:qFormat/>
    <w:uiPriority w:val="99"/>
    <w:pPr>
      <w:tabs>
        <w:tab w:val="left" w:pos="360"/>
        <w:tab w:val="left" w:pos="900"/>
        <w:tab w:val="left" w:pos="1200"/>
      </w:tabs>
      <w:spacing w:before="40" w:after="40" w:line="360" w:lineRule="auto"/>
      <w:ind w:left="900" w:hanging="720"/>
      <w:jc w:val="both"/>
    </w:pPr>
    <w:rPr>
      <w:rFonts w:ascii="Arial" w:hAnsi="Arial" w:eastAsia="宋体" w:cs="Times New Roman"/>
      <w:sz w:val="24"/>
      <w:lang w:val="en-GB" w:eastAsia="de-DE" w:bidi="ar-SA"/>
    </w:rPr>
  </w:style>
  <w:style w:type="paragraph" w:customStyle="1" w:styleId="231">
    <w:name w:val="pa-96"/>
    <w:basedOn w:val="1"/>
    <w:autoRedefine/>
    <w:qFormat/>
    <w:uiPriority w:val="99"/>
    <w:pPr>
      <w:widowControl/>
      <w:spacing w:line="480" w:lineRule="atLeast"/>
    </w:pPr>
    <w:rPr>
      <w:rFonts w:ascii="宋体" w:hAnsi="宋体" w:eastAsia="宋体" w:cs="宋体"/>
      <w:kern w:val="0"/>
      <w:sz w:val="24"/>
    </w:rPr>
  </w:style>
  <w:style w:type="paragraph" w:customStyle="1" w:styleId="232">
    <w:name w:val="ca-14"/>
    <w:basedOn w:val="1"/>
    <w:autoRedefine/>
    <w:qFormat/>
    <w:uiPriority w:val="99"/>
    <w:pPr>
      <w:widowControl/>
      <w:jc w:val="left"/>
    </w:pPr>
    <w:rPr>
      <w:rFonts w:ascii="Calibri" w:hAnsi="Calibri" w:eastAsia="宋体" w:cs="Times New Roman"/>
      <w:color w:val="000000"/>
      <w:kern w:val="0"/>
      <w:sz w:val="24"/>
    </w:rPr>
  </w:style>
  <w:style w:type="paragraph" w:customStyle="1" w:styleId="233">
    <w:name w:val="Normal_8"/>
    <w:autoRedefine/>
    <w:qFormat/>
    <w:uiPriority w:val="99"/>
    <w:rPr>
      <w:rFonts w:ascii="黑体" w:hAnsi="黑体" w:eastAsia="黑体" w:cs="Times New Roman"/>
      <w:b/>
      <w:sz w:val="32"/>
      <w:szCs w:val="24"/>
      <w:lang w:val="en-US" w:eastAsia="zh-CN" w:bidi="ar-SA"/>
    </w:rPr>
  </w:style>
  <w:style w:type="paragraph" w:customStyle="1" w:styleId="234">
    <w:name w:val="BJ-01"/>
    <w:autoRedefine/>
    <w:qFormat/>
    <w:uiPriority w:val="99"/>
    <w:pPr>
      <w:numPr>
        <w:ilvl w:val="0"/>
        <w:numId w:val="4"/>
      </w:numPr>
      <w:tabs>
        <w:tab w:val="left" w:pos="567"/>
        <w:tab w:val="left" w:pos="1244"/>
      </w:tabs>
      <w:spacing w:before="240" w:line="360" w:lineRule="auto"/>
      <w:jc w:val="both"/>
    </w:pPr>
    <w:rPr>
      <w:rFonts w:ascii="Arial" w:hAnsi="Arial" w:eastAsia="宋体" w:cs="Times New Roman"/>
      <w:sz w:val="24"/>
      <w:lang w:val="en-GB" w:eastAsia="de-DE" w:bidi="ar-SA"/>
    </w:rPr>
  </w:style>
  <w:style w:type="paragraph" w:customStyle="1" w:styleId="235">
    <w:name w:val="pa-31"/>
    <w:basedOn w:val="1"/>
    <w:autoRedefine/>
    <w:qFormat/>
    <w:uiPriority w:val="99"/>
    <w:pPr>
      <w:widowControl/>
      <w:spacing w:line="240" w:lineRule="atLeast"/>
      <w:ind w:firstLine="420"/>
      <w:jc w:val="left"/>
    </w:pPr>
    <w:rPr>
      <w:rFonts w:ascii="宋体" w:hAnsi="宋体" w:eastAsia="宋体" w:cs="宋体"/>
      <w:kern w:val="0"/>
      <w:sz w:val="24"/>
    </w:rPr>
  </w:style>
  <w:style w:type="paragraph" w:customStyle="1" w:styleId="236">
    <w:name w:val="Normal_14"/>
    <w:autoRedefine/>
    <w:qFormat/>
    <w:uiPriority w:val="99"/>
    <w:rPr>
      <w:rFonts w:ascii="黑体" w:hAnsi="黑体" w:eastAsia="黑体" w:cs="Times New Roman"/>
      <w:b/>
      <w:sz w:val="32"/>
      <w:szCs w:val="24"/>
      <w:lang w:val="en-US" w:eastAsia="zh-CN" w:bidi="ar-SA"/>
    </w:rPr>
  </w:style>
  <w:style w:type="paragraph" w:customStyle="1" w:styleId="237">
    <w:name w:val="ca-21"/>
    <w:basedOn w:val="1"/>
    <w:autoRedefine/>
    <w:qFormat/>
    <w:uiPriority w:val="99"/>
    <w:pPr>
      <w:widowControl/>
      <w:jc w:val="left"/>
    </w:pPr>
    <w:rPr>
      <w:rFonts w:ascii="宋体" w:hAnsi="宋体" w:eastAsia="宋体" w:cs="宋体"/>
      <w:color w:val="000000"/>
      <w:kern w:val="0"/>
      <w:szCs w:val="21"/>
    </w:rPr>
  </w:style>
  <w:style w:type="paragraph" w:customStyle="1" w:styleId="238">
    <w:name w:val="样式 正文缩进正文（首行缩进两字）特点ALT+Z表正文正文非缩进四号段1Normal Indent Char2...1"/>
    <w:basedOn w:val="4"/>
    <w:autoRedefine/>
    <w:qFormat/>
    <w:uiPriority w:val="99"/>
    <w:pPr>
      <w:spacing w:before="1320" w:after="240" w:line="300" w:lineRule="auto"/>
      <w:jc w:val="center"/>
    </w:pPr>
    <w:rPr>
      <w:rFonts w:ascii="Arial" w:hAnsi="Arial" w:eastAsia="宋体"/>
      <w:bCs w:val="0"/>
      <w:kern w:val="0"/>
      <w:sz w:val="24"/>
      <w:szCs w:val="20"/>
    </w:rPr>
  </w:style>
  <w:style w:type="paragraph" w:customStyle="1" w:styleId="239">
    <w:name w:val="Normal_13"/>
    <w:autoRedefine/>
    <w:qFormat/>
    <w:uiPriority w:val="99"/>
    <w:rPr>
      <w:rFonts w:ascii="黑体" w:hAnsi="黑体" w:eastAsia="黑体" w:cs="Times New Roman"/>
      <w:b/>
      <w:sz w:val="32"/>
      <w:szCs w:val="24"/>
      <w:lang w:val="en-US" w:eastAsia="zh-CN" w:bidi="ar-SA"/>
    </w:rPr>
  </w:style>
  <w:style w:type="paragraph" w:customStyle="1" w:styleId="240">
    <w:name w:val="Normal_23"/>
    <w:autoRedefine/>
    <w:qFormat/>
    <w:uiPriority w:val="99"/>
    <w:rPr>
      <w:rFonts w:ascii="黑体" w:hAnsi="黑体" w:eastAsia="黑体" w:cs="Times New Roman"/>
      <w:b/>
      <w:sz w:val="32"/>
      <w:szCs w:val="24"/>
      <w:lang w:val="en-US" w:eastAsia="zh-CN" w:bidi="ar-SA"/>
    </w:rPr>
  </w:style>
  <w:style w:type="paragraph" w:customStyle="1" w:styleId="241">
    <w:name w:val="pa-83"/>
    <w:basedOn w:val="1"/>
    <w:autoRedefine/>
    <w:qFormat/>
    <w:uiPriority w:val="99"/>
    <w:pPr>
      <w:widowControl/>
      <w:spacing w:line="560" w:lineRule="atLeast"/>
      <w:jc w:val="center"/>
    </w:pPr>
    <w:rPr>
      <w:rFonts w:ascii="宋体" w:hAnsi="宋体" w:eastAsia="宋体" w:cs="宋体"/>
      <w:kern w:val="0"/>
      <w:sz w:val="24"/>
    </w:rPr>
  </w:style>
  <w:style w:type="paragraph" w:customStyle="1" w:styleId="242">
    <w:name w:val="Char Char1 Char"/>
    <w:basedOn w:val="1"/>
    <w:autoRedefine/>
    <w:qFormat/>
    <w:uiPriority w:val="99"/>
    <w:rPr>
      <w:rFonts w:ascii="Calibri" w:hAnsi="Calibri" w:eastAsia="宋体" w:cs="Times New Roman"/>
    </w:rPr>
  </w:style>
  <w:style w:type="paragraph" w:customStyle="1" w:styleId="243">
    <w:name w:val="Normal_4"/>
    <w:autoRedefine/>
    <w:qFormat/>
    <w:uiPriority w:val="99"/>
    <w:rPr>
      <w:rFonts w:ascii="黑体" w:hAnsi="黑体" w:eastAsia="黑体" w:cs="Times New Roman"/>
      <w:b/>
      <w:sz w:val="32"/>
      <w:szCs w:val="24"/>
      <w:lang w:val="en-US" w:eastAsia="zh-CN" w:bidi="ar-SA"/>
    </w:rPr>
  </w:style>
  <w:style w:type="paragraph" w:customStyle="1" w:styleId="244">
    <w:name w:val="pa-84"/>
    <w:basedOn w:val="1"/>
    <w:autoRedefine/>
    <w:qFormat/>
    <w:uiPriority w:val="99"/>
    <w:pPr>
      <w:widowControl/>
      <w:spacing w:line="480" w:lineRule="atLeast"/>
      <w:jc w:val="center"/>
    </w:pPr>
    <w:rPr>
      <w:rFonts w:ascii="宋体" w:hAnsi="宋体" w:eastAsia="宋体" w:cs="宋体"/>
      <w:kern w:val="0"/>
      <w:sz w:val="24"/>
    </w:rPr>
  </w:style>
  <w:style w:type="paragraph" w:customStyle="1" w:styleId="245">
    <w:name w:val="xl73"/>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6">
    <w:name w:val="ca-46"/>
    <w:basedOn w:val="1"/>
    <w:autoRedefine/>
    <w:qFormat/>
    <w:uiPriority w:val="99"/>
    <w:pPr>
      <w:widowControl/>
      <w:jc w:val="left"/>
    </w:pPr>
    <w:rPr>
      <w:rFonts w:ascii="宋体" w:hAnsi="宋体" w:eastAsia="宋体" w:cs="宋体"/>
      <w:color w:val="000000"/>
      <w:spacing w:val="-20"/>
      <w:kern w:val="0"/>
      <w:sz w:val="28"/>
      <w:szCs w:val="28"/>
    </w:rPr>
  </w:style>
  <w:style w:type="paragraph" w:customStyle="1" w:styleId="247">
    <w:name w:val="Normal_22"/>
    <w:autoRedefine/>
    <w:qFormat/>
    <w:uiPriority w:val="99"/>
    <w:rPr>
      <w:rFonts w:ascii="黑体" w:hAnsi="黑体" w:eastAsia="黑体" w:cs="Times New Roman"/>
      <w:b/>
      <w:sz w:val="32"/>
      <w:szCs w:val="24"/>
      <w:lang w:val="en-US" w:eastAsia="zh-CN" w:bidi="ar-SA"/>
    </w:rPr>
  </w:style>
  <w:style w:type="paragraph" w:customStyle="1" w:styleId="248">
    <w:name w:val="xl22"/>
    <w:basedOn w:val="1"/>
    <w:autoRedefine/>
    <w:qFormat/>
    <w:uiPriority w:val="99"/>
    <w:pPr>
      <w:widowControl/>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249">
    <w:name w:val="样式 标题 2 + Times New Roman 四号 非加粗 段前: 5 磅 段后: 0 磅 行距: 固定值 20..."/>
    <w:basedOn w:val="4"/>
    <w:autoRedefine/>
    <w:qFormat/>
    <w:uiPriority w:val="99"/>
    <w:pPr>
      <w:spacing w:before="100" w:after="0" w:line="400" w:lineRule="exact"/>
    </w:pPr>
    <w:rPr>
      <w:rFonts w:ascii="Times New Roman" w:hAnsi="Times New Roman" w:eastAsia="宋体" w:cs="宋体"/>
      <w:b w:val="0"/>
      <w:bCs w:val="0"/>
      <w:kern w:val="0"/>
      <w:sz w:val="28"/>
      <w:szCs w:val="20"/>
    </w:rPr>
  </w:style>
  <w:style w:type="paragraph" w:customStyle="1" w:styleId="250">
    <w:name w:val="ca-30"/>
    <w:basedOn w:val="1"/>
    <w:autoRedefine/>
    <w:qFormat/>
    <w:uiPriority w:val="99"/>
    <w:pPr>
      <w:widowControl/>
      <w:jc w:val="left"/>
    </w:pPr>
    <w:rPr>
      <w:rFonts w:ascii="??" w:hAnsi="??" w:eastAsia="宋体" w:cs="宋体"/>
      <w:color w:val="002060"/>
      <w:kern w:val="0"/>
      <w:szCs w:val="21"/>
    </w:rPr>
  </w:style>
  <w:style w:type="paragraph" w:customStyle="1" w:styleId="251">
    <w:name w:val="pa-13"/>
    <w:basedOn w:val="1"/>
    <w:autoRedefine/>
    <w:qFormat/>
    <w:uiPriority w:val="99"/>
    <w:pPr>
      <w:widowControl/>
      <w:spacing w:line="360" w:lineRule="atLeast"/>
    </w:pPr>
    <w:rPr>
      <w:rFonts w:ascii="宋体" w:hAnsi="宋体" w:eastAsia="宋体" w:cs="宋体"/>
      <w:kern w:val="0"/>
      <w:sz w:val="24"/>
    </w:rPr>
  </w:style>
  <w:style w:type="paragraph" w:customStyle="1" w:styleId="252">
    <w:name w:val="ca-47"/>
    <w:basedOn w:val="1"/>
    <w:autoRedefine/>
    <w:qFormat/>
    <w:uiPriority w:val="99"/>
    <w:pPr>
      <w:widowControl/>
      <w:jc w:val="left"/>
    </w:pPr>
    <w:rPr>
      <w:rFonts w:ascii="宋体" w:hAnsi="宋体" w:eastAsia="宋体" w:cs="宋体"/>
      <w:b/>
      <w:bCs/>
      <w:color w:val="000000"/>
      <w:spacing w:val="-20"/>
      <w:kern w:val="0"/>
      <w:sz w:val="24"/>
    </w:rPr>
  </w:style>
  <w:style w:type="paragraph" w:customStyle="1" w:styleId="253">
    <w:name w:val="pa-16"/>
    <w:basedOn w:val="1"/>
    <w:autoRedefine/>
    <w:qFormat/>
    <w:uiPriority w:val="99"/>
    <w:pPr>
      <w:widowControl/>
      <w:spacing w:line="240" w:lineRule="atLeast"/>
    </w:pPr>
    <w:rPr>
      <w:rFonts w:ascii="宋体" w:hAnsi="宋体" w:eastAsia="宋体" w:cs="宋体"/>
      <w:kern w:val="0"/>
      <w:sz w:val="24"/>
    </w:rPr>
  </w:style>
  <w:style w:type="paragraph" w:customStyle="1" w:styleId="254">
    <w:name w:val="Char Char Char Char Char Char"/>
    <w:basedOn w:val="1"/>
    <w:autoRedefine/>
    <w:qFormat/>
    <w:uiPriority w:val="99"/>
    <w:rPr>
      <w:rFonts w:ascii="仿宋_GB2312" w:hAnsi="Times New Roman" w:eastAsia="仿宋_GB2312" w:cs="Times New Roman"/>
      <w:b/>
      <w:sz w:val="32"/>
      <w:szCs w:val="32"/>
    </w:rPr>
  </w:style>
  <w:style w:type="paragraph" w:customStyle="1" w:styleId="255">
    <w:name w:val="td-7"/>
    <w:basedOn w:val="1"/>
    <w:autoRedefine/>
    <w:qFormat/>
    <w:uiPriority w:val="99"/>
    <w:pPr>
      <w:widowControl/>
      <w:pBdr>
        <w:top w:val="single" w:color="000000" w:sz="4" w:space="0"/>
        <w:left w:val="single" w:color="000000" w:sz="12" w:space="4"/>
        <w:bottom w:val="single" w:color="000000" w:sz="4" w:space="0"/>
        <w:right w:val="single" w:color="000000" w:sz="4" w:space="0"/>
      </w:pBdr>
      <w:jc w:val="left"/>
    </w:pPr>
    <w:rPr>
      <w:rFonts w:ascii="宋体" w:hAnsi="宋体" w:eastAsia="宋体" w:cs="宋体"/>
      <w:kern w:val="0"/>
      <w:sz w:val="24"/>
    </w:rPr>
  </w:style>
  <w:style w:type="paragraph" w:customStyle="1" w:styleId="256">
    <w:name w:val="ca-29"/>
    <w:basedOn w:val="1"/>
    <w:autoRedefine/>
    <w:qFormat/>
    <w:uiPriority w:val="99"/>
    <w:pPr>
      <w:widowControl/>
      <w:jc w:val="left"/>
    </w:pPr>
    <w:rPr>
      <w:rFonts w:ascii="宋体" w:hAnsi="宋体" w:eastAsia="宋体" w:cs="宋体"/>
      <w:color w:val="7030A0"/>
      <w:kern w:val="0"/>
      <w:szCs w:val="21"/>
    </w:rPr>
  </w:style>
  <w:style w:type="paragraph" w:customStyle="1" w:styleId="257">
    <w:name w:val="BJ-02-T"/>
    <w:autoRedefine/>
    <w:qFormat/>
    <w:uiPriority w:val="99"/>
    <w:pPr>
      <w:spacing w:before="120" w:line="360" w:lineRule="auto"/>
      <w:ind w:left="1985"/>
      <w:jc w:val="both"/>
    </w:pPr>
    <w:rPr>
      <w:rFonts w:ascii="Arial" w:hAnsi="Arial" w:eastAsia="宋体" w:cs="Times New Roman"/>
      <w:sz w:val="24"/>
      <w:lang w:val="en-GB" w:eastAsia="de-DE" w:bidi="ar-SA"/>
    </w:rPr>
  </w:style>
  <w:style w:type="paragraph" w:customStyle="1" w:styleId="258">
    <w:name w:val="Para----"/>
    <w:autoRedefine/>
    <w:qFormat/>
    <w:uiPriority w:val="99"/>
    <w:pPr>
      <w:keepNext/>
      <w:tabs>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line="360" w:lineRule="auto"/>
      <w:ind w:left="2880" w:hanging="360"/>
    </w:pPr>
    <w:rPr>
      <w:rFonts w:ascii="Arial" w:hAnsi="Arial" w:eastAsia="宋体" w:cs="Times New Roman"/>
      <w:lang w:val="en-US" w:eastAsia="en-US" w:bidi="ar-SA"/>
    </w:rPr>
  </w:style>
  <w:style w:type="paragraph" w:customStyle="1" w:styleId="259">
    <w:name w:val="pa-99"/>
    <w:basedOn w:val="1"/>
    <w:autoRedefine/>
    <w:qFormat/>
    <w:uiPriority w:val="99"/>
    <w:pPr>
      <w:widowControl/>
      <w:spacing w:line="300" w:lineRule="atLeast"/>
      <w:ind w:firstLine="520"/>
    </w:pPr>
    <w:rPr>
      <w:rFonts w:ascii="宋体" w:hAnsi="宋体" w:eastAsia="宋体" w:cs="宋体"/>
      <w:kern w:val="0"/>
      <w:sz w:val="24"/>
    </w:rPr>
  </w:style>
  <w:style w:type="paragraph" w:customStyle="1" w:styleId="260">
    <w:name w:val="样式 正文缩进正文（首行缩进两字）特点ALT+Z表正文正文非缩进四号段1Normal Indent Char2...2"/>
    <w:basedOn w:val="5"/>
    <w:autoRedefine/>
    <w:qFormat/>
    <w:uiPriority w:val="99"/>
    <w:pPr>
      <w:spacing w:before="360" w:after="120" w:line="360" w:lineRule="auto"/>
      <w:jc w:val="center"/>
    </w:pPr>
    <w:rPr>
      <w:rFonts w:ascii="宋体" w:hAnsi="宋体"/>
      <w:bCs w:val="0"/>
      <w:sz w:val="28"/>
      <w:szCs w:val="20"/>
    </w:rPr>
  </w:style>
  <w:style w:type="paragraph" w:customStyle="1" w:styleId="261">
    <w:name w:val="pa-141"/>
    <w:basedOn w:val="1"/>
    <w:autoRedefine/>
    <w:qFormat/>
    <w:uiPriority w:val="99"/>
    <w:pPr>
      <w:widowControl/>
      <w:spacing w:line="320" w:lineRule="atLeast"/>
      <w:jc w:val="right"/>
    </w:pPr>
    <w:rPr>
      <w:rFonts w:ascii="宋体" w:hAnsi="宋体" w:eastAsia="宋体" w:cs="宋体"/>
      <w:kern w:val="0"/>
      <w:sz w:val="24"/>
    </w:rPr>
  </w:style>
  <w:style w:type="paragraph" w:customStyle="1" w:styleId="262">
    <w:name w:val="pa-52"/>
    <w:basedOn w:val="1"/>
    <w:autoRedefine/>
    <w:qFormat/>
    <w:uiPriority w:val="99"/>
    <w:pPr>
      <w:widowControl/>
      <w:spacing w:line="276" w:lineRule="atLeast"/>
      <w:jc w:val="left"/>
    </w:pPr>
    <w:rPr>
      <w:rFonts w:ascii="宋体" w:hAnsi="宋体" w:eastAsia="宋体" w:cs="宋体"/>
      <w:kern w:val="0"/>
      <w:sz w:val="24"/>
    </w:rPr>
  </w:style>
  <w:style w:type="paragraph" w:customStyle="1" w:styleId="263">
    <w:name w:val="标题A"/>
    <w:basedOn w:val="3"/>
    <w:autoRedefine/>
    <w:qFormat/>
    <w:uiPriority w:val="99"/>
    <w:pPr>
      <w:keepLines/>
      <w:adjustRightInd w:val="0"/>
      <w:spacing w:before="100" w:beforeAutospacing="1" w:after="60"/>
    </w:pPr>
    <w:rPr>
      <w:rFonts w:ascii="Arial" w:hAnsi="Arial"/>
      <w:kern w:val="44"/>
      <w:sz w:val="28"/>
      <w:szCs w:val="44"/>
    </w:rPr>
  </w:style>
  <w:style w:type="paragraph" w:customStyle="1" w:styleId="264">
    <w:name w:val="Normal_19"/>
    <w:autoRedefine/>
    <w:qFormat/>
    <w:uiPriority w:val="99"/>
    <w:rPr>
      <w:rFonts w:ascii="黑体" w:hAnsi="黑体" w:eastAsia="黑体" w:cs="Times New Roman"/>
      <w:b/>
      <w:sz w:val="32"/>
      <w:szCs w:val="24"/>
      <w:lang w:val="en-US" w:eastAsia="zh-CN" w:bidi="ar-SA"/>
    </w:rPr>
  </w:style>
  <w:style w:type="paragraph" w:customStyle="1" w:styleId="265">
    <w:name w:val="纯文本_2"/>
    <w:basedOn w:val="1"/>
    <w:autoRedefine/>
    <w:qFormat/>
    <w:uiPriority w:val="99"/>
    <w:rPr>
      <w:rFonts w:ascii="宋体" w:hAnsi="Courier New" w:eastAsia="宋体" w:cs="Times New Roman"/>
      <w:szCs w:val="21"/>
    </w:rPr>
  </w:style>
  <w:style w:type="paragraph" w:customStyle="1" w:styleId="266">
    <w:name w:val="pa-80"/>
    <w:basedOn w:val="1"/>
    <w:autoRedefine/>
    <w:qFormat/>
    <w:uiPriority w:val="99"/>
    <w:pPr>
      <w:widowControl/>
      <w:spacing w:line="360" w:lineRule="atLeast"/>
    </w:pPr>
    <w:rPr>
      <w:rFonts w:ascii="宋体" w:hAnsi="宋体" w:eastAsia="宋体" w:cs="宋体"/>
      <w:kern w:val="0"/>
      <w:sz w:val="24"/>
    </w:rPr>
  </w:style>
  <w:style w:type="paragraph" w:customStyle="1" w:styleId="267">
    <w:name w:val="正文_9"/>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68">
    <w:name w:val="xl78"/>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69">
    <w:name w:val="ca-13"/>
    <w:basedOn w:val="1"/>
    <w:autoRedefine/>
    <w:qFormat/>
    <w:uiPriority w:val="99"/>
    <w:pPr>
      <w:widowControl/>
      <w:jc w:val="left"/>
    </w:pPr>
    <w:rPr>
      <w:rFonts w:ascii="宋体" w:hAnsi="宋体" w:eastAsia="宋体" w:cs="宋体"/>
      <w:color w:val="000000"/>
      <w:kern w:val="0"/>
      <w:sz w:val="32"/>
      <w:szCs w:val="32"/>
    </w:rPr>
  </w:style>
  <w:style w:type="paragraph" w:customStyle="1" w:styleId="270">
    <w:name w:val="正文_4_0"/>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71">
    <w:name w:val="pa-20"/>
    <w:basedOn w:val="1"/>
    <w:autoRedefine/>
    <w:qFormat/>
    <w:uiPriority w:val="99"/>
    <w:pPr>
      <w:widowControl/>
      <w:spacing w:line="360" w:lineRule="atLeast"/>
      <w:jc w:val="left"/>
    </w:pPr>
    <w:rPr>
      <w:rFonts w:ascii="宋体" w:hAnsi="宋体" w:eastAsia="宋体" w:cs="宋体"/>
      <w:kern w:val="0"/>
      <w:sz w:val="24"/>
    </w:rPr>
  </w:style>
  <w:style w:type="paragraph" w:customStyle="1" w:styleId="272">
    <w:name w:val="Char_0"/>
    <w:basedOn w:val="1"/>
    <w:autoRedefine/>
    <w:qFormat/>
    <w:uiPriority w:val="99"/>
    <w:rPr>
      <w:rFonts w:ascii="Tahoma" w:hAnsi="Tahoma" w:eastAsia="宋体" w:cs="Times New Roman"/>
      <w:sz w:val="24"/>
      <w:szCs w:val="20"/>
    </w:rPr>
  </w:style>
  <w:style w:type="paragraph" w:customStyle="1" w:styleId="273">
    <w:name w:val="td-11"/>
    <w:basedOn w:val="1"/>
    <w:autoRedefine/>
    <w:qFormat/>
    <w:uiPriority w:val="99"/>
    <w:pPr>
      <w:widowControl/>
      <w:pBdr>
        <w:top w:val="single" w:color="000000" w:sz="4" w:space="0"/>
        <w:left w:val="single" w:color="000000" w:sz="4" w:space="4"/>
        <w:bottom w:val="single" w:color="000000" w:sz="12" w:space="0"/>
        <w:right w:val="single" w:color="000000" w:sz="12" w:space="0"/>
      </w:pBdr>
      <w:jc w:val="left"/>
    </w:pPr>
    <w:rPr>
      <w:rFonts w:ascii="宋体" w:hAnsi="宋体" w:eastAsia="宋体" w:cs="宋体"/>
      <w:kern w:val="0"/>
      <w:sz w:val="24"/>
    </w:rPr>
  </w:style>
  <w:style w:type="paragraph" w:customStyle="1" w:styleId="274">
    <w:name w:val="pa-100"/>
    <w:basedOn w:val="1"/>
    <w:autoRedefine/>
    <w:qFormat/>
    <w:uiPriority w:val="99"/>
    <w:pPr>
      <w:widowControl/>
      <w:spacing w:line="300" w:lineRule="atLeast"/>
    </w:pPr>
    <w:rPr>
      <w:rFonts w:ascii="宋体" w:hAnsi="宋体" w:eastAsia="宋体" w:cs="宋体"/>
      <w:kern w:val="0"/>
      <w:sz w:val="24"/>
    </w:rPr>
  </w:style>
  <w:style w:type="paragraph" w:customStyle="1" w:styleId="275">
    <w:name w:val="ca-49"/>
    <w:basedOn w:val="1"/>
    <w:autoRedefine/>
    <w:qFormat/>
    <w:uiPriority w:val="99"/>
    <w:pPr>
      <w:widowControl/>
      <w:jc w:val="left"/>
    </w:pPr>
    <w:rPr>
      <w:rFonts w:ascii="宋体" w:hAnsi="宋体" w:eastAsia="宋体" w:cs="宋体"/>
      <w:kern w:val="0"/>
      <w:sz w:val="32"/>
      <w:szCs w:val="32"/>
    </w:rPr>
  </w:style>
  <w:style w:type="character" w:customStyle="1" w:styleId="276">
    <w:name w:val="Blockquote Char"/>
    <w:link w:val="277"/>
    <w:autoRedefine/>
    <w:qFormat/>
    <w:locked/>
    <w:uiPriority w:val="0"/>
    <w:rPr>
      <w:rFonts w:ascii="Calibri" w:hAnsi="Calibri" w:cs="Calibri"/>
      <w:sz w:val="24"/>
    </w:rPr>
  </w:style>
  <w:style w:type="paragraph" w:customStyle="1" w:styleId="277">
    <w:name w:val="Blockquote"/>
    <w:basedOn w:val="1"/>
    <w:link w:val="276"/>
    <w:autoRedefine/>
    <w:qFormat/>
    <w:uiPriority w:val="0"/>
    <w:pPr>
      <w:autoSpaceDE w:val="0"/>
      <w:autoSpaceDN w:val="0"/>
      <w:adjustRightInd w:val="0"/>
      <w:spacing w:before="100" w:after="100"/>
      <w:ind w:left="360" w:right="360"/>
      <w:jc w:val="left"/>
    </w:pPr>
    <w:rPr>
      <w:rFonts w:ascii="Calibri" w:hAnsi="Calibri" w:cs="Calibri"/>
      <w:sz w:val="24"/>
    </w:rPr>
  </w:style>
  <w:style w:type="paragraph" w:customStyle="1" w:styleId="278">
    <w:name w:val="xl29"/>
    <w:basedOn w:val="1"/>
    <w:autoRedefine/>
    <w:qFormat/>
    <w:uiPriority w:val="99"/>
    <w:pPr>
      <w:widowControl/>
      <w:pBdr>
        <w:bottom w:val="single" w:color="auto" w:sz="4" w:space="0"/>
        <w:right w:val="single" w:color="auto" w:sz="4" w:space="0"/>
      </w:pBdr>
      <w:adjustRightInd w:val="0"/>
      <w:spacing w:before="100" w:beforeAutospacing="1" w:after="100" w:afterAutospacing="1" w:line="312" w:lineRule="atLeast"/>
    </w:pPr>
    <w:rPr>
      <w:rFonts w:ascii="宋体" w:hAnsi="宋体" w:eastAsia="宋体" w:cs="Times New Roman"/>
      <w:kern w:val="0"/>
      <w:sz w:val="24"/>
      <w:szCs w:val="20"/>
    </w:rPr>
  </w:style>
  <w:style w:type="paragraph" w:customStyle="1" w:styleId="279">
    <w:name w:val="自由格式"/>
    <w:autoRedefine/>
    <w:qFormat/>
    <w:uiPriority w:val="99"/>
    <w:rPr>
      <w:rFonts w:ascii="Times New Roman" w:hAnsi="Times New Roman" w:eastAsia="ヒラギノ角ゴ Pro W3" w:cs="Times New Roman"/>
      <w:color w:val="000000"/>
      <w:lang w:val="en-US" w:eastAsia="zh-CN" w:bidi="ar-SA"/>
    </w:rPr>
  </w:style>
  <w:style w:type="paragraph" w:customStyle="1" w:styleId="280">
    <w:name w:val="Normal_15"/>
    <w:autoRedefine/>
    <w:qFormat/>
    <w:uiPriority w:val="99"/>
    <w:rPr>
      <w:rFonts w:ascii="黑体" w:hAnsi="黑体" w:eastAsia="黑体" w:cs="Times New Roman"/>
      <w:b/>
      <w:sz w:val="32"/>
      <w:szCs w:val="24"/>
      <w:lang w:val="en-US" w:eastAsia="zh-CN" w:bidi="ar-SA"/>
    </w:rPr>
  </w:style>
  <w:style w:type="paragraph" w:customStyle="1" w:styleId="281">
    <w:name w:val="ca-45"/>
    <w:basedOn w:val="1"/>
    <w:autoRedefine/>
    <w:qFormat/>
    <w:uiPriority w:val="99"/>
    <w:pPr>
      <w:widowControl/>
      <w:jc w:val="left"/>
    </w:pPr>
    <w:rPr>
      <w:rFonts w:ascii="宋体" w:hAnsi="宋体" w:eastAsia="宋体" w:cs="宋体"/>
      <w:color w:val="000000"/>
      <w:kern w:val="0"/>
      <w:sz w:val="72"/>
      <w:szCs w:val="72"/>
    </w:rPr>
  </w:style>
  <w:style w:type="paragraph" w:customStyle="1" w:styleId="282">
    <w:name w:val="pa-27"/>
    <w:basedOn w:val="1"/>
    <w:autoRedefine/>
    <w:qFormat/>
    <w:uiPriority w:val="99"/>
    <w:pPr>
      <w:widowControl/>
      <w:spacing w:line="276" w:lineRule="atLeast"/>
      <w:ind w:firstLine="300"/>
    </w:pPr>
    <w:rPr>
      <w:rFonts w:ascii="宋体" w:hAnsi="宋体" w:eastAsia="宋体" w:cs="宋体"/>
      <w:kern w:val="0"/>
      <w:sz w:val="24"/>
    </w:rPr>
  </w:style>
  <w:style w:type="paragraph" w:customStyle="1" w:styleId="283">
    <w:name w:val="pa-40"/>
    <w:basedOn w:val="1"/>
    <w:autoRedefine/>
    <w:qFormat/>
    <w:uiPriority w:val="99"/>
    <w:pPr>
      <w:widowControl/>
      <w:spacing w:line="280" w:lineRule="atLeast"/>
    </w:pPr>
    <w:rPr>
      <w:rFonts w:ascii="宋体" w:hAnsi="宋体" w:eastAsia="宋体" w:cs="宋体"/>
      <w:kern w:val="0"/>
      <w:sz w:val="24"/>
    </w:rPr>
  </w:style>
  <w:style w:type="paragraph" w:customStyle="1" w:styleId="284">
    <w:name w:val="cjk"/>
    <w:basedOn w:val="1"/>
    <w:autoRedefine/>
    <w:qFormat/>
    <w:uiPriority w:val="99"/>
    <w:pPr>
      <w:widowControl/>
      <w:spacing w:line="480" w:lineRule="auto"/>
      <w:jc w:val="left"/>
    </w:pPr>
    <w:rPr>
      <w:rFonts w:ascii="宋体" w:hAnsi="宋体" w:eastAsia="宋体" w:cs="宋体"/>
      <w:kern w:val="0"/>
      <w:sz w:val="24"/>
    </w:rPr>
  </w:style>
  <w:style w:type="paragraph" w:customStyle="1" w:styleId="285">
    <w:name w:val="pa-2"/>
    <w:basedOn w:val="1"/>
    <w:autoRedefine/>
    <w:qFormat/>
    <w:uiPriority w:val="99"/>
    <w:pPr>
      <w:widowControl/>
      <w:spacing w:line="400" w:lineRule="atLeast"/>
      <w:jc w:val="center"/>
    </w:pPr>
    <w:rPr>
      <w:rFonts w:ascii="宋体" w:hAnsi="宋体" w:eastAsia="宋体" w:cs="宋体"/>
      <w:kern w:val="0"/>
      <w:sz w:val="24"/>
    </w:rPr>
  </w:style>
  <w:style w:type="paragraph" w:customStyle="1" w:styleId="286">
    <w:name w:val="pa-109"/>
    <w:basedOn w:val="1"/>
    <w:autoRedefine/>
    <w:qFormat/>
    <w:uiPriority w:val="99"/>
    <w:pPr>
      <w:widowControl/>
      <w:spacing w:line="280" w:lineRule="atLeast"/>
    </w:pPr>
    <w:rPr>
      <w:rFonts w:ascii="宋体" w:hAnsi="宋体" w:eastAsia="宋体" w:cs="宋体"/>
      <w:kern w:val="0"/>
      <w:sz w:val="24"/>
    </w:rPr>
  </w:style>
  <w:style w:type="paragraph" w:customStyle="1" w:styleId="287">
    <w:name w:val="pa-108"/>
    <w:basedOn w:val="1"/>
    <w:autoRedefine/>
    <w:qFormat/>
    <w:uiPriority w:val="99"/>
    <w:pPr>
      <w:widowControl/>
      <w:spacing w:line="280" w:lineRule="atLeast"/>
      <w:jc w:val="center"/>
    </w:pPr>
    <w:rPr>
      <w:rFonts w:ascii="宋体" w:hAnsi="宋体" w:eastAsia="宋体" w:cs="宋体"/>
      <w:kern w:val="0"/>
      <w:sz w:val="24"/>
    </w:rPr>
  </w:style>
  <w:style w:type="paragraph" w:customStyle="1" w:styleId="288">
    <w:name w:val="pa-104"/>
    <w:basedOn w:val="1"/>
    <w:autoRedefine/>
    <w:qFormat/>
    <w:uiPriority w:val="99"/>
    <w:pPr>
      <w:widowControl/>
      <w:spacing w:line="280" w:lineRule="atLeast"/>
      <w:ind w:firstLine="500"/>
      <w:jc w:val="left"/>
    </w:pPr>
    <w:rPr>
      <w:rFonts w:ascii="宋体" w:hAnsi="宋体" w:eastAsia="宋体" w:cs="宋体"/>
      <w:kern w:val="0"/>
      <w:sz w:val="24"/>
    </w:rPr>
  </w:style>
  <w:style w:type="paragraph" w:customStyle="1" w:styleId="289">
    <w:name w:val="标题 1_0"/>
    <w:next w:val="174"/>
    <w:autoRedefine/>
    <w:qFormat/>
    <w:uiPriority w:val="99"/>
    <w:pPr>
      <w:keepNext/>
      <w:keepLines/>
      <w:widowControl w:val="0"/>
      <w:spacing w:line="360" w:lineRule="auto"/>
      <w:jc w:val="both"/>
      <w:outlineLvl w:val="1"/>
    </w:pPr>
    <w:rPr>
      <w:rFonts w:ascii="Calibri Bold" w:hAnsi="Calibri Bold" w:eastAsia="ヒラギノ角ゴ Pro W3" w:cs="Times New Roman"/>
      <w:color w:val="000000"/>
      <w:kern w:val="44"/>
      <w:sz w:val="32"/>
      <w:lang w:val="en-US" w:eastAsia="zh-CN" w:bidi="ar-SA"/>
    </w:rPr>
  </w:style>
  <w:style w:type="paragraph" w:customStyle="1" w:styleId="290">
    <w:name w:val="BJ-01-T"/>
    <w:autoRedefine/>
    <w:qFormat/>
    <w:uiPriority w:val="99"/>
    <w:pPr>
      <w:spacing w:before="120" w:line="360" w:lineRule="auto"/>
      <w:ind w:left="1418"/>
      <w:jc w:val="both"/>
    </w:pPr>
    <w:rPr>
      <w:rFonts w:ascii="Arial" w:hAnsi="Arial" w:eastAsia="宋体" w:cs="Times New Roman"/>
      <w:sz w:val="24"/>
      <w:lang w:val="en-GB" w:eastAsia="de-DE" w:bidi="ar-SA"/>
    </w:rPr>
  </w:style>
  <w:style w:type="paragraph" w:customStyle="1" w:styleId="291">
    <w:name w:val="pa-37"/>
    <w:basedOn w:val="1"/>
    <w:autoRedefine/>
    <w:qFormat/>
    <w:uiPriority w:val="99"/>
    <w:pPr>
      <w:widowControl/>
      <w:spacing w:line="360" w:lineRule="atLeast"/>
      <w:ind w:firstLine="300"/>
    </w:pPr>
    <w:rPr>
      <w:rFonts w:ascii="宋体" w:hAnsi="宋体" w:eastAsia="宋体" w:cs="宋体"/>
      <w:kern w:val="0"/>
      <w:sz w:val="24"/>
    </w:rPr>
  </w:style>
  <w:style w:type="paragraph" w:customStyle="1" w:styleId="292">
    <w:name w:val="ca-42"/>
    <w:basedOn w:val="1"/>
    <w:autoRedefine/>
    <w:qFormat/>
    <w:uiPriority w:val="99"/>
    <w:pPr>
      <w:widowControl/>
      <w:jc w:val="left"/>
    </w:pPr>
    <w:rPr>
      <w:rFonts w:ascii="宋体" w:hAnsi="宋体" w:eastAsia="宋体" w:cs="宋体"/>
      <w:color w:val="000000"/>
      <w:kern w:val="0"/>
      <w:sz w:val="36"/>
      <w:szCs w:val="36"/>
    </w:rPr>
  </w:style>
  <w:style w:type="paragraph" w:customStyle="1" w:styleId="293">
    <w:name w:val="xl27"/>
    <w:basedOn w:val="1"/>
    <w:autoRedefine/>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294">
    <w:name w:val="Char Char1 Char_0"/>
    <w:basedOn w:val="1"/>
    <w:autoRedefine/>
    <w:qFormat/>
    <w:uiPriority w:val="99"/>
    <w:rPr>
      <w:rFonts w:ascii="Calibri" w:hAnsi="Calibri" w:eastAsia="宋体" w:cs="Times New Roman"/>
    </w:rPr>
  </w:style>
  <w:style w:type="paragraph" w:customStyle="1" w:styleId="295">
    <w:name w:val="pa-32"/>
    <w:basedOn w:val="1"/>
    <w:autoRedefine/>
    <w:qFormat/>
    <w:uiPriority w:val="99"/>
    <w:pPr>
      <w:widowControl/>
      <w:spacing w:line="360" w:lineRule="atLeast"/>
      <w:ind w:firstLine="520"/>
    </w:pPr>
    <w:rPr>
      <w:rFonts w:ascii="宋体" w:hAnsi="宋体" w:eastAsia="宋体" w:cs="宋体"/>
      <w:kern w:val="0"/>
      <w:sz w:val="24"/>
    </w:rPr>
  </w:style>
  <w:style w:type="paragraph" w:customStyle="1" w:styleId="296">
    <w:name w:val="td-4"/>
    <w:basedOn w:val="1"/>
    <w:autoRedefine/>
    <w:qFormat/>
    <w:uiPriority w:val="99"/>
    <w:pPr>
      <w:widowControl/>
      <w:pBdr>
        <w:top w:val="single" w:color="000000" w:sz="12" w:space="0"/>
        <w:left w:val="single" w:color="000000" w:sz="12" w:space="4"/>
        <w:bottom w:val="single" w:color="000000" w:sz="4" w:space="0"/>
        <w:right w:val="single" w:color="000000" w:sz="4" w:space="0"/>
      </w:pBdr>
      <w:jc w:val="left"/>
    </w:pPr>
    <w:rPr>
      <w:rFonts w:ascii="宋体" w:hAnsi="宋体" w:eastAsia="宋体" w:cs="宋体"/>
      <w:kern w:val="0"/>
      <w:sz w:val="24"/>
    </w:rPr>
  </w:style>
  <w:style w:type="paragraph" w:customStyle="1" w:styleId="297">
    <w:name w:val="pa-86"/>
    <w:basedOn w:val="1"/>
    <w:autoRedefine/>
    <w:qFormat/>
    <w:uiPriority w:val="99"/>
    <w:pPr>
      <w:widowControl/>
      <w:spacing w:line="320" w:lineRule="atLeast"/>
      <w:ind w:firstLine="560"/>
    </w:pPr>
    <w:rPr>
      <w:rFonts w:ascii="宋体" w:hAnsi="宋体" w:eastAsia="宋体" w:cs="宋体"/>
      <w:kern w:val="0"/>
      <w:sz w:val="24"/>
    </w:rPr>
  </w:style>
  <w:style w:type="paragraph" w:customStyle="1" w:styleId="298">
    <w:name w:val="ca-44"/>
    <w:basedOn w:val="1"/>
    <w:autoRedefine/>
    <w:qFormat/>
    <w:uiPriority w:val="99"/>
    <w:pPr>
      <w:widowControl/>
      <w:jc w:val="left"/>
    </w:pPr>
    <w:rPr>
      <w:rFonts w:ascii="宋体" w:hAnsi="宋体" w:eastAsia="宋体" w:cs="宋体"/>
      <w:color w:val="000000"/>
      <w:kern w:val="0"/>
      <w:sz w:val="52"/>
      <w:szCs w:val="52"/>
    </w:rPr>
  </w:style>
  <w:style w:type="paragraph" w:customStyle="1" w:styleId="299">
    <w:name w:val="段"/>
    <w:next w:val="1"/>
    <w:autoRedefine/>
    <w:qFormat/>
    <w:uiPriority w:val="99"/>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300">
    <w:name w:val="样式 标题 3h33rd level3l3CTLevel 3 Topic Headingsect1.2.3Hea..."/>
    <w:basedOn w:val="5"/>
    <w:autoRedefine/>
    <w:qFormat/>
    <w:uiPriority w:val="99"/>
    <w:pPr>
      <w:adjustRightInd w:val="0"/>
      <w:spacing w:before="0" w:beforeLines="50" w:after="0" w:afterLines="50" w:line="240" w:lineRule="atLeast"/>
      <w:ind w:left="180"/>
      <w:jc w:val="left"/>
    </w:pPr>
    <w:rPr>
      <w:rFonts w:ascii="宋体" w:hAnsi="宋体" w:cs="宋体"/>
      <w:sz w:val="24"/>
      <w:szCs w:val="20"/>
    </w:rPr>
  </w:style>
  <w:style w:type="paragraph" w:customStyle="1" w:styleId="301">
    <w:name w:val="ca-35"/>
    <w:basedOn w:val="1"/>
    <w:autoRedefine/>
    <w:qFormat/>
    <w:uiPriority w:val="99"/>
    <w:pPr>
      <w:widowControl/>
      <w:jc w:val="left"/>
    </w:pPr>
    <w:rPr>
      <w:rFonts w:ascii="Calibri" w:hAnsi="Calibri" w:eastAsia="宋体" w:cs="Times New Roman"/>
      <w:kern w:val="0"/>
      <w:sz w:val="10"/>
      <w:szCs w:val="10"/>
    </w:rPr>
  </w:style>
  <w:style w:type="paragraph" w:customStyle="1" w:styleId="302">
    <w:name w:val="pa-9"/>
    <w:basedOn w:val="1"/>
    <w:autoRedefine/>
    <w:qFormat/>
    <w:uiPriority w:val="99"/>
    <w:pPr>
      <w:widowControl/>
      <w:spacing w:line="360" w:lineRule="atLeast"/>
      <w:ind w:firstLine="900"/>
    </w:pPr>
    <w:rPr>
      <w:rFonts w:ascii="宋体" w:hAnsi="宋体" w:eastAsia="宋体" w:cs="宋体"/>
      <w:kern w:val="0"/>
      <w:sz w:val="24"/>
    </w:rPr>
  </w:style>
  <w:style w:type="paragraph" w:customStyle="1" w:styleId="303">
    <w:name w:val="xl37"/>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304">
    <w:name w:val="pa-28"/>
    <w:basedOn w:val="1"/>
    <w:autoRedefine/>
    <w:qFormat/>
    <w:uiPriority w:val="99"/>
    <w:pPr>
      <w:widowControl/>
      <w:spacing w:line="360" w:lineRule="atLeast"/>
      <w:ind w:firstLine="420"/>
      <w:jc w:val="left"/>
    </w:pPr>
    <w:rPr>
      <w:rFonts w:ascii="宋体" w:hAnsi="宋体" w:eastAsia="宋体" w:cs="宋体"/>
      <w:kern w:val="0"/>
      <w:sz w:val="24"/>
    </w:rPr>
  </w:style>
  <w:style w:type="paragraph" w:customStyle="1" w:styleId="305">
    <w:name w:val="正文_1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06">
    <w:name w:val="ca-43"/>
    <w:basedOn w:val="1"/>
    <w:autoRedefine/>
    <w:qFormat/>
    <w:uiPriority w:val="99"/>
    <w:pPr>
      <w:widowControl/>
      <w:jc w:val="left"/>
    </w:pPr>
    <w:rPr>
      <w:rFonts w:ascii="宋体" w:hAnsi="宋体" w:eastAsia="宋体" w:cs="宋体"/>
      <w:color w:val="000000"/>
      <w:kern w:val="0"/>
      <w:sz w:val="44"/>
      <w:szCs w:val="44"/>
    </w:rPr>
  </w:style>
  <w:style w:type="paragraph" w:customStyle="1" w:styleId="307">
    <w:name w:val="正文_6"/>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08">
    <w:name w:val="pa-71"/>
    <w:basedOn w:val="1"/>
    <w:autoRedefine/>
    <w:qFormat/>
    <w:uiPriority w:val="99"/>
    <w:pPr>
      <w:widowControl/>
      <w:spacing w:line="240" w:lineRule="atLeast"/>
      <w:ind w:firstLine="320"/>
    </w:pPr>
    <w:rPr>
      <w:rFonts w:ascii="宋体" w:hAnsi="宋体" w:eastAsia="宋体" w:cs="宋体"/>
      <w:kern w:val="0"/>
      <w:sz w:val="24"/>
    </w:rPr>
  </w:style>
  <w:style w:type="paragraph" w:customStyle="1" w:styleId="309">
    <w:name w:val="正文_2_0"/>
    <w:autoRedefine/>
    <w:qFormat/>
    <w:uiPriority w:val="99"/>
    <w:pPr>
      <w:widowControl w:val="0"/>
      <w:jc w:val="both"/>
    </w:pPr>
    <w:rPr>
      <w:rFonts w:ascii="Calibri" w:hAnsi="Calibri" w:eastAsia="ヒラギノ角ゴ Pro W3" w:cs="Times New Roman"/>
      <w:color w:val="000000"/>
      <w:kern w:val="2"/>
      <w:sz w:val="21"/>
      <w:lang w:val="en-US" w:eastAsia="zh-CN" w:bidi="ar-SA"/>
    </w:rPr>
  </w:style>
  <w:style w:type="paragraph" w:customStyle="1" w:styleId="310">
    <w:name w:val="ca-27"/>
    <w:basedOn w:val="1"/>
    <w:autoRedefine/>
    <w:qFormat/>
    <w:uiPriority w:val="99"/>
    <w:pPr>
      <w:widowControl/>
      <w:jc w:val="left"/>
    </w:pPr>
    <w:rPr>
      <w:rFonts w:ascii="宋体" w:hAnsi="宋体" w:eastAsia="宋体" w:cs="宋体"/>
      <w:b/>
      <w:bCs/>
      <w:color w:val="002060"/>
      <w:spacing w:val="-20"/>
      <w:kern w:val="0"/>
      <w:szCs w:val="21"/>
    </w:rPr>
  </w:style>
  <w:style w:type="paragraph" w:customStyle="1" w:styleId="311">
    <w:name w:val="样式 样式 样式1 + 首行缩进:  2 字符 + 首行缩进:  2 字符1"/>
    <w:basedOn w:val="1"/>
    <w:autoRedefine/>
    <w:qFormat/>
    <w:uiPriority w:val="99"/>
    <w:pPr>
      <w:spacing w:line="360" w:lineRule="exact"/>
      <w:ind w:firstLine="480" w:firstLineChars="200"/>
    </w:pPr>
    <w:rPr>
      <w:rFonts w:ascii="Arial" w:hAnsi="Arial" w:eastAsia="宋体" w:cs="Times New Roman"/>
      <w:szCs w:val="20"/>
    </w:rPr>
  </w:style>
  <w:style w:type="paragraph" w:customStyle="1" w:styleId="312">
    <w:name w:val="pa-26"/>
    <w:basedOn w:val="1"/>
    <w:autoRedefine/>
    <w:qFormat/>
    <w:uiPriority w:val="99"/>
    <w:pPr>
      <w:widowControl/>
      <w:spacing w:line="276" w:lineRule="atLeast"/>
      <w:ind w:firstLine="720"/>
    </w:pPr>
    <w:rPr>
      <w:rFonts w:ascii="宋体" w:hAnsi="宋体" w:eastAsia="宋体" w:cs="宋体"/>
      <w:kern w:val="0"/>
      <w:sz w:val="24"/>
    </w:rPr>
  </w:style>
  <w:style w:type="paragraph" w:customStyle="1" w:styleId="313">
    <w:name w:val="样式 标题 1 + 宋体 居中 段前: 48 磅 段后: 12 磅 行距: 1.5 倍行距"/>
    <w:basedOn w:val="3"/>
    <w:autoRedefine/>
    <w:qFormat/>
    <w:uiPriority w:val="99"/>
    <w:pPr>
      <w:keepLines/>
      <w:spacing w:before="1560" w:after="240" w:line="360" w:lineRule="auto"/>
    </w:pPr>
    <w:rPr>
      <w:rFonts w:ascii="宋体" w:hAnsi="宋体"/>
      <w:b w:val="0"/>
      <w:bCs w:val="0"/>
      <w:sz w:val="36"/>
      <w:szCs w:val="20"/>
    </w:rPr>
  </w:style>
  <w:style w:type="paragraph" w:customStyle="1" w:styleId="314">
    <w:name w:val="ca-24"/>
    <w:basedOn w:val="1"/>
    <w:autoRedefine/>
    <w:qFormat/>
    <w:uiPriority w:val="99"/>
    <w:pPr>
      <w:widowControl/>
      <w:jc w:val="left"/>
    </w:pPr>
    <w:rPr>
      <w:rFonts w:ascii="宋体" w:hAnsi="宋体" w:eastAsia="宋体" w:cs="宋体"/>
      <w:kern w:val="0"/>
      <w:sz w:val="24"/>
    </w:rPr>
  </w:style>
  <w:style w:type="paragraph" w:customStyle="1" w:styleId="315">
    <w:name w:val="pa-88"/>
    <w:basedOn w:val="1"/>
    <w:autoRedefine/>
    <w:qFormat/>
    <w:uiPriority w:val="99"/>
    <w:pPr>
      <w:widowControl/>
      <w:spacing w:line="320" w:lineRule="atLeast"/>
      <w:ind w:firstLine="480"/>
    </w:pPr>
    <w:rPr>
      <w:rFonts w:ascii="宋体" w:hAnsi="宋体" w:eastAsia="宋体" w:cs="宋体"/>
      <w:kern w:val="0"/>
      <w:sz w:val="24"/>
    </w:rPr>
  </w:style>
  <w:style w:type="paragraph" w:customStyle="1" w:styleId="316">
    <w:name w:val="xl43"/>
    <w:basedOn w:val="1"/>
    <w:autoRedefine/>
    <w:qFormat/>
    <w:uiPriority w:val="99"/>
    <w:pPr>
      <w:widowControl/>
      <w:pBdr>
        <w:top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317">
    <w:name w:val="pa-128"/>
    <w:basedOn w:val="1"/>
    <w:autoRedefine/>
    <w:qFormat/>
    <w:uiPriority w:val="99"/>
    <w:pPr>
      <w:widowControl/>
      <w:spacing w:line="360" w:lineRule="atLeast"/>
      <w:jc w:val="center"/>
    </w:pPr>
    <w:rPr>
      <w:rFonts w:ascii="宋体" w:hAnsi="宋体" w:eastAsia="宋体" w:cs="宋体"/>
      <w:kern w:val="0"/>
      <w:sz w:val="24"/>
    </w:rPr>
  </w:style>
  <w:style w:type="paragraph" w:customStyle="1" w:styleId="318">
    <w:name w:val="pa-35"/>
    <w:basedOn w:val="1"/>
    <w:autoRedefine/>
    <w:qFormat/>
    <w:uiPriority w:val="99"/>
    <w:pPr>
      <w:widowControl/>
      <w:spacing w:line="360" w:lineRule="atLeast"/>
      <w:jc w:val="left"/>
    </w:pPr>
    <w:rPr>
      <w:rFonts w:ascii="宋体" w:hAnsi="宋体" w:eastAsia="宋体" w:cs="宋体"/>
      <w:kern w:val="0"/>
      <w:sz w:val="24"/>
    </w:rPr>
  </w:style>
  <w:style w:type="paragraph" w:customStyle="1" w:styleId="319">
    <w:name w:val="ca-9"/>
    <w:basedOn w:val="1"/>
    <w:autoRedefine/>
    <w:qFormat/>
    <w:uiPriority w:val="99"/>
    <w:pPr>
      <w:widowControl/>
      <w:jc w:val="left"/>
    </w:pPr>
    <w:rPr>
      <w:rFonts w:ascii="楷体_GB2312" w:hAnsi="宋体" w:eastAsia="楷体_GB2312" w:cs="宋体"/>
      <w:color w:val="000000"/>
      <w:spacing w:val="20"/>
      <w:kern w:val="0"/>
      <w:sz w:val="96"/>
      <w:szCs w:val="96"/>
    </w:rPr>
  </w:style>
  <w:style w:type="paragraph" w:customStyle="1" w:styleId="320">
    <w:name w:val="pa-118"/>
    <w:basedOn w:val="1"/>
    <w:autoRedefine/>
    <w:qFormat/>
    <w:uiPriority w:val="99"/>
    <w:pPr>
      <w:widowControl/>
      <w:spacing w:line="480" w:lineRule="atLeast"/>
      <w:ind w:firstLine="1440"/>
    </w:pPr>
    <w:rPr>
      <w:rFonts w:ascii="宋体" w:hAnsi="宋体" w:eastAsia="宋体" w:cs="宋体"/>
      <w:kern w:val="0"/>
      <w:sz w:val="24"/>
    </w:rPr>
  </w:style>
  <w:style w:type="paragraph" w:customStyle="1" w:styleId="321">
    <w:name w:val="pa-58"/>
    <w:basedOn w:val="1"/>
    <w:autoRedefine/>
    <w:qFormat/>
    <w:uiPriority w:val="99"/>
    <w:pPr>
      <w:widowControl/>
      <w:spacing w:line="300" w:lineRule="atLeast"/>
      <w:ind w:firstLine="300"/>
    </w:pPr>
    <w:rPr>
      <w:rFonts w:ascii="宋体" w:hAnsi="宋体" w:eastAsia="宋体" w:cs="宋体"/>
      <w:kern w:val="0"/>
      <w:sz w:val="24"/>
    </w:rPr>
  </w:style>
  <w:style w:type="paragraph" w:customStyle="1" w:styleId="322">
    <w:name w:val="pa-33"/>
    <w:basedOn w:val="1"/>
    <w:autoRedefine/>
    <w:qFormat/>
    <w:uiPriority w:val="99"/>
    <w:pPr>
      <w:widowControl/>
      <w:spacing w:line="360" w:lineRule="atLeast"/>
      <w:ind w:firstLine="440"/>
    </w:pPr>
    <w:rPr>
      <w:rFonts w:ascii="宋体" w:hAnsi="宋体" w:eastAsia="宋体" w:cs="宋体"/>
      <w:kern w:val="0"/>
      <w:sz w:val="24"/>
    </w:rPr>
  </w:style>
  <w:style w:type="paragraph" w:customStyle="1" w:styleId="323">
    <w:name w:val="pa-101"/>
    <w:basedOn w:val="1"/>
    <w:autoRedefine/>
    <w:qFormat/>
    <w:uiPriority w:val="99"/>
    <w:pPr>
      <w:widowControl/>
      <w:spacing w:line="360" w:lineRule="atLeast"/>
      <w:jc w:val="center"/>
    </w:pPr>
    <w:rPr>
      <w:rFonts w:ascii="宋体" w:hAnsi="宋体" w:eastAsia="宋体" w:cs="宋体"/>
      <w:kern w:val="0"/>
      <w:sz w:val="24"/>
    </w:rPr>
  </w:style>
  <w:style w:type="paragraph" w:customStyle="1" w:styleId="324">
    <w:name w:val="目录"/>
    <w:basedOn w:val="1"/>
    <w:autoRedefine/>
    <w:qFormat/>
    <w:uiPriority w:val="99"/>
    <w:pPr>
      <w:widowControl/>
      <w:jc w:val="center"/>
    </w:pPr>
    <w:rPr>
      <w:rFonts w:ascii="宋体" w:hAnsi="Calibri" w:eastAsia="宋体" w:cs="Times New Roman"/>
      <w:b/>
      <w:kern w:val="0"/>
      <w:sz w:val="36"/>
      <w:szCs w:val="20"/>
    </w:rPr>
  </w:style>
  <w:style w:type="paragraph" w:customStyle="1" w:styleId="325">
    <w:name w:val="t1"/>
    <w:basedOn w:val="1"/>
    <w:autoRedefine/>
    <w:qFormat/>
    <w:uiPriority w:val="99"/>
    <w:pPr>
      <w:widowControl/>
      <w:spacing w:line="280" w:lineRule="atLeast"/>
      <w:jc w:val="left"/>
    </w:pPr>
    <w:rPr>
      <w:rFonts w:ascii="Calibri" w:hAnsi="Calibri" w:eastAsia="宋体" w:cs="Times New Roman"/>
      <w:kern w:val="0"/>
      <w:sz w:val="24"/>
      <w:szCs w:val="20"/>
      <w:lang w:val="de-DE" w:eastAsia="de-DE"/>
    </w:rPr>
  </w:style>
  <w:style w:type="paragraph" w:customStyle="1" w:styleId="326">
    <w:name w:val="正文_8"/>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27">
    <w:name w:val="xl44"/>
    <w:basedOn w:val="1"/>
    <w:autoRedefine/>
    <w:qFormat/>
    <w:uiPriority w:val="99"/>
    <w:pPr>
      <w:widowControl/>
      <w:pBdr>
        <w:top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328">
    <w:name w:val="pa-73"/>
    <w:basedOn w:val="1"/>
    <w:autoRedefine/>
    <w:qFormat/>
    <w:uiPriority w:val="99"/>
    <w:pPr>
      <w:widowControl/>
      <w:spacing w:line="360" w:lineRule="atLeast"/>
      <w:ind w:firstLine="640"/>
    </w:pPr>
    <w:rPr>
      <w:rFonts w:ascii="宋体" w:hAnsi="宋体" w:eastAsia="宋体" w:cs="宋体"/>
      <w:kern w:val="0"/>
      <w:sz w:val="24"/>
    </w:rPr>
  </w:style>
  <w:style w:type="paragraph" w:customStyle="1" w:styleId="329">
    <w:name w:val="pa-36"/>
    <w:basedOn w:val="1"/>
    <w:autoRedefine/>
    <w:qFormat/>
    <w:uiPriority w:val="99"/>
    <w:pPr>
      <w:widowControl/>
      <w:spacing w:line="360" w:lineRule="atLeast"/>
      <w:ind w:firstLine="3100"/>
      <w:jc w:val="left"/>
    </w:pPr>
    <w:rPr>
      <w:rFonts w:ascii="宋体" w:hAnsi="宋体" w:eastAsia="宋体" w:cs="宋体"/>
      <w:kern w:val="0"/>
      <w:sz w:val="24"/>
    </w:rPr>
  </w:style>
  <w:style w:type="paragraph" w:customStyle="1" w:styleId="330">
    <w:name w:val="pa-4"/>
    <w:basedOn w:val="1"/>
    <w:autoRedefine/>
    <w:qFormat/>
    <w:uiPriority w:val="99"/>
    <w:pPr>
      <w:widowControl/>
      <w:spacing w:line="360" w:lineRule="atLeast"/>
      <w:jc w:val="center"/>
    </w:pPr>
    <w:rPr>
      <w:rFonts w:ascii="宋体" w:hAnsi="宋体" w:eastAsia="宋体" w:cs="宋体"/>
      <w:kern w:val="0"/>
      <w:sz w:val="24"/>
    </w:rPr>
  </w:style>
  <w:style w:type="paragraph" w:customStyle="1" w:styleId="331">
    <w:name w:val="pa-56"/>
    <w:basedOn w:val="1"/>
    <w:autoRedefine/>
    <w:qFormat/>
    <w:uiPriority w:val="99"/>
    <w:pPr>
      <w:widowControl/>
      <w:spacing w:line="300" w:lineRule="atLeast"/>
      <w:ind w:firstLine="420"/>
    </w:pPr>
    <w:rPr>
      <w:rFonts w:ascii="宋体" w:hAnsi="宋体" w:eastAsia="宋体" w:cs="宋体"/>
      <w:kern w:val="0"/>
      <w:sz w:val="24"/>
    </w:rPr>
  </w:style>
  <w:style w:type="paragraph" w:customStyle="1" w:styleId="332">
    <w:name w:val="pa-67"/>
    <w:basedOn w:val="1"/>
    <w:autoRedefine/>
    <w:qFormat/>
    <w:uiPriority w:val="99"/>
    <w:pPr>
      <w:widowControl/>
      <w:spacing w:line="240" w:lineRule="atLeast"/>
      <w:ind w:firstLine="420"/>
      <w:jc w:val="left"/>
    </w:pPr>
    <w:rPr>
      <w:rFonts w:ascii="宋体" w:hAnsi="宋体" w:eastAsia="宋体" w:cs="宋体"/>
      <w:kern w:val="0"/>
      <w:sz w:val="24"/>
    </w:rPr>
  </w:style>
  <w:style w:type="paragraph" w:customStyle="1" w:styleId="333">
    <w:name w:val="pa-66"/>
    <w:basedOn w:val="1"/>
    <w:autoRedefine/>
    <w:qFormat/>
    <w:uiPriority w:val="99"/>
    <w:pPr>
      <w:widowControl/>
      <w:spacing w:line="240" w:lineRule="atLeast"/>
      <w:ind w:firstLine="200"/>
    </w:pPr>
    <w:rPr>
      <w:rFonts w:ascii="宋体" w:hAnsi="宋体" w:eastAsia="宋体" w:cs="宋体"/>
      <w:kern w:val="0"/>
      <w:sz w:val="24"/>
    </w:rPr>
  </w:style>
  <w:style w:type="paragraph" w:customStyle="1" w:styleId="334">
    <w:name w:val="pa-44"/>
    <w:basedOn w:val="1"/>
    <w:autoRedefine/>
    <w:qFormat/>
    <w:uiPriority w:val="99"/>
    <w:pPr>
      <w:widowControl/>
      <w:spacing w:line="360" w:lineRule="atLeast"/>
      <w:ind w:firstLine="420"/>
      <w:jc w:val="left"/>
    </w:pPr>
    <w:rPr>
      <w:rFonts w:ascii="宋体" w:hAnsi="宋体" w:eastAsia="宋体" w:cs="宋体"/>
      <w:kern w:val="0"/>
      <w:sz w:val="24"/>
    </w:rPr>
  </w:style>
  <w:style w:type="paragraph" w:customStyle="1" w:styleId="335">
    <w:name w:val="目录文字"/>
    <w:basedOn w:val="1"/>
    <w:autoRedefine/>
    <w:qFormat/>
    <w:uiPriority w:val="99"/>
    <w:pPr>
      <w:widowControl/>
      <w:spacing w:line="480" w:lineRule="auto"/>
      <w:jc w:val="left"/>
    </w:pPr>
    <w:rPr>
      <w:rFonts w:ascii="宋体" w:hAnsi="宋体" w:eastAsia="宋体" w:cs="Times New Roman"/>
      <w:kern w:val="0"/>
      <w:sz w:val="24"/>
      <w:szCs w:val="20"/>
    </w:rPr>
  </w:style>
  <w:style w:type="paragraph" w:customStyle="1" w:styleId="336">
    <w:name w:val="ca-15"/>
    <w:basedOn w:val="1"/>
    <w:autoRedefine/>
    <w:qFormat/>
    <w:uiPriority w:val="99"/>
    <w:pPr>
      <w:widowControl/>
      <w:jc w:val="left"/>
    </w:pPr>
    <w:rPr>
      <w:rFonts w:ascii="宋体" w:hAnsi="宋体" w:eastAsia="宋体" w:cs="宋体"/>
      <w:caps/>
      <w:color w:val="000000"/>
      <w:kern w:val="0"/>
      <w:sz w:val="24"/>
    </w:rPr>
  </w:style>
  <w:style w:type="paragraph" w:customStyle="1" w:styleId="337">
    <w:name w:val="CPara---"/>
    <w:autoRedefine/>
    <w:qFormat/>
    <w:uiPriority w:val="99"/>
    <w:pPr>
      <w:tabs>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1728"/>
    </w:pPr>
    <w:rPr>
      <w:rFonts w:ascii="Arial" w:hAnsi="Arial" w:eastAsia="宋体" w:cs="Times New Roman"/>
      <w:lang w:val="en-US" w:eastAsia="en-US" w:bidi="ar-SA"/>
    </w:rPr>
  </w:style>
  <w:style w:type="paragraph" w:customStyle="1" w:styleId="338">
    <w:name w:val="pa-122"/>
    <w:basedOn w:val="1"/>
    <w:autoRedefine/>
    <w:qFormat/>
    <w:uiPriority w:val="99"/>
    <w:pPr>
      <w:widowControl/>
      <w:spacing w:line="360" w:lineRule="atLeast"/>
      <w:jc w:val="center"/>
    </w:pPr>
    <w:rPr>
      <w:rFonts w:ascii="宋体" w:hAnsi="宋体" w:eastAsia="宋体" w:cs="宋体"/>
      <w:kern w:val="0"/>
      <w:sz w:val="24"/>
    </w:rPr>
  </w:style>
  <w:style w:type="paragraph" w:customStyle="1" w:styleId="339">
    <w:name w:val="pa-111"/>
    <w:basedOn w:val="1"/>
    <w:autoRedefine/>
    <w:qFormat/>
    <w:uiPriority w:val="99"/>
    <w:pPr>
      <w:widowControl/>
      <w:spacing w:line="280" w:lineRule="atLeast"/>
      <w:ind w:firstLine="480"/>
    </w:pPr>
    <w:rPr>
      <w:rFonts w:ascii="宋体" w:hAnsi="宋体" w:eastAsia="宋体" w:cs="宋体"/>
      <w:kern w:val="0"/>
      <w:sz w:val="24"/>
    </w:rPr>
  </w:style>
  <w:style w:type="paragraph" w:customStyle="1" w:styleId="340">
    <w:name w:val="默认段落字体 Para Char Char Char Char Char Char Char Char Char1 Char Char Char Char"/>
    <w:basedOn w:val="1"/>
    <w:autoRedefine/>
    <w:qFormat/>
    <w:uiPriority w:val="99"/>
    <w:rPr>
      <w:rFonts w:ascii="Tahoma" w:hAnsi="Tahoma" w:eastAsia="宋体" w:cs="Times New Roman"/>
      <w:sz w:val="24"/>
      <w:szCs w:val="20"/>
    </w:rPr>
  </w:style>
  <w:style w:type="paragraph" w:customStyle="1" w:styleId="341">
    <w:name w:val="td-10"/>
    <w:basedOn w:val="1"/>
    <w:autoRedefine/>
    <w:qFormat/>
    <w:uiPriority w:val="99"/>
    <w:pPr>
      <w:widowControl/>
      <w:pBdr>
        <w:top w:val="single" w:color="000000" w:sz="4" w:space="0"/>
        <w:left w:val="single" w:color="000000" w:sz="4" w:space="4"/>
        <w:bottom w:val="single" w:color="000000" w:sz="12" w:space="0"/>
        <w:right w:val="single" w:color="000000" w:sz="4" w:space="0"/>
      </w:pBdr>
      <w:jc w:val="left"/>
    </w:pPr>
    <w:rPr>
      <w:rFonts w:ascii="宋体" w:hAnsi="宋体" w:eastAsia="宋体" w:cs="宋体"/>
      <w:kern w:val="0"/>
      <w:sz w:val="24"/>
    </w:rPr>
  </w:style>
  <w:style w:type="paragraph" w:customStyle="1" w:styleId="342">
    <w:name w:val="pa-29"/>
    <w:basedOn w:val="1"/>
    <w:autoRedefine/>
    <w:qFormat/>
    <w:uiPriority w:val="99"/>
    <w:pPr>
      <w:widowControl/>
      <w:spacing w:line="360" w:lineRule="atLeast"/>
      <w:ind w:firstLine="2820"/>
    </w:pPr>
    <w:rPr>
      <w:rFonts w:ascii="宋体" w:hAnsi="宋体" w:eastAsia="宋体" w:cs="宋体"/>
      <w:kern w:val="0"/>
      <w:sz w:val="24"/>
    </w:rPr>
  </w:style>
  <w:style w:type="paragraph" w:customStyle="1" w:styleId="343">
    <w:name w:val="xl74"/>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Arial" w:hAnsi="Arial" w:eastAsia="宋体" w:cs="Arial"/>
      <w:color w:val="000000"/>
      <w:kern w:val="0"/>
      <w:sz w:val="18"/>
      <w:szCs w:val="18"/>
    </w:rPr>
  </w:style>
  <w:style w:type="paragraph" w:customStyle="1" w:styleId="344">
    <w:name w:val="ca-20"/>
    <w:basedOn w:val="1"/>
    <w:autoRedefine/>
    <w:qFormat/>
    <w:uiPriority w:val="99"/>
    <w:pPr>
      <w:widowControl/>
      <w:jc w:val="left"/>
    </w:pPr>
    <w:rPr>
      <w:rFonts w:ascii="??" w:hAnsi="??" w:eastAsia="宋体" w:cs="宋体"/>
      <w:color w:val="000000"/>
      <w:kern w:val="0"/>
      <w:sz w:val="18"/>
      <w:szCs w:val="18"/>
    </w:rPr>
  </w:style>
  <w:style w:type="paragraph" w:customStyle="1" w:styleId="345">
    <w:name w:val="Normal_10"/>
    <w:autoRedefine/>
    <w:qFormat/>
    <w:uiPriority w:val="99"/>
    <w:rPr>
      <w:rFonts w:ascii="黑体" w:hAnsi="黑体" w:eastAsia="黑体" w:cs="Times New Roman"/>
      <w:b/>
      <w:sz w:val="32"/>
      <w:szCs w:val="24"/>
      <w:lang w:val="en-US" w:eastAsia="zh-CN" w:bidi="ar-SA"/>
    </w:rPr>
  </w:style>
  <w:style w:type="paragraph" w:customStyle="1" w:styleId="346">
    <w:name w:val="ca-48"/>
    <w:basedOn w:val="1"/>
    <w:autoRedefine/>
    <w:qFormat/>
    <w:uiPriority w:val="99"/>
    <w:pPr>
      <w:widowControl/>
      <w:jc w:val="left"/>
    </w:pPr>
    <w:rPr>
      <w:rFonts w:ascii="宋体" w:hAnsi="宋体" w:eastAsia="宋体" w:cs="宋体"/>
      <w:color w:val="000000"/>
      <w:kern w:val="0"/>
      <w:sz w:val="26"/>
      <w:szCs w:val="26"/>
    </w:rPr>
  </w:style>
  <w:style w:type="paragraph" w:customStyle="1" w:styleId="347">
    <w:name w:val="pa-137"/>
    <w:basedOn w:val="1"/>
    <w:autoRedefine/>
    <w:qFormat/>
    <w:uiPriority w:val="99"/>
    <w:pPr>
      <w:widowControl/>
      <w:spacing w:line="480" w:lineRule="atLeast"/>
      <w:jc w:val="center"/>
    </w:pPr>
    <w:rPr>
      <w:rFonts w:ascii="宋体" w:hAnsi="宋体" w:eastAsia="宋体" w:cs="宋体"/>
      <w:kern w:val="0"/>
      <w:sz w:val="24"/>
    </w:rPr>
  </w:style>
  <w:style w:type="paragraph" w:customStyle="1" w:styleId="348">
    <w:name w:val="ca-33"/>
    <w:basedOn w:val="1"/>
    <w:autoRedefine/>
    <w:qFormat/>
    <w:uiPriority w:val="99"/>
    <w:pPr>
      <w:widowControl/>
      <w:jc w:val="left"/>
    </w:pPr>
    <w:rPr>
      <w:rFonts w:ascii="宋体" w:hAnsi="宋体" w:eastAsia="宋体" w:cs="宋体"/>
      <w:b/>
      <w:bCs/>
      <w:color w:val="002060"/>
      <w:spacing w:val="-20"/>
      <w:kern w:val="0"/>
      <w:sz w:val="20"/>
      <w:szCs w:val="20"/>
    </w:rPr>
  </w:style>
  <w:style w:type="paragraph" w:customStyle="1" w:styleId="349">
    <w:name w:val="pa-75"/>
    <w:basedOn w:val="1"/>
    <w:autoRedefine/>
    <w:qFormat/>
    <w:uiPriority w:val="99"/>
    <w:pPr>
      <w:widowControl/>
      <w:spacing w:line="300" w:lineRule="atLeast"/>
      <w:jc w:val="center"/>
    </w:pPr>
    <w:rPr>
      <w:rFonts w:ascii="宋体" w:hAnsi="宋体" w:eastAsia="宋体" w:cs="宋体"/>
      <w:kern w:val="0"/>
      <w:sz w:val="24"/>
    </w:rPr>
  </w:style>
  <w:style w:type="paragraph" w:customStyle="1" w:styleId="350">
    <w:name w:val="ca-16"/>
    <w:basedOn w:val="1"/>
    <w:autoRedefine/>
    <w:qFormat/>
    <w:uiPriority w:val="99"/>
    <w:pPr>
      <w:widowControl/>
      <w:jc w:val="left"/>
    </w:pPr>
    <w:rPr>
      <w:rFonts w:ascii="宋体" w:hAnsi="宋体" w:eastAsia="宋体" w:cs="宋体"/>
      <w:kern w:val="0"/>
      <w:sz w:val="24"/>
    </w:rPr>
  </w:style>
  <w:style w:type="character" w:customStyle="1" w:styleId="351">
    <w:name w:val="正文2 Char Char"/>
    <w:link w:val="352"/>
    <w:autoRedefine/>
    <w:qFormat/>
    <w:locked/>
    <w:uiPriority w:val="0"/>
    <w:rPr>
      <w:rFonts w:ascii="Arial" w:hAnsi="Arial" w:cs="宋体"/>
      <w:sz w:val="24"/>
    </w:rPr>
  </w:style>
  <w:style w:type="paragraph" w:customStyle="1" w:styleId="352">
    <w:name w:val="正文2"/>
    <w:basedOn w:val="1"/>
    <w:link w:val="351"/>
    <w:autoRedefine/>
    <w:qFormat/>
    <w:uiPriority w:val="0"/>
    <w:pPr>
      <w:spacing w:before="156" w:line="360" w:lineRule="auto"/>
      <w:ind w:firstLine="510" w:firstLineChars="200"/>
    </w:pPr>
    <w:rPr>
      <w:rFonts w:ascii="Arial" w:hAnsi="Arial" w:cs="宋体"/>
      <w:sz w:val="24"/>
    </w:rPr>
  </w:style>
  <w:style w:type="paragraph" w:customStyle="1" w:styleId="353">
    <w:name w:val="Char Char Char Char Char Char Char Char Char Char Char Char Char Char Char Char Char Char Char Char Char Char Char Char Char Char Char Char Char Char Char Char Char"/>
    <w:basedOn w:val="1"/>
    <w:autoRedefine/>
    <w:qFormat/>
    <w:uiPriority w:val="99"/>
    <w:pPr>
      <w:widowControl/>
      <w:spacing w:after="160" w:line="240" w:lineRule="exact"/>
      <w:jc w:val="left"/>
    </w:pPr>
    <w:rPr>
      <w:rFonts w:ascii="Verdana" w:hAnsi="Verdana" w:eastAsia="仿宋_GB2312" w:cs="Verdana"/>
      <w:kern w:val="0"/>
      <w:sz w:val="24"/>
      <w:lang w:eastAsia="en-US"/>
    </w:rPr>
  </w:style>
  <w:style w:type="paragraph" w:customStyle="1" w:styleId="354">
    <w:name w:val="BJ-02"/>
    <w:next w:val="30"/>
    <w:autoRedefine/>
    <w:qFormat/>
    <w:uiPriority w:val="99"/>
    <w:pPr>
      <w:tabs>
        <w:tab w:val="left" w:pos="900"/>
        <w:tab w:val="left" w:pos="1200"/>
        <w:tab w:val="left" w:pos="1985"/>
      </w:tabs>
      <w:spacing w:before="240" w:line="360" w:lineRule="auto"/>
      <w:ind w:left="1200" w:hanging="360"/>
      <w:jc w:val="both"/>
    </w:pPr>
    <w:rPr>
      <w:rFonts w:ascii="Arial" w:hAnsi="Arial" w:eastAsia="宋体" w:cs="Times New Roman"/>
      <w:sz w:val="24"/>
      <w:lang w:val="en-GB" w:eastAsia="de-DE" w:bidi="ar-SA"/>
    </w:rPr>
  </w:style>
  <w:style w:type="paragraph" w:customStyle="1" w:styleId="355">
    <w:name w:val="Char Char1 Char Char Char Char Char Char Char"/>
    <w:basedOn w:val="1"/>
    <w:autoRedefine/>
    <w:qFormat/>
    <w:uiPriority w:val="99"/>
    <w:pPr>
      <w:widowControl/>
      <w:spacing w:after="160" w:line="240" w:lineRule="exact"/>
      <w:jc w:val="left"/>
    </w:pPr>
    <w:rPr>
      <w:rFonts w:ascii="Calibri" w:hAnsi="Calibri" w:eastAsia="宋体" w:cs="Times New Roman"/>
      <w:szCs w:val="20"/>
    </w:rPr>
  </w:style>
  <w:style w:type="paragraph" w:customStyle="1" w:styleId="356">
    <w:name w:val="BJ-03"/>
    <w:autoRedefine/>
    <w:qFormat/>
    <w:uiPriority w:val="99"/>
    <w:pPr>
      <w:widowControl w:val="0"/>
      <w:numPr>
        <w:ilvl w:val="0"/>
        <w:numId w:val="5"/>
      </w:numPr>
      <w:tabs>
        <w:tab w:val="left" w:pos="1200"/>
        <w:tab w:val="left" w:pos="1440"/>
      </w:tabs>
      <w:spacing w:before="120" w:after="120" w:line="360" w:lineRule="auto"/>
      <w:jc w:val="both"/>
    </w:pPr>
    <w:rPr>
      <w:rFonts w:ascii="Arial" w:hAnsi="Arial" w:eastAsia="宋体" w:cs="Times New Roman"/>
      <w:sz w:val="24"/>
      <w:lang w:val="de-DE" w:eastAsia="de-DE" w:bidi="ar-SA"/>
    </w:rPr>
  </w:style>
  <w:style w:type="paragraph" w:customStyle="1" w:styleId="357">
    <w:name w:val="Normal_11"/>
    <w:autoRedefine/>
    <w:qFormat/>
    <w:uiPriority w:val="99"/>
    <w:rPr>
      <w:rFonts w:ascii="黑体" w:hAnsi="黑体" w:eastAsia="黑体" w:cs="Times New Roman"/>
      <w:b/>
      <w:sz w:val="32"/>
      <w:szCs w:val="24"/>
      <w:lang w:val="en-US" w:eastAsia="zh-CN" w:bidi="ar-SA"/>
    </w:rPr>
  </w:style>
  <w:style w:type="paragraph" w:customStyle="1" w:styleId="358">
    <w:name w:val="表内文字"/>
    <w:basedOn w:val="1"/>
    <w:autoRedefine/>
    <w:qFormat/>
    <w:uiPriority w:val="99"/>
    <w:pPr>
      <w:tabs>
        <w:tab w:val="left" w:pos="1418"/>
      </w:tabs>
      <w:spacing w:line="360" w:lineRule="auto"/>
      <w:jc w:val="center"/>
    </w:pPr>
    <w:rPr>
      <w:rFonts w:ascii="仿宋_GB2312" w:hAnsi="Times New Roman" w:eastAsia="仿宋_GB2312" w:cs="Times New Roman"/>
      <w:spacing w:val="-20"/>
      <w:kern w:val="0"/>
      <w:sz w:val="24"/>
      <w:szCs w:val="24"/>
    </w:rPr>
  </w:style>
  <w:style w:type="paragraph" w:customStyle="1" w:styleId="359">
    <w:name w:val="正文段"/>
    <w:basedOn w:val="1"/>
    <w:autoRedefine/>
    <w:qFormat/>
    <w:uiPriority w:val="99"/>
    <w:pPr>
      <w:widowControl/>
      <w:snapToGrid w:val="0"/>
      <w:spacing w:afterLines="50"/>
      <w:ind w:firstLine="200" w:firstLineChars="200"/>
    </w:pPr>
    <w:rPr>
      <w:rFonts w:ascii="Times New Roman" w:hAnsi="Times New Roman" w:eastAsia="宋体" w:cs="Times New Roman"/>
      <w:kern w:val="0"/>
      <w:sz w:val="24"/>
      <w:szCs w:val="20"/>
    </w:rPr>
  </w:style>
  <w:style w:type="paragraph" w:customStyle="1" w:styleId="360">
    <w:name w:val="Normal_2"/>
    <w:autoRedefine/>
    <w:qFormat/>
    <w:uiPriority w:val="99"/>
    <w:rPr>
      <w:rFonts w:ascii="黑体" w:hAnsi="黑体" w:eastAsia="黑体" w:cs="Times New Roman"/>
      <w:b/>
      <w:sz w:val="32"/>
      <w:szCs w:val="24"/>
      <w:lang w:val="en-US" w:eastAsia="zh-CN" w:bidi="ar-SA"/>
    </w:rPr>
  </w:style>
  <w:style w:type="paragraph" w:customStyle="1" w:styleId="361">
    <w:name w:val="正文_12"/>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62">
    <w:name w:val="Char1"/>
    <w:basedOn w:val="1"/>
    <w:autoRedefine/>
    <w:qFormat/>
    <w:uiPriority w:val="99"/>
    <w:rPr>
      <w:rFonts w:ascii="仿宋_GB2312" w:hAnsi="Times New Roman" w:eastAsia="仿宋_GB2312" w:cs="Times New Roman"/>
      <w:b/>
      <w:sz w:val="32"/>
      <w:szCs w:val="32"/>
    </w:rPr>
  </w:style>
  <w:style w:type="paragraph" w:customStyle="1" w:styleId="363">
    <w:name w:val="xl71"/>
    <w:basedOn w:val="1"/>
    <w:autoRedefine/>
    <w:qFormat/>
    <w:uiPriority w:val="99"/>
    <w:pPr>
      <w:widowControl/>
      <w:pBdr>
        <w:top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364">
    <w:name w:val="pa-18"/>
    <w:basedOn w:val="1"/>
    <w:autoRedefine/>
    <w:qFormat/>
    <w:uiPriority w:val="99"/>
    <w:pPr>
      <w:widowControl/>
      <w:spacing w:line="240" w:lineRule="atLeast"/>
      <w:ind w:firstLine="20"/>
    </w:pPr>
    <w:rPr>
      <w:rFonts w:ascii="宋体" w:hAnsi="宋体" w:eastAsia="宋体" w:cs="宋体"/>
      <w:kern w:val="0"/>
      <w:sz w:val="24"/>
    </w:rPr>
  </w:style>
  <w:style w:type="paragraph" w:customStyle="1" w:styleId="365">
    <w:name w:val="font5"/>
    <w:basedOn w:val="1"/>
    <w:autoRedefine/>
    <w:qFormat/>
    <w:uiPriority w:val="99"/>
    <w:pPr>
      <w:widowControl/>
      <w:spacing w:before="100" w:beforeAutospacing="1" w:after="100" w:afterAutospacing="1"/>
      <w:jc w:val="left"/>
    </w:pPr>
    <w:rPr>
      <w:rFonts w:ascii="宋体" w:hAnsi="宋体" w:eastAsia="宋体" w:cs="Times New Roman"/>
      <w:kern w:val="0"/>
      <w:sz w:val="18"/>
      <w:szCs w:val="18"/>
    </w:rPr>
  </w:style>
  <w:style w:type="paragraph" w:customStyle="1" w:styleId="366">
    <w:name w:val="正文 A_0"/>
    <w:autoRedefine/>
    <w:qFormat/>
    <w:uiPriority w:val="99"/>
    <w:pPr>
      <w:widowControl w:val="0"/>
      <w:jc w:val="both"/>
    </w:pPr>
    <w:rPr>
      <w:rFonts w:ascii="Calibri" w:hAnsi="Calibri" w:eastAsia="ヒラギノ角ゴ Pro W3" w:cs="Times New Roman"/>
      <w:color w:val="000000"/>
      <w:kern w:val="2"/>
      <w:sz w:val="21"/>
      <w:lang w:val="en-US" w:eastAsia="zh-CN" w:bidi="ar-SA"/>
    </w:rPr>
  </w:style>
  <w:style w:type="paragraph" w:customStyle="1" w:styleId="367">
    <w:name w:val="Normal_6"/>
    <w:autoRedefine/>
    <w:qFormat/>
    <w:uiPriority w:val="99"/>
    <w:rPr>
      <w:rFonts w:ascii="黑体" w:hAnsi="黑体" w:eastAsia="黑体" w:cs="Times New Roman"/>
      <w:b/>
      <w:sz w:val="32"/>
      <w:szCs w:val="24"/>
      <w:lang w:val="en-US" w:eastAsia="zh-CN" w:bidi="ar-SA"/>
    </w:rPr>
  </w:style>
  <w:style w:type="paragraph" w:customStyle="1" w:styleId="368">
    <w:name w:val="pa-119"/>
    <w:basedOn w:val="1"/>
    <w:autoRedefine/>
    <w:qFormat/>
    <w:uiPriority w:val="99"/>
    <w:pPr>
      <w:widowControl/>
      <w:spacing w:line="420" w:lineRule="atLeast"/>
      <w:jc w:val="center"/>
    </w:pPr>
    <w:rPr>
      <w:rFonts w:ascii="宋体" w:hAnsi="宋体" w:eastAsia="宋体" w:cs="宋体"/>
      <w:kern w:val="0"/>
      <w:sz w:val="24"/>
    </w:rPr>
  </w:style>
  <w:style w:type="paragraph" w:customStyle="1" w:styleId="369">
    <w:name w:val="xl24"/>
    <w:basedOn w:val="1"/>
    <w:autoRedefine/>
    <w:qFormat/>
    <w:uiPriority w:val="99"/>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pPr>
    <w:rPr>
      <w:rFonts w:ascii="仿宋_GB2312" w:hAnsi="宋体" w:eastAsia="仿宋_GB2312" w:cs="Times New Roman"/>
      <w:kern w:val="0"/>
      <w:sz w:val="24"/>
      <w:szCs w:val="20"/>
    </w:rPr>
  </w:style>
  <w:style w:type="paragraph" w:customStyle="1" w:styleId="370">
    <w:name w:val="td-2"/>
    <w:basedOn w:val="1"/>
    <w:autoRedefine/>
    <w:qFormat/>
    <w:uiPriority w:val="99"/>
    <w:pPr>
      <w:widowControl/>
      <w:pBdr>
        <w:left w:val="single" w:color="000000" w:sz="6" w:space="4"/>
        <w:bottom w:val="single" w:color="000000" w:sz="6" w:space="0"/>
        <w:right w:val="single" w:color="000000" w:sz="6" w:space="0"/>
      </w:pBdr>
      <w:jc w:val="left"/>
    </w:pPr>
    <w:rPr>
      <w:rFonts w:ascii="宋体" w:hAnsi="宋体" w:eastAsia="宋体" w:cs="宋体"/>
      <w:kern w:val="0"/>
      <w:sz w:val="24"/>
    </w:rPr>
  </w:style>
  <w:style w:type="paragraph" w:customStyle="1" w:styleId="371">
    <w:name w:val="pa-10"/>
    <w:basedOn w:val="1"/>
    <w:autoRedefine/>
    <w:qFormat/>
    <w:uiPriority w:val="99"/>
    <w:pPr>
      <w:widowControl/>
      <w:spacing w:line="360" w:lineRule="atLeast"/>
      <w:ind w:firstLine="3220"/>
    </w:pPr>
    <w:rPr>
      <w:rFonts w:ascii="宋体" w:hAnsi="宋体" w:eastAsia="宋体" w:cs="宋体"/>
      <w:kern w:val="0"/>
      <w:sz w:val="24"/>
    </w:rPr>
  </w:style>
  <w:style w:type="paragraph" w:customStyle="1" w:styleId="372">
    <w:name w:val="表头"/>
    <w:basedOn w:val="1"/>
    <w:autoRedefine/>
    <w:qFormat/>
    <w:uiPriority w:val="99"/>
    <w:pPr>
      <w:spacing w:line="360" w:lineRule="auto"/>
      <w:jc w:val="center"/>
    </w:pPr>
    <w:rPr>
      <w:rFonts w:ascii="黑体" w:hAnsi="Calibri" w:eastAsia="黑体" w:cs="Times New Roman"/>
      <w:kern w:val="0"/>
      <w:sz w:val="24"/>
      <w:szCs w:val="20"/>
    </w:rPr>
  </w:style>
  <w:style w:type="paragraph" w:customStyle="1" w:styleId="373">
    <w:name w:val="pa-59"/>
    <w:basedOn w:val="1"/>
    <w:autoRedefine/>
    <w:qFormat/>
    <w:uiPriority w:val="99"/>
    <w:pPr>
      <w:widowControl/>
      <w:spacing w:line="360" w:lineRule="atLeast"/>
      <w:ind w:firstLine="200"/>
    </w:pPr>
    <w:rPr>
      <w:rFonts w:ascii="宋体" w:hAnsi="宋体" w:eastAsia="宋体" w:cs="宋体"/>
      <w:kern w:val="0"/>
      <w:sz w:val="24"/>
    </w:rPr>
  </w:style>
  <w:style w:type="paragraph" w:customStyle="1" w:styleId="374">
    <w:name w:val="Normal_7"/>
    <w:autoRedefine/>
    <w:qFormat/>
    <w:uiPriority w:val="99"/>
    <w:rPr>
      <w:rFonts w:ascii="黑体" w:hAnsi="黑体" w:eastAsia="黑体" w:cs="Times New Roman"/>
      <w:b/>
      <w:sz w:val="32"/>
      <w:szCs w:val="24"/>
      <w:lang w:val="en-US" w:eastAsia="zh-CN" w:bidi="ar-SA"/>
    </w:rPr>
  </w:style>
  <w:style w:type="paragraph" w:customStyle="1" w:styleId="375">
    <w:name w:val="pa-3"/>
    <w:basedOn w:val="1"/>
    <w:autoRedefine/>
    <w:qFormat/>
    <w:uiPriority w:val="99"/>
    <w:pPr>
      <w:widowControl/>
      <w:spacing w:line="520" w:lineRule="atLeast"/>
      <w:jc w:val="center"/>
    </w:pPr>
    <w:rPr>
      <w:rFonts w:ascii="宋体" w:hAnsi="宋体" w:eastAsia="宋体" w:cs="宋体"/>
      <w:kern w:val="0"/>
      <w:sz w:val="24"/>
    </w:rPr>
  </w:style>
  <w:style w:type="paragraph" w:customStyle="1" w:styleId="376">
    <w:name w:val="pa-19"/>
    <w:basedOn w:val="1"/>
    <w:autoRedefine/>
    <w:qFormat/>
    <w:uiPriority w:val="99"/>
    <w:pPr>
      <w:widowControl/>
      <w:spacing w:line="240" w:lineRule="atLeast"/>
      <w:ind w:firstLine="20"/>
      <w:jc w:val="left"/>
    </w:pPr>
    <w:rPr>
      <w:rFonts w:ascii="宋体" w:hAnsi="宋体" w:eastAsia="宋体" w:cs="宋体"/>
      <w:kern w:val="0"/>
      <w:sz w:val="24"/>
    </w:rPr>
  </w:style>
  <w:style w:type="paragraph" w:customStyle="1" w:styleId="377">
    <w:name w:val="ca-34"/>
    <w:basedOn w:val="1"/>
    <w:autoRedefine/>
    <w:qFormat/>
    <w:uiPriority w:val="99"/>
    <w:pPr>
      <w:widowControl/>
      <w:jc w:val="left"/>
    </w:pPr>
    <w:rPr>
      <w:rFonts w:ascii="宋体" w:hAnsi="宋体" w:eastAsia="宋体" w:cs="宋体"/>
      <w:color w:val="000000"/>
      <w:kern w:val="0"/>
      <w:sz w:val="20"/>
      <w:szCs w:val="20"/>
    </w:rPr>
  </w:style>
  <w:style w:type="paragraph" w:customStyle="1" w:styleId="378">
    <w:name w:val="pa-139"/>
    <w:basedOn w:val="1"/>
    <w:autoRedefine/>
    <w:qFormat/>
    <w:uiPriority w:val="99"/>
    <w:pPr>
      <w:widowControl/>
      <w:spacing w:line="320" w:lineRule="atLeast"/>
      <w:ind w:firstLine="280"/>
    </w:pPr>
    <w:rPr>
      <w:rFonts w:ascii="宋体" w:hAnsi="宋体" w:eastAsia="宋体" w:cs="宋体"/>
      <w:kern w:val="0"/>
      <w:sz w:val="24"/>
    </w:rPr>
  </w:style>
  <w:style w:type="paragraph" w:customStyle="1" w:styleId="379">
    <w:name w:val="Normal_24"/>
    <w:autoRedefine/>
    <w:qFormat/>
    <w:uiPriority w:val="99"/>
    <w:rPr>
      <w:rFonts w:ascii="黑体" w:hAnsi="黑体" w:eastAsia="黑体" w:cs="Times New Roman"/>
      <w:b/>
      <w:sz w:val="32"/>
      <w:szCs w:val="24"/>
      <w:lang w:val="en-US" w:eastAsia="zh-CN" w:bidi="ar-SA"/>
    </w:rPr>
  </w:style>
  <w:style w:type="paragraph" w:customStyle="1" w:styleId="380">
    <w:name w:val="xl31"/>
    <w:basedOn w:val="1"/>
    <w:next w:val="1"/>
    <w:autoRedefine/>
    <w:qFormat/>
    <w:uiPriority w:val="99"/>
    <w:pPr>
      <w:widowControl/>
      <w:spacing w:before="280" w:after="280"/>
      <w:jc w:val="center"/>
    </w:pPr>
    <w:rPr>
      <w:rFonts w:ascii="宋体" w:hAnsi="Times New Roman" w:eastAsia="宋体" w:cs="Times New Roman"/>
      <w:kern w:val="0"/>
      <w:sz w:val="20"/>
      <w:szCs w:val="20"/>
    </w:rPr>
  </w:style>
  <w:style w:type="paragraph" w:customStyle="1" w:styleId="381">
    <w:name w:val="正文_0_1"/>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2">
    <w:name w:val="pa-116"/>
    <w:basedOn w:val="1"/>
    <w:autoRedefine/>
    <w:qFormat/>
    <w:uiPriority w:val="99"/>
    <w:pPr>
      <w:widowControl/>
      <w:spacing w:line="480" w:lineRule="atLeast"/>
      <w:ind w:firstLine="200"/>
    </w:pPr>
    <w:rPr>
      <w:rFonts w:ascii="宋体" w:hAnsi="宋体" w:eastAsia="宋体" w:cs="宋体"/>
      <w:kern w:val="0"/>
      <w:sz w:val="24"/>
    </w:rPr>
  </w:style>
  <w:style w:type="paragraph" w:customStyle="1" w:styleId="383">
    <w:name w:val="CPara----"/>
    <w:autoRedefine/>
    <w:qFormat/>
    <w:uiPriority w:val="99"/>
    <w:pPr>
      <w:tabs>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line="220" w:lineRule="atLeast"/>
    </w:pPr>
    <w:rPr>
      <w:rFonts w:ascii="Arial" w:hAnsi="Arial" w:eastAsia="宋体" w:cs="Arial"/>
      <w:color w:val="000000"/>
      <w:lang w:val="de-CH" w:eastAsia="zh-CN" w:bidi="ar-SA"/>
    </w:rPr>
  </w:style>
  <w:style w:type="paragraph" w:customStyle="1" w:styleId="384">
    <w:name w:val="xl23"/>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44"/>
      <w:szCs w:val="44"/>
    </w:rPr>
  </w:style>
  <w:style w:type="paragraph" w:customStyle="1" w:styleId="385">
    <w:name w:val="默认段落字体 Para Char"/>
    <w:basedOn w:val="1"/>
    <w:autoRedefine/>
    <w:qFormat/>
    <w:uiPriority w:val="99"/>
    <w:pPr>
      <w:tabs>
        <w:tab w:val="left" w:pos="780"/>
      </w:tabs>
      <w:ind w:left="780" w:hanging="360"/>
    </w:pPr>
    <w:rPr>
      <w:rFonts w:ascii="Calibri" w:hAnsi="Calibri" w:eastAsia="宋体" w:cs="Times New Roman"/>
    </w:rPr>
  </w:style>
  <w:style w:type="paragraph" w:customStyle="1" w:styleId="386">
    <w:name w:val="ca-5"/>
    <w:basedOn w:val="1"/>
    <w:autoRedefine/>
    <w:qFormat/>
    <w:uiPriority w:val="99"/>
    <w:pPr>
      <w:widowControl/>
      <w:jc w:val="left"/>
    </w:pPr>
    <w:rPr>
      <w:rFonts w:ascii="宋体" w:hAnsi="宋体" w:eastAsia="宋体" w:cs="宋体"/>
      <w:b/>
      <w:bCs/>
      <w:color w:val="000000"/>
      <w:spacing w:val="40"/>
      <w:kern w:val="0"/>
      <w:sz w:val="48"/>
      <w:szCs w:val="48"/>
    </w:rPr>
  </w:style>
  <w:style w:type="paragraph" w:customStyle="1" w:styleId="387">
    <w:name w:val="pa-79"/>
    <w:basedOn w:val="1"/>
    <w:autoRedefine/>
    <w:qFormat/>
    <w:uiPriority w:val="99"/>
    <w:pPr>
      <w:widowControl/>
      <w:spacing w:line="360" w:lineRule="atLeast"/>
      <w:ind w:firstLine="3040"/>
      <w:jc w:val="left"/>
    </w:pPr>
    <w:rPr>
      <w:rFonts w:ascii="宋体" w:hAnsi="宋体" w:eastAsia="宋体" w:cs="宋体"/>
      <w:kern w:val="0"/>
      <w:sz w:val="24"/>
    </w:rPr>
  </w:style>
  <w:style w:type="paragraph" w:customStyle="1" w:styleId="388">
    <w:name w:val="ca-8"/>
    <w:basedOn w:val="1"/>
    <w:autoRedefine/>
    <w:qFormat/>
    <w:uiPriority w:val="99"/>
    <w:pPr>
      <w:widowControl/>
      <w:jc w:val="left"/>
    </w:pPr>
    <w:rPr>
      <w:rFonts w:ascii="宋体" w:hAnsi="宋体" w:eastAsia="宋体" w:cs="宋体"/>
      <w:color w:val="000000"/>
      <w:kern w:val="0"/>
      <w:sz w:val="28"/>
      <w:szCs w:val="28"/>
    </w:rPr>
  </w:style>
  <w:style w:type="paragraph" w:customStyle="1" w:styleId="389">
    <w:name w:val="ca-17"/>
    <w:basedOn w:val="1"/>
    <w:autoRedefine/>
    <w:qFormat/>
    <w:uiPriority w:val="99"/>
    <w:pPr>
      <w:widowControl/>
      <w:jc w:val="left"/>
    </w:pPr>
    <w:rPr>
      <w:rFonts w:ascii="Calibri" w:hAnsi="Calibri" w:eastAsia="宋体" w:cs="Times New Roman"/>
      <w:b/>
      <w:bCs/>
      <w:spacing w:val="-20"/>
      <w:kern w:val="0"/>
      <w:sz w:val="24"/>
    </w:rPr>
  </w:style>
  <w:style w:type="paragraph" w:customStyle="1" w:styleId="390">
    <w:name w:val="td-0"/>
    <w:basedOn w:val="1"/>
    <w:autoRedefine/>
    <w:qFormat/>
    <w:uiPriority w:val="99"/>
    <w:pPr>
      <w:widowControl/>
      <w:pBdr>
        <w:top w:val="single" w:color="000000" w:sz="4" w:space="0"/>
        <w:left w:val="single" w:color="000000" w:sz="4" w:space="4"/>
        <w:bottom w:val="single" w:color="000000" w:sz="4" w:space="0"/>
        <w:right w:val="single" w:color="000000" w:sz="4" w:space="0"/>
      </w:pBdr>
      <w:jc w:val="left"/>
    </w:pPr>
    <w:rPr>
      <w:rFonts w:ascii="宋体" w:hAnsi="宋体" w:eastAsia="宋体" w:cs="宋体"/>
      <w:kern w:val="0"/>
      <w:sz w:val="24"/>
    </w:rPr>
  </w:style>
  <w:style w:type="paragraph" w:customStyle="1" w:styleId="391">
    <w:name w:val="pa-51"/>
    <w:basedOn w:val="1"/>
    <w:autoRedefine/>
    <w:qFormat/>
    <w:uiPriority w:val="99"/>
    <w:pPr>
      <w:widowControl/>
      <w:spacing w:line="276" w:lineRule="atLeast"/>
      <w:jc w:val="center"/>
    </w:pPr>
    <w:rPr>
      <w:rFonts w:ascii="宋体" w:hAnsi="宋体" w:eastAsia="宋体" w:cs="宋体"/>
      <w:kern w:val="0"/>
      <w:sz w:val="24"/>
    </w:rPr>
  </w:style>
  <w:style w:type="paragraph" w:customStyle="1" w:styleId="392">
    <w:name w:val="Normal_12"/>
    <w:autoRedefine/>
    <w:qFormat/>
    <w:uiPriority w:val="99"/>
    <w:rPr>
      <w:rFonts w:ascii="黑体" w:hAnsi="黑体" w:eastAsia="黑体" w:cs="Times New Roman"/>
      <w:b/>
      <w:sz w:val="32"/>
      <w:szCs w:val="24"/>
      <w:lang w:val="en-US" w:eastAsia="zh-CN" w:bidi="ar-SA"/>
    </w:rPr>
  </w:style>
  <w:style w:type="paragraph" w:customStyle="1" w:styleId="393">
    <w:name w:val="Normal_5"/>
    <w:autoRedefine/>
    <w:qFormat/>
    <w:uiPriority w:val="99"/>
    <w:rPr>
      <w:rFonts w:ascii="黑体" w:hAnsi="黑体" w:eastAsia="黑体" w:cs="Times New Roman"/>
      <w:b/>
      <w:sz w:val="32"/>
      <w:szCs w:val="24"/>
      <w:lang w:val="en-US" w:eastAsia="zh-CN" w:bidi="ar-SA"/>
    </w:rPr>
  </w:style>
  <w:style w:type="paragraph" w:customStyle="1" w:styleId="394">
    <w:name w:val="pa-115"/>
    <w:basedOn w:val="1"/>
    <w:autoRedefine/>
    <w:qFormat/>
    <w:uiPriority w:val="99"/>
    <w:pPr>
      <w:widowControl/>
      <w:spacing w:line="480" w:lineRule="atLeast"/>
    </w:pPr>
    <w:rPr>
      <w:rFonts w:ascii="宋体" w:hAnsi="宋体" w:eastAsia="宋体" w:cs="宋体"/>
      <w:kern w:val="0"/>
      <w:sz w:val="24"/>
    </w:rPr>
  </w:style>
  <w:style w:type="paragraph" w:customStyle="1" w:styleId="395">
    <w:name w:val="ca-18"/>
    <w:basedOn w:val="1"/>
    <w:autoRedefine/>
    <w:qFormat/>
    <w:uiPriority w:val="99"/>
    <w:pPr>
      <w:widowControl/>
      <w:jc w:val="left"/>
    </w:pPr>
    <w:rPr>
      <w:rFonts w:ascii="宋体" w:hAnsi="宋体" w:eastAsia="宋体" w:cs="宋体"/>
      <w:color w:val="000000"/>
      <w:kern w:val="0"/>
      <w:sz w:val="18"/>
      <w:szCs w:val="18"/>
    </w:rPr>
  </w:style>
  <w:style w:type="paragraph" w:customStyle="1" w:styleId="396">
    <w:name w:val="Para---"/>
    <w:autoRedefine/>
    <w:qFormat/>
    <w:uiPriority w:val="99"/>
    <w:pPr>
      <w:keepNext/>
      <w:tabs>
        <w:tab w:val="left" w:pos="2160"/>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2160" w:hanging="360"/>
    </w:pPr>
    <w:rPr>
      <w:rFonts w:ascii="Arial" w:hAnsi="Arial" w:eastAsia="宋体" w:cs="Times New Roman"/>
      <w:lang w:val="en-US" w:eastAsia="en-US" w:bidi="ar-SA"/>
    </w:rPr>
  </w:style>
  <w:style w:type="paragraph" w:customStyle="1" w:styleId="397">
    <w:name w:val="xl41"/>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398">
    <w:name w:val="pa-77"/>
    <w:basedOn w:val="1"/>
    <w:autoRedefine/>
    <w:qFormat/>
    <w:uiPriority w:val="99"/>
    <w:pPr>
      <w:widowControl/>
      <w:spacing w:line="360" w:lineRule="atLeast"/>
    </w:pPr>
    <w:rPr>
      <w:rFonts w:ascii="宋体" w:hAnsi="宋体" w:eastAsia="宋体" w:cs="宋体"/>
      <w:kern w:val="0"/>
      <w:sz w:val="24"/>
    </w:rPr>
  </w:style>
  <w:style w:type="paragraph" w:customStyle="1" w:styleId="399">
    <w:name w:val="td-8"/>
    <w:basedOn w:val="1"/>
    <w:autoRedefine/>
    <w:qFormat/>
    <w:uiPriority w:val="99"/>
    <w:pPr>
      <w:widowControl/>
      <w:pBdr>
        <w:top w:val="single" w:color="000000" w:sz="4" w:space="0"/>
        <w:left w:val="single" w:color="000000" w:sz="4" w:space="4"/>
        <w:bottom w:val="single" w:color="000000" w:sz="4" w:space="0"/>
        <w:right w:val="single" w:color="000000" w:sz="12" w:space="0"/>
      </w:pBdr>
      <w:jc w:val="left"/>
    </w:pPr>
    <w:rPr>
      <w:rFonts w:ascii="宋体" w:hAnsi="宋体" w:eastAsia="宋体" w:cs="宋体"/>
      <w:kern w:val="0"/>
      <w:sz w:val="24"/>
    </w:rPr>
  </w:style>
  <w:style w:type="paragraph" w:customStyle="1" w:styleId="400">
    <w:name w:val="表格"/>
    <w:basedOn w:val="1"/>
    <w:autoRedefine/>
    <w:qFormat/>
    <w:uiPriority w:val="99"/>
    <w:pPr>
      <w:jc w:val="center"/>
    </w:pPr>
    <w:rPr>
      <w:rFonts w:ascii="华文细黑" w:hAnsi="华文细黑" w:eastAsia="宋体" w:cs="Times New Roman"/>
      <w:kern w:val="0"/>
      <w:szCs w:val="20"/>
    </w:rPr>
  </w:style>
  <w:style w:type="paragraph" w:customStyle="1" w:styleId="401">
    <w:name w:val="Divn"/>
    <w:autoRedefine/>
    <w:qFormat/>
    <w:uiPriority w:val="99"/>
    <w:pPr>
      <w:spacing w:line="360" w:lineRule="auto"/>
    </w:pPr>
    <w:rPr>
      <w:rFonts w:ascii="Arial" w:hAnsi="Arial" w:eastAsia="宋体" w:cs="Arial"/>
      <w:b/>
      <w:caps/>
      <w:u w:val="single"/>
      <w:lang w:val="en-US" w:eastAsia="zh-CN" w:bidi="ar-SA"/>
    </w:rPr>
  </w:style>
  <w:style w:type="paragraph" w:customStyle="1" w:styleId="402">
    <w:name w:val="Para-"/>
    <w:autoRedefine/>
    <w:qFormat/>
    <w:uiPriority w:val="99"/>
    <w:pPr>
      <w:keepNext/>
      <w:tabs>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pPr>
    <w:rPr>
      <w:rFonts w:ascii="Arial" w:hAnsi="Arial" w:eastAsia="宋体" w:cs="Times New Roman"/>
      <w:lang w:val="en-US" w:eastAsia="en-US" w:bidi="ar-SA"/>
    </w:rPr>
  </w:style>
  <w:style w:type="paragraph" w:customStyle="1" w:styleId="403">
    <w:name w:val="Para--"/>
    <w:autoRedefine/>
    <w:qFormat/>
    <w:uiPriority w:val="99"/>
    <w:pPr>
      <w:keepNext/>
      <w:tabs>
        <w:tab w:val="left" w:pos="1440"/>
        <w:tab w:val="left" w:pos="1728"/>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1440" w:hanging="360"/>
    </w:pPr>
    <w:rPr>
      <w:rFonts w:ascii="Arial" w:hAnsi="Arial" w:eastAsia="宋体" w:cs="Times New Roman"/>
      <w:lang w:val="en-US" w:eastAsia="en-US" w:bidi="ar-SA"/>
    </w:rPr>
  </w:style>
  <w:style w:type="paragraph" w:customStyle="1" w:styleId="404">
    <w:name w:val="ca-38"/>
    <w:basedOn w:val="1"/>
    <w:autoRedefine/>
    <w:qFormat/>
    <w:uiPriority w:val="99"/>
    <w:pPr>
      <w:widowControl/>
      <w:jc w:val="left"/>
    </w:pPr>
    <w:rPr>
      <w:rFonts w:ascii="Calibri" w:hAnsi="Calibri" w:eastAsia="宋体" w:cs="Times New Roman"/>
      <w:b/>
      <w:bCs/>
      <w:spacing w:val="-20"/>
      <w:kern w:val="0"/>
      <w:szCs w:val="21"/>
    </w:rPr>
  </w:style>
  <w:style w:type="paragraph" w:customStyle="1" w:styleId="405">
    <w:name w:val="pa-68"/>
    <w:basedOn w:val="1"/>
    <w:autoRedefine/>
    <w:qFormat/>
    <w:uiPriority w:val="99"/>
    <w:pPr>
      <w:widowControl/>
      <w:spacing w:line="240" w:lineRule="atLeast"/>
      <w:ind w:firstLine="520"/>
    </w:pPr>
    <w:rPr>
      <w:rFonts w:ascii="宋体" w:hAnsi="宋体" w:eastAsia="宋体" w:cs="宋体"/>
      <w:kern w:val="0"/>
      <w:sz w:val="24"/>
    </w:rPr>
  </w:style>
  <w:style w:type="paragraph" w:customStyle="1" w:styleId="406">
    <w:name w:val="pa-121"/>
    <w:basedOn w:val="1"/>
    <w:autoRedefine/>
    <w:qFormat/>
    <w:uiPriority w:val="99"/>
    <w:pPr>
      <w:widowControl/>
      <w:spacing w:line="360" w:lineRule="atLeast"/>
      <w:jc w:val="center"/>
    </w:pPr>
    <w:rPr>
      <w:rFonts w:ascii="宋体" w:hAnsi="宋体" w:eastAsia="宋体" w:cs="宋体"/>
      <w:kern w:val="0"/>
      <w:sz w:val="24"/>
    </w:rPr>
  </w:style>
  <w:style w:type="paragraph" w:customStyle="1" w:styleId="407">
    <w:name w:val="xl25"/>
    <w:basedOn w:val="1"/>
    <w:autoRedefine/>
    <w:qFormat/>
    <w:uiPriority w:val="99"/>
    <w:pPr>
      <w:widowControl/>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408">
    <w:name w:val="表格文字"/>
    <w:basedOn w:val="1"/>
    <w:next w:val="2"/>
    <w:autoRedefine/>
    <w:qFormat/>
    <w:uiPriority w:val="99"/>
    <w:pPr>
      <w:adjustRightInd w:val="0"/>
      <w:spacing w:line="420" w:lineRule="atLeast"/>
      <w:jc w:val="left"/>
    </w:pPr>
    <w:rPr>
      <w:rFonts w:ascii="Calibri" w:hAnsi="Calibri" w:eastAsia="宋体" w:cs="Times New Roman"/>
      <w:kern w:val="0"/>
      <w:szCs w:val="20"/>
    </w:rPr>
  </w:style>
  <w:style w:type="paragraph" w:customStyle="1" w:styleId="409">
    <w:name w:val="ca-37"/>
    <w:basedOn w:val="1"/>
    <w:autoRedefine/>
    <w:qFormat/>
    <w:uiPriority w:val="99"/>
    <w:pPr>
      <w:widowControl/>
      <w:jc w:val="left"/>
    </w:pPr>
    <w:rPr>
      <w:rFonts w:ascii="宋体" w:hAnsi="宋体" w:eastAsia="宋体" w:cs="宋体"/>
      <w:color w:val="000000"/>
      <w:kern w:val="0"/>
      <w:szCs w:val="21"/>
    </w:rPr>
  </w:style>
  <w:style w:type="paragraph" w:customStyle="1" w:styleId="410">
    <w:name w:val="ca-26"/>
    <w:basedOn w:val="1"/>
    <w:autoRedefine/>
    <w:qFormat/>
    <w:uiPriority w:val="99"/>
    <w:pPr>
      <w:widowControl/>
      <w:jc w:val="left"/>
    </w:pPr>
    <w:rPr>
      <w:rFonts w:ascii="宋体" w:hAnsi="宋体" w:eastAsia="宋体" w:cs="宋体"/>
      <w:color w:val="002060"/>
      <w:kern w:val="0"/>
      <w:szCs w:val="21"/>
    </w:rPr>
  </w:style>
  <w:style w:type="paragraph" w:customStyle="1" w:styleId="411">
    <w:name w:val="pa-54"/>
    <w:basedOn w:val="1"/>
    <w:autoRedefine/>
    <w:qFormat/>
    <w:uiPriority w:val="99"/>
    <w:pPr>
      <w:widowControl/>
      <w:spacing w:line="280" w:lineRule="atLeast"/>
      <w:jc w:val="left"/>
    </w:pPr>
    <w:rPr>
      <w:rFonts w:ascii="宋体" w:hAnsi="宋体" w:eastAsia="宋体" w:cs="宋体"/>
      <w:kern w:val="0"/>
      <w:sz w:val="24"/>
    </w:rPr>
  </w:style>
  <w:style w:type="paragraph" w:customStyle="1" w:styleId="412">
    <w:name w:val="样式 正文缩进正文（首行缩进两字）特点ALT+Z表正文正文非缩进四号段1Normal Indent Char2...4"/>
    <w:basedOn w:val="22"/>
    <w:autoRedefine/>
    <w:qFormat/>
    <w:uiPriority w:val="99"/>
    <w:pPr>
      <w:spacing w:line="240" w:lineRule="auto"/>
      <w:ind w:firstLine="570"/>
    </w:pPr>
    <w:rPr>
      <w:rFonts w:ascii="Times New Roman" w:hAnsi="Times New Roman"/>
      <w:spacing w:val="0"/>
      <w:sz w:val="28"/>
    </w:rPr>
  </w:style>
  <w:style w:type="paragraph" w:customStyle="1" w:styleId="413">
    <w:name w:val="xl32"/>
    <w:basedOn w:val="1"/>
    <w:autoRedefine/>
    <w:qFormat/>
    <w:uiPriority w:val="99"/>
    <w:pPr>
      <w:widowControl/>
      <w:pBdr>
        <w:top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14">
    <w:name w:val="pa-7"/>
    <w:basedOn w:val="1"/>
    <w:autoRedefine/>
    <w:qFormat/>
    <w:uiPriority w:val="99"/>
    <w:pPr>
      <w:widowControl/>
      <w:spacing w:line="400" w:lineRule="atLeast"/>
    </w:pPr>
    <w:rPr>
      <w:rFonts w:ascii="宋体" w:hAnsi="宋体" w:eastAsia="宋体" w:cs="宋体"/>
      <w:kern w:val="0"/>
      <w:sz w:val="24"/>
    </w:rPr>
  </w:style>
  <w:style w:type="paragraph" w:customStyle="1" w:styleId="415">
    <w:name w:val="Text---"/>
    <w:autoRedefine/>
    <w:qFormat/>
    <w:uiPriority w:val="99"/>
    <w:pPr>
      <w:keepNext/>
      <w:tabs>
        <w:tab w:val="left" w:pos="2304"/>
        <w:tab w:val="left" w:pos="2880"/>
        <w:tab w:val="left" w:pos="3456"/>
        <w:tab w:val="left" w:pos="4032"/>
        <w:tab w:val="left" w:pos="4608"/>
        <w:tab w:val="left" w:pos="5184"/>
        <w:tab w:val="left" w:pos="5760"/>
        <w:tab w:val="left" w:pos="6336"/>
        <w:tab w:val="left" w:pos="6912"/>
        <w:tab w:val="left" w:pos="7488"/>
        <w:tab w:val="left" w:pos="8064"/>
        <w:tab w:val="right" w:pos="8784"/>
      </w:tabs>
      <w:autoSpaceDE w:val="0"/>
      <w:autoSpaceDN w:val="0"/>
      <w:adjustRightInd w:val="0"/>
      <w:spacing w:before="100" w:beforeAutospacing="1" w:line="360" w:lineRule="auto"/>
      <w:ind w:left="1728"/>
    </w:pPr>
    <w:rPr>
      <w:rFonts w:ascii="Arial" w:hAnsi="Arial" w:eastAsia="宋体" w:cs="Times New Roman"/>
      <w:lang w:val="en-US" w:eastAsia="en-US" w:bidi="ar-SA"/>
    </w:rPr>
  </w:style>
  <w:style w:type="paragraph" w:customStyle="1" w:styleId="416">
    <w:name w:val="ca-32"/>
    <w:basedOn w:val="1"/>
    <w:autoRedefine/>
    <w:qFormat/>
    <w:uiPriority w:val="99"/>
    <w:pPr>
      <w:widowControl/>
      <w:jc w:val="left"/>
    </w:pPr>
    <w:rPr>
      <w:rFonts w:ascii="宋体" w:hAnsi="宋体" w:eastAsia="宋体" w:cs="宋体"/>
      <w:b/>
      <w:bCs/>
      <w:color w:val="C00000"/>
      <w:spacing w:val="-20"/>
      <w:kern w:val="0"/>
      <w:szCs w:val="21"/>
    </w:rPr>
  </w:style>
  <w:style w:type="paragraph" w:customStyle="1" w:styleId="417">
    <w:name w:val="pa-39"/>
    <w:basedOn w:val="1"/>
    <w:autoRedefine/>
    <w:qFormat/>
    <w:uiPriority w:val="99"/>
    <w:pPr>
      <w:widowControl/>
      <w:spacing w:line="360" w:lineRule="atLeast"/>
      <w:jc w:val="center"/>
    </w:pPr>
    <w:rPr>
      <w:rFonts w:ascii="宋体" w:hAnsi="宋体" w:eastAsia="宋体" w:cs="宋体"/>
      <w:kern w:val="0"/>
      <w:sz w:val="24"/>
    </w:rPr>
  </w:style>
  <w:style w:type="paragraph" w:customStyle="1" w:styleId="418">
    <w:name w:val="标准文本"/>
    <w:basedOn w:val="1"/>
    <w:next w:val="1"/>
    <w:autoRedefine/>
    <w:qFormat/>
    <w:uiPriority w:val="99"/>
    <w:pPr>
      <w:spacing w:line="360" w:lineRule="auto"/>
      <w:ind w:firstLine="480"/>
    </w:pPr>
    <w:rPr>
      <w:rFonts w:ascii="Arial" w:hAnsi="Times New Roman" w:eastAsia="宋体" w:cs="Times New Roman"/>
      <w:kern w:val="0"/>
      <w:sz w:val="24"/>
      <w:szCs w:val="20"/>
    </w:rPr>
  </w:style>
  <w:style w:type="paragraph" w:customStyle="1" w:styleId="419">
    <w:name w:val="ca-10"/>
    <w:basedOn w:val="1"/>
    <w:autoRedefine/>
    <w:qFormat/>
    <w:uiPriority w:val="99"/>
    <w:pPr>
      <w:widowControl/>
      <w:jc w:val="left"/>
    </w:pPr>
    <w:rPr>
      <w:rFonts w:ascii="Calibri" w:hAnsi="Calibri" w:eastAsia="宋体" w:cs="Times New Roman"/>
      <w:color w:val="000000"/>
      <w:kern w:val="0"/>
      <w:sz w:val="52"/>
      <w:szCs w:val="52"/>
    </w:rPr>
  </w:style>
  <w:style w:type="paragraph" w:customStyle="1" w:styleId="420">
    <w:name w:val="标题C"/>
    <w:basedOn w:val="5"/>
    <w:autoRedefine/>
    <w:qFormat/>
    <w:uiPriority w:val="99"/>
    <w:pPr>
      <w:adjustRightInd w:val="0"/>
      <w:spacing w:before="100" w:beforeAutospacing="1" w:after="100" w:afterAutospacing="1" w:line="240" w:lineRule="auto"/>
      <w:jc w:val="center"/>
    </w:pPr>
    <w:rPr>
      <w:sz w:val="24"/>
      <w:szCs w:val="24"/>
    </w:rPr>
  </w:style>
  <w:style w:type="paragraph" w:customStyle="1" w:styleId="421">
    <w:name w:val="pa-55"/>
    <w:basedOn w:val="1"/>
    <w:autoRedefine/>
    <w:qFormat/>
    <w:uiPriority w:val="99"/>
    <w:pPr>
      <w:widowControl/>
      <w:spacing w:line="300" w:lineRule="atLeast"/>
      <w:ind w:firstLine="480"/>
      <w:jc w:val="center"/>
    </w:pPr>
    <w:rPr>
      <w:rFonts w:ascii="宋体" w:hAnsi="宋体" w:eastAsia="宋体" w:cs="宋体"/>
      <w:kern w:val="0"/>
      <w:sz w:val="24"/>
    </w:rPr>
  </w:style>
  <w:style w:type="paragraph" w:customStyle="1" w:styleId="422">
    <w:name w:val="正文_1_0_0"/>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423">
    <w:name w:val="简单回函地址"/>
    <w:basedOn w:val="1"/>
    <w:autoRedefine/>
    <w:qFormat/>
    <w:uiPriority w:val="99"/>
    <w:pPr>
      <w:adjustRightInd w:val="0"/>
      <w:spacing w:line="312" w:lineRule="atLeast"/>
    </w:pPr>
    <w:rPr>
      <w:rFonts w:ascii="Times New Roman" w:hAnsi="Times New Roman" w:eastAsia="宋体" w:cs="Times New Roman"/>
      <w:kern w:val="0"/>
      <w:szCs w:val="20"/>
    </w:rPr>
  </w:style>
  <w:style w:type="paragraph" w:customStyle="1" w:styleId="424">
    <w:name w:val="pa-25"/>
    <w:basedOn w:val="1"/>
    <w:autoRedefine/>
    <w:qFormat/>
    <w:uiPriority w:val="99"/>
    <w:pPr>
      <w:widowControl/>
      <w:spacing w:line="360" w:lineRule="atLeast"/>
      <w:ind w:firstLine="480"/>
      <w:jc w:val="center"/>
    </w:pPr>
    <w:rPr>
      <w:rFonts w:ascii="宋体" w:hAnsi="宋体" w:eastAsia="宋体" w:cs="宋体"/>
      <w:kern w:val="0"/>
      <w:sz w:val="24"/>
    </w:rPr>
  </w:style>
  <w:style w:type="paragraph" w:customStyle="1" w:styleId="425">
    <w:name w:val="ca-12"/>
    <w:basedOn w:val="1"/>
    <w:autoRedefine/>
    <w:qFormat/>
    <w:uiPriority w:val="99"/>
    <w:pPr>
      <w:widowControl/>
      <w:jc w:val="left"/>
    </w:pPr>
    <w:rPr>
      <w:rFonts w:ascii="Calibri" w:hAnsi="Calibri" w:eastAsia="宋体" w:cs="Times New Roman"/>
      <w:color w:val="000000"/>
      <w:kern w:val="0"/>
      <w:sz w:val="32"/>
      <w:szCs w:val="32"/>
    </w:rPr>
  </w:style>
  <w:style w:type="paragraph" w:customStyle="1" w:styleId="426">
    <w:name w:val="pa-38"/>
    <w:basedOn w:val="1"/>
    <w:autoRedefine/>
    <w:qFormat/>
    <w:uiPriority w:val="99"/>
    <w:pPr>
      <w:widowControl/>
      <w:spacing w:line="360" w:lineRule="atLeast"/>
      <w:ind w:firstLine="520"/>
    </w:pPr>
    <w:rPr>
      <w:rFonts w:ascii="宋体" w:hAnsi="宋体" w:eastAsia="宋体" w:cs="宋体"/>
      <w:kern w:val="0"/>
      <w:sz w:val="24"/>
    </w:rPr>
  </w:style>
  <w:style w:type="paragraph" w:customStyle="1" w:styleId="427">
    <w:name w:val="Normal_20"/>
    <w:autoRedefine/>
    <w:qFormat/>
    <w:uiPriority w:val="99"/>
    <w:rPr>
      <w:rFonts w:ascii="黑体" w:hAnsi="黑体" w:eastAsia="黑体" w:cs="Times New Roman"/>
      <w:b/>
      <w:sz w:val="32"/>
      <w:szCs w:val="24"/>
      <w:lang w:val="en-US" w:eastAsia="zh-CN" w:bidi="ar-SA"/>
    </w:rPr>
  </w:style>
  <w:style w:type="paragraph" w:customStyle="1" w:styleId="428">
    <w:name w:val="pa-50"/>
    <w:basedOn w:val="1"/>
    <w:autoRedefine/>
    <w:qFormat/>
    <w:uiPriority w:val="99"/>
    <w:pPr>
      <w:widowControl/>
      <w:spacing w:line="280" w:lineRule="atLeast"/>
      <w:ind w:hanging="200"/>
      <w:jc w:val="center"/>
    </w:pPr>
    <w:rPr>
      <w:rFonts w:ascii="宋体" w:hAnsi="宋体" w:eastAsia="宋体" w:cs="宋体"/>
      <w:kern w:val="0"/>
      <w:sz w:val="24"/>
    </w:rPr>
  </w:style>
  <w:style w:type="paragraph" w:customStyle="1" w:styleId="429">
    <w:name w:val="Char Char1 Char Char Char Char Char Char Char Char Char Char"/>
    <w:basedOn w:val="1"/>
    <w:next w:val="1"/>
    <w:autoRedefine/>
    <w:qFormat/>
    <w:uiPriority w:val="99"/>
    <w:rPr>
      <w:rFonts w:ascii="Times New Roman" w:hAnsi="Times New Roman" w:eastAsia="宋体" w:cs="Times New Roman"/>
      <w:kern w:val="0"/>
      <w:szCs w:val="20"/>
    </w:rPr>
  </w:style>
  <w:style w:type="paragraph" w:customStyle="1" w:styleId="430">
    <w:name w:val="pa-133"/>
    <w:basedOn w:val="1"/>
    <w:autoRedefine/>
    <w:qFormat/>
    <w:uiPriority w:val="99"/>
    <w:pPr>
      <w:widowControl/>
      <w:spacing w:line="280" w:lineRule="atLeast"/>
      <w:jc w:val="left"/>
    </w:pPr>
    <w:rPr>
      <w:rFonts w:ascii="宋体" w:hAnsi="宋体" w:eastAsia="宋体" w:cs="宋体"/>
      <w:kern w:val="0"/>
      <w:sz w:val="24"/>
    </w:rPr>
  </w:style>
  <w:style w:type="paragraph" w:customStyle="1" w:styleId="431">
    <w:name w:val="xl33"/>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432">
    <w:name w:val="pa-22"/>
    <w:basedOn w:val="1"/>
    <w:autoRedefine/>
    <w:qFormat/>
    <w:uiPriority w:val="99"/>
    <w:pPr>
      <w:widowControl/>
      <w:spacing w:line="280" w:lineRule="atLeast"/>
      <w:ind w:firstLine="480"/>
    </w:pPr>
    <w:rPr>
      <w:rFonts w:ascii="宋体" w:hAnsi="宋体" w:eastAsia="宋体" w:cs="宋体"/>
      <w:kern w:val="0"/>
      <w:sz w:val="24"/>
    </w:rPr>
  </w:style>
  <w:style w:type="paragraph" w:customStyle="1" w:styleId="433">
    <w:name w:val="ca-7"/>
    <w:basedOn w:val="1"/>
    <w:autoRedefine/>
    <w:qFormat/>
    <w:uiPriority w:val="99"/>
    <w:pPr>
      <w:widowControl/>
      <w:jc w:val="left"/>
    </w:pPr>
    <w:rPr>
      <w:rFonts w:ascii="Calibri" w:hAnsi="Calibri" w:eastAsia="宋体" w:cs="Times New Roman"/>
      <w:color w:val="000000"/>
      <w:kern w:val="0"/>
      <w:sz w:val="28"/>
      <w:szCs w:val="28"/>
    </w:rPr>
  </w:style>
  <w:style w:type="paragraph" w:customStyle="1" w:styleId="434">
    <w:name w:val="ARTICLE"/>
    <w:autoRedefine/>
    <w:qFormat/>
    <w:uiPriority w:val="99"/>
    <w:pPr>
      <w:keepNext/>
      <w:keepLines/>
      <w:spacing w:before="100" w:beforeAutospacing="1" w:after="100" w:afterAutospacing="1" w:line="360" w:lineRule="auto"/>
    </w:pPr>
    <w:rPr>
      <w:rFonts w:ascii="Arial" w:hAnsi="Arial" w:eastAsia="宋体" w:cs="Arial"/>
      <w:caps/>
      <w:u w:val="single"/>
      <w:lang w:val="en-US" w:eastAsia="en-US" w:bidi="ar-SA"/>
    </w:rPr>
  </w:style>
  <w:style w:type="paragraph" w:customStyle="1" w:styleId="435">
    <w:name w:val="pa-110"/>
    <w:basedOn w:val="1"/>
    <w:autoRedefine/>
    <w:qFormat/>
    <w:uiPriority w:val="99"/>
    <w:pPr>
      <w:widowControl/>
      <w:spacing w:line="360" w:lineRule="atLeast"/>
      <w:jc w:val="center"/>
    </w:pPr>
    <w:rPr>
      <w:rFonts w:ascii="宋体" w:hAnsi="宋体" w:eastAsia="宋体" w:cs="宋体"/>
      <w:kern w:val="0"/>
      <w:sz w:val="24"/>
    </w:rPr>
  </w:style>
  <w:style w:type="paragraph" w:customStyle="1" w:styleId="436">
    <w:name w:val="xl39"/>
    <w:basedOn w:val="1"/>
    <w:autoRedefine/>
    <w:qFormat/>
    <w:uiPriority w:val="99"/>
    <w:pPr>
      <w:widowControl/>
      <w:pBdr>
        <w:left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437">
    <w:name w:val="3"/>
    <w:basedOn w:val="1"/>
    <w:next w:val="1"/>
    <w:autoRedefine/>
    <w:qFormat/>
    <w:uiPriority w:val="99"/>
    <w:pPr>
      <w:spacing w:line="312" w:lineRule="atLeast"/>
      <w:ind w:left="1134" w:hanging="566"/>
    </w:pPr>
    <w:rPr>
      <w:rFonts w:ascii="昆仑楷体" w:hAnsi="Times New Roman" w:eastAsia="昆仑楷体" w:cs="Times New Roman"/>
      <w:kern w:val="0"/>
      <w:sz w:val="24"/>
      <w:szCs w:val="20"/>
    </w:rPr>
  </w:style>
  <w:style w:type="paragraph" w:customStyle="1" w:styleId="438">
    <w:name w:val="pa-103"/>
    <w:basedOn w:val="1"/>
    <w:autoRedefine/>
    <w:qFormat/>
    <w:uiPriority w:val="99"/>
    <w:pPr>
      <w:widowControl/>
      <w:spacing w:line="480" w:lineRule="atLeast"/>
      <w:ind w:firstLine="500"/>
      <w:jc w:val="left"/>
    </w:pPr>
    <w:rPr>
      <w:rFonts w:ascii="宋体" w:hAnsi="宋体" w:eastAsia="宋体" w:cs="宋体"/>
      <w:kern w:val="0"/>
      <w:sz w:val="24"/>
    </w:rPr>
  </w:style>
  <w:style w:type="paragraph" w:customStyle="1" w:styleId="439">
    <w:name w:val="xl68"/>
    <w:basedOn w:val="1"/>
    <w:autoRedefine/>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40">
    <w:name w:val="flNote"/>
    <w:basedOn w:val="1"/>
    <w:autoRedefine/>
    <w:qFormat/>
    <w:uiPriority w:val="99"/>
    <w:pPr>
      <w:adjustRightInd w:val="0"/>
      <w:spacing w:before="320" w:after="160" w:line="360" w:lineRule="atLeast"/>
      <w:jc w:val="center"/>
    </w:pPr>
    <w:rPr>
      <w:rFonts w:ascii="Arial" w:hAnsi="Times New Roman" w:eastAsia="黑体" w:cs="Times New Roman"/>
      <w:kern w:val="0"/>
      <w:sz w:val="30"/>
      <w:szCs w:val="20"/>
    </w:rPr>
  </w:style>
  <w:style w:type="paragraph" w:customStyle="1" w:styleId="441">
    <w:name w:val="正文_7"/>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42">
    <w:name w:val="Char Char Char"/>
    <w:basedOn w:val="1"/>
    <w:autoRedefine/>
    <w:qFormat/>
    <w:uiPriority w:val="99"/>
    <w:rPr>
      <w:rFonts w:ascii="Calibri" w:hAnsi="Calibri" w:eastAsia="宋体" w:cs="Times New Roman"/>
    </w:rPr>
  </w:style>
  <w:style w:type="paragraph" w:customStyle="1" w:styleId="443">
    <w:name w:val="pa-72"/>
    <w:basedOn w:val="1"/>
    <w:autoRedefine/>
    <w:qFormat/>
    <w:uiPriority w:val="99"/>
    <w:pPr>
      <w:widowControl/>
      <w:spacing w:line="240" w:lineRule="atLeast"/>
      <w:ind w:firstLine="560"/>
    </w:pPr>
    <w:rPr>
      <w:rFonts w:ascii="宋体" w:hAnsi="宋体" w:eastAsia="宋体" w:cs="宋体"/>
      <w:kern w:val="0"/>
      <w:sz w:val="24"/>
    </w:rPr>
  </w:style>
  <w:style w:type="paragraph" w:customStyle="1" w:styleId="444">
    <w:name w:val="pa-117"/>
    <w:basedOn w:val="1"/>
    <w:autoRedefine/>
    <w:qFormat/>
    <w:uiPriority w:val="99"/>
    <w:pPr>
      <w:widowControl/>
      <w:spacing w:line="360" w:lineRule="atLeast"/>
      <w:ind w:firstLine="3840"/>
    </w:pPr>
    <w:rPr>
      <w:rFonts w:ascii="宋体" w:hAnsi="宋体" w:eastAsia="宋体" w:cs="宋体"/>
      <w:kern w:val="0"/>
      <w:sz w:val="24"/>
    </w:rPr>
  </w:style>
  <w:style w:type="paragraph" w:customStyle="1" w:styleId="445">
    <w:name w:val="-PART-"/>
    <w:autoRedefine/>
    <w:qFormat/>
    <w:uiPriority w:val="99"/>
    <w:pPr>
      <w:keepNext/>
      <w:keepLines/>
      <w:spacing w:before="100" w:beforeAutospacing="1" w:after="100" w:afterAutospacing="1" w:line="360" w:lineRule="auto"/>
    </w:pPr>
    <w:rPr>
      <w:rFonts w:ascii="Arial" w:hAnsi="Arial" w:eastAsia="宋体" w:cs="Arial"/>
      <w:b/>
      <w:bCs/>
      <w:caps/>
      <w:sz w:val="24"/>
      <w:lang w:val="en-US" w:eastAsia="en-US" w:bidi="ar-SA"/>
    </w:rPr>
  </w:style>
  <w:style w:type="paragraph" w:customStyle="1" w:styleId="446">
    <w:name w:val="修订111"/>
    <w:autoRedefine/>
    <w:qFormat/>
    <w:uiPriority w:val="99"/>
    <w:rPr>
      <w:rFonts w:ascii="Times New Roman" w:hAnsi="Times New Roman" w:eastAsia="宋体" w:cs="Times New Roman"/>
      <w:kern w:val="2"/>
      <w:sz w:val="21"/>
      <w:szCs w:val="24"/>
      <w:lang w:val="en-US" w:eastAsia="zh-CN" w:bidi="ar-SA"/>
    </w:rPr>
  </w:style>
  <w:style w:type="paragraph" w:customStyle="1" w:styleId="447">
    <w:name w:val="pa-69"/>
    <w:basedOn w:val="1"/>
    <w:autoRedefine/>
    <w:qFormat/>
    <w:uiPriority w:val="99"/>
    <w:pPr>
      <w:widowControl/>
      <w:spacing w:line="240" w:lineRule="atLeast"/>
      <w:ind w:firstLine="1140"/>
    </w:pPr>
    <w:rPr>
      <w:rFonts w:ascii="宋体" w:hAnsi="宋体" w:eastAsia="宋体" w:cs="宋体"/>
      <w:kern w:val="0"/>
      <w:sz w:val="24"/>
    </w:rPr>
  </w:style>
  <w:style w:type="paragraph" w:customStyle="1" w:styleId="448">
    <w:name w:val="纯文本1"/>
    <w:basedOn w:val="212"/>
    <w:autoRedefine/>
    <w:qFormat/>
    <w:uiPriority w:val="99"/>
    <w:pPr>
      <w:widowControl/>
      <w:jc w:val="left"/>
    </w:pPr>
    <w:rPr>
      <w:rFonts w:ascii="宋体" w:hAnsi="Courier New"/>
    </w:rPr>
  </w:style>
  <w:style w:type="paragraph" w:customStyle="1" w:styleId="449">
    <w:name w:val="pa-6"/>
    <w:basedOn w:val="1"/>
    <w:autoRedefine/>
    <w:qFormat/>
    <w:uiPriority w:val="99"/>
    <w:pPr>
      <w:widowControl/>
      <w:spacing w:line="560" w:lineRule="atLeast"/>
    </w:pPr>
    <w:rPr>
      <w:rFonts w:ascii="宋体" w:hAnsi="宋体" w:eastAsia="宋体" w:cs="宋体"/>
      <w:kern w:val="0"/>
      <w:sz w:val="24"/>
    </w:rPr>
  </w:style>
  <w:style w:type="paragraph" w:customStyle="1" w:styleId="450">
    <w:name w:val="pa-46"/>
    <w:basedOn w:val="1"/>
    <w:autoRedefine/>
    <w:qFormat/>
    <w:uiPriority w:val="99"/>
    <w:pPr>
      <w:widowControl/>
      <w:spacing w:line="280" w:lineRule="atLeast"/>
      <w:ind w:firstLine="420"/>
      <w:jc w:val="left"/>
    </w:pPr>
    <w:rPr>
      <w:rFonts w:ascii="宋体" w:hAnsi="宋体" w:eastAsia="宋体" w:cs="宋体"/>
      <w:kern w:val="0"/>
      <w:sz w:val="24"/>
    </w:rPr>
  </w:style>
  <w:style w:type="paragraph" w:customStyle="1" w:styleId="451">
    <w:name w:val="样式 正文（首行缩进两字） + 首行缩进:  2 字符"/>
    <w:basedOn w:val="15"/>
    <w:autoRedefine/>
    <w:qFormat/>
    <w:uiPriority w:val="99"/>
    <w:pPr>
      <w:spacing w:line="460" w:lineRule="exact"/>
      <w:ind w:firstLine="536" w:firstLineChars="200"/>
    </w:pPr>
    <w:rPr>
      <w:rFonts w:ascii="Calibri" w:hAnsi="Calibri"/>
      <w:spacing w:val="6"/>
      <w:kern w:val="24"/>
      <w:sz w:val="24"/>
    </w:rPr>
  </w:style>
  <w:style w:type="paragraph" w:customStyle="1" w:styleId="452">
    <w:name w:val="pa-134"/>
    <w:basedOn w:val="1"/>
    <w:autoRedefine/>
    <w:qFormat/>
    <w:uiPriority w:val="99"/>
    <w:pPr>
      <w:widowControl/>
      <w:spacing w:line="360" w:lineRule="atLeast"/>
    </w:pPr>
    <w:rPr>
      <w:rFonts w:ascii="宋体" w:hAnsi="宋体" w:eastAsia="宋体" w:cs="宋体"/>
      <w:kern w:val="0"/>
      <w:sz w:val="24"/>
    </w:rPr>
  </w:style>
  <w:style w:type="paragraph" w:customStyle="1" w:styleId="453">
    <w:name w:val="ca-22"/>
    <w:basedOn w:val="1"/>
    <w:autoRedefine/>
    <w:qFormat/>
    <w:uiPriority w:val="99"/>
    <w:pPr>
      <w:widowControl/>
      <w:jc w:val="left"/>
    </w:pPr>
    <w:rPr>
      <w:rFonts w:ascii="宋体" w:hAnsi="宋体" w:eastAsia="宋体" w:cs="宋体"/>
      <w:kern w:val="0"/>
      <w:szCs w:val="21"/>
    </w:rPr>
  </w:style>
  <w:style w:type="paragraph" w:customStyle="1" w:styleId="454">
    <w:name w:val="表格格式"/>
    <w:basedOn w:val="1"/>
    <w:autoRedefine/>
    <w:qFormat/>
    <w:uiPriority w:val="99"/>
    <w:pPr>
      <w:spacing w:line="360" w:lineRule="exact"/>
      <w:ind w:left="-91"/>
      <w:jc w:val="left"/>
    </w:pPr>
    <w:rPr>
      <w:rFonts w:ascii="宋体" w:hAnsi="Calibri" w:eastAsia="宋体" w:cs="Times New Roman"/>
      <w:kern w:val="0"/>
      <w:sz w:val="24"/>
      <w:szCs w:val="11"/>
    </w:rPr>
  </w:style>
  <w:style w:type="paragraph" w:customStyle="1" w:styleId="455">
    <w:name w:val="pa-140"/>
    <w:basedOn w:val="1"/>
    <w:autoRedefine/>
    <w:qFormat/>
    <w:uiPriority w:val="99"/>
    <w:pPr>
      <w:widowControl/>
      <w:spacing w:line="320" w:lineRule="atLeast"/>
      <w:ind w:firstLine="560"/>
    </w:pPr>
    <w:rPr>
      <w:rFonts w:ascii="宋体" w:hAnsi="宋体" w:eastAsia="宋体" w:cs="宋体"/>
      <w:kern w:val="0"/>
      <w:sz w:val="24"/>
    </w:rPr>
  </w:style>
  <w:style w:type="paragraph" w:customStyle="1" w:styleId="456">
    <w:name w:val="style1"/>
    <w:basedOn w:val="1"/>
    <w:autoRedefine/>
    <w:qFormat/>
    <w:uiPriority w:val="99"/>
    <w:pPr>
      <w:widowControl/>
      <w:spacing w:before="100" w:beforeAutospacing="1" w:after="100" w:afterAutospacing="1" w:line="432" w:lineRule="auto"/>
      <w:jc w:val="left"/>
    </w:pPr>
    <w:rPr>
      <w:rFonts w:ascii="宋体" w:hAnsi="宋体" w:eastAsia="宋体" w:cs="宋体"/>
      <w:kern w:val="0"/>
      <w:sz w:val="27"/>
      <w:szCs w:val="27"/>
    </w:rPr>
  </w:style>
  <w:style w:type="paragraph" w:customStyle="1" w:styleId="457">
    <w:name w:val="List Paragraph1"/>
    <w:basedOn w:val="1"/>
    <w:autoRedefine/>
    <w:qFormat/>
    <w:uiPriority w:val="99"/>
    <w:pPr>
      <w:ind w:firstLine="420" w:firstLineChars="200"/>
    </w:pPr>
    <w:rPr>
      <w:rFonts w:ascii="Times New Roman" w:hAnsi="Times New Roman" w:eastAsia="宋体" w:cs="Times New Roman"/>
      <w:kern w:val="0"/>
      <w:sz w:val="20"/>
      <w:szCs w:val="24"/>
    </w:rPr>
  </w:style>
  <w:style w:type="paragraph" w:customStyle="1" w:styleId="458">
    <w:name w:val="正文_13"/>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59">
    <w:name w:val="ca-25"/>
    <w:basedOn w:val="1"/>
    <w:autoRedefine/>
    <w:qFormat/>
    <w:uiPriority w:val="99"/>
    <w:pPr>
      <w:widowControl/>
      <w:jc w:val="left"/>
    </w:pPr>
    <w:rPr>
      <w:rFonts w:ascii="Calibri" w:hAnsi="Calibri" w:eastAsia="宋体" w:cs="Times New Roman"/>
      <w:kern w:val="0"/>
      <w:szCs w:val="21"/>
    </w:rPr>
  </w:style>
  <w:style w:type="paragraph" w:customStyle="1" w:styleId="460">
    <w:name w:val="标题B"/>
    <w:basedOn w:val="4"/>
    <w:autoRedefine/>
    <w:qFormat/>
    <w:uiPriority w:val="99"/>
    <w:pPr>
      <w:adjustRightInd w:val="0"/>
      <w:spacing w:before="100" w:beforeAutospacing="1" w:after="100" w:afterAutospacing="1" w:line="240" w:lineRule="auto"/>
      <w:jc w:val="center"/>
    </w:pPr>
    <w:rPr>
      <w:rFonts w:ascii="Arial" w:hAnsi="Arial" w:eastAsia="宋体"/>
      <w:kern w:val="0"/>
      <w:sz w:val="28"/>
      <w:szCs w:val="28"/>
    </w:rPr>
  </w:style>
  <w:style w:type="paragraph" w:customStyle="1" w:styleId="461">
    <w:name w:val="pa-95"/>
    <w:basedOn w:val="1"/>
    <w:autoRedefine/>
    <w:qFormat/>
    <w:uiPriority w:val="99"/>
    <w:pPr>
      <w:widowControl/>
      <w:spacing w:line="440" w:lineRule="atLeast"/>
      <w:jc w:val="center"/>
    </w:pPr>
    <w:rPr>
      <w:rFonts w:ascii="宋体" w:hAnsi="宋体" w:eastAsia="宋体" w:cs="宋体"/>
      <w:kern w:val="0"/>
      <w:sz w:val="24"/>
    </w:rPr>
  </w:style>
  <w:style w:type="paragraph" w:customStyle="1" w:styleId="462">
    <w:name w:val="正文_1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63">
    <w:name w:val="pa-74"/>
    <w:basedOn w:val="1"/>
    <w:autoRedefine/>
    <w:qFormat/>
    <w:uiPriority w:val="99"/>
    <w:pPr>
      <w:widowControl/>
      <w:spacing w:line="360" w:lineRule="atLeast"/>
      <w:ind w:firstLine="640"/>
      <w:jc w:val="center"/>
    </w:pPr>
    <w:rPr>
      <w:rFonts w:ascii="宋体" w:hAnsi="宋体" w:eastAsia="宋体" w:cs="宋体"/>
      <w:kern w:val="0"/>
      <w:sz w:val="24"/>
    </w:rPr>
  </w:style>
  <w:style w:type="paragraph" w:customStyle="1" w:styleId="464">
    <w:name w:val="C Part --"/>
    <w:autoRedefine/>
    <w:qFormat/>
    <w:uiPriority w:val="99"/>
    <w:pPr>
      <w:spacing w:before="100" w:beforeAutospacing="1" w:line="360" w:lineRule="auto"/>
      <w:jc w:val="both"/>
    </w:pPr>
    <w:rPr>
      <w:rFonts w:ascii="宋体" w:hAnsi="宋体" w:eastAsia="宋体" w:cs="Times New Roman"/>
      <w:kern w:val="2"/>
      <w:lang w:val="en-US" w:eastAsia="zh-CN" w:bidi="ar-SA"/>
    </w:rPr>
  </w:style>
  <w:style w:type="paragraph" w:customStyle="1" w:styleId="465">
    <w:name w:val="pa-106"/>
    <w:basedOn w:val="1"/>
    <w:autoRedefine/>
    <w:qFormat/>
    <w:uiPriority w:val="99"/>
    <w:pPr>
      <w:widowControl/>
      <w:spacing w:line="720" w:lineRule="atLeast"/>
    </w:pPr>
    <w:rPr>
      <w:rFonts w:ascii="宋体" w:hAnsi="宋体" w:eastAsia="宋体" w:cs="宋体"/>
      <w:kern w:val="0"/>
      <w:sz w:val="24"/>
    </w:rPr>
  </w:style>
  <w:style w:type="paragraph" w:customStyle="1" w:styleId="466">
    <w:name w:val="xl70"/>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67">
    <w:name w:val="pa-49"/>
    <w:basedOn w:val="1"/>
    <w:autoRedefine/>
    <w:qFormat/>
    <w:uiPriority w:val="99"/>
    <w:pPr>
      <w:widowControl/>
      <w:spacing w:line="280" w:lineRule="atLeast"/>
      <w:ind w:firstLine="440"/>
      <w:jc w:val="left"/>
    </w:pPr>
    <w:rPr>
      <w:rFonts w:ascii="宋体" w:hAnsi="宋体" w:eastAsia="宋体" w:cs="宋体"/>
      <w:kern w:val="0"/>
      <w:sz w:val="24"/>
    </w:rPr>
  </w:style>
  <w:style w:type="paragraph" w:customStyle="1" w:styleId="468">
    <w:name w:val="pa-94"/>
    <w:basedOn w:val="1"/>
    <w:autoRedefine/>
    <w:qFormat/>
    <w:uiPriority w:val="99"/>
    <w:pPr>
      <w:widowControl/>
      <w:spacing w:line="480" w:lineRule="atLeast"/>
      <w:jc w:val="left"/>
    </w:pPr>
    <w:rPr>
      <w:rFonts w:ascii="宋体" w:hAnsi="宋体" w:eastAsia="宋体" w:cs="宋体"/>
      <w:kern w:val="0"/>
      <w:sz w:val="24"/>
    </w:rPr>
  </w:style>
  <w:style w:type="paragraph" w:customStyle="1" w:styleId="469">
    <w:name w:val="Char1_0"/>
    <w:basedOn w:val="1"/>
    <w:autoRedefine/>
    <w:qFormat/>
    <w:uiPriority w:val="99"/>
    <w:rPr>
      <w:rFonts w:ascii="Calibri" w:hAnsi="Calibri" w:eastAsia="宋体" w:cs="Times New Roman"/>
      <w:szCs w:val="20"/>
    </w:rPr>
  </w:style>
  <w:style w:type="paragraph" w:customStyle="1" w:styleId="470">
    <w:name w:val="ca-40"/>
    <w:basedOn w:val="1"/>
    <w:autoRedefine/>
    <w:qFormat/>
    <w:uiPriority w:val="99"/>
    <w:pPr>
      <w:widowControl/>
      <w:jc w:val="left"/>
    </w:pPr>
    <w:rPr>
      <w:rFonts w:ascii="Calibri" w:hAnsi="Calibri" w:eastAsia="宋体" w:cs="Times New Roman"/>
      <w:kern w:val="0"/>
      <w:sz w:val="20"/>
      <w:szCs w:val="20"/>
    </w:rPr>
  </w:style>
  <w:style w:type="paragraph" w:customStyle="1" w:styleId="471">
    <w:name w:val="pa-138"/>
    <w:basedOn w:val="1"/>
    <w:autoRedefine/>
    <w:qFormat/>
    <w:uiPriority w:val="99"/>
    <w:pPr>
      <w:widowControl/>
      <w:spacing w:line="480" w:lineRule="atLeast"/>
      <w:ind w:firstLine="960"/>
      <w:jc w:val="center"/>
    </w:pPr>
    <w:rPr>
      <w:rFonts w:ascii="宋体" w:hAnsi="宋体" w:eastAsia="宋体" w:cs="宋体"/>
      <w:kern w:val="0"/>
      <w:sz w:val="24"/>
    </w:rPr>
  </w:style>
  <w:style w:type="character" w:customStyle="1" w:styleId="472">
    <w:name w:val="列出段落 字符"/>
    <w:link w:val="473"/>
    <w:autoRedefine/>
    <w:qFormat/>
    <w:locked/>
    <w:uiPriority w:val="0"/>
    <w:rPr>
      <w:rFonts w:ascii="Calibri" w:hAnsi="Calibri" w:cs="Calibri"/>
    </w:rPr>
  </w:style>
  <w:style w:type="paragraph" w:customStyle="1" w:styleId="473">
    <w:name w:val="列出段落1"/>
    <w:basedOn w:val="1"/>
    <w:link w:val="472"/>
    <w:autoRedefine/>
    <w:qFormat/>
    <w:uiPriority w:val="0"/>
    <w:pPr>
      <w:ind w:firstLine="420" w:firstLineChars="200"/>
    </w:pPr>
    <w:rPr>
      <w:rFonts w:ascii="Calibri" w:hAnsi="Calibri" w:cs="Calibri"/>
    </w:rPr>
  </w:style>
  <w:style w:type="paragraph" w:customStyle="1" w:styleId="474">
    <w:name w:val="xl26"/>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475">
    <w:name w:val="pa-5"/>
    <w:basedOn w:val="1"/>
    <w:autoRedefine/>
    <w:qFormat/>
    <w:uiPriority w:val="99"/>
    <w:pPr>
      <w:widowControl/>
      <w:spacing w:line="1000" w:lineRule="atLeast"/>
      <w:jc w:val="center"/>
    </w:pPr>
    <w:rPr>
      <w:rFonts w:ascii="宋体" w:hAnsi="宋体" w:eastAsia="宋体" w:cs="宋体"/>
      <w:kern w:val="0"/>
      <w:sz w:val="24"/>
    </w:rPr>
  </w:style>
  <w:style w:type="paragraph" w:customStyle="1" w:styleId="476">
    <w:name w:val="pa-102"/>
    <w:basedOn w:val="1"/>
    <w:autoRedefine/>
    <w:qFormat/>
    <w:uiPriority w:val="99"/>
    <w:pPr>
      <w:widowControl/>
      <w:spacing w:line="300" w:lineRule="atLeast"/>
      <w:jc w:val="center"/>
    </w:pPr>
    <w:rPr>
      <w:rFonts w:ascii="宋体" w:hAnsi="宋体" w:eastAsia="宋体" w:cs="宋体"/>
      <w:kern w:val="0"/>
      <w:sz w:val="24"/>
    </w:rPr>
  </w:style>
  <w:style w:type="paragraph" w:customStyle="1" w:styleId="477">
    <w:name w:val="pa-14"/>
    <w:basedOn w:val="1"/>
    <w:autoRedefine/>
    <w:qFormat/>
    <w:uiPriority w:val="99"/>
    <w:pPr>
      <w:widowControl/>
      <w:spacing w:line="360" w:lineRule="atLeast"/>
      <w:jc w:val="left"/>
    </w:pPr>
    <w:rPr>
      <w:rFonts w:ascii="宋体" w:hAnsi="宋体" w:eastAsia="宋体" w:cs="宋体"/>
      <w:kern w:val="0"/>
      <w:sz w:val="24"/>
    </w:rPr>
  </w:style>
  <w:style w:type="paragraph" w:customStyle="1" w:styleId="478">
    <w:name w:val="正文_1_2"/>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479">
    <w:name w:val="ca-0"/>
    <w:basedOn w:val="1"/>
    <w:autoRedefine/>
    <w:qFormat/>
    <w:uiPriority w:val="99"/>
    <w:pPr>
      <w:widowControl/>
      <w:jc w:val="left"/>
    </w:pPr>
    <w:rPr>
      <w:rFonts w:ascii="宋体" w:hAnsi="宋体" w:eastAsia="宋体" w:cs="宋体"/>
      <w:color w:val="000000"/>
      <w:kern w:val="0"/>
      <w:sz w:val="48"/>
      <w:szCs w:val="48"/>
    </w:rPr>
  </w:style>
  <w:style w:type="paragraph" w:customStyle="1" w:styleId="480">
    <w:name w:val="td-5"/>
    <w:basedOn w:val="1"/>
    <w:autoRedefine/>
    <w:qFormat/>
    <w:uiPriority w:val="99"/>
    <w:pPr>
      <w:widowControl/>
      <w:pBdr>
        <w:top w:val="single" w:color="000000" w:sz="12" w:space="0"/>
        <w:left w:val="single" w:color="000000" w:sz="4" w:space="4"/>
        <w:bottom w:val="single" w:color="000000" w:sz="4" w:space="0"/>
        <w:right w:val="single" w:color="000000" w:sz="4" w:space="0"/>
      </w:pBdr>
      <w:jc w:val="left"/>
    </w:pPr>
    <w:rPr>
      <w:rFonts w:ascii="宋体" w:hAnsi="宋体" w:eastAsia="宋体" w:cs="宋体"/>
      <w:kern w:val="0"/>
      <w:sz w:val="24"/>
    </w:rPr>
  </w:style>
  <w:style w:type="paragraph" w:customStyle="1" w:styleId="481">
    <w:name w:val="Default_0"/>
    <w:autoRedefine/>
    <w:qFormat/>
    <w:uiPriority w:val="99"/>
    <w:pPr>
      <w:widowControl w:val="0"/>
      <w:jc w:val="both"/>
    </w:pPr>
    <w:rPr>
      <w:rFonts w:ascii="Arial Unicode MS" w:hAnsi="Arial Unicode MS" w:eastAsia="ヒラギノ角ゴ Pro W3" w:cs="Times New Roman"/>
      <w:color w:val="000000"/>
      <w:sz w:val="24"/>
      <w:lang w:val="en-US" w:eastAsia="zh-CN" w:bidi="ar-SA"/>
    </w:rPr>
  </w:style>
  <w:style w:type="paragraph" w:customStyle="1" w:styleId="482">
    <w:name w:val="pa-92"/>
    <w:basedOn w:val="1"/>
    <w:autoRedefine/>
    <w:qFormat/>
    <w:uiPriority w:val="99"/>
    <w:pPr>
      <w:widowControl/>
      <w:spacing w:line="480" w:lineRule="atLeast"/>
      <w:ind w:firstLine="480"/>
    </w:pPr>
    <w:rPr>
      <w:rFonts w:ascii="宋体" w:hAnsi="宋体" w:eastAsia="宋体" w:cs="宋体"/>
      <w:kern w:val="0"/>
      <w:sz w:val="24"/>
    </w:rPr>
  </w:style>
  <w:style w:type="paragraph" w:customStyle="1" w:styleId="483">
    <w:name w:val="CPara-"/>
    <w:autoRedefine/>
    <w:qFormat/>
    <w:uiPriority w:val="99"/>
    <w:pPr>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576"/>
    </w:pPr>
    <w:rPr>
      <w:rFonts w:ascii="宋体" w:hAnsi="宋体" w:eastAsia="宋体" w:cs="Times New Roman"/>
      <w:lang w:val="en-US" w:eastAsia="en-US" w:bidi="ar-SA"/>
    </w:rPr>
  </w:style>
  <w:style w:type="paragraph" w:customStyle="1" w:styleId="484">
    <w:name w:val="ca-6"/>
    <w:basedOn w:val="1"/>
    <w:autoRedefine/>
    <w:qFormat/>
    <w:uiPriority w:val="99"/>
    <w:pPr>
      <w:widowControl/>
      <w:jc w:val="left"/>
    </w:pPr>
    <w:rPr>
      <w:rFonts w:ascii="宋体" w:hAnsi="宋体" w:eastAsia="宋体" w:cs="宋体"/>
      <w:color w:val="000000"/>
      <w:kern w:val="0"/>
      <w:sz w:val="30"/>
      <w:szCs w:val="30"/>
    </w:rPr>
  </w:style>
  <w:style w:type="paragraph" w:customStyle="1" w:styleId="485">
    <w:name w:val="pa-89"/>
    <w:basedOn w:val="1"/>
    <w:autoRedefine/>
    <w:qFormat/>
    <w:uiPriority w:val="99"/>
    <w:pPr>
      <w:widowControl/>
      <w:spacing w:line="320" w:lineRule="atLeast"/>
    </w:pPr>
    <w:rPr>
      <w:rFonts w:ascii="宋体" w:hAnsi="宋体" w:eastAsia="宋体" w:cs="宋体"/>
      <w:kern w:val="0"/>
      <w:sz w:val="24"/>
    </w:rPr>
  </w:style>
  <w:style w:type="paragraph" w:customStyle="1" w:styleId="486">
    <w:name w:val="msonormalcxspmiddle"/>
    <w:basedOn w:val="1"/>
    <w:autoRedefine/>
    <w:qFormat/>
    <w:uiPriority w:val="99"/>
    <w:pPr>
      <w:widowControl/>
      <w:spacing w:before="100" w:beforeAutospacing="1" w:after="100" w:afterAutospacing="1"/>
      <w:jc w:val="left"/>
    </w:pPr>
    <w:rPr>
      <w:rFonts w:ascii="宋体" w:hAnsi="宋体" w:eastAsia="宋体" w:cs="宋体"/>
      <w:kern w:val="0"/>
      <w:sz w:val="24"/>
    </w:rPr>
  </w:style>
  <w:style w:type="paragraph" w:customStyle="1" w:styleId="487">
    <w:name w:val="默认段落字体 Para Char Char Char Char Char Char Char Char Char1 Char"/>
    <w:basedOn w:val="1"/>
    <w:autoRedefine/>
    <w:qFormat/>
    <w:uiPriority w:val="99"/>
    <w:pPr>
      <w:tabs>
        <w:tab w:val="left" w:pos="1260"/>
      </w:tabs>
      <w:spacing w:line="360" w:lineRule="auto"/>
      <w:ind w:left="1260" w:firstLine="480" w:firstLineChars="200"/>
    </w:pPr>
    <w:rPr>
      <w:rFonts w:ascii="Tahoma" w:hAnsi="Tahoma" w:eastAsia="宋体" w:cs="Times New Roman"/>
      <w:sz w:val="24"/>
      <w:szCs w:val="20"/>
    </w:rPr>
  </w:style>
  <w:style w:type="paragraph" w:customStyle="1" w:styleId="488">
    <w:name w:val="Char Char Char Char Char Char Char Char Char Char Char Char Char Char Char Char Char Char Char Char Char Char Char Char Char Char Char Char Char1 Char Char Char Char Char Char Char Char Char Char Char Char"/>
    <w:basedOn w:val="1"/>
    <w:autoRedefine/>
    <w:qFormat/>
    <w:uiPriority w:val="99"/>
    <w:rPr>
      <w:rFonts w:ascii="仿宋_GB2312" w:hAnsi="Times New Roman" w:eastAsia="仿宋_GB2312" w:cs="Times New Roman"/>
      <w:b/>
      <w:sz w:val="32"/>
      <w:szCs w:val="24"/>
    </w:rPr>
  </w:style>
  <w:style w:type="paragraph" w:customStyle="1" w:styleId="489">
    <w:name w:val="正文_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90">
    <w:name w:val="pa-34"/>
    <w:basedOn w:val="1"/>
    <w:autoRedefine/>
    <w:qFormat/>
    <w:uiPriority w:val="99"/>
    <w:pPr>
      <w:widowControl/>
      <w:spacing w:line="360" w:lineRule="atLeast"/>
      <w:ind w:firstLine="460"/>
    </w:pPr>
    <w:rPr>
      <w:rFonts w:ascii="宋体" w:hAnsi="宋体" w:eastAsia="宋体" w:cs="宋体"/>
      <w:kern w:val="0"/>
      <w:sz w:val="24"/>
    </w:rPr>
  </w:style>
  <w:style w:type="paragraph" w:customStyle="1" w:styleId="491">
    <w:name w:val="正文 A"/>
    <w:autoRedefine/>
    <w:qFormat/>
    <w:uiPriority w:val="99"/>
    <w:pPr>
      <w:widowControl w:val="0"/>
      <w:jc w:val="both"/>
    </w:pPr>
    <w:rPr>
      <w:rFonts w:ascii="Times New Roman" w:hAnsi="Arial Unicode MS" w:eastAsia="Times New Roman" w:cs="Arial Unicode MS"/>
      <w:color w:val="000000"/>
      <w:kern w:val="2"/>
      <w:sz w:val="21"/>
      <w:szCs w:val="21"/>
      <w:u w:color="000000"/>
      <w:lang w:val="en-US" w:eastAsia="zh-CN" w:bidi="ar-SA"/>
    </w:rPr>
  </w:style>
  <w:style w:type="paragraph" w:customStyle="1" w:styleId="492">
    <w:name w:val="f1"/>
    <w:basedOn w:val="1"/>
    <w:autoRedefine/>
    <w:qFormat/>
    <w:uiPriority w:val="99"/>
    <w:pPr>
      <w:widowControl/>
      <w:spacing w:before="100" w:beforeAutospacing="1" w:after="100" w:afterAutospacing="1"/>
      <w:jc w:val="center"/>
    </w:pPr>
    <w:rPr>
      <w:rFonts w:ascii="Helvetica" w:hAnsi="Helvetica" w:eastAsia="宋体" w:cs="Helvetica"/>
      <w:b/>
      <w:bCs/>
      <w:color w:val="FF8080"/>
      <w:spacing w:val="160"/>
      <w:kern w:val="0"/>
      <w:sz w:val="80"/>
      <w:szCs w:val="80"/>
    </w:rPr>
  </w:style>
  <w:style w:type="paragraph" w:customStyle="1" w:styleId="493">
    <w:name w:val="文档正文"/>
    <w:basedOn w:val="1"/>
    <w:autoRedefine/>
    <w:qFormat/>
    <w:uiPriority w:val="99"/>
    <w:pPr>
      <w:adjustRightInd w:val="0"/>
      <w:spacing w:line="312" w:lineRule="atLeast"/>
      <w:ind w:firstLine="567"/>
    </w:pPr>
    <w:rPr>
      <w:rFonts w:ascii="长城仿宋" w:hAnsi="Calibri" w:eastAsia="长城仿宋" w:cs="Times New Roman"/>
      <w:sz w:val="28"/>
    </w:rPr>
  </w:style>
  <w:style w:type="paragraph" w:customStyle="1" w:styleId="494">
    <w:name w:val="pa-60"/>
    <w:basedOn w:val="1"/>
    <w:autoRedefine/>
    <w:qFormat/>
    <w:uiPriority w:val="99"/>
    <w:pPr>
      <w:widowControl/>
      <w:spacing w:line="360" w:lineRule="atLeast"/>
      <w:ind w:firstLine="560"/>
    </w:pPr>
    <w:rPr>
      <w:rFonts w:ascii="宋体" w:hAnsi="宋体" w:eastAsia="宋体" w:cs="宋体"/>
      <w:kern w:val="0"/>
      <w:sz w:val="24"/>
    </w:rPr>
  </w:style>
  <w:style w:type="paragraph" w:customStyle="1" w:styleId="495">
    <w:name w:val="xl36"/>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496">
    <w:name w:val="pa-21"/>
    <w:basedOn w:val="1"/>
    <w:autoRedefine/>
    <w:qFormat/>
    <w:uiPriority w:val="99"/>
    <w:pPr>
      <w:widowControl/>
      <w:spacing w:line="240" w:lineRule="atLeast"/>
      <w:ind w:firstLine="420"/>
    </w:pPr>
    <w:rPr>
      <w:rFonts w:ascii="宋体" w:hAnsi="宋体" w:eastAsia="宋体" w:cs="宋体"/>
      <w:kern w:val="0"/>
      <w:sz w:val="24"/>
    </w:rPr>
  </w:style>
  <w:style w:type="paragraph" w:customStyle="1" w:styleId="497">
    <w:name w:val="Alinéa -"/>
    <w:autoRedefine/>
    <w:qFormat/>
    <w:uiPriority w:val="99"/>
    <w:pPr>
      <w:tabs>
        <w:tab w:val="left" w:pos="1381"/>
      </w:tabs>
      <w:spacing w:line="360" w:lineRule="auto"/>
      <w:ind w:left="284"/>
      <w:jc w:val="both"/>
    </w:pPr>
    <w:rPr>
      <w:rFonts w:ascii="Arial" w:hAnsi="Arial" w:eastAsia="宋体" w:cs="Arial"/>
      <w:lang w:val="en-GB" w:eastAsia="fr-FR" w:bidi="ar-SA"/>
    </w:rPr>
  </w:style>
  <w:style w:type="paragraph" w:customStyle="1" w:styleId="498">
    <w:name w:val="pa-81"/>
    <w:basedOn w:val="1"/>
    <w:autoRedefine/>
    <w:qFormat/>
    <w:uiPriority w:val="99"/>
    <w:pPr>
      <w:widowControl/>
      <w:spacing w:line="360" w:lineRule="atLeast"/>
      <w:jc w:val="center"/>
    </w:pPr>
    <w:rPr>
      <w:rFonts w:ascii="宋体" w:hAnsi="宋体" w:eastAsia="宋体" w:cs="宋体"/>
      <w:kern w:val="0"/>
      <w:sz w:val="24"/>
    </w:rPr>
  </w:style>
  <w:style w:type="paragraph" w:customStyle="1" w:styleId="499">
    <w:name w:val="pa-135"/>
    <w:basedOn w:val="1"/>
    <w:autoRedefine/>
    <w:qFormat/>
    <w:uiPriority w:val="99"/>
    <w:pPr>
      <w:widowControl/>
      <w:spacing w:line="480" w:lineRule="atLeast"/>
      <w:ind w:firstLine="520"/>
    </w:pPr>
    <w:rPr>
      <w:rFonts w:ascii="宋体" w:hAnsi="宋体" w:eastAsia="宋体" w:cs="宋体"/>
      <w:kern w:val="0"/>
      <w:sz w:val="24"/>
    </w:rPr>
  </w:style>
  <w:style w:type="paragraph" w:customStyle="1" w:styleId="500">
    <w:name w:val="ca-50"/>
    <w:basedOn w:val="1"/>
    <w:autoRedefine/>
    <w:qFormat/>
    <w:uiPriority w:val="99"/>
    <w:pPr>
      <w:widowControl/>
      <w:jc w:val="left"/>
    </w:pPr>
    <w:rPr>
      <w:rFonts w:ascii="宋体" w:hAnsi="宋体" w:eastAsia="宋体" w:cs="宋体"/>
      <w:kern w:val="0"/>
      <w:sz w:val="24"/>
    </w:rPr>
  </w:style>
  <w:style w:type="paragraph" w:customStyle="1" w:styleId="501">
    <w:name w:val="ca-11"/>
    <w:basedOn w:val="1"/>
    <w:autoRedefine/>
    <w:qFormat/>
    <w:uiPriority w:val="99"/>
    <w:pPr>
      <w:widowControl/>
      <w:jc w:val="left"/>
    </w:pPr>
    <w:rPr>
      <w:rFonts w:ascii="Calibri" w:hAnsi="Calibri" w:eastAsia="宋体" w:cs="Times New Roman"/>
      <w:color w:val="000000"/>
      <w:kern w:val="0"/>
      <w:sz w:val="30"/>
      <w:szCs w:val="30"/>
    </w:rPr>
  </w:style>
  <w:style w:type="paragraph" w:customStyle="1" w:styleId="502">
    <w:name w:val="ca-52"/>
    <w:basedOn w:val="1"/>
    <w:autoRedefine/>
    <w:qFormat/>
    <w:uiPriority w:val="99"/>
    <w:pPr>
      <w:widowControl/>
      <w:jc w:val="left"/>
    </w:pPr>
    <w:rPr>
      <w:rFonts w:ascii="宋体" w:hAnsi="宋体" w:eastAsia="宋体" w:cs="宋体"/>
      <w:b/>
      <w:bCs/>
      <w:spacing w:val="-20"/>
      <w:kern w:val="0"/>
      <w:sz w:val="36"/>
      <w:szCs w:val="36"/>
    </w:rPr>
  </w:style>
  <w:style w:type="paragraph" w:customStyle="1" w:styleId="503">
    <w:name w:val="pa-130"/>
    <w:basedOn w:val="1"/>
    <w:autoRedefine/>
    <w:qFormat/>
    <w:uiPriority w:val="99"/>
    <w:pPr>
      <w:widowControl/>
      <w:spacing w:line="300" w:lineRule="atLeast"/>
      <w:jc w:val="left"/>
    </w:pPr>
    <w:rPr>
      <w:rFonts w:ascii="宋体" w:hAnsi="宋体" w:eastAsia="宋体" w:cs="宋体"/>
      <w:kern w:val="0"/>
      <w:sz w:val="24"/>
    </w:rPr>
  </w:style>
  <w:style w:type="paragraph" w:customStyle="1" w:styleId="504">
    <w:name w:val="1"/>
    <w:basedOn w:val="1"/>
    <w:next w:val="1"/>
    <w:autoRedefine/>
    <w:qFormat/>
    <w:uiPriority w:val="99"/>
    <w:rPr>
      <w:rFonts w:ascii="Calibri" w:hAnsi="Calibri" w:eastAsia="宋体" w:cs="Times New Roman"/>
    </w:rPr>
  </w:style>
  <w:style w:type="paragraph" w:customStyle="1" w:styleId="505">
    <w:name w:val="TOC 标题111"/>
    <w:next w:val="1"/>
    <w:autoRedefine/>
    <w:qFormat/>
    <w:uiPriority w:val="99"/>
    <w:pPr>
      <w:wordWrap w:val="0"/>
    </w:pPr>
    <w:rPr>
      <w:rFonts w:ascii="宋体" w:hAnsi="宋体" w:eastAsia="宋体" w:cs="宋体"/>
      <w:sz w:val="32"/>
      <w:lang w:val="en-US" w:eastAsia="zh-CN" w:bidi="ar-SA"/>
    </w:rPr>
  </w:style>
  <w:style w:type="paragraph" w:customStyle="1" w:styleId="506">
    <w:name w:val="Char"/>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507">
    <w:name w:val="pa-105"/>
    <w:basedOn w:val="1"/>
    <w:autoRedefine/>
    <w:qFormat/>
    <w:uiPriority w:val="99"/>
    <w:pPr>
      <w:widowControl/>
      <w:spacing w:line="960" w:lineRule="atLeast"/>
    </w:pPr>
    <w:rPr>
      <w:rFonts w:ascii="宋体" w:hAnsi="宋体" w:eastAsia="宋体" w:cs="宋体"/>
      <w:kern w:val="0"/>
      <w:sz w:val="24"/>
    </w:rPr>
  </w:style>
  <w:style w:type="paragraph" w:customStyle="1" w:styleId="508">
    <w:name w:val="ca-23"/>
    <w:basedOn w:val="1"/>
    <w:autoRedefine/>
    <w:qFormat/>
    <w:uiPriority w:val="99"/>
    <w:pPr>
      <w:widowControl/>
      <w:jc w:val="left"/>
    </w:pPr>
    <w:rPr>
      <w:rFonts w:ascii="Calibri" w:hAnsi="Calibri" w:eastAsia="宋体" w:cs="Times New Roman"/>
      <w:kern w:val="0"/>
      <w:szCs w:val="21"/>
    </w:rPr>
  </w:style>
  <w:style w:type="paragraph" w:customStyle="1" w:styleId="509">
    <w:name w:val="pa-120"/>
    <w:basedOn w:val="1"/>
    <w:autoRedefine/>
    <w:qFormat/>
    <w:uiPriority w:val="99"/>
    <w:pPr>
      <w:widowControl/>
      <w:spacing w:line="280" w:lineRule="atLeast"/>
      <w:jc w:val="right"/>
    </w:pPr>
    <w:rPr>
      <w:rFonts w:ascii="宋体" w:hAnsi="宋体" w:eastAsia="宋体" w:cs="宋体"/>
      <w:kern w:val="0"/>
      <w:sz w:val="24"/>
    </w:rPr>
  </w:style>
  <w:style w:type="paragraph" w:customStyle="1" w:styleId="510">
    <w:name w:val="Normal_9"/>
    <w:autoRedefine/>
    <w:qFormat/>
    <w:uiPriority w:val="99"/>
    <w:rPr>
      <w:rFonts w:ascii="黑体" w:hAnsi="黑体" w:eastAsia="黑体" w:cs="Times New Roman"/>
      <w:b/>
      <w:sz w:val="32"/>
      <w:szCs w:val="24"/>
      <w:lang w:val="en-US" w:eastAsia="zh-CN" w:bidi="ar-SA"/>
    </w:rPr>
  </w:style>
  <w:style w:type="paragraph" w:customStyle="1" w:styleId="511">
    <w:name w:val="Normal_16"/>
    <w:autoRedefine/>
    <w:qFormat/>
    <w:uiPriority w:val="99"/>
    <w:rPr>
      <w:rFonts w:ascii="黑体" w:hAnsi="黑体" w:eastAsia="黑体" w:cs="Times New Roman"/>
      <w:b/>
      <w:sz w:val="32"/>
      <w:szCs w:val="24"/>
      <w:lang w:val="en-US" w:eastAsia="zh-CN" w:bidi="ar-SA"/>
    </w:rPr>
  </w:style>
  <w:style w:type="paragraph" w:customStyle="1" w:styleId="512">
    <w:name w:val="pa-126"/>
    <w:basedOn w:val="1"/>
    <w:autoRedefine/>
    <w:qFormat/>
    <w:uiPriority w:val="99"/>
    <w:pPr>
      <w:widowControl/>
      <w:spacing w:line="480" w:lineRule="atLeast"/>
      <w:ind w:firstLine="480"/>
    </w:pPr>
    <w:rPr>
      <w:rFonts w:ascii="宋体" w:hAnsi="宋体" w:eastAsia="宋体" w:cs="宋体"/>
      <w:kern w:val="0"/>
      <w:sz w:val="24"/>
    </w:rPr>
  </w:style>
  <w:style w:type="paragraph" w:customStyle="1" w:styleId="513">
    <w:name w:val="xl79"/>
    <w:basedOn w:val="1"/>
    <w:autoRedefine/>
    <w:qFormat/>
    <w:uiPriority w:val="99"/>
    <w:pPr>
      <w:widowControl/>
      <w:pBdr>
        <w:top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514">
    <w:name w:val="BJ-03-T"/>
    <w:autoRedefine/>
    <w:qFormat/>
    <w:uiPriority w:val="99"/>
    <w:pPr>
      <w:numPr>
        <w:ilvl w:val="1"/>
        <w:numId w:val="5"/>
      </w:numPr>
      <w:tabs>
        <w:tab w:val="left" w:pos="1305"/>
        <w:tab w:val="left" w:pos="2552"/>
      </w:tabs>
      <w:spacing w:before="120" w:after="120" w:line="360" w:lineRule="auto"/>
      <w:jc w:val="both"/>
    </w:pPr>
    <w:rPr>
      <w:rFonts w:ascii="Arial" w:hAnsi="Arial" w:eastAsia="宋体" w:cs="Times New Roman"/>
      <w:sz w:val="24"/>
      <w:lang w:val="en-GB" w:eastAsia="de-DE" w:bidi="ar-SA"/>
    </w:rPr>
  </w:style>
  <w:style w:type="paragraph" w:customStyle="1" w:styleId="515">
    <w:name w:val="pa-112"/>
    <w:basedOn w:val="1"/>
    <w:autoRedefine/>
    <w:qFormat/>
    <w:uiPriority w:val="99"/>
    <w:pPr>
      <w:widowControl/>
      <w:spacing w:line="280" w:lineRule="atLeast"/>
    </w:pPr>
    <w:rPr>
      <w:rFonts w:ascii="宋体" w:hAnsi="宋体" w:eastAsia="宋体" w:cs="宋体"/>
      <w:kern w:val="0"/>
      <w:sz w:val="24"/>
    </w:rPr>
  </w:style>
  <w:style w:type="paragraph" w:customStyle="1" w:styleId="516">
    <w:name w:val="pa-64"/>
    <w:basedOn w:val="1"/>
    <w:autoRedefine/>
    <w:qFormat/>
    <w:uiPriority w:val="99"/>
    <w:pPr>
      <w:widowControl/>
      <w:spacing w:line="360" w:lineRule="atLeast"/>
      <w:ind w:firstLine="560"/>
      <w:jc w:val="left"/>
    </w:pPr>
    <w:rPr>
      <w:rFonts w:ascii="宋体" w:hAnsi="宋体" w:eastAsia="宋体" w:cs="宋体"/>
      <w:kern w:val="0"/>
      <w:sz w:val="24"/>
    </w:rPr>
  </w:style>
  <w:style w:type="paragraph" w:customStyle="1" w:styleId="517">
    <w:name w:val="ca-39"/>
    <w:basedOn w:val="1"/>
    <w:autoRedefine/>
    <w:qFormat/>
    <w:uiPriority w:val="99"/>
    <w:pPr>
      <w:widowControl/>
      <w:jc w:val="left"/>
    </w:pPr>
    <w:rPr>
      <w:rFonts w:ascii="宋体" w:hAnsi="宋体" w:eastAsia="宋体" w:cs="宋体"/>
      <w:b/>
      <w:bCs/>
      <w:color w:val="000000"/>
      <w:spacing w:val="-20"/>
      <w:kern w:val="0"/>
      <w:sz w:val="28"/>
      <w:szCs w:val="28"/>
    </w:rPr>
  </w:style>
  <w:style w:type="paragraph" w:customStyle="1" w:styleId="518">
    <w:name w:val="样式2"/>
    <w:basedOn w:val="40"/>
    <w:autoRedefine/>
    <w:qFormat/>
    <w:uiPriority w:val="99"/>
    <w:pPr>
      <w:adjustRightInd w:val="0"/>
      <w:spacing w:line="360" w:lineRule="auto"/>
      <w:jc w:val="left"/>
    </w:pPr>
    <w:rPr>
      <w:rFonts w:ascii="宋体" w:hAnsi="宋体"/>
      <w:caps/>
      <w:kern w:val="0"/>
      <w:sz w:val="24"/>
      <w:szCs w:val="20"/>
    </w:rPr>
  </w:style>
  <w:style w:type="paragraph" w:customStyle="1" w:styleId="519">
    <w:name w:val="pa-57"/>
    <w:basedOn w:val="1"/>
    <w:autoRedefine/>
    <w:qFormat/>
    <w:uiPriority w:val="99"/>
    <w:pPr>
      <w:widowControl/>
      <w:spacing w:line="300" w:lineRule="atLeast"/>
      <w:ind w:firstLine="560"/>
    </w:pPr>
    <w:rPr>
      <w:rFonts w:ascii="宋体" w:hAnsi="宋体" w:eastAsia="宋体" w:cs="宋体"/>
      <w:kern w:val="0"/>
      <w:sz w:val="24"/>
    </w:rPr>
  </w:style>
  <w:style w:type="paragraph" w:customStyle="1" w:styleId="520">
    <w:name w:val="pa-87"/>
    <w:basedOn w:val="1"/>
    <w:autoRedefine/>
    <w:qFormat/>
    <w:uiPriority w:val="99"/>
    <w:pPr>
      <w:widowControl/>
      <w:spacing w:line="320" w:lineRule="atLeast"/>
      <w:ind w:firstLine="560"/>
      <w:jc w:val="left"/>
    </w:pPr>
    <w:rPr>
      <w:rFonts w:ascii="宋体" w:hAnsi="宋体" w:eastAsia="宋体" w:cs="宋体"/>
      <w:kern w:val="0"/>
      <w:sz w:val="24"/>
    </w:rPr>
  </w:style>
  <w:style w:type="paragraph" w:customStyle="1" w:styleId="521">
    <w:name w:val="xl35"/>
    <w:basedOn w:val="1"/>
    <w:autoRedefine/>
    <w:qFormat/>
    <w:uiPriority w:val="99"/>
    <w:pPr>
      <w:widowControl/>
      <w:spacing w:before="100" w:beforeAutospacing="1" w:after="100" w:afterAutospacing="1"/>
      <w:jc w:val="right"/>
    </w:pPr>
    <w:rPr>
      <w:rFonts w:ascii="宋体" w:hAnsi="宋体" w:eastAsia="宋体" w:cs="Times New Roman"/>
      <w:kern w:val="0"/>
      <w:sz w:val="18"/>
      <w:szCs w:val="18"/>
    </w:rPr>
  </w:style>
  <w:style w:type="paragraph" w:customStyle="1" w:styleId="522">
    <w:name w:val="ca-41"/>
    <w:basedOn w:val="1"/>
    <w:autoRedefine/>
    <w:qFormat/>
    <w:uiPriority w:val="99"/>
    <w:pPr>
      <w:widowControl/>
      <w:jc w:val="left"/>
    </w:pPr>
    <w:rPr>
      <w:rFonts w:ascii="宋体" w:hAnsi="宋体" w:eastAsia="宋体" w:cs="宋体"/>
      <w:b/>
      <w:bCs/>
      <w:color w:val="000000"/>
      <w:spacing w:val="-20"/>
      <w:kern w:val="0"/>
      <w:sz w:val="32"/>
      <w:szCs w:val="32"/>
    </w:rPr>
  </w:style>
  <w:style w:type="paragraph" w:customStyle="1" w:styleId="523">
    <w:name w:val="xl28"/>
    <w:basedOn w:val="1"/>
    <w:autoRedefine/>
    <w:qFormat/>
    <w:uiPriority w:val="99"/>
    <w:pPr>
      <w:widowControl/>
      <w:pBdr>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24">
    <w:name w:val="正文11"/>
    <w:basedOn w:val="1"/>
    <w:autoRedefine/>
    <w:qFormat/>
    <w:uiPriority w:val="99"/>
    <w:pPr>
      <w:widowControl/>
      <w:spacing w:line="360" w:lineRule="auto"/>
      <w:ind w:left="499" w:firstLine="499"/>
    </w:pPr>
    <w:rPr>
      <w:rFonts w:ascii="宋体" w:hAnsi="Calibri" w:eastAsia="宋体" w:cs="Times New Roman"/>
      <w:kern w:val="21"/>
      <w:sz w:val="24"/>
      <w:szCs w:val="20"/>
    </w:rPr>
  </w:style>
  <w:style w:type="paragraph" w:customStyle="1" w:styleId="525">
    <w:name w:val="内文正文_0"/>
    <w:autoRedefine/>
    <w:qFormat/>
    <w:uiPriority w:val="99"/>
    <w:pPr>
      <w:autoSpaceDE w:val="0"/>
      <w:autoSpaceDN w:val="0"/>
      <w:spacing w:line="400" w:lineRule="exact"/>
      <w:ind w:firstLine="200" w:firstLineChars="200"/>
      <w:jc w:val="both"/>
    </w:pPr>
    <w:rPr>
      <w:rFonts w:ascii="宋体" w:hAnsi="???|CS?o｡ﾀ?" w:eastAsia="宋体" w:cs="Times New Roman"/>
      <w:sz w:val="21"/>
      <w:szCs w:val="28"/>
      <w:lang w:val="en-US" w:eastAsia="zh-CN" w:bidi="ar-SA"/>
    </w:rPr>
  </w:style>
  <w:style w:type="paragraph" w:customStyle="1" w:styleId="526">
    <w:name w:val="TOC Heading1"/>
    <w:basedOn w:val="3"/>
    <w:next w:val="1"/>
    <w:autoRedefine/>
    <w:qFormat/>
    <w:uiPriority w:val="99"/>
    <w:pPr>
      <w:keepLines/>
      <w:widowControl/>
      <w:spacing w:before="480" w:line="276" w:lineRule="auto"/>
      <w:jc w:val="left"/>
      <w:outlineLvl w:val="9"/>
    </w:pPr>
    <w:rPr>
      <w:rFonts w:ascii="Cambria" w:hAnsi="Cambria"/>
      <w:color w:val="365F91"/>
      <w:sz w:val="28"/>
      <w:szCs w:val="28"/>
    </w:rPr>
  </w:style>
  <w:style w:type="paragraph" w:customStyle="1" w:styleId="527">
    <w:name w:val="pa-93"/>
    <w:basedOn w:val="1"/>
    <w:autoRedefine/>
    <w:qFormat/>
    <w:uiPriority w:val="99"/>
    <w:pPr>
      <w:widowControl/>
      <w:spacing w:line="480" w:lineRule="atLeast"/>
      <w:ind w:firstLine="480"/>
      <w:jc w:val="left"/>
    </w:pPr>
    <w:rPr>
      <w:rFonts w:ascii="宋体" w:hAnsi="宋体" w:eastAsia="宋体" w:cs="宋体"/>
      <w:kern w:val="0"/>
      <w:sz w:val="24"/>
    </w:rPr>
  </w:style>
  <w:style w:type="paragraph" w:customStyle="1" w:styleId="528">
    <w:name w:val="默认段落字体 Para Char Char Char Char Char Char Char"/>
    <w:basedOn w:val="1"/>
    <w:autoRedefine/>
    <w:qFormat/>
    <w:uiPriority w:val="99"/>
    <w:rPr>
      <w:rFonts w:ascii="Tahoma" w:hAnsi="Tahoma" w:eastAsia="宋体" w:cs="Times New Roman"/>
      <w:sz w:val="24"/>
      <w:szCs w:val="20"/>
    </w:rPr>
  </w:style>
  <w:style w:type="paragraph" w:customStyle="1" w:styleId="529">
    <w:name w:val="pa-85"/>
    <w:basedOn w:val="1"/>
    <w:autoRedefine/>
    <w:qFormat/>
    <w:uiPriority w:val="99"/>
    <w:pPr>
      <w:widowControl/>
      <w:spacing w:line="760" w:lineRule="atLeast"/>
      <w:jc w:val="center"/>
    </w:pPr>
    <w:rPr>
      <w:rFonts w:ascii="宋体" w:hAnsi="宋体" w:eastAsia="宋体" w:cs="宋体"/>
      <w:kern w:val="0"/>
      <w:sz w:val="24"/>
    </w:rPr>
  </w:style>
  <w:style w:type="paragraph" w:customStyle="1" w:styleId="530">
    <w:name w:val="Normal_1"/>
    <w:autoRedefine/>
    <w:qFormat/>
    <w:uiPriority w:val="99"/>
    <w:rPr>
      <w:rFonts w:ascii="黑体" w:hAnsi="黑体" w:eastAsia="黑体" w:cs="Times New Roman"/>
      <w:b/>
      <w:sz w:val="32"/>
      <w:szCs w:val="24"/>
      <w:lang w:val="en-US" w:eastAsia="zh-CN" w:bidi="ar-SA"/>
    </w:rPr>
  </w:style>
  <w:style w:type="paragraph" w:customStyle="1" w:styleId="531">
    <w:name w:val="226_Chinese Text"/>
    <w:autoRedefine/>
    <w:qFormat/>
    <w:uiPriority w:val="99"/>
    <w:pPr>
      <w:spacing w:after="120" w:line="336" w:lineRule="auto"/>
      <w:jc w:val="both"/>
    </w:pPr>
    <w:rPr>
      <w:rFonts w:ascii="华文中宋" w:hAnsi="华文中宋" w:eastAsia="华文中宋" w:cs="Times New Roman"/>
      <w:lang w:val="en-GB" w:eastAsia="zh-CN" w:bidi="ar-SA"/>
    </w:rPr>
  </w:style>
  <w:style w:type="paragraph" w:customStyle="1" w:styleId="532">
    <w:name w:val="pa-48"/>
    <w:basedOn w:val="1"/>
    <w:autoRedefine/>
    <w:qFormat/>
    <w:uiPriority w:val="99"/>
    <w:pPr>
      <w:widowControl/>
      <w:spacing w:line="280" w:lineRule="atLeast"/>
      <w:ind w:firstLine="440"/>
    </w:pPr>
    <w:rPr>
      <w:rFonts w:ascii="宋体" w:hAnsi="宋体" w:eastAsia="宋体" w:cs="宋体"/>
      <w:kern w:val="0"/>
      <w:sz w:val="24"/>
    </w:rPr>
  </w:style>
  <w:style w:type="paragraph" w:customStyle="1" w:styleId="533">
    <w:name w:val="pa-15"/>
    <w:basedOn w:val="1"/>
    <w:autoRedefine/>
    <w:qFormat/>
    <w:uiPriority w:val="99"/>
    <w:pPr>
      <w:widowControl/>
      <w:spacing w:line="240" w:lineRule="atLeast"/>
      <w:jc w:val="left"/>
    </w:pPr>
    <w:rPr>
      <w:rFonts w:ascii="宋体" w:hAnsi="宋体" w:eastAsia="宋体" w:cs="宋体"/>
      <w:kern w:val="0"/>
      <w:sz w:val="24"/>
    </w:rPr>
  </w:style>
  <w:style w:type="paragraph" w:customStyle="1" w:styleId="534">
    <w:name w:val="ca-4"/>
    <w:basedOn w:val="1"/>
    <w:autoRedefine/>
    <w:qFormat/>
    <w:uiPriority w:val="99"/>
    <w:pPr>
      <w:widowControl/>
      <w:jc w:val="left"/>
    </w:pPr>
    <w:rPr>
      <w:rFonts w:ascii="宋体" w:hAnsi="宋体" w:eastAsia="宋体" w:cs="宋体"/>
      <w:b/>
      <w:bCs/>
      <w:color w:val="000000"/>
      <w:spacing w:val="-20"/>
      <w:kern w:val="0"/>
      <w:sz w:val="48"/>
      <w:szCs w:val="48"/>
    </w:rPr>
  </w:style>
  <w:style w:type="paragraph" w:customStyle="1" w:styleId="535">
    <w:name w:val="pa-42"/>
    <w:basedOn w:val="1"/>
    <w:autoRedefine/>
    <w:qFormat/>
    <w:uiPriority w:val="99"/>
    <w:pPr>
      <w:widowControl/>
      <w:spacing w:line="280" w:lineRule="atLeast"/>
      <w:ind w:firstLine="420"/>
      <w:jc w:val="left"/>
    </w:pPr>
    <w:rPr>
      <w:rFonts w:ascii="宋体" w:hAnsi="宋体" w:eastAsia="宋体" w:cs="宋体"/>
      <w:kern w:val="0"/>
      <w:sz w:val="24"/>
    </w:rPr>
  </w:style>
  <w:style w:type="paragraph" w:customStyle="1" w:styleId="536">
    <w:name w:val="td-3"/>
    <w:basedOn w:val="1"/>
    <w:autoRedefine/>
    <w:qFormat/>
    <w:uiPriority w:val="99"/>
    <w:pPr>
      <w:widowControl/>
      <w:pBdr>
        <w:top w:val="single" w:color="000000" w:sz="6" w:space="0"/>
        <w:left w:val="single" w:color="000000" w:sz="6" w:space="4"/>
        <w:right w:val="single" w:color="000000" w:sz="6" w:space="0"/>
      </w:pBdr>
      <w:jc w:val="left"/>
    </w:pPr>
    <w:rPr>
      <w:rFonts w:ascii="宋体" w:hAnsi="宋体" w:eastAsia="宋体" w:cs="宋体"/>
      <w:kern w:val="0"/>
      <w:sz w:val="24"/>
    </w:rPr>
  </w:style>
  <w:style w:type="paragraph" w:customStyle="1" w:styleId="537">
    <w:name w:val="pa-136"/>
    <w:basedOn w:val="1"/>
    <w:autoRedefine/>
    <w:qFormat/>
    <w:uiPriority w:val="99"/>
    <w:pPr>
      <w:widowControl/>
      <w:spacing w:line="360" w:lineRule="atLeast"/>
      <w:ind w:firstLine="5640"/>
    </w:pPr>
    <w:rPr>
      <w:rFonts w:ascii="宋体" w:hAnsi="宋体" w:eastAsia="宋体" w:cs="宋体"/>
      <w:kern w:val="0"/>
      <w:sz w:val="24"/>
    </w:rPr>
  </w:style>
  <w:style w:type="paragraph" w:customStyle="1" w:styleId="538">
    <w:name w:val="Normal_3"/>
    <w:autoRedefine/>
    <w:qFormat/>
    <w:uiPriority w:val="99"/>
    <w:rPr>
      <w:rFonts w:ascii="黑体" w:hAnsi="黑体" w:eastAsia="黑体" w:cs="Times New Roman"/>
      <w:b/>
      <w:sz w:val="32"/>
      <w:szCs w:val="24"/>
      <w:lang w:val="en-US" w:eastAsia="zh-CN" w:bidi="ar-SA"/>
    </w:rPr>
  </w:style>
  <w:style w:type="paragraph" w:customStyle="1" w:styleId="539">
    <w:name w:val="Char Char Char_0"/>
    <w:basedOn w:val="1"/>
    <w:autoRedefine/>
    <w:qFormat/>
    <w:uiPriority w:val="99"/>
    <w:rPr>
      <w:rFonts w:ascii="Tahoma" w:hAnsi="Tahoma" w:eastAsia="宋体" w:cs="Times New Roman"/>
      <w:sz w:val="24"/>
      <w:szCs w:val="20"/>
    </w:rPr>
  </w:style>
  <w:style w:type="paragraph" w:customStyle="1" w:styleId="540">
    <w:name w:val="pa-91"/>
    <w:basedOn w:val="1"/>
    <w:autoRedefine/>
    <w:qFormat/>
    <w:uiPriority w:val="99"/>
    <w:pPr>
      <w:widowControl/>
      <w:spacing w:line="360" w:lineRule="atLeast"/>
      <w:ind w:firstLine="4000"/>
      <w:jc w:val="left"/>
    </w:pPr>
    <w:rPr>
      <w:rFonts w:ascii="宋体" w:hAnsi="宋体" w:eastAsia="宋体" w:cs="宋体"/>
      <w:kern w:val="0"/>
      <w:sz w:val="24"/>
    </w:rPr>
  </w:style>
  <w:style w:type="paragraph" w:customStyle="1" w:styleId="541">
    <w:name w:val="Char Char Char Char Char Char_0"/>
    <w:basedOn w:val="1"/>
    <w:autoRedefine/>
    <w:qFormat/>
    <w:uiPriority w:val="99"/>
    <w:rPr>
      <w:rFonts w:ascii="Calibri" w:hAnsi="Calibri" w:eastAsia="宋体" w:cs="Times New Roman"/>
    </w:rPr>
  </w:style>
  <w:style w:type="paragraph" w:customStyle="1" w:styleId="542">
    <w:name w:val="pa-65"/>
    <w:basedOn w:val="1"/>
    <w:autoRedefine/>
    <w:qFormat/>
    <w:uiPriority w:val="99"/>
    <w:pPr>
      <w:widowControl/>
      <w:spacing w:line="360" w:lineRule="atLeast"/>
    </w:pPr>
    <w:rPr>
      <w:rFonts w:ascii="宋体" w:hAnsi="宋体" w:eastAsia="宋体" w:cs="宋体"/>
      <w:kern w:val="0"/>
      <w:sz w:val="24"/>
    </w:rPr>
  </w:style>
  <w:style w:type="paragraph" w:customStyle="1" w:styleId="543">
    <w:name w:val="pa-98"/>
    <w:basedOn w:val="1"/>
    <w:autoRedefine/>
    <w:qFormat/>
    <w:uiPriority w:val="99"/>
    <w:pPr>
      <w:widowControl/>
      <w:spacing w:line="720" w:lineRule="atLeast"/>
      <w:ind w:firstLine="480"/>
    </w:pPr>
    <w:rPr>
      <w:rFonts w:ascii="宋体" w:hAnsi="宋体" w:eastAsia="宋体" w:cs="宋体"/>
      <w:kern w:val="0"/>
      <w:sz w:val="24"/>
    </w:rPr>
  </w:style>
  <w:style w:type="paragraph" w:customStyle="1" w:styleId="544">
    <w:name w:val="pa-45"/>
    <w:basedOn w:val="1"/>
    <w:autoRedefine/>
    <w:qFormat/>
    <w:uiPriority w:val="99"/>
    <w:pPr>
      <w:widowControl/>
      <w:spacing w:line="280" w:lineRule="atLeast"/>
      <w:ind w:firstLine="420"/>
    </w:pPr>
    <w:rPr>
      <w:rFonts w:ascii="宋体" w:hAnsi="宋体" w:eastAsia="宋体" w:cs="宋体"/>
      <w:kern w:val="0"/>
      <w:sz w:val="24"/>
    </w:rPr>
  </w:style>
  <w:style w:type="paragraph" w:customStyle="1" w:styleId="545">
    <w:name w:val="pa-125"/>
    <w:basedOn w:val="1"/>
    <w:autoRedefine/>
    <w:qFormat/>
    <w:uiPriority w:val="99"/>
    <w:pPr>
      <w:widowControl/>
      <w:spacing w:line="480" w:lineRule="atLeast"/>
      <w:ind w:firstLine="1080"/>
    </w:pPr>
    <w:rPr>
      <w:rFonts w:ascii="宋体" w:hAnsi="宋体" w:eastAsia="宋体" w:cs="宋体"/>
      <w:kern w:val="0"/>
      <w:sz w:val="24"/>
    </w:rPr>
  </w:style>
  <w:style w:type="paragraph" w:customStyle="1" w:styleId="546">
    <w:name w:val="pa-132"/>
    <w:basedOn w:val="1"/>
    <w:autoRedefine/>
    <w:qFormat/>
    <w:uiPriority w:val="99"/>
    <w:pPr>
      <w:widowControl/>
      <w:spacing w:line="360" w:lineRule="atLeast"/>
    </w:pPr>
    <w:rPr>
      <w:rFonts w:ascii="宋体" w:hAnsi="宋体" w:eastAsia="宋体" w:cs="宋体"/>
      <w:kern w:val="0"/>
      <w:sz w:val="24"/>
    </w:rPr>
  </w:style>
  <w:style w:type="paragraph" w:customStyle="1" w:styleId="547">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eastAsia="宋体" w:cs="Times New Roman"/>
      <w:kern w:val="0"/>
      <w:sz w:val="20"/>
      <w:szCs w:val="20"/>
    </w:rPr>
  </w:style>
  <w:style w:type="paragraph" w:customStyle="1" w:styleId="548">
    <w:name w:val="pa-0"/>
    <w:basedOn w:val="1"/>
    <w:autoRedefine/>
    <w:qFormat/>
    <w:uiPriority w:val="99"/>
    <w:pPr>
      <w:widowControl/>
      <w:spacing w:line="520" w:lineRule="atLeast"/>
      <w:jc w:val="center"/>
    </w:pPr>
    <w:rPr>
      <w:rFonts w:ascii="宋体" w:hAnsi="宋体" w:eastAsia="宋体" w:cs="宋体"/>
      <w:kern w:val="0"/>
      <w:sz w:val="24"/>
    </w:rPr>
  </w:style>
  <w:style w:type="paragraph" w:customStyle="1" w:styleId="549">
    <w:name w:val="pa-70"/>
    <w:basedOn w:val="1"/>
    <w:autoRedefine/>
    <w:qFormat/>
    <w:uiPriority w:val="99"/>
    <w:pPr>
      <w:widowControl/>
      <w:spacing w:line="360" w:lineRule="atLeast"/>
      <w:ind w:firstLine="420"/>
      <w:jc w:val="left"/>
    </w:pPr>
    <w:rPr>
      <w:rFonts w:ascii="宋体" w:hAnsi="宋体" w:eastAsia="宋体" w:cs="宋体"/>
      <w:kern w:val="0"/>
      <w:sz w:val="24"/>
    </w:rPr>
  </w:style>
  <w:style w:type="paragraph" w:customStyle="1" w:styleId="550">
    <w:name w:val="Normal_17"/>
    <w:autoRedefine/>
    <w:qFormat/>
    <w:uiPriority w:val="99"/>
    <w:rPr>
      <w:rFonts w:ascii="黑体" w:hAnsi="黑体" w:eastAsia="黑体" w:cs="Times New Roman"/>
      <w:b/>
      <w:sz w:val="32"/>
      <w:szCs w:val="24"/>
      <w:lang w:val="en-US" w:eastAsia="zh-CN" w:bidi="ar-SA"/>
    </w:rPr>
  </w:style>
  <w:style w:type="paragraph" w:customStyle="1" w:styleId="551">
    <w:name w:val="pa-76"/>
    <w:basedOn w:val="1"/>
    <w:autoRedefine/>
    <w:qFormat/>
    <w:uiPriority w:val="99"/>
    <w:pPr>
      <w:widowControl/>
      <w:spacing w:line="400" w:lineRule="atLeast"/>
      <w:jc w:val="left"/>
    </w:pPr>
    <w:rPr>
      <w:rFonts w:ascii="宋体" w:hAnsi="宋体" w:eastAsia="宋体" w:cs="宋体"/>
      <w:kern w:val="0"/>
      <w:sz w:val="24"/>
    </w:rPr>
  </w:style>
  <w:style w:type="paragraph" w:customStyle="1" w:styleId="552">
    <w:name w:val="标题 4_0"/>
    <w:basedOn w:val="131"/>
    <w:next w:val="131"/>
    <w:autoRedefine/>
    <w:qFormat/>
    <w:uiPriority w:val="99"/>
    <w:pPr>
      <w:keepNext/>
      <w:keepLines/>
      <w:spacing w:before="280" w:after="290" w:line="374" w:lineRule="auto"/>
      <w:outlineLvl w:val="3"/>
    </w:pPr>
    <w:rPr>
      <w:rFonts w:ascii="Cambria Bold" w:hAnsi="Cambria Bold" w:eastAsia="ヒラギノ角ゴ Pro W3"/>
      <w:color w:val="000000"/>
      <w:sz w:val="28"/>
    </w:rPr>
  </w:style>
  <w:style w:type="paragraph" w:customStyle="1" w:styleId="553">
    <w:name w:val="ca-36"/>
    <w:basedOn w:val="1"/>
    <w:autoRedefine/>
    <w:qFormat/>
    <w:uiPriority w:val="99"/>
    <w:pPr>
      <w:widowControl/>
      <w:jc w:val="left"/>
    </w:pPr>
    <w:rPr>
      <w:rFonts w:ascii="宋体" w:hAnsi="宋体" w:eastAsia="宋体" w:cs="宋体"/>
      <w:b/>
      <w:bCs/>
      <w:spacing w:val="-20"/>
      <w:kern w:val="0"/>
      <w:szCs w:val="21"/>
    </w:rPr>
  </w:style>
  <w:style w:type="paragraph" w:customStyle="1" w:styleId="554">
    <w:name w:val="pa-123"/>
    <w:basedOn w:val="1"/>
    <w:autoRedefine/>
    <w:qFormat/>
    <w:uiPriority w:val="99"/>
    <w:pPr>
      <w:widowControl/>
      <w:spacing w:line="360" w:lineRule="atLeast"/>
    </w:pPr>
    <w:rPr>
      <w:rFonts w:ascii="宋体" w:hAnsi="宋体" w:eastAsia="宋体" w:cs="宋体"/>
      <w:kern w:val="0"/>
      <w:sz w:val="24"/>
    </w:rPr>
  </w:style>
  <w:style w:type="paragraph" w:customStyle="1" w:styleId="555">
    <w:name w:val="ca-31"/>
    <w:basedOn w:val="1"/>
    <w:autoRedefine/>
    <w:qFormat/>
    <w:uiPriority w:val="99"/>
    <w:pPr>
      <w:widowControl/>
      <w:jc w:val="left"/>
    </w:pPr>
    <w:rPr>
      <w:rFonts w:ascii="??" w:hAnsi="??" w:eastAsia="宋体" w:cs="宋体"/>
      <w:color w:val="000000"/>
      <w:kern w:val="0"/>
      <w:szCs w:val="21"/>
    </w:rPr>
  </w:style>
  <w:style w:type="paragraph" w:customStyle="1" w:styleId="556">
    <w:name w:val="ca-51"/>
    <w:basedOn w:val="1"/>
    <w:autoRedefine/>
    <w:qFormat/>
    <w:uiPriority w:val="99"/>
    <w:pPr>
      <w:widowControl/>
      <w:jc w:val="left"/>
    </w:pPr>
    <w:rPr>
      <w:rFonts w:ascii="Calibri" w:hAnsi="Calibri" w:eastAsia="宋体" w:cs="Times New Roman"/>
      <w:b/>
      <w:bCs/>
      <w:color w:val="000000"/>
      <w:spacing w:val="-20"/>
      <w:kern w:val="0"/>
      <w:sz w:val="32"/>
      <w:szCs w:val="32"/>
    </w:rPr>
  </w:style>
  <w:style w:type="paragraph" w:customStyle="1" w:styleId="557">
    <w:name w:val="pa-114"/>
    <w:basedOn w:val="1"/>
    <w:autoRedefine/>
    <w:qFormat/>
    <w:uiPriority w:val="99"/>
    <w:pPr>
      <w:widowControl/>
      <w:spacing w:line="280" w:lineRule="atLeast"/>
      <w:ind w:firstLine="2220"/>
    </w:pPr>
    <w:rPr>
      <w:rFonts w:ascii="宋体" w:hAnsi="宋体" w:eastAsia="宋体" w:cs="宋体"/>
      <w:kern w:val="0"/>
      <w:sz w:val="24"/>
    </w:rPr>
  </w:style>
  <w:style w:type="paragraph" w:customStyle="1" w:styleId="558">
    <w:name w:val="pa-142"/>
    <w:basedOn w:val="1"/>
    <w:autoRedefine/>
    <w:qFormat/>
    <w:uiPriority w:val="99"/>
    <w:pPr>
      <w:widowControl/>
      <w:spacing w:line="320" w:lineRule="atLeast"/>
      <w:ind w:firstLine="280"/>
      <w:jc w:val="right"/>
    </w:pPr>
    <w:rPr>
      <w:rFonts w:ascii="宋体" w:hAnsi="宋体" w:eastAsia="宋体" w:cs="宋体"/>
      <w:kern w:val="0"/>
      <w:sz w:val="24"/>
    </w:rPr>
  </w:style>
  <w:style w:type="paragraph" w:customStyle="1" w:styleId="559">
    <w:name w:val="xl42"/>
    <w:basedOn w:val="1"/>
    <w:autoRedefine/>
    <w:qFormat/>
    <w:uiPriority w:val="99"/>
    <w:pPr>
      <w:widowControl/>
      <w:pBdr>
        <w:top w:val="single" w:color="000000" w:sz="4" w:space="0"/>
        <w:left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60">
    <w:name w:val="xl72"/>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eastAsia="宋体" w:cs="宋体"/>
      <w:color w:val="000000"/>
      <w:kern w:val="0"/>
      <w:sz w:val="18"/>
      <w:szCs w:val="18"/>
    </w:rPr>
  </w:style>
  <w:style w:type="paragraph" w:customStyle="1" w:styleId="561">
    <w:name w:val="xl66"/>
    <w:basedOn w:val="1"/>
    <w:autoRedefine/>
    <w:qFormat/>
    <w:uiPriority w:val="99"/>
    <w:pPr>
      <w:widowControl/>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562">
    <w:name w:val="xl81"/>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Arial" w:hAnsi="Arial" w:eastAsia="宋体" w:cs="Arial"/>
      <w:color w:val="000000"/>
      <w:kern w:val="0"/>
      <w:sz w:val="18"/>
      <w:szCs w:val="18"/>
    </w:rPr>
  </w:style>
  <w:style w:type="paragraph" w:customStyle="1" w:styleId="563">
    <w:name w:val="xl67"/>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64">
    <w:name w:val="xl63"/>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44"/>
      <w:szCs w:val="44"/>
    </w:rPr>
  </w:style>
  <w:style w:type="paragraph" w:customStyle="1" w:styleId="565">
    <w:name w:val="xl65"/>
    <w:basedOn w:val="1"/>
    <w:autoRedefine/>
    <w:qFormat/>
    <w:uiPriority w:val="99"/>
    <w:pPr>
      <w:widowControl/>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66">
    <w:name w:val="xl77"/>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567">
    <w:name w:val="Normal_34"/>
    <w:autoRedefine/>
    <w:qFormat/>
    <w:uiPriority w:val="99"/>
    <w:pPr>
      <w:spacing w:before="120" w:after="240"/>
      <w:jc w:val="both"/>
    </w:pPr>
    <w:rPr>
      <w:rFonts w:ascii="Calibri" w:hAnsi="Calibri" w:eastAsia="Calibri" w:cs="Times New Roman"/>
      <w:sz w:val="22"/>
      <w:szCs w:val="22"/>
      <w:lang w:val="ru-RU" w:eastAsia="en-US" w:bidi="ar-SA"/>
    </w:rPr>
  </w:style>
  <w:style w:type="paragraph" w:customStyle="1" w:styleId="568">
    <w:name w:val="xl76"/>
    <w:basedOn w:val="1"/>
    <w:autoRedefine/>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pPr>
    <w:rPr>
      <w:rFonts w:ascii="宋体" w:hAnsi="宋体" w:eastAsia="宋体" w:cs="宋体"/>
      <w:color w:val="000000"/>
      <w:kern w:val="0"/>
      <w:sz w:val="18"/>
      <w:szCs w:val="18"/>
    </w:rPr>
  </w:style>
  <w:style w:type="paragraph" w:customStyle="1" w:styleId="569">
    <w:name w:val="xl80"/>
    <w:basedOn w:val="1"/>
    <w:autoRedefine/>
    <w:qFormat/>
    <w:uiPriority w:val="99"/>
    <w:pPr>
      <w:widowControl/>
      <w:pBdr>
        <w:top w:val="single" w:color="000000" w:sz="4" w:space="0"/>
        <w:bottom w:val="single" w:color="000000"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570">
    <w:name w:val="xl69"/>
    <w:basedOn w:val="1"/>
    <w:autoRedefine/>
    <w:qFormat/>
    <w:uiPriority w:val="99"/>
    <w:pPr>
      <w:widowControl/>
      <w:pBdr>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宋体" w:hAnsi="宋体" w:eastAsia="宋体" w:cs="宋体"/>
      <w:color w:val="000000"/>
      <w:kern w:val="0"/>
      <w:sz w:val="18"/>
      <w:szCs w:val="18"/>
    </w:rPr>
  </w:style>
  <w:style w:type="paragraph" w:customStyle="1" w:styleId="571">
    <w:name w:val="CM19"/>
    <w:basedOn w:val="160"/>
    <w:next w:val="160"/>
    <w:autoRedefine/>
    <w:qFormat/>
    <w:uiPriority w:val="99"/>
    <w:rPr>
      <w:rFonts w:ascii="仿宋" w:eastAsia="仿宋" w:cs="Times New Roman"/>
      <w:color w:val="auto"/>
    </w:rPr>
  </w:style>
  <w:style w:type="paragraph" w:customStyle="1" w:styleId="572">
    <w:name w:val="CM11"/>
    <w:basedOn w:val="160"/>
    <w:next w:val="160"/>
    <w:autoRedefine/>
    <w:qFormat/>
    <w:uiPriority w:val="99"/>
    <w:pPr>
      <w:spacing w:line="520" w:lineRule="atLeast"/>
    </w:pPr>
    <w:rPr>
      <w:rFonts w:ascii="仿宋" w:eastAsia="仿宋" w:cs="Times New Roman"/>
      <w:color w:val="auto"/>
    </w:rPr>
  </w:style>
  <w:style w:type="paragraph" w:customStyle="1" w:styleId="573">
    <w:name w:val="CM13"/>
    <w:basedOn w:val="160"/>
    <w:next w:val="160"/>
    <w:autoRedefine/>
    <w:qFormat/>
    <w:uiPriority w:val="99"/>
    <w:pPr>
      <w:spacing w:line="520" w:lineRule="atLeast"/>
    </w:pPr>
    <w:rPr>
      <w:rFonts w:ascii="仿宋" w:eastAsia="仿宋" w:cs="Times New Roman"/>
      <w:color w:val="auto"/>
    </w:rPr>
  </w:style>
  <w:style w:type="paragraph" w:customStyle="1" w:styleId="574">
    <w:name w:val="font0"/>
    <w:basedOn w:val="1"/>
    <w:autoRedefine/>
    <w:qFormat/>
    <w:uiPriority w:val="99"/>
    <w:pPr>
      <w:widowControl/>
      <w:spacing w:before="100" w:beforeAutospacing="1" w:after="100" w:afterAutospacing="1"/>
      <w:jc w:val="left"/>
    </w:pPr>
    <w:rPr>
      <w:rFonts w:ascii="宋体" w:hAnsi="宋体" w:eastAsia="宋体" w:cs="宋体"/>
      <w:color w:val="000000"/>
      <w:kern w:val="0"/>
      <w:sz w:val="22"/>
    </w:rPr>
  </w:style>
  <w:style w:type="paragraph" w:customStyle="1" w:styleId="575">
    <w:name w:val="font1"/>
    <w:basedOn w:val="1"/>
    <w:autoRedefine/>
    <w:qFormat/>
    <w:uiPriority w:val="99"/>
    <w:pPr>
      <w:widowControl/>
      <w:spacing w:before="100" w:beforeAutospacing="1" w:after="100" w:afterAutospacing="1"/>
      <w:jc w:val="left"/>
    </w:pPr>
    <w:rPr>
      <w:rFonts w:ascii="宋体" w:hAnsi="宋体" w:eastAsia="宋体" w:cs="宋体"/>
      <w:color w:val="000000"/>
      <w:kern w:val="0"/>
      <w:sz w:val="18"/>
      <w:szCs w:val="18"/>
    </w:rPr>
  </w:style>
  <w:style w:type="paragraph" w:customStyle="1" w:styleId="576">
    <w:name w:val="font2"/>
    <w:basedOn w:val="1"/>
    <w:autoRedefine/>
    <w:qFormat/>
    <w:uiPriority w:val="99"/>
    <w:pPr>
      <w:widowControl/>
      <w:spacing w:before="100" w:beforeAutospacing="1" w:after="100" w:afterAutospacing="1"/>
      <w:jc w:val="left"/>
    </w:pPr>
    <w:rPr>
      <w:rFonts w:ascii="宋体" w:hAnsi="宋体" w:eastAsia="宋体" w:cs="宋体"/>
      <w:b/>
      <w:bCs/>
      <w:color w:val="000000"/>
      <w:kern w:val="0"/>
      <w:sz w:val="18"/>
      <w:szCs w:val="18"/>
    </w:rPr>
  </w:style>
  <w:style w:type="paragraph" w:customStyle="1" w:styleId="577">
    <w:name w:val="font3"/>
    <w:basedOn w:val="1"/>
    <w:autoRedefine/>
    <w:qFormat/>
    <w:uiPriority w:val="99"/>
    <w:pPr>
      <w:widowControl/>
      <w:spacing w:before="100" w:beforeAutospacing="1" w:after="100" w:afterAutospacing="1"/>
      <w:jc w:val="left"/>
    </w:pPr>
    <w:rPr>
      <w:rFonts w:ascii="宋体" w:hAnsi="宋体" w:eastAsia="宋体" w:cs="宋体"/>
      <w:b/>
      <w:bCs/>
      <w:color w:val="000000"/>
      <w:kern w:val="0"/>
      <w:sz w:val="18"/>
      <w:szCs w:val="18"/>
    </w:rPr>
  </w:style>
  <w:style w:type="paragraph" w:customStyle="1" w:styleId="578">
    <w:name w:val="font4"/>
    <w:basedOn w:val="1"/>
    <w:autoRedefine/>
    <w:qFormat/>
    <w:uiPriority w:val="99"/>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579">
    <w:name w:val="font6"/>
    <w:basedOn w:val="1"/>
    <w:autoRedefine/>
    <w:qFormat/>
    <w:uiPriority w:val="99"/>
    <w:pPr>
      <w:widowControl/>
      <w:spacing w:before="100" w:beforeAutospacing="1" w:after="100" w:afterAutospacing="1"/>
      <w:jc w:val="left"/>
    </w:pPr>
    <w:rPr>
      <w:rFonts w:ascii="黑体" w:hAnsi="黑体" w:eastAsia="黑体" w:cs="宋体"/>
      <w:b/>
      <w:bCs/>
      <w:color w:val="000000"/>
      <w:kern w:val="0"/>
      <w:sz w:val="36"/>
      <w:szCs w:val="36"/>
    </w:rPr>
  </w:style>
  <w:style w:type="paragraph" w:customStyle="1" w:styleId="580">
    <w:name w:val="et3"/>
    <w:basedOn w:val="1"/>
    <w:autoRedefine/>
    <w:qFormat/>
    <w:uiPriority w:val="99"/>
    <w:pPr>
      <w:widowControl/>
      <w:spacing w:before="100" w:beforeAutospacing="1" w:after="100" w:afterAutospacing="1"/>
      <w:jc w:val="center"/>
    </w:pPr>
    <w:rPr>
      <w:rFonts w:ascii="黑体" w:hAnsi="黑体" w:eastAsia="黑体" w:cs="宋体"/>
      <w:b/>
      <w:bCs/>
      <w:kern w:val="0"/>
      <w:sz w:val="36"/>
      <w:szCs w:val="36"/>
    </w:rPr>
  </w:style>
  <w:style w:type="paragraph" w:customStyle="1" w:styleId="581">
    <w:name w:val="et4"/>
    <w:basedOn w:val="1"/>
    <w:autoRedefine/>
    <w:qFormat/>
    <w:uiPriority w:val="99"/>
    <w:pPr>
      <w:widowControl/>
      <w:spacing w:before="100" w:beforeAutospacing="1" w:after="100" w:afterAutospacing="1"/>
      <w:jc w:val="left"/>
    </w:pPr>
    <w:rPr>
      <w:rFonts w:ascii="宋体" w:hAnsi="宋体" w:eastAsia="宋体" w:cs="宋体"/>
      <w:kern w:val="0"/>
      <w:sz w:val="18"/>
      <w:szCs w:val="18"/>
    </w:rPr>
  </w:style>
  <w:style w:type="paragraph" w:customStyle="1" w:styleId="582">
    <w:name w:val="et5"/>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583">
    <w:name w:val="et6"/>
    <w:basedOn w:val="1"/>
    <w:autoRedefine/>
    <w:qFormat/>
    <w:uiPriority w:val="99"/>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84">
    <w:name w:val="et7"/>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85">
    <w:name w:val="et8"/>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b/>
      <w:bCs/>
      <w:color w:val="000000"/>
      <w:kern w:val="0"/>
      <w:sz w:val="18"/>
      <w:szCs w:val="18"/>
    </w:rPr>
  </w:style>
  <w:style w:type="paragraph" w:customStyle="1" w:styleId="586">
    <w:name w:val="et9"/>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587">
    <w:name w:val="et10"/>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eastAsia="宋体" w:cs="宋体"/>
      <w:color w:val="000000"/>
      <w:kern w:val="0"/>
      <w:sz w:val="18"/>
      <w:szCs w:val="18"/>
    </w:rPr>
  </w:style>
  <w:style w:type="paragraph" w:customStyle="1" w:styleId="588">
    <w:name w:val="et11"/>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18"/>
      <w:szCs w:val="18"/>
    </w:rPr>
  </w:style>
  <w:style w:type="paragraph" w:customStyle="1" w:styleId="589">
    <w:name w:val="et12"/>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color w:val="000000"/>
      <w:kern w:val="0"/>
      <w:sz w:val="18"/>
      <w:szCs w:val="18"/>
    </w:rPr>
  </w:style>
  <w:style w:type="paragraph" w:customStyle="1" w:styleId="590">
    <w:name w:val="et13"/>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eastAsia="宋体" w:cs="宋体"/>
      <w:kern w:val="0"/>
      <w:sz w:val="18"/>
      <w:szCs w:val="18"/>
    </w:rPr>
  </w:style>
  <w:style w:type="paragraph" w:customStyle="1" w:styleId="591">
    <w:name w:val="et14"/>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92">
    <w:name w:val="et15"/>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eastAsia="宋体" w:cs="宋体"/>
      <w:kern w:val="0"/>
      <w:sz w:val="18"/>
      <w:szCs w:val="18"/>
    </w:rPr>
  </w:style>
  <w:style w:type="paragraph" w:customStyle="1" w:styleId="593">
    <w:name w:val="et16"/>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24"/>
      <w:szCs w:val="24"/>
    </w:rPr>
  </w:style>
  <w:style w:type="paragraph" w:customStyle="1" w:styleId="594">
    <w:name w:val="et17"/>
    <w:basedOn w:val="1"/>
    <w:autoRedefine/>
    <w:qFormat/>
    <w:uiPriority w:val="99"/>
    <w:pPr>
      <w:widowControl/>
      <w:spacing w:before="100" w:beforeAutospacing="1" w:after="100" w:afterAutospacing="1"/>
      <w:jc w:val="center"/>
    </w:pPr>
    <w:rPr>
      <w:rFonts w:ascii="宋体" w:hAnsi="宋体" w:eastAsia="宋体" w:cs="宋体"/>
      <w:kern w:val="0"/>
      <w:sz w:val="18"/>
      <w:szCs w:val="18"/>
    </w:rPr>
  </w:style>
  <w:style w:type="paragraph" w:customStyle="1" w:styleId="595">
    <w:name w:val="et18"/>
    <w:basedOn w:val="1"/>
    <w:autoRedefine/>
    <w:qFormat/>
    <w:uiPriority w:val="99"/>
    <w:pPr>
      <w:widowControl/>
      <w:spacing w:before="100" w:beforeAutospacing="1" w:after="100" w:afterAutospacing="1"/>
      <w:jc w:val="right"/>
    </w:pPr>
    <w:rPr>
      <w:rFonts w:ascii="宋体" w:hAnsi="宋体" w:eastAsia="宋体" w:cs="宋体"/>
      <w:kern w:val="0"/>
      <w:sz w:val="18"/>
      <w:szCs w:val="18"/>
    </w:rPr>
  </w:style>
  <w:style w:type="paragraph" w:customStyle="1" w:styleId="596">
    <w:name w:val="et19"/>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97">
    <w:name w:val="et20"/>
    <w:basedOn w:val="1"/>
    <w:autoRedefine/>
    <w:qFormat/>
    <w:uiPriority w:val="99"/>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98">
    <w:name w:val="et21"/>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kern w:val="0"/>
      <w:sz w:val="18"/>
      <w:szCs w:val="18"/>
    </w:rPr>
  </w:style>
  <w:style w:type="paragraph" w:customStyle="1" w:styleId="599">
    <w:name w:val="et22"/>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18"/>
      <w:szCs w:val="18"/>
    </w:rPr>
  </w:style>
  <w:style w:type="paragraph" w:customStyle="1" w:styleId="600">
    <w:name w:val="et23"/>
    <w:basedOn w:val="1"/>
    <w:autoRedefine/>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18"/>
      <w:szCs w:val="18"/>
    </w:rPr>
  </w:style>
  <w:style w:type="character" w:customStyle="1" w:styleId="601">
    <w:name w:val="样式3 Char"/>
    <w:link w:val="602"/>
    <w:autoRedefine/>
    <w:qFormat/>
    <w:locked/>
    <w:uiPriority w:val="0"/>
    <w:rPr>
      <w:rFonts w:ascii="宋体" w:hAnsi="宋体" w:eastAsia="宋体"/>
      <w:sz w:val="24"/>
      <w:szCs w:val="24"/>
    </w:rPr>
  </w:style>
  <w:style w:type="paragraph" w:customStyle="1" w:styleId="602">
    <w:name w:val="样式3"/>
    <w:basedOn w:val="1"/>
    <w:link w:val="601"/>
    <w:autoRedefine/>
    <w:qFormat/>
    <w:uiPriority w:val="0"/>
    <w:pPr>
      <w:spacing w:line="360" w:lineRule="auto"/>
      <w:ind w:left="454" w:hanging="227"/>
    </w:pPr>
    <w:rPr>
      <w:rFonts w:ascii="宋体" w:hAnsi="宋体" w:eastAsia="宋体"/>
      <w:sz w:val="24"/>
      <w:szCs w:val="24"/>
    </w:rPr>
  </w:style>
  <w:style w:type="character" w:customStyle="1" w:styleId="603">
    <w:name w:val="样式 样式 首行缩进:  2.25 字符 + 首行缩进:  2.25 字符 Char"/>
    <w:link w:val="604"/>
    <w:autoRedefine/>
    <w:qFormat/>
    <w:locked/>
    <w:uiPriority w:val="0"/>
    <w:rPr>
      <w:rFonts w:ascii="宋体" w:hAnsi="宋体" w:eastAsia="宋体"/>
      <w:szCs w:val="21"/>
    </w:rPr>
  </w:style>
  <w:style w:type="paragraph" w:customStyle="1" w:styleId="604">
    <w:name w:val="样式 样式 首行缩进:  2.25 字符 + 首行缩进:  2.25 字符"/>
    <w:basedOn w:val="1"/>
    <w:link w:val="603"/>
    <w:autoRedefine/>
    <w:qFormat/>
    <w:uiPriority w:val="0"/>
    <w:pPr>
      <w:spacing w:line="360" w:lineRule="auto"/>
      <w:ind w:firstLine="420" w:firstLineChars="200"/>
    </w:pPr>
    <w:rPr>
      <w:rFonts w:ascii="宋体" w:hAnsi="宋体" w:eastAsia="宋体"/>
      <w:szCs w:val="21"/>
    </w:rPr>
  </w:style>
  <w:style w:type="character" w:customStyle="1" w:styleId="605">
    <w:name w:val="Char Char25"/>
    <w:link w:val="606"/>
    <w:autoRedefine/>
    <w:qFormat/>
    <w:locked/>
    <w:uiPriority w:val="0"/>
    <w:rPr>
      <w:rFonts w:ascii="Tahoma" w:hAnsi="Tahoma" w:cs="Tahoma"/>
      <w:sz w:val="24"/>
    </w:rPr>
  </w:style>
  <w:style w:type="paragraph" w:customStyle="1" w:styleId="606">
    <w:name w:val="Char3"/>
    <w:basedOn w:val="1"/>
    <w:link w:val="605"/>
    <w:autoRedefine/>
    <w:qFormat/>
    <w:uiPriority w:val="0"/>
    <w:rPr>
      <w:rFonts w:ascii="Tahoma" w:hAnsi="Tahoma" w:cs="Tahoma"/>
      <w:sz w:val="24"/>
    </w:rPr>
  </w:style>
  <w:style w:type="paragraph" w:customStyle="1" w:styleId="607">
    <w:name w:val="CM14"/>
    <w:basedOn w:val="160"/>
    <w:next w:val="160"/>
    <w:autoRedefine/>
    <w:qFormat/>
    <w:uiPriority w:val="99"/>
    <w:pPr>
      <w:spacing w:line="546" w:lineRule="atLeast"/>
    </w:pPr>
    <w:rPr>
      <w:rFonts w:ascii="仿宋" w:eastAsia="仿宋" w:cs="Times New Roman"/>
      <w:color w:val="auto"/>
    </w:rPr>
  </w:style>
  <w:style w:type="paragraph" w:customStyle="1" w:styleId="608">
    <w:name w:val="xl89"/>
    <w:basedOn w:val="1"/>
    <w:autoRedefine/>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609">
    <w:name w:val="表格(五号)"/>
    <w:basedOn w:val="1"/>
    <w:autoRedefine/>
    <w:qFormat/>
    <w:uiPriority w:val="99"/>
    <w:pPr>
      <w:adjustRightInd w:val="0"/>
      <w:snapToGrid w:val="0"/>
      <w:spacing w:before="60" w:after="60"/>
      <w:ind w:left="11"/>
      <w:jc w:val="center"/>
    </w:pPr>
    <w:rPr>
      <w:rFonts w:ascii="Times New Roman" w:hAnsi="Times New Roman" w:eastAsia="宋体" w:cs="Times New Roman"/>
      <w:kern w:val="0"/>
      <w:szCs w:val="20"/>
    </w:rPr>
  </w:style>
  <w:style w:type="paragraph" w:customStyle="1" w:styleId="610">
    <w:name w:val="标题6"/>
    <w:basedOn w:val="1"/>
    <w:next w:val="3"/>
    <w:autoRedefine/>
    <w:qFormat/>
    <w:uiPriority w:val="99"/>
    <w:pPr>
      <w:widowControl/>
      <w:snapToGrid w:val="0"/>
      <w:spacing w:beforeLines="50" w:afterLines="50" w:line="520" w:lineRule="atLeast"/>
      <w:ind w:firstLine="200" w:firstLineChars="200"/>
    </w:pPr>
    <w:rPr>
      <w:rFonts w:ascii="Times New Roman" w:hAnsi="Times New Roman" w:eastAsia="宋体" w:cs="Arial"/>
      <w:b/>
      <w:sz w:val="24"/>
      <w:szCs w:val="24"/>
    </w:rPr>
  </w:style>
  <w:style w:type="paragraph" w:customStyle="1" w:styleId="611">
    <w:name w:val="Char Char Char Char Char Char Char1"/>
    <w:basedOn w:val="1"/>
    <w:autoRedefine/>
    <w:qFormat/>
    <w:uiPriority w:val="99"/>
    <w:rPr>
      <w:rFonts w:ascii="Times New Roman" w:hAnsi="Times New Roman" w:eastAsia="宋体" w:cs="Times New Roman"/>
      <w:szCs w:val="24"/>
    </w:rPr>
  </w:style>
  <w:style w:type="paragraph" w:customStyle="1" w:styleId="612">
    <w:name w:val="Char11"/>
    <w:basedOn w:val="1"/>
    <w:autoRedefine/>
    <w:qFormat/>
    <w:uiPriority w:val="99"/>
    <w:rPr>
      <w:rFonts w:ascii="Times New Roman" w:hAnsi="Times New Roman" w:eastAsia="宋体" w:cs="Times New Roman"/>
      <w:szCs w:val="20"/>
    </w:rPr>
  </w:style>
  <w:style w:type="paragraph" w:customStyle="1" w:styleId="613">
    <w:name w:val="Char1 Char Char Char Char Char Char"/>
    <w:basedOn w:val="1"/>
    <w:autoRedefine/>
    <w:qFormat/>
    <w:uiPriority w:val="99"/>
    <w:rPr>
      <w:rFonts w:ascii="仿宋_GB2312" w:hAnsi="Times New Roman" w:eastAsia="仿宋_GB2312" w:cs="Times New Roman"/>
      <w:b/>
      <w:sz w:val="32"/>
      <w:szCs w:val="32"/>
    </w:rPr>
  </w:style>
  <w:style w:type="paragraph" w:customStyle="1" w:styleId="614">
    <w:name w:val="样式 样式 标题 3 + (符号) 宋体 四号 加粗 黑色 段前: 0 磅 段后: 0 磅 行距: 固定值 22 磅 + 段前:..."/>
    <w:basedOn w:val="1"/>
    <w:autoRedefine/>
    <w:qFormat/>
    <w:uiPriority w:val="99"/>
    <w:pPr>
      <w:keepNext/>
      <w:keepLines/>
      <w:tabs>
        <w:tab w:val="left" w:pos="1275"/>
      </w:tabs>
      <w:spacing w:beforeLines="50" w:afterLines="50" w:line="580" w:lineRule="exact"/>
      <w:jc w:val="left"/>
      <w:outlineLvl w:val="2"/>
    </w:pPr>
    <w:rPr>
      <w:rFonts w:ascii="宋体" w:hAnsi="宋体" w:eastAsia="宋体" w:cs="Times New Roman"/>
      <w:b/>
      <w:bCs/>
      <w:color w:val="000000"/>
      <w:kern w:val="24"/>
      <w:sz w:val="28"/>
      <w:szCs w:val="20"/>
    </w:rPr>
  </w:style>
  <w:style w:type="paragraph" w:customStyle="1" w:styleId="615">
    <w:name w:val="菲页2"/>
    <w:basedOn w:val="5"/>
    <w:autoRedefine/>
    <w:qFormat/>
    <w:uiPriority w:val="99"/>
    <w:pPr>
      <w:widowControl/>
      <w:tabs>
        <w:tab w:val="left" w:pos="1680"/>
      </w:tabs>
      <w:spacing w:before="120" w:after="120" w:line="360" w:lineRule="auto"/>
      <w:ind w:left="1680" w:hanging="420"/>
      <w:jc w:val="center"/>
    </w:pPr>
    <w:rPr>
      <w:rFonts w:ascii="黑体" w:hAnsi="宋体" w:eastAsia="黑体"/>
      <w:b w:val="0"/>
      <w:bCs w:val="0"/>
      <w:sz w:val="44"/>
      <w:szCs w:val="20"/>
    </w:rPr>
  </w:style>
  <w:style w:type="paragraph" w:customStyle="1" w:styleId="616">
    <w:name w:val="xl82"/>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黑体" w:eastAsia="黑体" w:cs="宋体"/>
      <w:kern w:val="0"/>
      <w:sz w:val="20"/>
      <w:szCs w:val="20"/>
    </w:rPr>
  </w:style>
  <w:style w:type="paragraph" w:customStyle="1" w:styleId="617">
    <w:name w:val="正文文本缩进1"/>
    <w:basedOn w:val="1"/>
    <w:autoRedefine/>
    <w:qFormat/>
    <w:uiPriority w:val="99"/>
    <w:pPr>
      <w:spacing w:before="120" w:after="120" w:line="360" w:lineRule="auto"/>
      <w:ind w:left="420" w:leftChars="200"/>
    </w:pPr>
    <w:rPr>
      <w:rFonts w:ascii="Times New Roman" w:hAnsi="Times New Roman" w:eastAsia="宋体" w:cs="Times New Roman"/>
      <w:sz w:val="20"/>
      <w:szCs w:val="20"/>
    </w:rPr>
  </w:style>
  <w:style w:type="paragraph" w:customStyle="1" w:styleId="618">
    <w:name w:val="xl85"/>
    <w:basedOn w:val="1"/>
    <w:autoRedefine/>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19">
    <w:name w:val="样式4"/>
    <w:basedOn w:val="5"/>
    <w:autoRedefine/>
    <w:qFormat/>
    <w:uiPriority w:val="99"/>
    <w:pPr>
      <w:spacing w:line="412" w:lineRule="auto"/>
      <w:ind w:left="720" w:hanging="720"/>
    </w:pPr>
    <w:rPr>
      <w:rFonts w:eastAsia="Arial"/>
      <w:kern w:val="2"/>
    </w:rPr>
  </w:style>
  <w:style w:type="paragraph" w:customStyle="1" w:styleId="620">
    <w:name w:val="引用2"/>
    <w:basedOn w:val="1"/>
    <w:next w:val="1"/>
    <w:autoRedefine/>
    <w:qFormat/>
    <w:uiPriority w:val="99"/>
    <w:rPr>
      <w:rFonts w:ascii="Times New Roman" w:hAnsi="Times New Roman" w:eastAsia="Times New Roman" w:cs="Times New Roman"/>
      <w:i/>
      <w:color w:val="000000"/>
      <w:sz w:val="22"/>
      <w:szCs w:val="20"/>
    </w:rPr>
  </w:style>
  <w:style w:type="paragraph" w:customStyle="1" w:styleId="621">
    <w:name w:val="xl83"/>
    <w:basedOn w:val="1"/>
    <w:autoRedefine/>
    <w:qFormat/>
    <w:uiPriority w:val="99"/>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22">
    <w:name w:val="Char Char1 Char1"/>
    <w:basedOn w:val="1"/>
    <w:autoRedefine/>
    <w:qFormat/>
    <w:uiPriority w:val="99"/>
    <w:rPr>
      <w:rFonts w:ascii="Times New Roman" w:hAnsi="Times New Roman" w:eastAsia="宋体" w:cs="Times New Roman"/>
      <w:szCs w:val="24"/>
    </w:rPr>
  </w:style>
  <w:style w:type="paragraph" w:customStyle="1" w:styleId="623">
    <w:name w:val="菲页(卷)"/>
    <w:basedOn w:val="3"/>
    <w:next w:val="524"/>
    <w:autoRedefine/>
    <w:qFormat/>
    <w:uiPriority w:val="99"/>
    <w:pPr>
      <w:widowControl/>
      <w:tabs>
        <w:tab w:val="left" w:pos="432"/>
        <w:tab w:val="left" w:pos="840"/>
      </w:tabs>
      <w:ind w:left="840" w:hanging="420"/>
      <w:outlineLvl w:val="1"/>
    </w:pPr>
    <w:rPr>
      <w:rFonts w:ascii="黑体" w:eastAsia="黑体"/>
      <w:b w:val="0"/>
      <w:bCs w:val="0"/>
      <w:sz w:val="52"/>
      <w:szCs w:val="20"/>
    </w:rPr>
  </w:style>
  <w:style w:type="paragraph" w:customStyle="1" w:styleId="624">
    <w:name w:val="xl84"/>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25">
    <w:name w:val="部分1"/>
    <w:basedOn w:val="1"/>
    <w:autoRedefine/>
    <w:qFormat/>
    <w:uiPriority w:val="99"/>
    <w:pPr>
      <w:keepNext/>
      <w:pageBreakBefore/>
      <w:tabs>
        <w:tab w:val="left" w:pos="720"/>
      </w:tabs>
      <w:spacing w:line="360" w:lineRule="auto"/>
      <w:jc w:val="center"/>
      <w:outlineLvl w:val="0"/>
    </w:pPr>
    <w:rPr>
      <w:rFonts w:ascii="Times New Roman" w:hAnsi="Times New Roman" w:eastAsia="黑体" w:cs="Times New Roman"/>
      <w:b/>
      <w:kern w:val="44"/>
      <w:sz w:val="36"/>
      <w:szCs w:val="20"/>
    </w:rPr>
  </w:style>
  <w:style w:type="paragraph" w:customStyle="1" w:styleId="626">
    <w:name w:val="Char Char Char Char2"/>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627">
    <w:name w:val="Char Char Char Char1"/>
    <w:basedOn w:val="1"/>
    <w:autoRedefine/>
    <w:qFormat/>
    <w:uiPriority w:val="99"/>
    <w:rPr>
      <w:rFonts w:ascii="Times New Roman" w:hAnsi="Times New Roman" w:eastAsia="宋体" w:cs="Times New Roman"/>
      <w:szCs w:val="24"/>
    </w:rPr>
  </w:style>
  <w:style w:type="paragraph" w:customStyle="1" w:styleId="628">
    <w:name w:val="菲页1"/>
    <w:basedOn w:val="4"/>
    <w:autoRedefine/>
    <w:qFormat/>
    <w:uiPriority w:val="99"/>
    <w:pPr>
      <w:widowControl/>
      <w:spacing w:line="412" w:lineRule="auto"/>
      <w:jc w:val="center"/>
    </w:pPr>
    <w:rPr>
      <w:rFonts w:ascii="黑体" w:hAnsi="宋体" w:eastAsia="黑体"/>
      <w:b w:val="0"/>
      <w:bCs w:val="0"/>
      <w:kern w:val="0"/>
      <w:sz w:val="52"/>
      <w:szCs w:val="20"/>
    </w:rPr>
  </w:style>
  <w:style w:type="paragraph" w:customStyle="1" w:styleId="629">
    <w:name w:val="样式 标题 2 + (中文) 黑体 四号 黑色"/>
    <w:basedOn w:val="4"/>
    <w:autoRedefine/>
    <w:qFormat/>
    <w:uiPriority w:val="99"/>
    <w:pPr>
      <w:spacing w:line="520" w:lineRule="exact"/>
      <w:jc w:val="left"/>
    </w:pPr>
    <w:rPr>
      <w:rFonts w:ascii="Arial" w:hAnsi="Arial" w:eastAsia="黑体"/>
      <w:color w:val="000000"/>
      <w:kern w:val="24"/>
      <w:sz w:val="28"/>
      <w:szCs w:val="20"/>
    </w:rPr>
  </w:style>
  <w:style w:type="paragraph" w:customStyle="1" w:styleId="630">
    <w:name w:val="Char Char Char Char Char Char Char Char Char Char Char Char Char Char Char Char Char Char Char Char Char Char Char Char Char Char Char Char Char Char Char Char Char1"/>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631">
    <w:name w:val="xl87"/>
    <w:basedOn w:val="1"/>
    <w:autoRedefine/>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32">
    <w:name w:val="样式 标题 3 + 段前: 7.8 磅"/>
    <w:basedOn w:val="5"/>
    <w:autoRedefine/>
    <w:qFormat/>
    <w:uiPriority w:val="99"/>
    <w:pPr>
      <w:keepNext w:val="0"/>
      <w:keepLines w:val="0"/>
      <w:tabs>
        <w:tab w:val="left" w:pos="432"/>
      </w:tabs>
      <w:spacing w:before="156" w:after="0" w:line="360" w:lineRule="auto"/>
      <w:ind w:left="432" w:hanging="432"/>
    </w:pPr>
    <w:rPr>
      <w:rFonts w:cs="宋体"/>
      <w:b w:val="0"/>
      <w:bCs w:val="0"/>
      <w:kern w:val="2"/>
      <w:sz w:val="24"/>
      <w:szCs w:val="20"/>
    </w:rPr>
  </w:style>
  <w:style w:type="paragraph" w:customStyle="1" w:styleId="633">
    <w:name w:val="_Style 5"/>
    <w:basedOn w:val="1"/>
    <w:autoRedefine/>
    <w:qFormat/>
    <w:uiPriority w:val="99"/>
    <w:pPr>
      <w:widowControl/>
      <w:spacing w:after="160" w:line="240" w:lineRule="exact"/>
      <w:jc w:val="left"/>
    </w:pPr>
    <w:rPr>
      <w:rFonts w:ascii="Times New Roman" w:hAnsi="Times New Roman" w:eastAsia="宋体" w:cs="Times New Roman"/>
      <w:szCs w:val="24"/>
    </w:rPr>
  </w:style>
  <w:style w:type="paragraph" w:customStyle="1" w:styleId="634">
    <w:name w:val="xl45"/>
    <w:basedOn w:val="1"/>
    <w:autoRedefine/>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Cs/>
      <w:kern w:val="0"/>
      <w:sz w:val="24"/>
      <w:szCs w:val="24"/>
    </w:rPr>
  </w:style>
  <w:style w:type="paragraph" w:customStyle="1" w:styleId="635">
    <w:name w:val="xl90"/>
    <w:basedOn w:val="1"/>
    <w:autoRedefine/>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636">
    <w:name w:val="样式 标题 3h3标题 3(节)H3l3CTsect1.2.3Heading 3 - old一level_3..."/>
    <w:basedOn w:val="5"/>
    <w:autoRedefine/>
    <w:qFormat/>
    <w:uiPriority w:val="99"/>
    <w:pPr>
      <w:tabs>
        <w:tab w:val="left" w:pos="720"/>
      </w:tabs>
      <w:adjustRightInd w:val="0"/>
      <w:spacing w:line="360" w:lineRule="auto"/>
      <w:ind w:left="720" w:hanging="720"/>
      <w:jc w:val="left"/>
    </w:pPr>
    <w:rPr>
      <w:rFonts w:ascii="宋体" w:hAnsi="Arial"/>
      <w:kern w:val="24"/>
      <w:sz w:val="24"/>
      <w:szCs w:val="20"/>
    </w:rPr>
  </w:style>
  <w:style w:type="paragraph" w:customStyle="1" w:styleId="637">
    <w:name w:val="xl86"/>
    <w:basedOn w:val="1"/>
    <w:autoRedefine/>
    <w:qFormat/>
    <w:uiPriority w:val="99"/>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638">
    <w:name w:val="正文文本缩进2"/>
    <w:basedOn w:val="1"/>
    <w:autoRedefine/>
    <w:qFormat/>
    <w:uiPriority w:val="99"/>
    <w:pPr>
      <w:spacing w:before="120" w:after="120" w:line="360" w:lineRule="auto"/>
      <w:ind w:left="420" w:leftChars="200"/>
    </w:pPr>
    <w:rPr>
      <w:rFonts w:ascii="Times New Roman" w:hAnsi="Times New Roman" w:eastAsia="宋体" w:cs="Times New Roman"/>
      <w:sz w:val="20"/>
      <w:szCs w:val="20"/>
    </w:rPr>
  </w:style>
  <w:style w:type="paragraph" w:customStyle="1" w:styleId="639">
    <w:name w:val="明显引用21"/>
    <w:basedOn w:val="1"/>
    <w:next w:val="1"/>
    <w:autoRedefine/>
    <w:qFormat/>
    <w:uiPriority w:val="99"/>
    <w:pPr>
      <w:pBdr>
        <w:bottom w:val="single" w:color="4F81BD" w:sz="4" w:space="4"/>
      </w:pBdr>
      <w:spacing w:before="200" w:after="280"/>
      <w:ind w:left="936" w:right="936"/>
    </w:pPr>
    <w:rPr>
      <w:rFonts w:ascii="Times New Roman" w:hAnsi="Times New Roman" w:eastAsia="Times New Roman" w:cs="Times New Roman"/>
      <w:b/>
      <w:i/>
      <w:color w:val="4F81BD"/>
      <w:sz w:val="22"/>
      <w:szCs w:val="20"/>
    </w:rPr>
  </w:style>
  <w:style w:type="paragraph" w:customStyle="1" w:styleId="640">
    <w:name w:val="样式 样式 标题 4 + 非加粗 + (中文) 黑体 段前: 0 磅 段后: 0 磅 行距: 固定值 22 磅"/>
    <w:basedOn w:val="1"/>
    <w:autoRedefine/>
    <w:qFormat/>
    <w:uiPriority w:val="99"/>
    <w:pPr>
      <w:keepNext/>
      <w:keepLines/>
      <w:spacing w:beforeLines="50" w:afterLines="50" w:line="500" w:lineRule="exact"/>
      <w:outlineLvl w:val="3"/>
    </w:pPr>
    <w:rPr>
      <w:rFonts w:ascii="Arial" w:hAnsi="Arial" w:eastAsia="宋体" w:cs="宋体"/>
      <w:b/>
      <w:bCs/>
      <w:sz w:val="24"/>
      <w:szCs w:val="24"/>
    </w:rPr>
  </w:style>
  <w:style w:type="paragraph" w:customStyle="1" w:styleId="641">
    <w:name w:val="xl88"/>
    <w:basedOn w:val="1"/>
    <w:autoRedefine/>
    <w:qFormat/>
    <w:uiPriority w:val="99"/>
    <w:pPr>
      <w:widowControl/>
      <w:pBdr>
        <w:bottom w:val="single" w:color="auto" w:sz="4" w:space="0"/>
      </w:pBdr>
      <w:spacing w:before="100" w:beforeAutospacing="1" w:after="100" w:afterAutospacing="1"/>
      <w:jc w:val="center"/>
    </w:pPr>
    <w:rPr>
      <w:rFonts w:ascii="黑体" w:hAnsi="黑体" w:eastAsia="黑体" w:cs="宋体"/>
      <w:kern w:val="0"/>
      <w:sz w:val="32"/>
      <w:szCs w:val="32"/>
    </w:rPr>
  </w:style>
  <w:style w:type="paragraph" w:customStyle="1" w:styleId="642">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43">
    <w:name w:val="Char Char Char Char Char Char Char"/>
    <w:basedOn w:val="1"/>
    <w:autoRedefine/>
    <w:qFormat/>
    <w:uiPriority w:val="99"/>
    <w:rPr>
      <w:rFonts w:ascii="Times New Roman" w:hAnsi="Times New Roman" w:eastAsia="宋体" w:cs="Times New Roman"/>
      <w:szCs w:val="24"/>
    </w:rPr>
  </w:style>
  <w:style w:type="paragraph" w:customStyle="1" w:styleId="644">
    <w:name w:val="Char Char Char Char Char Char Char Char Char Char Char Char Char Char Char Char Char Char Char Char Char Char Char Char Char Char Char Char Char Char Char Char Char2"/>
    <w:basedOn w:val="1"/>
    <w:autoRedefine/>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645">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646">
    <w:name w:val="Char4"/>
    <w:basedOn w:val="15"/>
    <w:autoRedefine/>
    <w:qFormat/>
    <w:uiPriority w:val="99"/>
    <w:pPr>
      <w:widowControl/>
      <w:spacing w:line="360" w:lineRule="auto"/>
      <w:ind w:firstLine="480" w:firstLineChars="200"/>
      <w:jc w:val="left"/>
    </w:pPr>
    <w:rPr>
      <w:rFonts w:ascii="Calibri" w:hAnsi="Calibri" w:eastAsia="微软雅黑"/>
      <w:szCs w:val="24"/>
    </w:rPr>
  </w:style>
  <w:style w:type="paragraph" w:customStyle="1" w:styleId="647">
    <w:name w:val="Char1 Char Char Char"/>
    <w:basedOn w:val="1"/>
    <w:autoRedefine/>
    <w:qFormat/>
    <w:uiPriority w:val="99"/>
    <w:rPr>
      <w:rFonts w:ascii="Times New Roman" w:hAnsi="Times New Roman" w:eastAsia="宋体" w:cs="Times New Roman"/>
      <w:szCs w:val="20"/>
    </w:rPr>
  </w:style>
  <w:style w:type="paragraph" w:customStyle="1" w:styleId="648">
    <w:name w:val="样式 标题 3 + Calibri 加粗 左侧:  0 厘米"/>
    <w:basedOn w:val="5"/>
    <w:autoRedefine/>
    <w:qFormat/>
    <w:uiPriority w:val="99"/>
    <w:pPr>
      <w:keepNext w:val="0"/>
      <w:keepLines w:val="0"/>
      <w:spacing w:before="0" w:after="0" w:line="360" w:lineRule="auto"/>
      <w:ind w:firstLine="200" w:firstLineChars="200"/>
      <w:jc w:val="center"/>
    </w:pPr>
    <w:rPr>
      <w:rFonts w:ascii="Calibri" w:hAnsi="Calibri" w:eastAsia="华文中宋" w:cs="宋体"/>
      <w:kern w:val="2"/>
      <w:sz w:val="28"/>
      <w:szCs w:val="20"/>
    </w:rPr>
  </w:style>
  <w:style w:type="paragraph" w:customStyle="1" w:styleId="649">
    <w:name w:val="Char Char4 Char Char Char Char"/>
    <w:basedOn w:val="1"/>
    <w:autoRedefine/>
    <w:qFormat/>
    <w:uiPriority w:val="99"/>
    <w:rPr>
      <w:rFonts w:ascii="Times New Roman" w:hAnsi="Times New Roman" w:eastAsia="仿宋_GB2312" w:cs="Times New Roman"/>
      <w:sz w:val="28"/>
      <w:szCs w:val="24"/>
    </w:rPr>
  </w:style>
  <w:style w:type="paragraph" w:customStyle="1" w:styleId="650">
    <w:name w:val="Char Char Char Char Char Char Char Char Char Char Char Char Char Char Char Char Char Char Char Char Char Char Char Char Char"/>
    <w:basedOn w:val="1"/>
    <w:autoRedefine/>
    <w:qFormat/>
    <w:uiPriority w:val="99"/>
    <w:rPr>
      <w:rFonts w:ascii="Tahoma" w:hAnsi="Tahoma" w:eastAsia="宋体" w:cs="Times New Roman"/>
      <w:sz w:val="24"/>
      <w:szCs w:val="20"/>
    </w:rPr>
  </w:style>
  <w:style w:type="paragraph" w:customStyle="1" w:styleId="651">
    <w:name w:val="样式 纯文本普通文字 Char纯文本 Char Char普通文字纯文本 Char Char Char Char Char..."/>
    <w:basedOn w:val="3"/>
    <w:next w:val="3"/>
    <w:autoRedefine/>
    <w:qFormat/>
    <w:uiPriority w:val="99"/>
    <w:pPr>
      <w:keepLines/>
      <w:spacing w:line="360" w:lineRule="auto"/>
      <w:jc w:val="both"/>
    </w:pPr>
    <w:rPr>
      <w:rFonts w:ascii="宋体" w:hAnsi="Calibri" w:eastAsia="微软雅黑"/>
      <w:color w:val="000000"/>
      <w:kern w:val="44"/>
      <w:sz w:val="36"/>
      <w:szCs w:val="44"/>
    </w:rPr>
  </w:style>
  <w:style w:type="paragraph" w:customStyle="1" w:styleId="652">
    <w:name w:val="正文宋体"/>
    <w:basedOn w:val="1"/>
    <w:autoRedefine/>
    <w:qFormat/>
    <w:uiPriority w:val="99"/>
    <w:pPr>
      <w:spacing w:line="360" w:lineRule="auto"/>
    </w:pPr>
    <w:rPr>
      <w:rFonts w:ascii="宋体" w:hAnsi="宋体" w:eastAsia="宋体" w:cs="Times New Roman"/>
      <w:sz w:val="24"/>
      <w:szCs w:val="24"/>
    </w:rPr>
  </w:style>
  <w:style w:type="paragraph" w:customStyle="1" w:styleId="653">
    <w:name w:val="样式 标题 3 + 小三"/>
    <w:basedOn w:val="5"/>
    <w:autoRedefine/>
    <w:qFormat/>
    <w:uiPriority w:val="99"/>
    <w:pPr>
      <w:tabs>
        <w:tab w:val="left" w:pos="420"/>
      </w:tabs>
      <w:adjustRightInd w:val="0"/>
      <w:snapToGrid w:val="0"/>
      <w:spacing w:before="0" w:beforeLines="200" w:after="0" w:line="408" w:lineRule="auto"/>
      <w:ind w:firstLine="604" w:firstLineChars="100"/>
      <w:jc w:val="center"/>
    </w:pPr>
    <w:rPr>
      <w:rFonts w:ascii="宋体" w:eastAsia="华文中宋"/>
      <w:bCs w:val="0"/>
      <w:kern w:val="2"/>
      <w:sz w:val="30"/>
      <w:szCs w:val="20"/>
    </w:rPr>
  </w:style>
  <w:style w:type="paragraph" w:customStyle="1" w:styleId="654">
    <w:name w:val="Char1 Char Char Char1"/>
    <w:basedOn w:val="1"/>
    <w:autoRedefine/>
    <w:qFormat/>
    <w:uiPriority w:val="99"/>
    <w:rPr>
      <w:rFonts w:ascii="Times New Roman" w:hAnsi="Times New Roman" w:eastAsia="宋体" w:cs="Times New Roman"/>
      <w:szCs w:val="20"/>
    </w:rPr>
  </w:style>
  <w:style w:type="paragraph" w:customStyle="1" w:styleId="655">
    <w:name w:val="Char41"/>
    <w:basedOn w:val="15"/>
    <w:autoRedefine/>
    <w:qFormat/>
    <w:uiPriority w:val="99"/>
    <w:pPr>
      <w:widowControl/>
      <w:spacing w:line="360" w:lineRule="auto"/>
      <w:ind w:firstLine="480" w:firstLineChars="200"/>
      <w:jc w:val="left"/>
    </w:pPr>
    <w:rPr>
      <w:rFonts w:ascii="Calibri" w:hAnsi="Calibri" w:eastAsia="微软雅黑"/>
      <w:szCs w:val="24"/>
    </w:rPr>
  </w:style>
  <w:style w:type="character" w:customStyle="1" w:styleId="656">
    <w:name w:val="样式 标题 2 + 小四 Char Char"/>
    <w:link w:val="657"/>
    <w:autoRedefine/>
    <w:qFormat/>
    <w:locked/>
    <w:uiPriority w:val="0"/>
    <w:rPr>
      <w:rFonts w:ascii="宋体" w:hAnsi="宋体" w:eastAsia="微软雅黑"/>
      <w:b/>
      <w:sz w:val="36"/>
    </w:rPr>
  </w:style>
  <w:style w:type="paragraph" w:customStyle="1" w:styleId="657">
    <w:name w:val="样式 标题 2 + 小四"/>
    <w:basedOn w:val="4"/>
    <w:link w:val="656"/>
    <w:autoRedefine/>
    <w:qFormat/>
    <w:uiPriority w:val="0"/>
    <w:pPr>
      <w:tabs>
        <w:tab w:val="left" w:pos="420"/>
      </w:tabs>
      <w:spacing w:line="408" w:lineRule="auto"/>
      <w:jc w:val="center"/>
    </w:pPr>
    <w:rPr>
      <w:rFonts w:ascii="宋体" w:hAnsi="宋体" w:eastAsia="微软雅黑" w:cstheme="minorBidi"/>
      <w:bCs w:val="0"/>
      <w:sz w:val="36"/>
      <w:szCs w:val="22"/>
    </w:rPr>
  </w:style>
  <w:style w:type="paragraph" w:customStyle="1" w:styleId="658">
    <w:name w:val="样式 纯文本普通文字 Char纯文本 Char Char普通文字纯文本 Char Char Char Char Char...2"/>
    <w:basedOn w:val="5"/>
    <w:next w:val="5"/>
    <w:autoRedefine/>
    <w:qFormat/>
    <w:uiPriority w:val="99"/>
    <w:pPr>
      <w:keepNext w:val="0"/>
      <w:keepLines w:val="0"/>
      <w:tabs>
        <w:tab w:val="left" w:pos="360"/>
      </w:tabs>
      <w:spacing w:before="0" w:after="0" w:line="240" w:lineRule="auto"/>
      <w:ind w:left="2223" w:firstLine="225" w:firstLineChars="225"/>
      <w:jc w:val="center"/>
    </w:pPr>
    <w:rPr>
      <w:rFonts w:eastAsia="华文中宋" w:cs="宋体"/>
      <w:b w:val="0"/>
      <w:color w:val="000000"/>
      <w:kern w:val="2"/>
      <w:sz w:val="28"/>
      <w:szCs w:val="20"/>
    </w:rPr>
  </w:style>
  <w:style w:type="paragraph" w:customStyle="1" w:styleId="659">
    <w:name w:val="No Spacing1"/>
    <w:autoRedefine/>
    <w:qFormat/>
    <w:uiPriority w:val="99"/>
    <w:rPr>
      <w:rFonts w:ascii="Calibri" w:hAnsi="Calibri" w:eastAsia="宋体" w:cs="Times New Roman"/>
      <w:sz w:val="22"/>
      <w:szCs w:val="22"/>
      <w:lang w:val="en-US" w:eastAsia="en-US" w:bidi="ar-SA"/>
    </w:rPr>
  </w:style>
  <w:style w:type="paragraph" w:customStyle="1" w:styleId="660">
    <w:name w:val="四级目录 Char Char Char Char Char"/>
    <w:next w:val="1"/>
    <w:autoRedefine/>
    <w:qFormat/>
    <w:uiPriority w:val="99"/>
    <w:pPr>
      <w:spacing w:line="360" w:lineRule="auto"/>
      <w:ind w:left="200" w:leftChars="200"/>
    </w:pPr>
    <w:rPr>
      <w:rFonts w:ascii="Times New Roman" w:hAnsi="Times New Roman" w:eastAsia="宋体" w:cs="Times New Roman"/>
      <w:lang w:val="en-US" w:eastAsia="zh-CN" w:bidi="ar-SA"/>
    </w:rPr>
  </w:style>
  <w:style w:type="paragraph" w:customStyle="1" w:styleId="661">
    <w:name w:val="普通(网站)1"/>
    <w:basedOn w:val="1"/>
    <w:autoRedefine/>
    <w:qFormat/>
    <w:uiPriority w:val="99"/>
    <w:pPr>
      <w:widowControl/>
      <w:jc w:val="left"/>
    </w:pPr>
    <w:rPr>
      <w:rFonts w:ascii="ˎ̥" w:hAnsi="ˎ̥" w:eastAsia="宋体" w:cs="宋体"/>
      <w:color w:val="000000"/>
      <w:kern w:val="0"/>
      <w:sz w:val="13"/>
      <w:szCs w:val="13"/>
    </w:rPr>
  </w:style>
  <w:style w:type="character" w:customStyle="1" w:styleId="662">
    <w:name w:val="无间隔 字符"/>
    <w:link w:val="663"/>
    <w:autoRedefine/>
    <w:qFormat/>
    <w:locked/>
    <w:uiPriority w:val="0"/>
    <w:rPr>
      <w:rFonts w:ascii="Calibri" w:hAnsi="Calibri" w:eastAsia="微软雅黑" w:cs="Calibri"/>
    </w:rPr>
  </w:style>
  <w:style w:type="paragraph" w:customStyle="1" w:styleId="663">
    <w:name w:val="无间隔11"/>
    <w:link w:val="662"/>
    <w:autoRedefine/>
    <w:qFormat/>
    <w:uiPriority w:val="0"/>
    <w:pPr>
      <w:widowControl w:val="0"/>
      <w:jc w:val="both"/>
    </w:pPr>
    <w:rPr>
      <w:rFonts w:ascii="Calibri" w:hAnsi="Calibri" w:eastAsia="微软雅黑" w:cs="Calibri"/>
      <w:kern w:val="2"/>
      <w:sz w:val="21"/>
      <w:szCs w:val="22"/>
      <w:lang w:val="en-US" w:eastAsia="zh-CN" w:bidi="ar-SA"/>
    </w:rPr>
  </w:style>
  <w:style w:type="paragraph" w:customStyle="1" w:styleId="664">
    <w:name w:val="Char2"/>
    <w:basedOn w:val="1"/>
    <w:autoRedefine/>
    <w:qFormat/>
    <w:uiPriority w:val="99"/>
    <w:rPr>
      <w:rFonts w:ascii="仿宋_GB2312" w:hAnsi="Times New Roman" w:eastAsia="仿宋_GB2312" w:cs="Times New Roman"/>
      <w:b/>
      <w:sz w:val="32"/>
      <w:szCs w:val="32"/>
    </w:rPr>
  </w:style>
  <w:style w:type="paragraph" w:customStyle="1" w:styleId="665">
    <w:name w:val="Char Char Char Char Char Char Char Char Char Char Char"/>
    <w:basedOn w:val="1"/>
    <w:autoRedefine/>
    <w:qFormat/>
    <w:uiPriority w:val="99"/>
    <w:rPr>
      <w:rFonts w:ascii="Tahoma" w:hAnsi="Tahoma" w:eastAsia="宋体" w:cs="Times New Roman"/>
      <w:sz w:val="24"/>
      <w:szCs w:val="20"/>
    </w:rPr>
  </w:style>
  <w:style w:type="paragraph" w:customStyle="1" w:styleId="666">
    <w:name w:val="样式 样式1 + 首行缩进:  2 字符"/>
    <w:basedOn w:val="1"/>
    <w:autoRedefine/>
    <w:qFormat/>
    <w:uiPriority w:val="99"/>
    <w:pPr>
      <w:spacing w:line="360" w:lineRule="exact"/>
      <w:ind w:firstLine="420" w:firstLineChars="200"/>
    </w:pPr>
    <w:rPr>
      <w:rFonts w:ascii="Arial" w:hAnsi="Arial" w:eastAsia="宋体" w:cs="Times New Roman"/>
      <w:szCs w:val="20"/>
    </w:rPr>
  </w:style>
  <w:style w:type="paragraph" w:customStyle="1" w:styleId="667">
    <w:name w:val="Char31"/>
    <w:basedOn w:val="1"/>
    <w:autoRedefine/>
    <w:qFormat/>
    <w:uiPriority w:val="99"/>
    <w:rPr>
      <w:rFonts w:ascii="Times New Roman" w:hAnsi="Times New Roman" w:eastAsia="宋体" w:cs="Times New Roman"/>
      <w:szCs w:val="20"/>
    </w:rPr>
  </w:style>
  <w:style w:type="paragraph" w:customStyle="1" w:styleId="668">
    <w:name w:val="样式 纯文本普通文字 Char纯文本 Char Char普通文字纯文本 Char Char Char Char Char...1"/>
    <w:basedOn w:val="4"/>
    <w:next w:val="4"/>
    <w:autoRedefine/>
    <w:qFormat/>
    <w:uiPriority w:val="99"/>
    <w:pPr>
      <w:spacing w:before="0" w:after="0" w:line="360" w:lineRule="auto"/>
    </w:pPr>
    <w:rPr>
      <w:rFonts w:ascii="Arial" w:hAnsi="Arial" w:eastAsia="黑体"/>
      <w:color w:val="000000"/>
      <w:sz w:val="30"/>
    </w:rPr>
  </w:style>
  <w:style w:type="character" w:customStyle="1" w:styleId="669">
    <w:name w:val="彩色列表 - 强调文字颜色 1 Char"/>
    <w:link w:val="670"/>
    <w:autoRedefine/>
    <w:qFormat/>
    <w:locked/>
    <w:uiPriority w:val="0"/>
    <w:rPr>
      <w:rFonts w:ascii="Calibri" w:hAnsi="Calibri" w:eastAsia="微软雅黑" w:cs="Calibri"/>
      <w:szCs w:val="24"/>
    </w:rPr>
  </w:style>
  <w:style w:type="paragraph" w:customStyle="1" w:styleId="670">
    <w:name w:val="彩色列表 - 强调文字颜色 11"/>
    <w:basedOn w:val="1"/>
    <w:link w:val="669"/>
    <w:autoRedefine/>
    <w:qFormat/>
    <w:uiPriority w:val="0"/>
    <w:pPr>
      <w:ind w:firstLine="420" w:firstLineChars="200"/>
    </w:pPr>
    <w:rPr>
      <w:rFonts w:ascii="Calibri" w:hAnsi="Calibri" w:eastAsia="微软雅黑" w:cs="Calibri"/>
      <w:szCs w:val="24"/>
    </w:rPr>
  </w:style>
  <w:style w:type="paragraph" w:customStyle="1" w:styleId="671">
    <w:name w:val="样式 正文文本 + 首行缩进:  2 字符1"/>
    <w:basedOn w:val="2"/>
    <w:autoRedefine/>
    <w:qFormat/>
    <w:uiPriority w:val="99"/>
    <w:pPr>
      <w:adjustRightInd w:val="0"/>
      <w:snapToGrid w:val="0"/>
      <w:spacing w:after="0" w:line="400" w:lineRule="exact"/>
      <w:ind w:firstLine="200" w:firstLineChars="200"/>
    </w:pPr>
    <w:rPr>
      <w:rFonts w:ascii="Arial" w:hAnsi="Arial" w:eastAsia="微软雅黑" w:cs="宋体"/>
      <w:kern w:val="2"/>
      <w:sz w:val="21"/>
      <w:szCs w:val="20"/>
    </w:rPr>
  </w:style>
  <w:style w:type="paragraph" w:customStyle="1" w:styleId="672">
    <w:name w:val="FA正文"/>
    <w:basedOn w:val="1"/>
    <w:autoRedefine/>
    <w:qFormat/>
    <w:uiPriority w:val="99"/>
    <w:pPr>
      <w:spacing w:line="360" w:lineRule="auto"/>
      <w:ind w:right="210" w:rightChars="100" w:firstLine="360"/>
    </w:pPr>
    <w:rPr>
      <w:rFonts w:ascii="Verdana" w:hAnsi="Verdana" w:eastAsia="仿宋_GB2312" w:cs="Times New Roman"/>
      <w:sz w:val="22"/>
      <w:lang w:val="sv-SE"/>
    </w:rPr>
  </w:style>
  <w:style w:type="paragraph" w:customStyle="1" w:styleId="673">
    <w:name w:val="CM2"/>
    <w:basedOn w:val="1"/>
    <w:next w:val="1"/>
    <w:autoRedefine/>
    <w:qFormat/>
    <w:uiPriority w:val="99"/>
    <w:pPr>
      <w:autoSpaceDE w:val="0"/>
      <w:autoSpaceDN w:val="0"/>
      <w:adjustRightInd w:val="0"/>
      <w:spacing w:line="500" w:lineRule="atLeast"/>
      <w:jc w:val="left"/>
    </w:pPr>
    <w:rPr>
      <w:rFonts w:ascii="宋体" w:hAnsi="Times New Roman" w:eastAsia="宋体" w:cs="Times New Roman"/>
      <w:kern w:val="0"/>
      <w:sz w:val="24"/>
      <w:szCs w:val="24"/>
    </w:rPr>
  </w:style>
  <w:style w:type="paragraph" w:customStyle="1" w:styleId="674">
    <w:name w:val="多级符号2"/>
    <w:basedOn w:val="1"/>
    <w:autoRedefine/>
    <w:qFormat/>
    <w:uiPriority w:val="99"/>
    <w:pPr>
      <w:tabs>
        <w:tab w:val="left" w:pos="454"/>
      </w:tabs>
      <w:spacing w:line="360" w:lineRule="auto"/>
      <w:ind w:firstLine="420"/>
      <w:jc w:val="left"/>
    </w:pPr>
    <w:rPr>
      <w:rFonts w:ascii="Times New Roman" w:hAnsi="Times New Roman" w:eastAsia="仿宋_GB2312" w:cs="Times New Roman"/>
      <w:sz w:val="24"/>
      <w:szCs w:val="24"/>
    </w:rPr>
  </w:style>
  <w:style w:type="paragraph" w:customStyle="1" w:styleId="675">
    <w:name w:val="正文文字缩进 2"/>
    <w:basedOn w:val="1"/>
    <w:autoRedefine/>
    <w:qFormat/>
    <w:uiPriority w:val="99"/>
    <w:pPr>
      <w:widowControl/>
      <w:spacing w:line="351" w:lineRule="atLeast"/>
      <w:ind w:firstLine="481"/>
    </w:pPr>
    <w:rPr>
      <w:rFonts w:ascii="仿宋_GB2312" w:hAnsi="Times New Roman" w:eastAsia="仿宋_GB2312" w:cs="Times New Roman"/>
      <w:color w:val="000000"/>
      <w:kern w:val="0"/>
      <w:sz w:val="24"/>
      <w:szCs w:val="20"/>
      <w:u w:color="000000"/>
    </w:rPr>
  </w:style>
  <w:style w:type="paragraph" w:customStyle="1" w:styleId="676">
    <w:name w:val="样式 纯文本普通文字 Char纯文本 Char Char普通文字纯文本 Char Char Char Char Char...5"/>
    <w:basedOn w:val="5"/>
    <w:autoRedefine/>
    <w:qFormat/>
    <w:uiPriority w:val="99"/>
    <w:pPr>
      <w:keepNext w:val="0"/>
      <w:keepLines w:val="0"/>
      <w:tabs>
        <w:tab w:val="left" w:pos="360"/>
      </w:tabs>
      <w:spacing w:before="0" w:after="0" w:line="480" w:lineRule="auto"/>
      <w:ind w:left="360" w:firstLine="540" w:firstLineChars="225"/>
      <w:jc w:val="left"/>
    </w:pPr>
    <w:rPr>
      <w:rFonts w:eastAsia="华文中宋" w:cs="宋体"/>
      <w:b w:val="0"/>
      <w:color w:val="000000"/>
      <w:kern w:val="2"/>
      <w:sz w:val="28"/>
      <w:szCs w:val="20"/>
    </w:rPr>
  </w:style>
  <w:style w:type="paragraph" w:customStyle="1" w:styleId="677">
    <w:name w:val="样式 纯文本普通文字 Char纯文本 Char Char普通文字纯文本 Char Char Char Char Char...4"/>
    <w:basedOn w:val="5"/>
    <w:autoRedefine/>
    <w:qFormat/>
    <w:uiPriority w:val="99"/>
    <w:pPr>
      <w:keepNext w:val="0"/>
      <w:keepLines w:val="0"/>
      <w:tabs>
        <w:tab w:val="left" w:pos="360"/>
      </w:tabs>
      <w:spacing w:before="0" w:after="0" w:line="480" w:lineRule="auto"/>
      <w:ind w:left="360" w:firstLine="540" w:firstLineChars="225"/>
      <w:jc w:val="center"/>
    </w:pPr>
    <w:rPr>
      <w:rFonts w:eastAsia="华文中宋" w:cs="宋体"/>
      <w:b w:val="0"/>
      <w:color w:val="000000"/>
      <w:kern w:val="2"/>
      <w:sz w:val="28"/>
      <w:szCs w:val="20"/>
    </w:rPr>
  </w:style>
  <w:style w:type="paragraph" w:customStyle="1" w:styleId="678">
    <w:name w:val="g11"/>
    <w:basedOn w:val="1"/>
    <w:autoRedefine/>
    <w:qFormat/>
    <w:uiPriority w:val="99"/>
    <w:pPr>
      <w:widowControl/>
      <w:spacing w:before="100" w:beforeAutospacing="1" w:after="100" w:afterAutospacing="1" w:line="900" w:lineRule="atLeast"/>
      <w:jc w:val="left"/>
    </w:pPr>
    <w:rPr>
      <w:rFonts w:ascii="华文中宋" w:hAnsi="华文中宋" w:eastAsia="华文中宋" w:cs="Times New Roman"/>
      <w:b/>
      <w:bCs/>
      <w:color w:val="FF0000"/>
      <w:kern w:val="0"/>
      <w:sz w:val="60"/>
      <w:szCs w:val="60"/>
    </w:rPr>
  </w:style>
  <w:style w:type="paragraph" w:customStyle="1" w:styleId="679">
    <w:name w:val="blockquote"/>
    <w:basedOn w:val="1"/>
    <w:autoRedefine/>
    <w:qFormat/>
    <w:uiPriority w:val="99"/>
    <w:pPr>
      <w:widowControl/>
      <w:spacing w:before="100" w:beforeAutospacing="1" w:after="100" w:afterAutospacing="1"/>
      <w:jc w:val="left"/>
    </w:pPr>
    <w:rPr>
      <w:rFonts w:ascii="宋体" w:hAnsi="宋体" w:eastAsia="宋体" w:cs="Times New Roman"/>
      <w:kern w:val="0"/>
      <w:sz w:val="24"/>
      <w:szCs w:val="24"/>
    </w:rPr>
  </w:style>
  <w:style w:type="paragraph" w:customStyle="1" w:styleId="680">
    <w:name w:val="正文文字缩进 3"/>
    <w:basedOn w:val="1"/>
    <w:autoRedefine/>
    <w:qFormat/>
    <w:uiPriority w:val="99"/>
    <w:pPr>
      <w:widowControl/>
      <w:spacing w:before="119" w:line="272" w:lineRule="atLeast"/>
      <w:ind w:left="719" w:firstLine="481"/>
      <w:jc w:val="left"/>
    </w:pPr>
    <w:rPr>
      <w:rFonts w:ascii="宋体" w:hAnsi="Times New Roman" w:eastAsia="宋体" w:cs="Times New Roman"/>
      <w:color w:val="000000"/>
      <w:kern w:val="0"/>
      <w:sz w:val="24"/>
      <w:szCs w:val="20"/>
      <w:u w:color="000000"/>
    </w:rPr>
  </w:style>
  <w:style w:type="paragraph" w:customStyle="1" w:styleId="681">
    <w:name w:val="title1"/>
    <w:basedOn w:val="1"/>
    <w:autoRedefine/>
    <w:qFormat/>
    <w:uiPriority w:val="99"/>
    <w:pPr>
      <w:widowControl/>
      <w:spacing w:before="150" w:line="480" w:lineRule="atLeast"/>
      <w:jc w:val="left"/>
    </w:pPr>
    <w:rPr>
      <w:rFonts w:ascii="宋体" w:hAnsi="宋体" w:eastAsia="宋体" w:cs="宋体"/>
      <w:b/>
      <w:bCs/>
      <w:kern w:val="0"/>
      <w:sz w:val="24"/>
      <w:szCs w:val="24"/>
    </w:rPr>
  </w:style>
  <w:style w:type="paragraph" w:customStyle="1" w:styleId="682">
    <w:name w:val="_Style 137"/>
    <w:basedOn w:val="3"/>
    <w:next w:val="1"/>
    <w:autoRedefine/>
    <w:qFormat/>
    <w:uiPriority w:val="99"/>
    <w:pPr>
      <w:keepLines/>
      <w:spacing w:before="340" w:after="330" w:line="576" w:lineRule="auto"/>
      <w:jc w:val="both"/>
      <w:outlineLvl w:val="9"/>
    </w:pPr>
    <w:rPr>
      <w:rFonts w:ascii="宋体" w:hAnsi="Calibri" w:eastAsia="微软雅黑"/>
      <w:kern w:val="44"/>
      <w:sz w:val="44"/>
      <w:szCs w:val="44"/>
    </w:rPr>
  </w:style>
  <w:style w:type="paragraph" w:customStyle="1" w:styleId="683">
    <w:name w:val="Char Char3 Char"/>
    <w:basedOn w:val="1"/>
    <w:autoRedefine/>
    <w:qFormat/>
    <w:uiPriority w:val="99"/>
    <w:rPr>
      <w:rFonts w:ascii="仿宋_GB2312" w:hAnsi="Times New Roman" w:eastAsia="仿宋_GB2312" w:cs="Times New Roman"/>
      <w:b/>
      <w:sz w:val="32"/>
      <w:szCs w:val="32"/>
    </w:rPr>
  </w:style>
  <w:style w:type="paragraph" w:customStyle="1" w:styleId="684">
    <w:name w:val="p18"/>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685">
    <w:name w:val="Char Char Char Char1 Char Char Char Char Char Char"/>
    <w:basedOn w:val="1"/>
    <w:autoRedefine/>
    <w:qFormat/>
    <w:uiPriority w:val="99"/>
    <w:rPr>
      <w:rFonts w:ascii="Times New Roman" w:hAnsi="Times New Roman" w:eastAsia="宋体" w:cs="Times New Roman"/>
      <w:szCs w:val="24"/>
    </w:rPr>
  </w:style>
  <w:style w:type="paragraph" w:customStyle="1" w:styleId="686">
    <w:name w:val="样式 样式 纯文本普通文字 Char纯文本 Char Char普通文字纯文本 Char Char Char Char Char...."/>
    <w:basedOn w:val="668"/>
    <w:autoRedefine/>
    <w:qFormat/>
    <w:uiPriority w:val="99"/>
    <w:pPr>
      <w:jc w:val="center"/>
    </w:pPr>
    <w:rPr>
      <w:rFonts w:ascii="宋体" w:hAnsi="宋体" w:eastAsia="宋体" w:cs="宋体"/>
      <w:bCs w:val="0"/>
      <w:szCs w:val="20"/>
    </w:rPr>
  </w:style>
  <w:style w:type="paragraph" w:customStyle="1" w:styleId="687">
    <w:name w:val="样式 样式 样式1 + 首行缩进:  2 字符 + 左侧:  0.74 厘米"/>
    <w:basedOn w:val="1"/>
    <w:autoRedefine/>
    <w:qFormat/>
    <w:uiPriority w:val="99"/>
    <w:pPr>
      <w:spacing w:line="360" w:lineRule="exact"/>
      <w:ind w:firstLine="200" w:firstLineChars="200"/>
    </w:pPr>
    <w:rPr>
      <w:rFonts w:ascii="Arial" w:hAnsi="Arial" w:eastAsia="宋体" w:cs="宋体"/>
      <w:szCs w:val="20"/>
    </w:rPr>
  </w:style>
  <w:style w:type="paragraph" w:customStyle="1" w:styleId="688">
    <w:name w:val="彩色列表 - 强调文字颜色 12"/>
    <w:basedOn w:val="1"/>
    <w:autoRedefine/>
    <w:qFormat/>
    <w:uiPriority w:val="34"/>
    <w:pPr>
      <w:ind w:firstLine="420" w:firstLineChars="200"/>
    </w:pPr>
    <w:rPr>
      <w:rFonts w:ascii="Times New Roman" w:hAnsi="Times New Roman" w:eastAsia="宋体" w:cs="Times New Roman"/>
      <w:szCs w:val="24"/>
    </w:rPr>
  </w:style>
  <w:style w:type="paragraph" w:customStyle="1" w:styleId="689">
    <w:name w:val="正文－恩普"/>
    <w:basedOn w:val="15"/>
    <w:autoRedefine/>
    <w:qFormat/>
    <w:uiPriority w:val="99"/>
    <w:pPr>
      <w:widowControl/>
      <w:spacing w:line="360" w:lineRule="auto"/>
      <w:ind w:firstLine="480" w:firstLineChars="200"/>
      <w:jc w:val="left"/>
    </w:pPr>
    <w:rPr>
      <w:rFonts w:ascii="Calibri" w:hAnsi="Calibri" w:eastAsia="微软雅黑"/>
      <w:kern w:val="0"/>
      <w:sz w:val="24"/>
    </w:rPr>
  </w:style>
  <w:style w:type="paragraph" w:customStyle="1" w:styleId="690">
    <w:name w:val="_Style 63"/>
    <w:basedOn w:val="1"/>
    <w:autoRedefine/>
    <w:qFormat/>
    <w:uiPriority w:val="99"/>
    <w:rPr>
      <w:rFonts w:ascii="Tahoma" w:hAnsi="Tahoma" w:eastAsia="宋体" w:cs="Times New Roman"/>
      <w:sz w:val="24"/>
      <w:szCs w:val="20"/>
    </w:rPr>
  </w:style>
  <w:style w:type="paragraph" w:customStyle="1" w:styleId="691">
    <w:name w:val="样式 纯文本普通文字 Char纯文本 Char Char普通文字纯文本 Char Char Char Char Char...3"/>
    <w:basedOn w:val="5"/>
    <w:next w:val="5"/>
    <w:autoRedefine/>
    <w:qFormat/>
    <w:uiPriority w:val="99"/>
    <w:pPr>
      <w:keepNext w:val="0"/>
      <w:keepLines w:val="0"/>
      <w:tabs>
        <w:tab w:val="left" w:pos="360"/>
      </w:tabs>
      <w:spacing w:before="0" w:after="0" w:line="480" w:lineRule="auto"/>
      <w:ind w:left="360" w:firstLine="540" w:firstLineChars="225"/>
      <w:jc w:val="center"/>
    </w:pPr>
    <w:rPr>
      <w:rFonts w:eastAsia="华文中宋" w:cs="宋体"/>
      <w:b w:val="0"/>
      <w:color w:val="000000"/>
      <w:kern w:val="2"/>
      <w:sz w:val="28"/>
      <w:szCs w:val="20"/>
    </w:rPr>
  </w:style>
  <w:style w:type="paragraph" w:customStyle="1" w:styleId="692">
    <w:name w:val="p16"/>
    <w:basedOn w:val="1"/>
    <w:autoRedefine/>
    <w:qFormat/>
    <w:uiPriority w:val="99"/>
    <w:pPr>
      <w:widowControl/>
      <w:spacing w:before="100" w:after="100"/>
      <w:jc w:val="left"/>
    </w:pPr>
    <w:rPr>
      <w:rFonts w:ascii="宋体" w:hAnsi="宋体" w:eastAsia="宋体" w:cs="宋体"/>
      <w:color w:val="000000"/>
      <w:kern w:val="0"/>
      <w:sz w:val="24"/>
      <w:szCs w:val="24"/>
    </w:rPr>
  </w:style>
  <w:style w:type="paragraph" w:customStyle="1" w:styleId="693">
    <w:name w:val="条文1"/>
    <w:basedOn w:val="1"/>
    <w:autoRedefine/>
    <w:qFormat/>
    <w:uiPriority w:val="99"/>
    <w:pPr>
      <w:tabs>
        <w:tab w:val="left" w:pos="720"/>
      </w:tabs>
      <w:spacing w:line="360" w:lineRule="auto"/>
    </w:pPr>
    <w:rPr>
      <w:rFonts w:ascii="MS UI Gothic" w:hAnsi="MS UI Gothic" w:eastAsia="宋体" w:cs="Times New Roman"/>
      <w:kern w:val="44"/>
      <w:sz w:val="24"/>
      <w:szCs w:val="20"/>
    </w:rPr>
  </w:style>
  <w:style w:type="paragraph" w:customStyle="1" w:styleId="694">
    <w:name w:val="样式 标题 3 + Arial"/>
    <w:basedOn w:val="5"/>
    <w:autoRedefine/>
    <w:qFormat/>
    <w:uiPriority w:val="99"/>
    <w:pPr>
      <w:spacing w:before="0" w:beforeLines="100" w:after="0" w:line="360" w:lineRule="auto"/>
      <w:ind w:firstLine="604" w:firstLineChars="100"/>
      <w:jc w:val="center"/>
    </w:pPr>
    <w:rPr>
      <w:rFonts w:ascii="宋体" w:hAnsi="宋体" w:eastAsia="华文中宋"/>
      <w:bCs w:val="0"/>
      <w:kern w:val="2"/>
      <w:sz w:val="28"/>
      <w:szCs w:val="20"/>
    </w:rPr>
  </w:style>
  <w:style w:type="paragraph" w:customStyle="1" w:styleId="695">
    <w:name w:val="纯文本11"/>
    <w:basedOn w:val="1"/>
    <w:autoRedefine/>
    <w:qFormat/>
    <w:uiPriority w:val="99"/>
    <w:pPr>
      <w:adjustRightInd w:val="0"/>
    </w:pPr>
    <w:rPr>
      <w:rFonts w:ascii="宋体" w:hAnsi="Courier New" w:eastAsia="宋体" w:cs="Times New Roman"/>
      <w:szCs w:val="20"/>
    </w:rPr>
  </w:style>
  <w:style w:type="paragraph" w:customStyle="1" w:styleId="696">
    <w:name w:val="[Normal]"/>
    <w:autoRedefine/>
    <w:qFormat/>
    <w:uiPriority w:val="99"/>
    <w:pPr>
      <w:spacing w:line="400" w:lineRule="exact"/>
      <w:ind w:firstLine="200" w:firstLineChars="200"/>
    </w:pPr>
    <w:rPr>
      <w:rFonts w:ascii="Times New Roman" w:hAnsi="Times New Roman" w:eastAsia="宋体" w:cs="Times New Roman"/>
      <w:sz w:val="21"/>
      <w:szCs w:val="22"/>
      <w:lang w:val="zh-CN" w:eastAsia="zh-CN" w:bidi="ar-SA"/>
    </w:rPr>
  </w:style>
  <w:style w:type="paragraph" w:customStyle="1" w:styleId="697">
    <w:name w:val="样式 纯文本普通文字 Char纯文本 Char Char普通文字纯文本 Char Char Char Char Char...7"/>
    <w:basedOn w:val="5"/>
    <w:next w:val="5"/>
    <w:autoRedefine/>
    <w:qFormat/>
    <w:uiPriority w:val="99"/>
    <w:pPr>
      <w:keepNext w:val="0"/>
      <w:keepLines w:val="0"/>
      <w:tabs>
        <w:tab w:val="left" w:pos="360"/>
      </w:tabs>
      <w:spacing w:before="0" w:after="0" w:line="600" w:lineRule="exact"/>
      <w:ind w:left="360" w:firstLine="540" w:firstLineChars="225"/>
      <w:jc w:val="center"/>
    </w:pPr>
    <w:rPr>
      <w:rFonts w:eastAsia="华文中宋" w:cs="宋体"/>
      <w:b w:val="0"/>
      <w:color w:val="000000"/>
      <w:kern w:val="2"/>
      <w:sz w:val="28"/>
      <w:szCs w:val="20"/>
    </w:rPr>
  </w:style>
  <w:style w:type="paragraph" w:customStyle="1" w:styleId="698">
    <w:name w:val="普通文字"/>
    <w:basedOn w:val="1"/>
    <w:autoRedefine/>
    <w:qFormat/>
    <w:uiPriority w:val="99"/>
    <w:pPr>
      <w:widowControl/>
      <w:spacing w:line="351" w:lineRule="atLeast"/>
      <w:ind w:firstLine="419"/>
    </w:pPr>
    <w:rPr>
      <w:rFonts w:ascii="宋体" w:hAnsi="Times New Roman" w:eastAsia="宋体" w:cs="Times New Roman"/>
      <w:color w:val="000000"/>
      <w:kern w:val="0"/>
      <w:szCs w:val="20"/>
      <w:u w:color="000000"/>
    </w:rPr>
  </w:style>
  <w:style w:type="paragraph" w:customStyle="1" w:styleId="699">
    <w:name w:val="p15"/>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700">
    <w:name w:val="Char Char Char Char Char Char Char Char Char Char Char1"/>
    <w:basedOn w:val="1"/>
    <w:autoRedefine/>
    <w:qFormat/>
    <w:uiPriority w:val="99"/>
    <w:rPr>
      <w:rFonts w:ascii="Tahoma" w:hAnsi="Tahoma" w:eastAsia="宋体" w:cs="Times New Roman"/>
      <w:sz w:val="24"/>
      <w:szCs w:val="20"/>
    </w:rPr>
  </w:style>
  <w:style w:type="paragraph" w:customStyle="1" w:styleId="701">
    <w:name w:val="_Style 175"/>
    <w:autoRedefine/>
    <w:qFormat/>
    <w:uiPriority w:val="99"/>
    <w:rPr>
      <w:rFonts w:ascii="Times New Roman" w:hAnsi="Times New Roman" w:eastAsia="宋体" w:cs="Times New Roman"/>
      <w:kern w:val="2"/>
      <w:sz w:val="21"/>
      <w:szCs w:val="24"/>
      <w:lang w:val="en-US" w:eastAsia="zh-CN" w:bidi="ar-SA"/>
    </w:rPr>
  </w:style>
  <w:style w:type="paragraph" w:customStyle="1" w:styleId="702">
    <w:name w:val="引文目录1"/>
    <w:basedOn w:val="1"/>
    <w:next w:val="1"/>
    <w:autoRedefine/>
    <w:qFormat/>
    <w:uiPriority w:val="99"/>
    <w:pPr>
      <w:ind w:left="420" w:leftChars="200"/>
    </w:pPr>
    <w:rPr>
      <w:rFonts w:ascii="Times New Roman" w:hAnsi="Times New Roman" w:eastAsia="宋体" w:cs="Times New Roman"/>
    </w:rPr>
  </w:style>
  <w:style w:type="paragraph" w:customStyle="1" w:styleId="703">
    <w:name w:val="修订11"/>
    <w:autoRedefine/>
    <w:qFormat/>
    <w:uiPriority w:val="99"/>
    <w:rPr>
      <w:rFonts w:ascii="Times New Roman" w:hAnsi="Times New Roman" w:eastAsia="宋体" w:cs="Times New Roman"/>
      <w:kern w:val="2"/>
      <w:sz w:val="21"/>
      <w:szCs w:val="24"/>
      <w:lang w:val="en-US" w:eastAsia="zh-CN" w:bidi="ar-SA"/>
    </w:rPr>
  </w:style>
  <w:style w:type="paragraph" w:customStyle="1" w:styleId="704">
    <w:name w:val="TOC 标题11"/>
    <w:basedOn w:val="3"/>
    <w:next w:val="1"/>
    <w:autoRedefine/>
    <w:qFormat/>
    <w:uiPriority w:val="99"/>
    <w:pPr>
      <w:keepLines/>
      <w:spacing w:before="340" w:after="330" w:line="576" w:lineRule="auto"/>
      <w:jc w:val="both"/>
      <w:outlineLvl w:val="9"/>
    </w:pPr>
    <w:rPr>
      <w:rFonts w:ascii="Calibri" w:hAnsi="Calibri" w:eastAsia="微软雅黑"/>
      <w:kern w:val="44"/>
      <w:sz w:val="44"/>
      <w:szCs w:val="44"/>
    </w:rPr>
  </w:style>
  <w:style w:type="character" w:customStyle="1" w:styleId="705">
    <w:name w:val="不明显强调1"/>
    <w:autoRedefine/>
    <w:qFormat/>
    <w:uiPriority w:val="0"/>
    <w:rPr>
      <w:i/>
      <w:color w:val="auto"/>
      <w:sz w:val="21"/>
    </w:rPr>
  </w:style>
  <w:style w:type="character" w:customStyle="1" w:styleId="706">
    <w:name w:val="明显强调1"/>
    <w:autoRedefine/>
    <w:qFormat/>
    <w:uiPriority w:val="0"/>
    <w:rPr>
      <w:i/>
      <w:color w:val="auto"/>
      <w:sz w:val="21"/>
    </w:rPr>
  </w:style>
  <w:style w:type="character" w:customStyle="1" w:styleId="707">
    <w:name w:val="不明显参考1"/>
    <w:autoRedefine/>
    <w:qFormat/>
    <w:uiPriority w:val="0"/>
    <w:rPr>
      <w:color w:val="auto"/>
      <w:sz w:val="21"/>
    </w:rPr>
  </w:style>
  <w:style w:type="character" w:customStyle="1" w:styleId="708">
    <w:name w:val="明显参考1"/>
    <w:autoRedefine/>
    <w:qFormat/>
    <w:uiPriority w:val="0"/>
    <w:rPr>
      <w:b/>
      <w:color w:val="auto"/>
      <w:sz w:val="21"/>
    </w:rPr>
  </w:style>
  <w:style w:type="character" w:customStyle="1" w:styleId="709">
    <w:name w:val="书籍标题1"/>
    <w:autoRedefine/>
    <w:qFormat/>
    <w:uiPriority w:val="0"/>
    <w:rPr>
      <w:b/>
      <w:i/>
      <w:sz w:val="21"/>
    </w:rPr>
  </w:style>
  <w:style w:type="character" w:customStyle="1" w:styleId="710">
    <w:name w:val="批注文字 字符2"/>
    <w:link w:val="20"/>
    <w:autoRedefine/>
    <w:semiHidden/>
    <w:qFormat/>
    <w:locked/>
    <w:uiPriority w:val="99"/>
    <w:rPr>
      <w:rFonts w:ascii="Times New Roman" w:hAnsi="Times New Roman" w:eastAsia="宋体" w:cs="Times New Roman"/>
      <w:kern w:val="0"/>
      <w:sz w:val="20"/>
      <w:szCs w:val="24"/>
    </w:rPr>
  </w:style>
  <w:style w:type="character" w:customStyle="1" w:styleId="711">
    <w:name w:val="标题 Char1"/>
    <w:autoRedefine/>
    <w:qFormat/>
    <w:uiPriority w:val="0"/>
    <w:rPr>
      <w:rFonts w:hint="default" w:ascii="Cambria" w:hAnsi="Cambria" w:cs="Times New Roman"/>
      <w:b/>
      <w:bCs/>
      <w:sz w:val="32"/>
      <w:szCs w:val="32"/>
    </w:rPr>
  </w:style>
  <w:style w:type="character" w:customStyle="1" w:styleId="712">
    <w:name w:val="hui121"/>
    <w:autoRedefine/>
    <w:qFormat/>
    <w:uiPriority w:val="0"/>
    <w:rPr>
      <w:rFonts w:hint="eastAsia" w:ascii="宋体" w:hAnsi="宋体" w:eastAsia="宋体"/>
      <w:color w:val="333333"/>
      <w:kern w:val="2"/>
      <w:sz w:val="18"/>
      <w:szCs w:val="18"/>
      <w:lang w:val="en-US" w:eastAsia="zh-CN" w:bidi="ar-SA"/>
    </w:rPr>
  </w:style>
  <w:style w:type="character" w:customStyle="1" w:styleId="713">
    <w:name w:val="纯文本 Char"/>
    <w:autoRedefine/>
    <w:qFormat/>
    <w:uiPriority w:val="0"/>
    <w:rPr>
      <w:rFonts w:hint="eastAsia" w:ascii="宋体" w:hAnsi="Courier New" w:eastAsia="宋体" w:cs="Courier New"/>
      <w:szCs w:val="21"/>
    </w:rPr>
  </w:style>
  <w:style w:type="character" w:customStyle="1" w:styleId="714">
    <w:name w:val="class4"/>
    <w:autoRedefine/>
    <w:qFormat/>
    <w:uiPriority w:val="0"/>
  </w:style>
  <w:style w:type="character" w:customStyle="1" w:styleId="715">
    <w:name w:val="标准文本 Char"/>
    <w:autoRedefine/>
    <w:qFormat/>
    <w:uiPriority w:val="0"/>
    <w:rPr>
      <w:sz w:val="20"/>
    </w:rPr>
  </w:style>
  <w:style w:type="character" w:customStyle="1" w:styleId="716">
    <w:name w:val="列出段落 Char"/>
    <w:autoRedefine/>
    <w:qFormat/>
    <w:uiPriority w:val="0"/>
    <w:rPr>
      <w:sz w:val="20"/>
    </w:rPr>
  </w:style>
  <w:style w:type="character" w:customStyle="1" w:styleId="717">
    <w:name w:val="纯文本 Char1"/>
    <w:autoRedefine/>
    <w:qFormat/>
    <w:uiPriority w:val="0"/>
    <w:rPr>
      <w:sz w:val="20"/>
    </w:rPr>
  </w:style>
  <w:style w:type="character" w:customStyle="1" w:styleId="718">
    <w:name w:val="封面日期 Char Char"/>
    <w:autoRedefine/>
    <w:qFormat/>
    <w:uiPriority w:val="0"/>
    <w:rPr>
      <w:sz w:val="20"/>
    </w:rPr>
  </w:style>
  <w:style w:type="character" w:customStyle="1" w:styleId="719">
    <w:name w:val="ca-3"/>
    <w:autoRedefine/>
    <w:qFormat/>
    <w:uiPriority w:val="0"/>
    <w:rPr>
      <w:rFonts w:hint="eastAsia" w:ascii="宋体" w:hAnsi="宋体" w:eastAsia="宋体"/>
      <w:kern w:val="2"/>
      <w:sz w:val="24"/>
      <w:szCs w:val="24"/>
      <w:lang w:val="en-US" w:eastAsia="zh-CN" w:bidi="ar-SA"/>
    </w:rPr>
  </w:style>
  <w:style w:type="character" w:customStyle="1" w:styleId="720">
    <w:name w:val="class3"/>
    <w:autoRedefine/>
    <w:qFormat/>
    <w:uiPriority w:val="0"/>
  </w:style>
  <w:style w:type="character" w:customStyle="1" w:styleId="721">
    <w:name w:val="style41"/>
    <w:autoRedefine/>
    <w:qFormat/>
    <w:uiPriority w:val="0"/>
    <w:rPr>
      <w:sz w:val="18"/>
      <w:szCs w:val="18"/>
    </w:rPr>
  </w:style>
  <w:style w:type="character" w:customStyle="1" w:styleId="722">
    <w:name w:val="label_list1"/>
    <w:autoRedefine/>
    <w:qFormat/>
    <w:uiPriority w:val="0"/>
  </w:style>
  <w:style w:type="character" w:customStyle="1" w:styleId="723">
    <w:name w:val="普通文字 Char Char1"/>
    <w:autoRedefine/>
    <w:qFormat/>
    <w:uiPriority w:val="0"/>
    <w:rPr>
      <w:rFonts w:hint="eastAsia" w:ascii="宋体" w:hAnsi="Courier New" w:eastAsia="宋体"/>
      <w:kern w:val="2"/>
      <w:sz w:val="24"/>
      <w:szCs w:val="24"/>
    </w:rPr>
  </w:style>
  <w:style w:type="character" w:customStyle="1" w:styleId="724">
    <w:name w:val="zbggmain style9"/>
    <w:autoRedefine/>
    <w:qFormat/>
    <w:uiPriority w:val="0"/>
    <w:rPr>
      <w:sz w:val="20"/>
    </w:rPr>
  </w:style>
  <w:style w:type="character" w:customStyle="1" w:styleId="725">
    <w:name w:val="Body Text(ch) Char Char"/>
    <w:autoRedefine/>
    <w:qFormat/>
    <w:uiPriority w:val="0"/>
    <w:rPr>
      <w:sz w:val="20"/>
    </w:rPr>
  </w:style>
  <w:style w:type="character" w:customStyle="1" w:styleId="726">
    <w:name w:val="op-map-singlepoint-info-right1"/>
    <w:autoRedefine/>
    <w:qFormat/>
    <w:uiPriority w:val="0"/>
    <w:rPr>
      <w:sz w:val="20"/>
    </w:rPr>
  </w:style>
  <w:style w:type="character" w:customStyle="1" w:styleId="727">
    <w:name w:val="ca-451"/>
    <w:autoRedefine/>
    <w:qFormat/>
    <w:uiPriority w:val="0"/>
    <w:rPr>
      <w:rFonts w:hint="eastAsia" w:ascii="宋体" w:hAnsi="宋体" w:eastAsia="宋体"/>
      <w:color w:val="000000"/>
      <w:sz w:val="72"/>
      <w:szCs w:val="72"/>
    </w:rPr>
  </w:style>
  <w:style w:type="character" w:customStyle="1" w:styleId="728">
    <w:name w:val="Char Char39"/>
    <w:autoRedefine/>
    <w:qFormat/>
    <w:uiPriority w:val="0"/>
    <w:rPr>
      <w:rFonts w:hint="default" w:ascii="Times New Roman" w:hAnsi="Times New Roman" w:eastAsia="宋体" w:cs="Times New Roman"/>
      <w:b/>
      <w:bCs/>
      <w:sz w:val="28"/>
      <w:szCs w:val="28"/>
    </w:rPr>
  </w:style>
  <w:style w:type="character" w:customStyle="1" w:styleId="729">
    <w:name w:val="Char Char40"/>
    <w:autoRedefine/>
    <w:qFormat/>
    <w:uiPriority w:val="0"/>
    <w:rPr>
      <w:rFonts w:hint="default" w:ascii="Arial" w:hAnsi="Arial" w:eastAsia="黑体" w:cs="Times New Roman"/>
      <w:b/>
      <w:bCs/>
      <w:sz w:val="28"/>
      <w:szCs w:val="28"/>
    </w:rPr>
  </w:style>
  <w:style w:type="character" w:customStyle="1" w:styleId="730">
    <w:name w:val="Char Char42"/>
    <w:autoRedefine/>
    <w:qFormat/>
    <w:uiPriority w:val="0"/>
    <w:rPr>
      <w:rFonts w:hint="default" w:ascii="Arial" w:hAnsi="Arial" w:eastAsia="黑体" w:cs="Times New Roman"/>
      <w:b/>
      <w:bCs/>
      <w:sz w:val="32"/>
      <w:szCs w:val="32"/>
    </w:rPr>
  </w:style>
  <w:style w:type="character" w:customStyle="1" w:styleId="731">
    <w:name w:val="Char Char43"/>
    <w:autoRedefine/>
    <w:qFormat/>
    <w:uiPriority w:val="0"/>
    <w:rPr>
      <w:rFonts w:hint="default" w:ascii="Times New Roman" w:hAnsi="Times New Roman" w:eastAsia="宋体" w:cs="Times New Roman"/>
      <w:b/>
      <w:bCs/>
      <w:sz w:val="24"/>
      <w:szCs w:val="24"/>
    </w:rPr>
  </w:style>
  <w:style w:type="character" w:customStyle="1" w:styleId="732">
    <w:name w:val="Char Char41"/>
    <w:autoRedefine/>
    <w:qFormat/>
    <w:uiPriority w:val="0"/>
    <w:rPr>
      <w:rFonts w:hint="default" w:ascii="Times New Roman" w:hAnsi="Times New Roman" w:eastAsia="宋体" w:cs="Times New Roman"/>
      <w:b/>
      <w:bCs/>
      <w:sz w:val="32"/>
      <w:szCs w:val="32"/>
    </w:rPr>
  </w:style>
  <w:style w:type="character" w:customStyle="1" w:styleId="733">
    <w:name w:val="Char Char38"/>
    <w:autoRedefine/>
    <w:qFormat/>
    <w:uiPriority w:val="0"/>
    <w:rPr>
      <w:rFonts w:hint="default" w:ascii="Arial" w:hAnsi="Arial" w:eastAsia="黑体" w:cs="Arial"/>
      <w:b/>
      <w:bCs/>
      <w:sz w:val="24"/>
      <w:szCs w:val="24"/>
    </w:rPr>
  </w:style>
  <w:style w:type="character" w:customStyle="1" w:styleId="734">
    <w:name w:val="Char Char35"/>
    <w:autoRedefine/>
    <w:qFormat/>
    <w:uiPriority w:val="0"/>
    <w:rPr>
      <w:rFonts w:hint="default" w:ascii="Arial" w:hAnsi="Arial" w:eastAsia="黑体" w:cs="Times New Roman"/>
    </w:rPr>
  </w:style>
  <w:style w:type="character" w:customStyle="1" w:styleId="735">
    <w:name w:val="Char Char Char Char Char"/>
    <w:autoRedefine/>
    <w:qFormat/>
    <w:uiPriority w:val="0"/>
    <w:rPr>
      <w:rFonts w:hint="default" w:ascii="Arial" w:hAnsi="Arial" w:eastAsia="黑体" w:cs="Arial"/>
      <w:b/>
      <w:bCs/>
      <w:kern w:val="2"/>
      <w:sz w:val="32"/>
      <w:szCs w:val="32"/>
      <w:lang w:val="en-US" w:eastAsia="zh-CN" w:bidi="ar-SA"/>
    </w:rPr>
  </w:style>
  <w:style w:type="character" w:customStyle="1" w:styleId="736">
    <w:name w:val="正文文本 Char2"/>
    <w:autoRedefine/>
    <w:qFormat/>
    <w:locked/>
    <w:uiPriority w:val="0"/>
    <w:rPr>
      <w:rFonts w:hint="eastAsia" w:ascii="宋体" w:hAnsi="宋体" w:eastAsia="宋体"/>
      <w:kern w:val="2"/>
      <w:sz w:val="28"/>
      <w:szCs w:val="24"/>
      <w:lang w:val="en-US" w:eastAsia="zh-CN" w:bidi="ar-SA"/>
    </w:rPr>
  </w:style>
  <w:style w:type="character" w:customStyle="1" w:styleId="737">
    <w:name w:val="标题 2 Char1"/>
    <w:autoRedefine/>
    <w:qFormat/>
    <w:uiPriority w:val="0"/>
    <w:rPr>
      <w:rFonts w:hint="default" w:ascii="Arial" w:hAnsi="Arial" w:eastAsia="黑体" w:cs="Arial"/>
      <w:b/>
      <w:bCs/>
      <w:kern w:val="2"/>
      <w:sz w:val="32"/>
      <w:szCs w:val="32"/>
      <w:lang w:val="en-US" w:eastAsia="zh-CN" w:bidi="ar-SA"/>
    </w:rPr>
  </w:style>
  <w:style w:type="character" w:customStyle="1" w:styleId="738">
    <w:name w:val="ca-61"/>
    <w:autoRedefine/>
    <w:qFormat/>
    <w:uiPriority w:val="0"/>
    <w:rPr>
      <w:rFonts w:hint="eastAsia" w:ascii="宋体" w:hAnsi="宋体" w:eastAsia="宋体"/>
      <w:color w:val="000000"/>
      <w:sz w:val="30"/>
      <w:szCs w:val="30"/>
    </w:rPr>
  </w:style>
  <w:style w:type="character" w:customStyle="1" w:styleId="739">
    <w:name w:val="ca-161"/>
    <w:autoRedefine/>
    <w:qFormat/>
    <w:uiPriority w:val="0"/>
    <w:rPr>
      <w:rFonts w:hint="eastAsia" w:ascii="宋体" w:hAnsi="宋体" w:eastAsia="宋体"/>
      <w:sz w:val="24"/>
      <w:szCs w:val="24"/>
    </w:rPr>
  </w:style>
  <w:style w:type="character" w:customStyle="1" w:styleId="740">
    <w:name w:val="textcontents"/>
    <w:autoRedefine/>
    <w:qFormat/>
    <w:uiPriority w:val="0"/>
    <w:rPr>
      <w:rFonts w:hint="default" w:ascii="Times New Roman" w:hAnsi="Times New Roman" w:cs="Times New Roman"/>
    </w:rPr>
  </w:style>
  <w:style w:type="character" w:customStyle="1" w:styleId="741">
    <w:name w:val="ca-401"/>
    <w:autoRedefine/>
    <w:qFormat/>
    <w:uiPriority w:val="0"/>
    <w:rPr>
      <w:rFonts w:hint="default" w:ascii="Times New Roman" w:hAnsi="Times New Roman" w:cs="Times New Roman"/>
      <w:sz w:val="20"/>
      <w:szCs w:val="20"/>
    </w:rPr>
  </w:style>
  <w:style w:type="character" w:customStyle="1" w:styleId="742">
    <w:name w:val="ca-231"/>
    <w:autoRedefine/>
    <w:qFormat/>
    <w:uiPriority w:val="0"/>
    <w:rPr>
      <w:rFonts w:hint="default" w:ascii="Times New Roman" w:hAnsi="Times New Roman" w:cs="Times New Roman"/>
      <w:sz w:val="21"/>
      <w:szCs w:val="21"/>
    </w:rPr>
  </w:style>
  <w:style w:type="character" w:customStyle="1" w:styleId="743">
    <w:name w:val="ca-331"/>
    <w:autoRedefine/>
    <w:qFormat/>
    <w:uiPriority w:val="0"/>
    <w:rPr>
      <w:rFonts w:hint="eastAsia" w:ascii="宋体" w:hAnsi="宋体" w:eastAsia="宋体"/>
      <w:b/>
      <w:bCs/>
      <w:color w:val="002060"/>
      <w:spacing w:val="-20"/>
      <w:sz w:val="20"/>
      <w:szCs w:val="20"/>
    </w:rPr>
  </w:style>
  <w:style w:type="character" w:customStyle="1" w:styleId="744">
    <w:name w:val="ca-201"/>
    <w:autoRedefine/>
    <w:qFormat/>
    <w:uiPriority w:val="0"/>
    <w:rPr>
      <w:rFonts w:hint="default" w:ascii="??" w:hAnsi="??"/>
      <w:color w:val="000000"/>
      <w:sz w:val="18"/>
      <w:szCs w:val="18"/>
    </w:rPr>
  </w:style>
  <w:style w:type="character" w:customStyle="1" w:styleId="745">
    <w:name w:val="ca-191"/>
    <w:autoRedefine/>
    <w:qFormat/>
    <w:uiPriority w:val="0"/>
    <w:rPr>
      <w:rFonts w:hint="default" w:ascii="Times New Roman" w:hAnsi="Times New Roman" w:cs="Times New Roman"/>
      <w:sz w:val="18"/>
      <w:szCs w:val="18"/>
    </w:rPr>
  </w:style>
  <w:style w:type="character" w:customStyle="1" w:styleId="746">
    <w:name w:val="CPara--- Char Char"/>
    <w:autoRedefine/>
    <w:qFormat/>
    <w:uiPriority w:val="0"/>
    <w:rPr>
      <w:rFonts w:hint="default" w:ascii="Arial" w:hAnsi="Arial" w:eastAsia="宋体" w:cs="Arial"/>
      <w:lang w:val="en-US" w:eastAsia="en-US" w:bidi="ar-SA"/>
    </w:rPr>
  </w:style>
  <w:style w:type="character" w:customStyle="1" w:styleId="747">
    <w:name w:val="标题 5 Char1"/>
    <w:autoRedefine/>
    <w:qFormat/>
    <w:uiPriority w:val="0"/>
    <w:rPr>
      <w:rFonts w:hint="eastAsia" w:ascii="宋体" w:hAnsi="宋体" w:eastAsia="宋体"/>
      <w:b/>
      <w:bCs/>
      <w:kern w:val="2"/>
      <w:sz w:val="28"/>
      <w:szCs w:val="28"/>
      <w:lang w:val="en-US" w:eastAsia="zh-CN" w:bidi="ar-SA"/>
    </w:rPr>
  </w:style>
  <w:style w:type="character" w:customStyle="1" w:styleId="748">
    <w:name w:val="ca-81"/>
    <w:autoRedefine/>
    <w:qFormat/>
    <w:uiPriority w:val="0"/>
    <w:rPr>
      <w:rFonts w:hint="eastAsia" w:ascii="宋体" w:hAnsi="宋体" w:eastAsia="宋体"/>
      <w:color w:val="000000"/>
      <w:sz w:val="28"/>
      <w:szCs w:val="28"/>
    </w:rPr>
  </w:style>
  <w:style w:type="character" w:customStyle="1" w:styleId="749">
    <w:name w:val="ca-461"/>
    <w:autoRedefine/>
    <w:qFormat/>
    <w:uiPriority w:val="0"/>
    <w:rPr>
      <w:rFonts w:hint="eastAsia" w:ascii="宋体" w:hAnsi="宋体" w:eastAsia="宋体"/>
      <w:color w:val="000000"/>
      <w:spacing w:val="-20"/>
      <w:sz w:val="28"/>
      <w:szCs w:val="28"/>
    </w:rPr>
  </w:style>
  <w:style w:type="character" w:customStyle="1" w:styleId="750">
    <w:name w:val="ca-501"/>
    <w:autoRedefine/>
    <w:qFormat/>
    <w:uiPriority w:val="0"/>
    <w:rPr>
      <w:rFonts w:hint="eastAsia" w:ascii="宋体" w:hAnsi="宋体" w:eastAsia="宋体"/>
      <w:spacing w:val="0"/>
      <w:sz w:val="24"/>
      <w:szCs w:val="24"/>
    </w:rPr>
  </w:style>
  <w:style w:type="character" w:customStyle="1" w:styleId="751">
    <w:name w:val="2nd level Char1"/>
    <w:autoRedefine/>
    <w:qFormat/>
    <w:uiPriority w:val="0"/>
    <w:rPr>
      <w:rFonts w:hint="default" w:ascii="Arial" w:hAnsi="Arial" w:eastAsia="宋体" w:cs="Arial"/>
      <w:b/>
      <w:bCs/>
      <w:kern w:val="2"/>
      <w:sz w:val="24"/>
      <w:szCs w:val="32"/>
      <w:lang w:val="en-US" w:eastAsia="zh-CN" w:bidi="ar-SA"/>
    </w:rPr>
  </w:style>
  <w:style w:type="character" w:customStyle="1" w:styleId="752">
    <w:name w:val="日期 Char1"/>
    <w:autoRedefine/>
    <w:qFormat/>
    <w:uiPriority w:val="0"/>
    <w:rPr>
      <w:kern w:val="2"/>
      <w:sz w:val="21"/>
      <w:szCs w:val="22"/>
    </w:rPr>
  </w:style>
  <w:style w:type="character" w:customStyle="1" w:styleId="753">
    <w:name w:val="ca-210"/>
    <w:autoRedefine/>
    <w:qFormat/>
    <w:uiPriority w:val="0"/>
    <w:rPr>
      <w:rFonts w:hint="default" w:ascii="Times New Roman" w:hAnsi="Times New Roman" w:cs="Times New Roman"/>
      <w:color w:val="000000"/>
      <w:sz w:val="36"/>
      <w:szCs w:val="36"/>
    </w:rPr>
  </w:style>
  <w:style w:type="character" w:customStyle="1" w:styleId="754">
    <w:name w:val="页眉 Char Char"/>
    <w:autoRedefine/>
    <w:qFormat/>
    <w:uiPriority w:val="0"/>
    <w:rPr>
      <w:rFonts w:hint="default" w:ascii="Times New Roman" w:hAnsi="Times New Roman" w:eastAsia="宋体" w:cs="Times New Roman"/>
      <w:sz w:val="18"/>
      <w:szCs w:val="18"/>
    </w:rPr>
  </w:style>
  <w:style w:type="character" w:customStyle="1" w:styleId="755">
    <w:name w:val="页脚 Char1"/>
    <w:autoRedefine/>
    <w:qFormat/>
    <w:uiPriority w:val="0"/>
    <w:rPr>
      <w:rFonts w:hint="eastAsia" w:ascii="黑体" w:hAnsi="黑体" w:eastAsia="黑体"/>
      <w:snapToGrid w:val="0"/>
      <w:sz w:val="18"/>
      <w:szCs w:val="18"/>
      <w:lang w:val="en-US" w:eastAsia="zh-CN" w:bidi="ar-SA"/>
    </w:rPr>
  </w:style>
  <w:style w:type="character" w:customStyle="1" w:styleId="756">
    <w:name w:val="日期 Char2"/>
    <w:autoRedefine/>
    <w:qFormat/>
    <w:uiPriority w:val="0"/>
    <w:rPr>
      <w:rFonts w:hint="eastAsia" w:ascii="楷体_GB2312" w:eastAsia="楷体_GB2312"/>
      <w:kern w:val="2"/>
      <w:sz w:val="32"/>
      <w:lang w:val="en-US" w:eastAsia="zh-CN" w:bidi="ar-SA"/>
    </w:rPr>
  </w:style>
  <w:style w:type="character" w:customStyle="1" w:styleId="757">
    <w:name w:val="style11"/>
    <w:autoRedefine/>
    <w:qFormat/>
    <w:uiPriority w:val="0"/>
    <w:rPr>
      <w:sz w:val="27"/>
      <w:szCs w:val="27"/>
    </w:rPr>
  </w:style>
  <w:style w:type="character" w:customStyle="1" w:styleId="758">
    <w:name w:val="文档结构图 Char1"/>
    <w:autoRedefine/>
    <w:qFormat/>
    <w:uiPriority w:val="0"/>
    <w:rPr>
      <w:rFonts w:hint="eastAsia" w:ascii="宋体" w:hAnsi="宋体" w:eastAsia="宋体"/>
      <w:kern w:val="2"/>
      <w:sz w:val="18"/>
      <w:szCs w:val="18"/>
    </w:rPr>
  </w:style>
  <w:style w:type="character" w:customStyle="1" w:styleId="759">
    <w:name w:val="批注文字 Char1"/>
    <w:autoRedefine/>
    <w:semiHidden/>
    <w:qFormat/>
    <w:uiPriority w:val="0"/>
    <w:rPr>
      <w:rFonts w:hint="eastAsia" w:ascii="宋体" w:hAnsi="宋体" w:eastAsia="宋体"/>
      <w:kern w:val="2"/>
      <w:sz w:val="21"/>
      <w:szCs w:val="24"/>
      <w:lang w:val="en-US" w:eastAsia="zh-CN" w:bidi="ar-SA"/>
    </w:rPr>
  </w:style>
  <w:style w:type="character" w:customStyle="1" w:styleId="760">
    <w:name w:val="Char Char22"/>
    <w:autoRedefine/>
    <w:qFormat/>
    <w:uiPriority w:val="0"/>
    <w:rPr>
      <w:rFonts w:hint="eastAsia" w:ascii="宋体" w:hAnsi="宋体" w:eastAsia="宋体"/>
      <w:b/>
      <w:bCs/>
      <w:kern w:val="44"/>
      <w:sz w:val="44"/>
      <w:szCs w:val="44"/>
    </w:rPr>
  </w:style>
  <w:style w:type="character" w:customStyle="1" w:styleId="761">
    <w:name w:val="正文文字4 Char"/>
    <w:autoRedefine/>
    <w:qFormat/>
    <w:uiPriority w:val="0"/>
    <w:rPr>
      <w:rFonts w:hint="eastAsia" w:ascii="宋体" w:hAnsi="宋体" w:eastAsia="宋体"/>
      <w:kern w:val="2"/>
      <w:sz w:val="21"/>
      <w:szCs w:val="24"/>
      <w:lang w:val="en-US" w:eastAsia="zh-CN" w:bidi="ar-SA"/>
    </w:rPr>
  </w:style>
  <w:style w:type="character" w:customStyle="1" w:styleId="762">
    <w:name w:val="ca-410"/>
    <w:autoRedefine/>
    <w:qFormat/>
    <w:uiPriority w:val="0"/>
    <w:rPr>
      <w:rFonts w:hint="eastAsia" w:ascii="宋体" w:hAnsi="宋体" w:eastAsia="宋体"/>
      <w:b/>
      <w:bCs/>
      <w:color w:val="000000"/>
      <w:spacing w:val="-20"/>
      <w:sz w:val="48"/>
      <w:szCs w:val="48"/>
    </w:rPr>
  </w:style>
  <w:style w:type="character" w:customStyle="1" w:styleId="763">
    <w:name w:val="ca-101"/>
    <w:autoRedefine/>
    <w:qFormat/>
    <w:uiPriority w:val="0"/>
    <w:rPr>
      <w:rFonts w:hint="default" w:ascii="Times New Roman" w:hAnsi="Times New Roman" w:cs="Times New Roman"/>
      <w:color w:val="000000"/>
      <w:sz w:val="52"/>
      <w:szCs w:val="52"/>
    </w:rPr>
  </w:style>
  <w:style w:type="paragraph" w:customStyle="1" w:styleId="764">
    <w:name w:val="标题 3_1"/>
    <w:basedOn w:val="120"/>
    <w:next w:val="120"/>
    <w:link w:val="765"/>
    <w:autoRedefine/>
    <w:qFormat/>
    <w:uiPriority w:val="0"/>
    <w:pPr>
      <w:keepNext/>
      <w:keepLines/>
      <w:spacing w:before="260" w:after="260" w:line="415" w:lineRule="auto"/>
      <w:outlineLvl w:val="2"/>
    </w:pPr>
    <w:rPr>
      <w:rFonts w:ascii="Times New Roman" w:hAnsi="Times New Roman"/>
      <w:b/>
      <w:bCs/>
      <w:sz w:val="32"/>
      <w:szCs w:val="32"/>
    </w:rPr>
  </w:style>
  <w:style w:type="character" w:customStyle="1" w:styleId="765">
    <w:name w:val="标题 3 Char_0"/>
    <w:link w:val="764"/>
    <w:autoRedefine/>
    <w:qFormat/>
    <w:locked/>
    <w:uiPriority w:val="0"/>
    <w:rPr>
      <w:rFonts w:ascii="Times New Roman" w:hAnsi="Times New Roman" w:eastAsia="宋体" w:cs="Times New Roman"/>
      <w:b/>
      <w:bCs/>
      <w:sz w:val="32"/>
      <w:szCs w:val="32"/>
    </w:rPr>
  </w:style>
  <w:style w:type="character" w:customStyle="1" w:styleId="766">
    <w:name w:val="ca-361"/>
    <w:autoRedefine/>
    <w:qFormat/>
    <w:uiPriority w:val="0"/>
    <w:rPr>
      <w:rFonts w:hint="eastAsia" w:ascii="宋体" w:hAnsi="宋体" w:eastAsia="宋体"/>
      <w:b/>
      <w:bCs/>
      <w:spacing w:val="-20"/>
      <w:sz w:val="21"/>
      <w:szCs w:val="21"/>
    </w:rPr>
  </w:style>
  <w:style w:type="character" w:customStyle="1" w:styleId="767">
    <w:name w:val="标题 3 Char1"/>
    <w:autoRedefine/>
    <w:qFormat/>
    <w:uiPriority w:val="0"/>
    <w:rPr>
      <w:rFonts w:hint="eastAsia" w:ascii="宋体" w:hAnsi="宋体" w:eastAsia="宋体"/>
      <w:b/>
      <w:bCs/>
      <w:kern w:val="2"/>
      <w:sz w:val="32"/>
      <w:szCs w:val="32"/>
      <w:lang w:val="en-US" w:eastAsia="zh-CN" w:bidi="ar-SA"/>
    </w:rPr>
  </w:style>
  <w:style w:type="character" w:customStyle="1" w:styleId="768">
    <w:name w:val="ca-301"/>
    <w:autoRedefine/>
    <w:qFormat/>
    <w:uiPriority w:val="0"/>
    <w:rPr>
      <w:rFonts w:hint="default" w:ascii="??" w:hAnsi="??"/>
      <w:color w:val="002060"/>
      <w:sz w:val="21"/>
      <w:szCs w:val="21"/>
    </w:rPr>
  </w:style>
  <w:style w:type="character" w:customStyle="1" w:styleId="769">
    <w:name w:val="标题 Char Char"/>
    <w:autoRedefine/>
    <w:qFormat/>
    <w:uiPriority w:val="0"/>
    <w:rPr>
      <w:rFonts w:hint="default" w:ascii="Arial" w:hAnsi="Arial" w:eastAsia="宋体" w:cs="Arial"/>
      <w:b/>
      <w:kern w:val="2"/>
      <w:sz w:val="44"/>
      <w:lang w:val="en-US" w:eastAsia="zh-CN"/>
    </w:rPr>
  </w:style>
  <w:style w:type="character" w:customStyle="1" w:styleId="770">
    <w:name w:val="ca-381"/>
    <w:autoRedefine/>
    <w:qFormat/>
    <w:uiPriority w:val="0"/>
    <w:rPr>
      <w:rFonts w:hint="default" w:ascii="Times New Roman" w:hAnsi="Times New Roman" w:cs="Times New Roman"/>
      <w:b/>
      <w:bCs/>
      <w:spacing w:val="-20"/>
      <w:sz w:val="21"/>
      <w:szCs w:val="21"/>
    </w:rPr>
  </w:style>
  <w:style w:type="character" w:customStyle="1" w:styleId="771">
    <w:name w:val="文档结构图 Char2"/>
    <w:autoRedefine/>
    <w:qFormat/>
    <w:uiPriority w:val="0"/>
    <w:rPr>
      <w:kern w:val="2"/>
      <w:sz w:val="21"/>
      <w:szCs w:val="24"/>
      <w:shd w:val="clear" w:color="auto" w:fill="000080"/>
    </w:rPr>
  </w:style>
  <w:style w:type="character" w:customStyle="1" w:styleId="772">
    <w:name w:val="ca-241"/>
    <w:autoRedefine/>
    <w:qFormat/>
    <w:uiPriority w:val="0"/>
    <w:rPr>
      <w:rFonts w:hint="eastAsia" w:ascii="宋体" w:hAnsi="宋体" w:eastAsia="宋体"/>
      <w:sz w:val="24"/>
      <w:szCs w:val="24"/>
    </w:rPr>
  </w:style>
  <w:style w:type="character" w:customStyle="1" w:styleId="773">
    <w:name w:val="Char Char30"/>
    <w:autoRedefine/>
    <w:qFormat/>
    <w:uiPriority w:val="0"/>
    <w:rPr>
      <w:rFonts w:hint="default" w:ascii="Arial" w:hAnsi="Arial" w:eastAsia="黑体" w:cs="Times New Roman"/>
      <w:b/>
      <w:bCs/>
      <w:sz w:val="32"/>
      <w:szCs w:val="32"/>
    </w:rPr>
  </w:style>
  <w:style w:type="character" w:customStyle="1" w:styleId="774">
    <w:name w:val="表正文 Char1"/>
    <w:autoRedefine/>
    <w:qFormat/>
    <w:uiPriority w:val="0"/>
    <w:rPr>
      <w:rFonts w:hint="eastAsia" w:ascii="宋体" w:hAnsi="宋体" w:eastAsia="宋体"/>
      <w:kern w:val="2"/>
      <w:sz w:val="21"/>
      <w:szCs w:val="24"/>
      <w:lang w:val="en-US" w:eastAsia="zh-CN" w:bidi="ar-SA"/>
    </w:rPr>
  </w:style>
  <w:style w:type="character" w:customStyle="1" w:styleId="775">
    <w:name w:val="ca-171"/>
    <w:autoRedefine/>
    <w:qFormat/>
    <w:uiPriority w:val="0"/>
    <w:rPr>
      <w:rFonts w:hint="default" w:ascii="Times New Roman" w:hAnsi="Times New Roman" w:cs="Times New Roman"/>
      <w:b/>
      <w:bCs/>
      <w:spacing w:val="-20"/>
      <w:sz w:val="24"/>
      <w:szCs w:val="24"/>
    </w:rPr>
  </w:style>
  <w:style w:type="character" w:customStyle="1" w:styleId="776">
    <w:name w:val="Char Char23"/>
    <w:autoRedefine/>
    <w:qFormat/>
    <w:uiPriority w:val="0"/>
    <w:rPr>
      <w:rFonts w:hint="default" w:ascii="Times New Roman" w:hAnsi="Times New Roman" w:eastAsia="宋体" w:cs="Times New Roman"/>
      <w:b/>
      <w:bCs/>
      <w:sz w:val="32"/>
      <w:szCs w:val="32"/>
    </w:rPr>
  </w:style>
  <w:style w:type="character" w:customStyle="1" w:styleId="777">
    <w:name w:val="ca-511"/>
    <w:autoRedefine/>
    <w:qFormat/>
    <w:uiPriority w:val="0"/>
    <w:rPr>
      <w:rFonts w:hint="default" w:ascii="Times New Roman" w:hAnsi="Times New Roman" w:cs="Times New Roman"/>
      <w:b/>
      <w:bCs/>
      <w:color w:val="000000"/>
      <w:spacing w:val="-20"/>
      <w:sz w:val="32"/>
      <w:szCs w:val="32"/>
    </w:rPr>
  </w:style>
  <w:style w:type="character" w:customStyle="1" w:styleId="778">
    <w:name w:val="Heading 3 - old Char1"/>
    <w:autoRedefine/>
    <w:qFormat/>
    <w:uiPriority w:val="0"/>
    <w:rPr>
      <w:rFonts w:hint="eastAsia" w:ascii="宋体" w:hAnsi="宋体" w:eastAsia="宋体"/>
      <w:b/>
      <w:bCs/>
      <w:kern w:val="2"/>
      <w:sz w:val="21"/>
      <w:szCs w:val="32"/>
      <w:lang w:val="en-US" w:eastAsia="zh-CN" w:bidi="ar-SA"/>
    </w:rPr>
  </w:style>
  <w:style w:type="character" w:customStyle="1" w:styleId="779">
    <w:name w:val="Char Char21"/>
    <w:autoRedefine/>
    <w:qFormat/>
    <w:uiPriority w:val="0"/>
    <w:rPr>
      <w:rFonts w:hint="default" w:ascii="Arial" w:hAnsi="Arial" w:eastAsia="黑体" w:cs="Arial"/>
      <w:b/>
      <w:bCs/>
      <w:kern w:val="2"/>
      <w:sz w:val="28"/>
      <w:szCs w:val="28"/>
      <w:lang w:val="en-US" w:eastAsia="zh-CN" w:bidi="ar-SA"/>
    </w:rPr>
  </w:style>
  <w:style w:type="character" w:customStyle="1" w:styleId="780">
    <w:name w:val="ca-471"/>
    <w:autoRedefine/>
    <w:qFormat/>
    <w:uiPriority w:val="0"/>
    <w:rPr>
      <w:rFonts w:hint="eastAsia" w:ascii="宋体" w:hAnsi="宋体" w:eastAsia="宋体"/>
      <w:b/>
      <w:bCs/>
      <w:color w:val="000000"/>
      <w:spacing w:val="-20"/>
      <w:sz w:val="24"/>
      <w:szCs w:val="24"/>
    </w:rPr>
  </w:style>
  <w:style w:type="character" w:customStyle="1" w:styleId="781">
    <w:name w:val="zbggtop11 style5"/>
    <w:autoRedefine/>
    <w:qFormat/>
    <w:uiPriority w:val="0"/>
  </w:style>
  <w:style w:type="paragraph" w:customStyle="1" w:styleId="782">
    <w:name w:val="标题 3_0_0"/>
    <w:basedOn w:val="121"/>
    <w:next w:val="121"/>
    <w:link w:val="783"/>
    <w:autoRedefine/>
    <w:qFormat/>
    <w:uiPriority w:val="0"/>
    <w:pPr>
      <w:keepNext/>
      <w:keepLines/>
      <w:spacing w:before="260" w:after="260" w:line="415" w:lineRule="auto"/>
      <w:outlineLvl w:val="2"/>
    </w:pPr>
    <w:rPr>
      <w:rFonts w:ascii="Times New Roman" w:hAnsi="Times New Roman"/>
      <w:b/>
      <w:bCs/>
      <w:sz w:val="32"/>
      <w:szCs w:val="32"/>
    </w:rPr>
  </w:style>
  <w:style w:type="character" w:customStyle="1" w:styleId="783">
    <w:name w:val="Char Char2_0"/>
    <w:link w:val="782"/>
    <w:autoRedefine/>
    <w:qFormat/>
    <w:locked/>
    <w:uiPriority w:val="0"/>
    <w:rPr>
      <w:rFonts w:ascii="Times New Roman" w:hAnsi="Times New Roman" w:eastAsia="宋体" w:cs="Times New Roman"/>
      <w:b/>
      <w:bCs/>
      <w:sz w:val="32"/>
      <w:szCs w:val="32"/>
    </w:rPr>
  </w:style>
  <w:style w:type="character" w:customStyle="1" w:styleId="784">
    <w:name w:val="Char Char32"/>
    <w:autoRedefine/>
    <w:qFormat/>
    <w:uiPriority w:val="0"/>
    <w:rPr>
      <w:rFonts w:hint="eastAsia" w:ascii="仿宋_GB2312" w:hAnsi="宋体" w:eastAsia="宋体" w:cs="Arial"/>
      <w:b/>
      <w:bCs/>
      <w:color w:val="000000"/>
      <w:sz w:val="24"/>
      <w:szCs w:val="24"/>
    </w:rPr>
  </w:style>
  <w:style w:type="character" w:customStyle="1" w:styleId="785">
    <w:name w:val="Para- Char Char"/>
    <w:autoRedefine/>
    <w:qFormat/>
    <w:uiPriority w:val="0"/>
    <w:rPr>
      <w:rFonts w:hint="default" w:ascii="Arial" w:hAnsi="Arial" w:eastAsia="宋体" w:cs="Arial"/>
      <w:lang w:val="en-US" w:eastAsia="en-US" w:bidi="ar-SA"/>
    </w:rPr>
  </w:style>
  <w:style w:type="character" w:customStyle="1" w:styleId="786">
    <w:name w:val="不明显强调111"/>
    <w:autoRedefine/>
    <w:qFormat/>
    <w:uiPriority w:val="0"/>
    <w:rPr>
      <w:i/>
      <w:iCs/>
      <w:color w:val="808080"/>
    </w:rPr>
  </w:style>
  <w:style w:type="character" w:customStyle="1" w:styleId="787">
    <w:name w:val="页脚 Char Char"/>
    <w:autoRedefine/>
    <w:qFormat/>
    <w:uiPriority w:val="0"/>
    <w:rPr>
      <w:kern w:val="2"/>
      <w:sz w:val="18"/>
      <w:szCs w:val="18"/>
    </w:rPr>
  </w:style>
  <w:style w:type="character" w:customStyle="1" w:styleId="788">
    <w:name w:val="Char Char33"/>
    <w:autoRedefine/>
    <w:qFormat/>
    <w:uiPriority w:val="0"/>
    <w:rPr>
      <w:rFonts w:hint="default" w:ascii="Times New Roman" w:hAnsi="Times New Roman" w:eastAsia="宋体" w:cs="Times New Roman"/>
      <w:sz w:val="18"/>
      <w:szCs w:val="18"/>
    </w:rPr>
  </w:style>
  <w:style w:type="paragraph" w:customStyle="1" w:styleId="789">
    <w:name w:val="批注文字_0"/>
    <w:basedOn w:val="128"/>
    <w:link w:val="790"/>
    <w:autoRedefine/>
    <w:qFormat/>
    <w:uiPriority w:val="0"/>
    <w:pPr>
      <w:jc w:val="left"/>
    </w:pPr>
    <w:rPr>
      <w:szCs w:val="22"/>
    </w:rPr>
  </w:style>
  <w:style w:type="character" w:customStyle="1" w:styleId="790">
    <w:name w:val="批注文字 Char_0"/>
    <w:link w:val="789"/>
    <w:autoRedefine/>
    <w:qFormat/>
    <w:locked/>
    <w:uiPriority w:val="0"/>
    <w:rPr>
      <w:rFonts w:ascii="Times New Roman" w:hAnsi="Times New Roman" w:eastAsia="宋体" w:cs="Times New Roman"/>
    </w:rPr>
  </w:style>
  <w:style w:type="character" w:customStyle="1" w:styleId="791">
    <w:name w:val="正文文本缩进 2 Char Char"/>
    <w:autoRedefine/>
    <w:qFormat/>
    <w:uiPriority w:val="0"/>
    <w:rPr>
      <w:rFonts w:hint="default" w:ascii="Times New Roman" w:hAnsi="Times New Roman" w:eastAsia="宋体" w:cs="Times New Roman"/>
      <w:szCs w:val="24"/>
    </w:rPr>
  </w:style>
  <w:style w:type="character" w:customStyle="1" w:styleId="792">
    <w:name w:val="by jerry Char Char"/>
    <w:autoRedefine/>
    <w:qFormat/>
    <w:uiPriority w:val="0"/>
    <w:rPr>
      <w:rFonts w:hint="eastAsia" w:ascii="宋体" w:hAnsi="宋体" w:eastAsia="宋体"/>
      <w:b/>
      <w:bCs/>
      <w:kern w:val="44"/>
      <w:sz w:val="44"/>
      <w:szCs w:val="44"/>
      <w:lang w:val="en-US" w:eastAsia="zh-CN" w:bidi="ar-SA"/>
    </w:rPr>
  </w:style>
  <w:style w:type="character" w:customStyle="1" w:styleId="793">
    <w:name w:val="15"/>
    <w:autoRedefine/>
    <w:qFormat/>
    <w:uiPriority w:val="0"/>
    <w:rPr>
      <w:rFonts w:hint="default" w:ascii="Calibri" w:hAnsi="Calibri" w:eastAsia="ヒラギノ角ゴ Pro W3" w:cs="Calibri"/>
      <w:color w:val="000000"/>
      <w:sz w:val="20"/>
      <w:szCs w:val="20"/>
      <w:lang w:val="en-US" w:eastAsia="zh-CN" w:bidi="ar-SA"/>
    </w:rPr>
  </w:style>
  <w:style w:type="character" w:customStyle="1" w:styleId="794">
    <w:name w:val="ca-321"/>
    <w:autoRedefine/>
    <w:qFormat/>
    <w:uiPriority w:val="0"/>
    <w:rPr>
      <w:rFonts w:hint="eastAsia" w:ascii="宋体" w:hAnsi="宋体" w:eastAsia="宋体"/>
      <w:b/>
      <w:bCs/>
      <w:color w:val="C00000"/>
      <w:spacing w:val="-20"/>
      <w:sz w:val="21"/>
      <w:szCs w:val="21"/>
    </w:rPr>
  </w:style>
  <w:style w:type="character" w:customStyle="1" w:styleId="795">
    <w:name w:val="ca-310"/>
    <w:autoRedefine/>
    <w:qFormat/>
    <w:uiPriority w:val="0"/>
    <w:rPr>
      <w:rFonts w:hint="default" w:ascii="Times New Roman" w:hAnsi="Times New Roman" w:cs="Times New Roman"/>
      <w:b/>
      <w:bCs/>
      <w:color w:val="000000"/>
      <w:spacing w:val="-20"/>
      <w:sz w:val="48"/>
      <w:szCs w:val="48"/>
    </w:rPr>
  </w:style>
  <w:style w:type="paragraph" w:customStyle="1" w:styleId="796">
    <w:name w:val="正文缩进_0"/>
    <w:basedOn w:val="131"/>
    <w:link w:val="797"/>
    <w:autoRedefine/>
    <w:qFormat/>
    <w:uiPriority w:val="0"/>
    <w:pPr>
      <w:ind w:firstLine="420" w:firstLineChars="200"/>
    </w:pPr>
    <w:rPr>
      <w:rFonts w:ascii="Times New Roman" w:hAnsi="Times New Roman"/>
    </w:rPr>
  </w:style>
  <w:style w:type="character" w:customStyle="1" w:styleId="797">
    <w:name w:val="署名 Char1"/>
    <w:link w:val="796"/>
    <w:autoRedefine/>
    <w:qFormat/>
    <w:locked/>
    <w:uiPriority w:val="0"/>
    <w:rPr>
      <w:rFonts w:ascii="Times New Roman" w:hAnsi="Times New Roman" w:eastAsia="宋体" w:cs="Times New Roman"/>
    </w:rPr>
  </w:style>
  <w:style w:type="character" w:customStyle="1" w:styleId="798">
    <w:name w:val="ca-411"/>
    <w:autoRedefine/>
    <w:qFormat/>
    <w:uiPriority w:val="0"/>
    <w:rPr>
      <w:rFonts w:hint="eastAsia" w:ascii="宋体" w:hAnsi="宋体" w:eastAsia="宋体"/>
      <w:b/>
      <w:bCs/>
      <w:color w:val="000000"/>
      <w:spacing w:val="-20"/>
      <w:sz w:val="32"/>
      <w:szCs w:val="32"/>
    </w:rPr>
  </w:style>
  <w:style w:type="character" w:customStyle="1" w:styleId="799">
    <w:name w:val="ca-71"/>
    <w:autoRedefine/>
    <w:qFormat/>
    <w:uiPriority w:val="0"/>
    <w:rPr>
      <w:rFonts w:hint="default" w:ascii="Times New Roman" w:hAnsi="Times New Roman" w:cs="Times New Roman"/>
      <w:color w:val="000000"/>
      <w:sz w:val="28"/>
      <w:szCs w:val="28"/>
    </w:rPr>
  </w:style>
  <w:style w:type="character" w:customStyle="1" w:styleId="800">
    <w:name w:val="ca-531"/>
    <w:autoRedefine/>
    <w:qFormat/>
    <w:uiPriority w:val="0"/>
    <w:rPr>
      <w:rFonts w:hint="default" w:ascii="Times New Roman" w:hAnsi="Times New Roman" w:cs="Times New Roman"/>
      <w:b/>
      <w:bCs/>
      <w:spacing w:val="-20"/>
      <w:sz w:val="36"/>
      <w:szCs w:val="36"/>
    </w:rPr>
  </w:style>
  <w:style w:type="character" w:customStyle="1" w:styleId="801">
    <w:name w:val="ca-311"/>
    <w:autoRedefine/>
    <w:qFormat/>
    <w:uiPriority w:val="0"/>
    <w:rPr>
      <w:rFonts w:hint="default" w:ascii="??" w:hAnsi="??"/>
      <w:color w:val="000000"/>
      <w:sz w:val="21"/>
      <w:szCs w:val="21"/>
    </w:rPr>
  </w:style>
  <w:style w:type="character" w:customStyle="1" w:styleId="802">
    <w:name w:val="2nd level Char2"/>
    <w:autoRedefine/>
    <w:qFormat/>
    <w:uiPriority w:val="0"/>
    <w:rPr>
      <w:rFonts w:hint="default" w:ascii="Arial" w:hAnsi="Arial" w:eastAsia="宋体" w:cs="Arial"/>
      <w:b/>
      <w:bCs/>
      <w:kern w:val="2"/>
      <w:sz w:val="24"/>
      <w:szCs w:val="32"/>
      <w:lang w:val="en-US" w:eastAsia="zh-CN" w:bidi="ar-SA"/>
    </w:rPr>
  </w:style>
  <w:style w:type="character" w:customStyle="1" w:styleId="803">
    <w:name w:val="Footer-Even Char"/>
    <w:autoRedefine/>
    <w:qFormat/>
    <w:uiPriority w:val="0"/>
    <w:rPr>
      <w:rFonts w:hint="eastAsia" w:ascii="宋体" w:hAnsi="宋体" w:eastAsia="宋体"/>
      <w:kern w:val="2"/>
      <w:sz w:val="18"/>
      <w:szCs w:val="18"/>
      <w:lang w:val="en-US" w:eastAsia="zh-CN" w:bidi="ar-SA"/>
    </w:rPr>
  </w:style>
  <w:style w:type="character" w:customStyle="1" w:styleId="804">
    <w:name w:val="日期 Char Char"/>
    <w:autoRedefine/>
    <w:qFormat/>
    <w:uiPriority w:val="0"/>
    <w:rPr>
      <w:rFonts w:hint="default" w:ascii="Times New Roman" w:hAnsi="Times New Roman" w:cs="Times New Roman"/>
      <w:kern w:val="2"/>
      <w:sz w:val="21"/>
      <w:szCs w:val="24"/>
    </w:rPr>
  </w:style>
  <w:style w:type="character" w:customStyle="1" w:styleId="805">
    <w:name w:val="批注文字 Char Char"/>
    <w:autoRedefine/>
    <w:qFormat/>
    <w:uiPriority w:val="0"/>
    <w:rPr>
      <w:rFonts w:hint="default" w:ascii="Times New Roman" w:hAnsi="Times New Roman" w:eastAsia="宋体" w:cs="Times New Roman"/>
      <w:szCs w:val="24"/>
    </w:rPr>
  </w:style>
  <w:style w:type="character" w:customStyle="1" w:styleId="806">
    <w:name w:val="apple-style-span"/>
    <w:autoRedefine/>
    <w:qFormat/>
    <w:uiPriority w:val="0"/>
  </w:style>
  <w:style w:type="character" w:customStyle="1" w:styleId="807">
    <w:name w:val="书籍标题111"/>
    <w:autoRedefine/>
    <w:qFormat/>
    <w:uiPriority w:val="0"/>
    <w:rPr>
      <w:b/>
      <w:bCs/>
      <w:smallCaps/>
      <w:spacing w:val="5"/>
    </w:rPr>
  </w:style>
  <w:style w:type="character" w:customStyle="1" w:styleId="808">
    <w:name w:val="ca-221"/>
    <w:autoRedefine/>
    <w:qFormat/>
    <w:uiPriority w:val="0"/>
    <w:rPr>
      <w:rFonts w:hint="eastAsia" w:ascii="宋体" w:hAnsi="宋体" w:eastAsia="宋体"/>
      <w:sz w:val="21"/>
      <w:szCs w:val="21"/>
    </w:rPr>
  </w:style>
  <w:style w:type="character" w:customStyle="1" w:styleId="809">
    <w:name w:val="Heading 3 - old Char2"/>
    <w:autoRedefine/>
    <w:qFormat/>
    <w:uiPriority w:val="0"/>
    <w:rPr>
      <w:rFonts w:hint="eastAsia" w:ascii="宋体" w:hAnsi="宋体" w:eastAsia="宋体"/>
      <w:b/>
      <w:bCs/>
      <w:kern w:val="2"/>
      <w:sz w:val="21"/>
      <w:szCs w:val="32"/>
      <w:lang w:val="en-US" w:eastAsia="zh-CN" w:bidi="ar-SA"/>
    </w:rPr>
  </w:style>
  <w:style w:type="character" w:customStyle="1" w:styleId="810">
    <w:name w:val="标题 1 Char Char"/>
    <w:autoRedefine/>
    <w:qFormat/>
    <w:uiPriority w:val="0"/>
    <w:rPr>
      <w:rFonts w:hint="default" w:ascii="Times New Roman" w:hAnsi="Times New Roman" w:cs="Times New Roman"/>
      <w:b/>
      <w:bCs/>
      <w:kern w:val="44"/>
      <w:sz w:val="44"/>
      <w:szCs w:val="44"/>
    </w:rPr>
  </w:style>
  <w:style w:type="character" w:customStyle="1" w:styleId="811">
    <w:name w:val="ca-261"/>
    <w:autoRedefine/>
    <w:qFormat/>
    <w:uiPriority w:val="0"/>
    <w:rPr>
      <w:rFonts w:hint="eastAsia" w:ascii="宋体" w:hAnsi="宋体" w:eastAsia="宋体"/>
      <w:color w:val="002060"/>
      <w:sz w:val="21"/>
      <w:szCs w:val="21"/>
    </w:rPr>
  </w:style>
  <w:style w:type="character" w:customStyle="1" w:styleId="812">
    <w:name w:val="批注主题 Char1"/>
    <w:autoRedefine/>
    <w:qFormat/>
    <w:uiPriority w:val="0"/>
    <w:rPr>
      <w:b/>
      <w:bCs/>
      <w:kern w:val="2"/>
      <w:sz w:val="21"/>
      <w:szCs w:val="22"/>
    </w:rPr>
  </w:style>
  <w:style w:type="character" w:customStyle="1" w:styleId="813">
    <w:name w:val="ca-341"/>
    <w:autoRedefine/>
    <w:qFormat/>
    <w:uiPriority w:val="0"/>
    <w:rPr>
      <w:rFonts w:hint="eastAsia" w:ascii="宋体" w:hAnsi="宋体" w:eastAsia="宋体"/>
      <w:color w:val="000000"/>
      <w:sz w:val="20"/>
      <w:szCs w:val="20"/>
    </w:rPr>
  </w:style>
  <w:style w:type="character" w:customStyle="1" w:styleId="814">
    <w:name w:val="font161"/>
    <w:autoRedefine/>
    <w:qFormat/>
    <w:uiPriority w:val="0"/>
    <w:rPr>
      <w:b/>
      <w:bCs/>
      <w:sz w:val="32"/>
      <w:szCs w:val="32"/>
    </w:rPr>
  </w:style>
  <w:style w:type="character" w:customStyle="1" w:styleId="815">
    <w:name w:val="ca-421"/>
    <w:autoRedefine/>
    <w:qFormat/>
    <w:uiPriority w:val="0"/>
    <w:rPr>
      <w:rFonts w:hint="eastAsia" w:ascii="宋体" w:hAnsi="宋体" w:eastAsia="宋体"/>
      <w:color w:val="000000"/>
      <w:sz w:val="36"/>
      <w:szCs w:val="36"/>
    </w:rPr>
  </w:style>
  <w:style w:type="character" w:customStyle="1" w:styleId="816">
    <w:name w:val="Footer-Even Char2"/>
    <w:autoRedefine/>
    <w:qFormat/>
    <w:uiPriority w:val="0"/>
    <w:rPr>
      <w:rFonts w:hint="eastAsia" w:ascii="宋体" w:hAnsi="宋体" w:eastAsia="宋体"/>
      <w:kern w:val="2"/>
      <w:sz w:val="18"/>
      <w:szCs w:val="18"/>
      <w:lang w:val="en-US" w:eastAsia="zh-CN" w:bidi="ar-SA"/>
    </w:rPr>
  </w:style>
  <w:style w:type="character" w:customStyle="1" w:styleId="817">
    <w:name w:val="ca-211"/>
    <w:autoRedefine/>
    <w:qFormat/>
    <w:uiPriority w:val="0"/>
    <w:rPr>
      <w:rFonts w:hint="eastAsia" w:ascii="宋体" w:hAnsi="宋体" w:eastAsia="宋体"/>
      <w:color w:val="000000"/>
      <w:sz w:val="21"/>
      <w:szCs w:val="21"/>
    </w:rPr>
  </w:style>
  <w:style w:type="character" w:customStyle="1" w:styleId="818">
    <w:name w:val="ca-181"/>
    <w:autoRedefine/>
    <w:qFormat/>
    <w:uiPriority w:val="0"/>
    <w:rPr>
      <w:rFonts w:hint="eastAsia" w:ascii="宋体" w:hAnsi="宋体" w:eastAsia="宋体"/>
      <w:color w:val="000000"/>
      <w:sz w:val="18"/>
      <w:szCs w:val="18"/>
    </w:rPr>
  </w:style>
  <w:style w:type="character" w:customStyle="1" w:styleId="819">
    <w:name w:val="ca-54"/>
    <w:autoRedefine/>
    <w:qFormat/>
    <w:uiPriority w:val="0"/>
    <w:rPr>
      <w:rFonts w:hint="eastAsia" w:ascii="宋体" w:hAnsi="宋体" w:eastAsia="宋体"/>
      <w:b/>
      <w:bCs/>
      <w:color w:val="000000"/>
      <w:spacing w:val="40"/>
      <w:sz w:val="48"/>
      <w:szCs w:val="48"/>
    </w:rPr>
  </w:style>
  <w:style w:type="character" w:customStyle="1" w:styleId="820">
    <w:name w:val="ca-271"/>
    <w:autoRedefine/>
    <w:qFormat/>
    <w:uiPriority w:val="0"/>
    <w:rPr>
      <w:rFonts w:hint="eastAsia" w:ascii="宋体" w:hAnsi="宋体" w:eastAsia="宋体"/>
      <w:b/>
      <w:bCs/>
      <w:color w:val="002060"/>
      <w:spacing w:val="-20"/>
      <w:sz w:val="21"/>
      <w:szCs w:val="21"/>
    </w:rPr>
  </w:style>
  <w:style w:type="character" w:customStyle="1" w:styleId="821">
    <w:name w:val="ca-441"/>
    <w:autoRedefine/>
    <w:qFormat/>
    <w:uiPriority w:val="0"/>
    <w:rPr>
      <w:rFonts w:hint="eastAsia" w:ascii="宋体" w:hAnsi="宋体" w:eastAsia="宋体"/>
      <w:color w:val="000000"/>
      <w:sz w:val="52"/>
      <w:szCs w:val="52"/>
    </w:rPr>
  </w:style>
  <w:style w:type="character" w:customStyle="1" w:styleId="822">
    <w:name w:val="文档结构图 Char"/>
    <w:autoRedefine/>
    <w:qFormat/>
    <w:uiPriority w:val="0"/>
    <w:rPr>
      <w:szCs w:val="24"/>
      <w:shd w:val="clear" w:color="auto" w:fill="000080"/>
      <w:lang w:bidi="ar-SA"/>
    </w:rPr>
  </w:style>
  <w:style w:type="character" w:customStyle="1" w:styleId="823">
    <w:name w:val="ca-121"/>
    <w:autoRedefine/>
    <w:qFormat/>
    <w:uiPriority w:val="0"/>
    <w:rPr>
      <w:rFonts w:hint="default" w:ascii="Times New Roman" w:hAnsi="Times New Roman" w:cs="Times New Roman"/>
      <w:color w:val="000000"/>
      <w:sz w:val="32"/>
      <w:szCs w:val="32"/>
    </w:rPr>
  </w:style>
  <w:style w:type="character" w:customStyle="1" w:styleId="824">
    <w:name w:val="ca-251"/>
    <w:autoRedefine/>
    <w:qFormat/>
    <w:uiPriority w:val="0"/>
    <w:rPr>
      <w:rFonts w:hint="default" w:ascii="Times New Roman" w:hAnsi="Times New Roman" w:cs="Times New Roman"/>
      <w:sz w:val="21"/>
      <w:szCs w:val="21"/>
    </w:rPr>
  </w:style>
  <w:style w:type="character" w:customStyle="1" w:styleId="825">
    <w:name w:val="正文文本 Char1"/>
    <w:autoRedefine/>
    <w:qFormat/>
    <w:uiPriority w:val="0"/>
    <w:rPr>
      <w:kern w:val="2"/>
      <w:sz w:val="21"/>
      <w:szCs w:val="22"/>
    </w:rPr>
  </w:style>
  <w:style w:type="character" w:customStyle="1" w:styleId="826">
    <w:name w:val="明显参考111"/>
    <w:autoRedefine/>
    <w:qFormat/>
    <w:uiPriority w:val="0"/>
    <w:rPr>
      <w:b/>
      <w:bCs/>
      <w:smallCaps/>
      <w:color w:val="C0504D"/>
      <w:spacing w:val="5"/>
      <w:u w:val="single"/>
    </w:rPr>
  </w:style>
  <w:style w:type="character" w:customStyle="1" w:styleId="827">
    <w:name w:val="明显强调111"/>
    <w:autoRedefine/>
    <w:qFormat/>
    <w:uiPriority w:val="0"/>
    <w:rPr>
      <w:b/>
      <w:bCs/>
      <w:i/>
      <w:iCs/>
      <w:color w:val="4F81BD"/>
    </w:rPr>
  </w:style>
  <w:style w:type="character" w:customStyle="1" w:styleId="828">
    <w:name w:val="Footer-Even Char1"/>
    <w:autoRedefine/>
    <w:qFormat/>
    <w:uiPriority w:val="0"/>
    <w:rPr>
      <w:rFonts w:hint="eastAsia" w:ascii="宋体" w:hAnsi="宋体" w:eastAsia="宋体"/>
      <w:kern w:val="2"/>
      <w:sz w:val="18"/>
      <w:szCs w:val="18"/>
      <w:lang w:val="en-US" w:eastAsia="zh-CN" w:bidi="ar-SA"/>
    </w:rPr>
  </w:style>
  <w:style w:type="character" w:customStyle="1" w:styleId="829">
    <w:name w:val="Char Char28"/>
    <w:autoRedefine/>
    <w:qFormat/>
    <w:uiPriority w:val="0"/>
    <w:rPr>
      <w:rFonts w:hint="eastAsia" w:ascii="宋体" w:hAnsi="宋体" w:eastAsia="宋体"/>
      <w:kern w:val="2"/>
      <w:sz w:val="18"/>
      <w:lang w:val="en-US" w:eastAsia="zh-CN" w:bidi="ar-SA"/>
    </w:rPr>
  </w:style>
  <w:style w:type="character" w:customStyle="1" w:styleId="830">
    <w:name w:val="Char Char34"/>
    <w:autoRedefine/>
    <w:qFormat/>
    <w:uiPriority w:val="0"/>
    <w:rPr>
      <w:rFonts w:hint="default" w:ascii="Cambria" w:hAnsi="Cambria" w:eastAsia="宋体" w:cs="Times New Roman"/>
      <w:b/>
      <w:bCs/>
      <w:sz w:val="28"/>
      <w:szCs w:val="32"/>
    </w:rPr>
  </w:style>
  <w:style w:type="character" w:customStyle="1" w:styleId="831">
    <w:name w:val="正文首行缩进 Char Char"/>
    <w:autoRedefine/>
    <w:qFormat/>
    <w:uiPriority w:val="0"/>
    <w:rPr>
      <w:rFonts w:hint="eastAsia" w:ascii="宋体" w:hAnsi="宋体" w:eastAsia="宋体"/>
      <w:kern w:val="2"/>
      <w:sz w:val="21"/>
      <w:szCs w:val="24"/>
      <w:lang w:val="en-US" w:eastAsia="zh-CN" w:bidi="ar-SA"/>
    </w:rPr>
  </w:style>
  <w:style w:type="character" w:customStyle="1" w:styleId="832">
    <w:name w:val="by jerry Char1"/>
    <w:autoRedefine/>
    <w:qFormat/>
    <w:uiPriority w:val="0"/>
    <w:rPr>
      <w:rFonts w:hint="eastAsia" w:ascii="宋体" w:hAnsi="宋体" w:eastAsia="宋体"/>
      <w:b/>
      <w:bCs/>
      <w:kern w:val="44"/>
      <w:sz w:val="32"/>
      <w:szCs w:val="44"/>
      <w:lang w:val="en-US" w:eastAsia="zh-CN" w:bidi="ar-SA"/>
    </w:rPr>
  </w:style>
  <w:style w:type="character" w:customStyle="1" w:styleId="833">
    <w:name w:val="标题 1 Char1"/>
    <w:autoRedefine/>
    <w:qFormat/>
    <w:uiPriority w:val="0"/>
    <w:rPr>
      <w:rFonts w:hint="eastAsia" w:ascii="宋体" w:hAnsi="宋体" w:eastAsia="宋体"/>
      <w:b/>
      <w:bCs/>
      <w:kern w:val="2"/>
      <w:sz w:val="24"/>
      <w:szCs w:val="24"/>
      <w:lang w:val="en-US" w:eastAsia="zh-CN" w:bidi="ar-SA"/>
    </w:rPr>
  </w:style>
  <w:style w:type="character" w:customStyle="1" w:styleId="834">
    <w:name w:val="Char Char19"/>
    <w:autoRedefine/>
    <w:qFormat/>
    <w:uiPriority w:val="0"/>
    <w:rPr>
      <w:rFonts w:hint="default" w:ascii="Cambria" w:hAnsi="Cambria"/>
      <w:b/>
      <w:bCs/>
      <w:kern w:val="2"/>
      <w:sz w:val="28"/>
      <w:szCs w:val="28"/>
    </w:rPr>
  </w:style>
  <w:style w:type="character" w:customStyle="1" w:styleId="835">
    <w:name w:val="ca-481"/>
    <w:autoRedefine/>
    <w:qFormat/>
    <w:uiPriority w:val="0"/>
    <w:rPr>
      <w:rFonts w:hint="eastAsia" w:ascii="宋体" w:hAnsi="宋体" w:eastAsia="宋体"/>
      <w:color w:val="000000"/>
      <w:sz w:val="26"/>
      <w:szCs w:val="26"/>
    </w:rPr>
  </w:style>
  <w:style w:type="paragraph" w:customStyle="1" w:styleId="836">
    <w:name w:val="正文文本缩进_1"/>
    <w:basedOn w:val="142"/>
    <w:link w:val="837"/>
    <w:autoRedefine/>
    <w:qFormat/>
    <w:uiPriority w:val="0"/>
    <w:pPr>
      <w:spacing w:after="120"/>
      <w:ind w:left="420" w:leftChars="200"/>
    </w:pPr>
    <w:rPr>
      <w:rFonts w:ascii="Times New Roman" w:hAnsi="Times New Roman"/>
    </w:rPr>
  </w:style>
  <w:style w:type="character" w:customStyle="1" w:styleId="837">
    <w:name w:val="正文文字4 Char1_1"/>
    <w:link w:val="836"/>
    <w:autoRedefine/>
    <w:qFormat/>
    <w:locked/>
    <w:uiPriority w:val="0"/>
    <w:rPr>
      <w:rFonts w:ascii="Times New Roman" w:hAnsi="Times New Roman" w:eastAsia="宋体" w:cs="Times New Roman"/>
    </w:rPr>
  </w:style>
  <w:style w:type="character" w:customStyle="1" w:styleId="838">
    <w:name w:val="ca-91"/>
    <w:autoRedefine/>
    <w:qFormat/>
    <w:uiPriority w:val="0"/>
    <w:rPr>
      <w:rFonts w:hint="eastAsia" w:ascii="楷体_GB2312" w:eastAsia="楷体_GB2312"/>
      <w:color w:val="000000"/>
      <w:spacing w:val="20"/>
      <w:sz w:val="96"/>
      <w:szCs w:val="96"/>
    </w:rPr>
  </w:style>
  <w:style w:type="character" w:customStyle="1" w:styleId="839">
    <w:name w:val="Char Char26"/>
    <w:autoRedefine/>
    <w:qFormat/>
    <w:uiPriority w:val="0"/>
    <w:rPr>
      <w:rFonts w:hint="default" w:ascii="Arial" w:hAnsi="Arial" w:eastAsia="宋体" w:cs="Times New Roman"/>
      <w:bCs/>
      <w:kern w:val="2"/>
      <w:sz w:val="24"/>
      <w:szCs w:val="28"/>
    </w:rPr>
  </w:style>
  <w:style w:type="character" w:customStyle="1" w:styleId="840">
    <w:name w:val="标题 7 Char"/>
    <w:autoRedefine/>
    <w:qFormat/>
    <w:uiPriority w:val="0"/>
    <w:rPr>
      <w:rFonts w:hint="default" w:ascii="Times New Roman" w:hAnsi="Times New Roman" w:cs="Times New Roman"/>
      <w:b/>
      <w:bCs/>
      <w:kern w:val="2"/>
      <w:sz w:val="24"/>
      <w:szCs w:val="24"/>
    </w:rPr>
  </w:style>
  <w:style w:type="character" w:customStyle="1" w:styleId="841">
    <w:name w:val="正文文字4 Char1"/>
    <w:autoRedefine/>
    <w:qFormat/>
    <w:uiPriority w:val="0"/>
    <w:rPr>
      <w:rFonts w:hint="eastAsia" w:ascii="宋体" w:hAnsi="宋体" w:eastAsia="宋体"/>
      <w:kern w:val="2"/>
      <w:sz w:val="21"/>
      <w:szCs w:val="24"/>
      <w:lang w:val="en-US" w:eastAsia="zh-CN" w:bidi="ar-SA"/>
    </w:rPr>
  </w:style>
  <w:style w:type="character" w:customStyle="1" w:styleId="842">
    <w:name w:val="标题 4 Char1"/>
    <w:autoRedefine/>
    <w:qFormat/>
    <w:uiPriority w:val="0"/>
    <w:rPr>
      <w:rFonts w:hint="default" w:ascii="Arial" w:hAnsi="Arial" w:eastAsia="黑体" w:cs="Arial"/>
      <w:b/>
      <w:bCs/>
      <w:kern w:val="2"/>
      <w:sz w:val="28"/>
      <w:szCs w:val="28"/>
      <w:lang w:val="en-US" w:eastAsia="zh-CN" w:bidi="ar-SA"/>
    </w:rPr>
  </w:style>
  <w:style w:type="character" w:customStyle="1" w:styleId="843">
    <w:name w:val="引用 字符2"/>
    <w:autoRedefine/>
    <w:qFormat/>
    <w:locked/>
    <w:uiPriority w:val="0"/>
    <w:rPr>
      <w:i/>
      <w:sz w:val="21"/>
    </w:rPr>
  </w:style>
  <w:style w:type="character" w:customStyle="1" w:styleId="844">
    <w:name w:val="Char Char27"/>
    <w:autoRedefine/>
    <w:qFormat/>
    <w:uiPriority w:val="0"/>
    <w:rPr>
      <w:rFonts w:hint="default" w:ascii="Calibri" w:hAnsi="Calibri" w:eastAsia="宋体" w:cs="Times New Roman"/>
      <w:b/>
      <w:bCs/>
      <w:kern w:val="2"/>
      <w:sz w:val="24"/>
      <w:szCs w:val="32"/>
    </w:rPr>
  </w:style>
  <w:style w:type="character" w:customStyle="1" w:styleId="845">
    <w:name w:val="ca-351"/>
    <w:autoRedefine/>
    <w:qFormat/>
    <w:uiPriority w:val="0"/>
    <w:rPr>
      <w:rFonts w:hint="default" w:ascii="Times New Roman" w:hAnsi="Times New Roman" w:cs="Times New Roman"/>
      <w:sz w:val="10"/>
      <w:szCs w:val="10"/>
    </w:rPr>
  </w:style>
  <w:style w:type="character" w:customStyle="1" w:styleId="846">
    <w:name w:val="ca-131"/>
    <w:autoRedefine/>
    <w:qFormat/>
    <w:uiPriority w:val="0"/>
    <w:rPr>
      <w:rFonts w:hint="eastAsia" w:ascii="宋体" w:hAnsi="宋体" w:eastAsia="宋体"/>
      <w:color w:val="000000"/>
      <w:sz w:val="32"/>
      <w:szCs w:val="32"/>
    </w:rPr>
  </w:style>
  <w:style w:type="character" w:customStyle="1" w:styleId="847">
    <w:name w:val="页眉 Char1"/>
    <w:autoRedefine/>
    <w:qFormat/>
    <w:uiPriority w:val="0"/>
    <w:rPr>
      <w:rFonts w:hint="eastAsia" w:ascii="仿宋_GB2312" w:eastAsia="仿宋_GB2312"/>
      <w:kern w:val="2"/>
      <w:sz w:val="18"/>
      <w:lang w:val="en-US" w:eastAsia="zh-CN" w:bidi="ar-SA"/>
    </w:rPr>
  </w:style>
  <w:style w:type="paragraph" w:customStyle="1" w:styleId="848">
    <w:name w:val="标题 2_0"/>
    <w:basedOn w:val="149"/>
    <w:next w:val="149"/>
    <w:link w:val="849"/>
    <w:autoRedefine/>
    <w:qFormat/>
    <w:uiPriority w:val="0"/>
    <w:pPr>
      <w:keepNext/>
      <w:keepLines/>
      <w:spacing w:before="260" w:after="260" w:line="412" w:lineRule="auto"/>
      <w:outlineLvl w:val="1"/>
    </w:pPr>
    <w:rPr>
      <w:rFonts w:ascii="Cambria" w:hAnsi="Cambria"/>
      <w:b/>
      <w:bCs/>
      <w:sz w:val="32"/>
      <w:szCs w:val="32"/>
    </w:rPr>
  </w:style>
  <w:style w:type="character" w:customStyle="1" w:styleId="849">
    <w:name w:val="标题 2 Char_0"/>
    <w:link w:val="848"/>
    <w:autoRedefine/>
    <w:qFormat/>
    <w:locked/>
    <w:uiPriority w:val="0"/>
    <w:rPr>
      <w:rFonts w:ascii="Cambria" w:hAnsi="Cambria" w:eastAsia="宋体" w:cs="Times New Roman"/>
      <w:b/>
      <w:bCs/>
      <w:sz w:val="32"/>
      <w:szCs w:val="32"/>
    </w:rPr>
  </w:style>
  <w:style w:type="character" w:customStyle="1" w:styleId="850">
    <w:name w:val="手改 Char Char2"/>
    <w:autoRedefine/>
    <w:qFormat/>
    <w:uiPriority w:val="0"/>
    <w:rPr>
      <w:rFonts w:hint="eastAsia" w:ascii="宋体" w:hAnsi="宋体" w:eastAsia="宋体"/>
      <w:kern w:val="2"/>
      <w:sz w:val="21"/>
      <w:szCs w:val="24"/>
      <w:lang w:val="en-US" w:eastAsia="zh-CN" w:bidi="ar-SA"/>
    </w:rPr>
  </w:style>
  <w:style w:type="character" w:customStyle="1" w:styleId="851">
    <w:name w:val="Char Char31"/>
    <w:autoRedefine/>
    <w:qFormat/>
    <w:uiPriority w:val="0"/>
    <w:rPr>
      <w:rFonts w:hint="default" w:ascii="Arial" w:hAnsi="Arial" w:eastAsia="宋体" w:cs="Arial"/>
      <w:b/>
      <w:bCs/>
      <w:kern w:val="2"/>
      <w:sz w:val="21"/>
      <w:szCs w:val="32"/>
      <w:lang w:val="en-US" w:eastAsia="zh-CN" w:bidi="ar-SA"/>
    </w:rPr>
  </w:style>
  <w:style w:type="character" w:customStyle="1" w:styleId="852">
    <w:name w:val="样式1 Char"/>
    <w:autoRedefine/>
    <w:qFormat/>
    <w:uiPriority w:val="0"/>
    <w:rPr>
      <w:rFonts w:hint="eastAsia" w:ascii="宋体" w:hAnsi="宋体" w:eastAsia="宋体"/>
      <w:kern w:val="2"/>
      <w:sz w:val="24"/>
      <w:szCs w:val="24"/>
      <w:lang w:val="en-US" w:eastAsia="zh-CN" w:bidi="ar-SA"/>
    </w:rPr>
  </w:style>
  <w:style w:type="character" w:customStyle="1" w:styleId="853">
    <w:name w:val="ca-281"/>
    <w:autoRedefine/>
    <w:qFormat/>
    <w:uiPriority w:val="0"/>
    <w:rPr>
      <w:rFonts w:hint="eastAsia" w:ascii="宋体" w:hAnsi="宋体" w:eastAsia="宋体"/>
      <w:color w:val="FF0000"/>
      <w:sz w:val="21"/>
      <w:szCs w:val="21"/>
    </w:rPr>
  </w:style>
  <w:style w:type="character" w:customStyle="1" w:styleId="854">
    <w:name w:val="ca-521"/>
    <w:autoRedefine/>
    <w:qFormat/>
    <w:uiPriority w:val="0"/>
    <w:rPr>
      <w:rFonts w:hint="eastAsia" w:ascii="宋体" w:hAnsi="宋体" w:eastAsia="宋体"/>
      <w:b/>
      <w:bCs/>
      <w:spacing w:val="-20"/>
      <w:sz w:val="36"/>
      <w:szCs w:val="36"/>
    </w:rPr>
  </w:style>
  <w:style w:type="character" w:customStyle="1" w:styleId="855">
    <w:name w:val="CPara- Char Char"/>
    <w:autoRedefine/>
    <w:qFormat/>
    <w:uiPriority w:val="0"/>
    <w:rPr>
      <w:rFonts w:hint="eastAsia" w:ascii="宋体" w:hAnsi="宋体" w:eastAsia="宋体"/>
      <w:lang w:val="en-US" w:eastAsia="en-US" w:bidi="ar-SA"/>
    </w:rPr>
  </w:style>
  <w:style w:type="character" w:customStyle="1" w:styleId="856">
    <w:name w:val="ca-491"/>
    <w:autoRedefine/>
    <w:qFormat/>
    <w:uiPriority w:val="0"/>
    <w:rPr>
      <w:rFonts w:hint="eastAsia" w:ascii="宋体" w:hAnsi="宋体" w:eastAsia="宋体"/>
      <w:spacing w:val="0"/>
      <w:sz w:val="32"/>
      <w:szCs w:val="32"/>
    </w:rPr>
  </w:style>
  <w:style w:type="character" w:customStyle="1" w:styleId="857">
    <w:name w:val="ca-431"/>
    <w:autoRedefine/>
    <w:qFormat/>
    <w:uiPriority w:val="0"/>
    <w:rPr>
      <w:rFonts w:hint="eastAsia" w:ascii="宋体" w:hAnsi="宋体" w:eastAsia="宋体"/>
      <w:color w:val="000000"/>
      <w:sz w:val="44"/>
      <w:szCs w:val="44"/>
    </w:rPr>
  </w:style>
  <w:style w:type="character" w:customStyle="1" w:styleId="858">
    <w:name w:val="样式 正文缩进正文（首行缩进两字）特点ALT+Z表正文正文非缩进四号段1Normal Indent Char2... Char Char"/>
    <w:autoRedefine/>
    <w:qFormat/>
    <w:uiPriority w:val="0"/>
    <w:rPr>
      <w:rFonts w:hint="default" w:ascii="Arial" w:hAnsi="Arial" w:eastAsia="宋体" w:cs="Arial"/>
      <w:b/>
      <w:bCs/>
      <w:kern w:val="2"/>
      <w:sz w:val="24"/>
      <w:szCs w:val="32"/>
      <w:lang w:val="en-US" w:eastAsia="zh-CN" w:bidi="ar-SA"/>
    </w:rPr>
  </w:style>
  <w:style w:type="character" w:customStyle="1" w:styleId="859">
    <w:name w:val="Char Char29"/>
    <w:autoRedefine/>
    <w:qFormat/>
    <w:uiPriority w:val="0"/>
    <w:rPr>
      <w:rFonts w:hint="eastAsia" w:ascii="宋体" w:hAnsi="宋体" w:eastAsia="宋体"/>
      <w:b/>
      <w:bCs/>
      <w:kern w:val="44"/>
      <w:sz w:val="44"/>
      <w:szCs w:val="44"/>
      <w:lang w:val="en-US" w:eastAsia="zh-CN" w:bidi="ar-SA"/>
    </w:rPr>
  </w:style>
  <w:style w:type="character" w:customStyle="1" w:styleId="860">
    <w:name w:val="批注框文本 Char1"/>
    <w:autoRedefine/>
    <w:qFormat/>
    <w:uiPriority w:val="0"/>
    <w:rPr>
      <w:kern w:val="2"/>
      <w:sz w:val="18"/>
      <w:szCs w:val="18"/>
    </w:rPr>
  </w:style>
  <w:style w:type="character" w:customStyle="1" w:styleId="861">
    <w:name w:val="ca-111"/>
    <w:autoRedefine/>
    <w:qFormat/>
    <w:uiPriority w:val="0"/>
    <w:rPr>
      <w:rFonts w:hint="default" w:ascii="Times New Roman" w:hAnsi="Times New Roman" w:cs="Times New Roman"/>
      <w:color w:val="000000"/>
      <w:sz w:val="30"/>
      <w:szCs w:val="30"/>
    </w:rPr>
  </w:style>
  <w:style w:type="paragraph" w:customStyle="1" w:styleId="862">
    <w:name w:val="标题 1_1"/>
    <w:basedOn w:val="152"/>
    <w:next w:val="152"/>
    <w:link w:val="863"/>
    <w:autoRedefine/>
    <w:qFormat/>
    <w:uiPriority w:val="0"/>
    <w:pPr>
      <w:keepNext/>
      <w:keepLines/>
      <w:spacing w:line="360" w:lineRule="auto"/>
      <w:outlineLvl w:val="0"/>
    </w:pPr>
    <w:rPr>
      <w:rFonts w:ascii="Times New Roman" w:hAnsi="Times New Roman"/>
      <w:b/>
      <w:bCs/>
      <w:kern w:val="44"/>
      <w:sz w:val="32"/>
      <w:szCs w:val="44"/>
    </w:rPr>
  </w:style>
  <w:style w:type="character" w:customStyle="1" w:styleId="863">
    <w:name w:val="Char Char24"/>
    <w:link w:val="862"/>
    <w:autoRedefine/>
    <w:qFormat/>
    <w:locked/>
    <w:uiPriority w:val="0"/>
    <w:rPr>
      <w:rFonts w:ascii="Times New Roman" w:hAnsi="Times New Roman" w:eastAsia="宋体" w:cs="Times New Roman"/>
      <w:b/>
      <w:bCs/>
      <w:kern w:val="44"/>
      <w:sz w:val="32"/>
      <w:szCs w:val="44"/>
    </w:rPr>
  </w:style>
  <w:style w:type="character" w:customStyle="1" w:styleId="864">
    <w:name w:val="手改 Char Char1"/>
    <w:autoRedefine/>
    <w:qFormat/>
    <w:uiPriority w:val="0"/>
    <w:rPr>
      <w:rFonts w:hint="eastAsia" w:ascii="宋体" w:hAnsi="宋体" w:eastAsia="宋体"/>
      <w:kern w:val="2"/>
      <w:sz w:val="21"/>
      <w:szCs w:val="24"/>
      <w:lang w:val="en-US" w:eastAsia="zh-CN" w:bidi="ar-SA"/>
    </w:rPr>
  </w:style>
  <w:style w:type="character" w:customStyle="1" w:styleId="865">
    <w:name w:val="标题 8 Char"/>
    <w:autoRedefine/>
    <w:qFormat/>
    <w:uiPriority w:val="0"/>
    <w:rPr>
      <w:rFonts w:hint="default" w:ascii="Cambria" w:hAnsi="Cambria" w:eastAsia="宋体" w:cs="Times New Roman"/>
      <w:kern w:val="2"/>
      <w:sz w:val="24"/>
      <w:szCs w:val="24"/>
    </w:rPr>
  </w:style>
  <w:style w:type="character" w:customStyle="1" w:styleId="866">
    <w:name w:val="ca-151"/>
    <w:autoRedefine/>
    <w:qFormat/>
    <w:uiPriority w:val="0"/>
    <w:rPr>
      <w:rFonts w:hint="eastAsia" w:ascii="宋体" w:hAnsi="宋体" w:eastAsia="宋体"/>
      <w:caps/>
      <w:color w:val="000000"/>
      <w:sz w:val="24"/>
      <w:szCs w:val="24"/>
    </w:rPr>
  </w:style>
  <w:style w:type="character" w:customStyle="1" w:styleId="867">
    <w:name w:val="ca-291"/>
    <w:autoRedefine/>
    <w:qFormat/>
    <w:uiPriority w:val="0"/>
    <w:rPr>
      <w:rFonts w:hint="eastAsia" w:ascii="宋体" w:hAnsi="宋体" w:eastAsia="宋体"/>
      <w:color w:val="7030A0"/>
      <w:sz w:val="21"/>
      <w:szCs w:val="21"/>
    </w:rPr>
  </w:style>
  <w:style w:type="character" w:customStyle="1" w:styleId="868">
    <w:name w:val="ca-371"/>
    <w:autoRedefine/>
    <w:qFormat/>
    <w:uiPriority w:val="0"/>
    <w:rPr>
      <w:rFonts w:hint="eastAsia" w:ascii="宋体" w:hAnsi="宋体" w:eastAsia="宋体"/>
      <w:color w:val="000000"/>
      <w:spacing w:val="0"/>
      <w:sz w:val="21"/>
      <w:szCs w:val="21"/>
    </w:rPr>
  </w:style>
  <w:style w:type="character" w:customStyle="1" w:styleId="869">
    <w:name w:val="标题 9 Char1"/>
    <w:autoRedefine/>
    <w:qFormat/>
    <w:uiPriority w:val="0"/>
    <w:rPr>
      <w:rFonts w:hint="default" w:ascii="Arial" w:hAnsi="Arial" w:eastAsia="黑体" w:cs="Arial"/>
      <w:kern w:val="2"/>
      <w:sz w:val="21"/>
      <w:szCs w:val="22"/>
      <w:lang w:val="en-US" w:eastAsia="zh-CN" w:bidi="ar-SA"/>
    </w:rPr>
  </w:style>
  <w:style w:type="character" w:customStyle="1" w:styleId="870">
    <w:name w:val="正文首行缩进 Char"/>
    <w:autoRedefine/>
    <w:qFormat/>
    <w:uiPriority w:val="0"/>
    <w:rPr>
      <w:kern w:val="2"/>
      <w:sz w:val="21"/>
      <w:szCs w:val="24"/>
    </w:rPr>
  </w:style>
  <w:style w:type="character" w:customStyle="1" w:styleId="871">
    <w:name w:val="ca-141"/>
    <w:autoRedefine/>
    <w:qFormat/>
    <w:uiPriority w:val="0"/>
    <w:rPr>
      <w:rFonts w:hint="default" w:ascii="Times New Roman" w:hAnsi="Times New Roman" w:cs="Times New Roman"/>
      <w:color w:val="000000"/>
      <w:sz w:val="24"/>
      <w:szCs w:val="24"/>
    </w:rPr>
  </w:style>
  <w:style w:type="character" w:customStyle="1" w:styleId="872">
    <w:name w:val="批注主题 Char2"/>
    <w:autoRedefine/>
    <w:qFormat/>
    <w:uiPriority w:val="0"/>
    <w:rPr>
      <w:rFonts w:hint="eastAsia" w:ascii="宋体" w:hAnsi="宋体" w:eastAsia="宋体"/>
      <w:b/>
      <w:bCs/>
      <w:kern w:val="2"/>
      <w:sz w:val="21"/>
      <w:lang w:val="en-US" w:eastAsia="zh-CN" w:bidi="ar-SA"/>
    </w:rPr>
  </w:style>
  <w:style w:type="character" w:customStyle="1" w:styleId="873">
    <w:name w:val="zbggmain style9_1"/>
    <w:autoRedefine/>
    <w:qFormat/>
    <w:uiPriority w:val="0"/>
    <w:rPr>
      <w:rFonts w:hint="default" w:ascii="Calibri" w:hAnsi="Calibri" w:eastAsia="ヒラギノ角ゴ Pro W3" w:cs="Calibri"/>
      <w:color w:val="000000"/>
      <w:sz w:val="20"/>
      <w:lang w:val="en-US" w:eastAsia="zh-CN" w:bidi="ar-SA"/>
    </w:rPr>
  </w:style>
  <w:style w:type="character" w:customStyle="1" w:styleId="874">
    <w:name w:val="ca-391"/>
    <w:autoRedefine/>
    <w:qFormat/>
    <w:uiPriority w:val="0"/>
    <w:rPr>
      <w:rFonts w:hint="eastAsia" w:ascii="宋体" w:hAnsi="宋体" w:eastAsia="宋体"/>
      <w:b/>
      <w:bCs/>
      <w:color w:val="000000"/>
      <w:spacing w:val="-20"/>
      <w:sz w:val="28"/>
      <w:szCs w:val="28"/>
    </w:rPr>
  </w:style>
  <w:style w:type="character" w:customStyle="1" w:styleId="875">
    <w:name w:val="不明显参考111"/>
    <w:autoRedefine/>
    <w:qFormat/>
    <w:uiPriority w:val="0"/>
    <w:rPr>
      <w:smallCaps/>
      <w:color w:val="C0504D"/>
      <w:u w:val="single"/>
    </w:rPr>
  </w:style>
  <w:style w:type="character" w:customStyle="1" w:styleId="876">
    <w:name w:val="批注主题 Char Char"/>
    <w:autoRedefine/>
    <w:qFormat/>
    <w:uiPriority w:val="0"/>
    <w:rPr>
      <w:rFonts w:hint="default" w:ascii="Times New Roman" w:hAnsi="Times New Roman" w:eastAsia="宋体" w:cs="Times New Roman"/>
      <w:b/>
      <w:bCs/>
      <w:kern w:val="2"/>
      <w:sz w:val="21"/>
      <w:szCs w:val="24"/>
    </w:rPr>
  </w:style>
  <w:style w:type="character" w:customStyle="1" w:styleId="877">
    <w:name w:val="by jerry Char"/>
    <w:autoRedefine/>
    <w:qFormat/>
    <w:uiPriority w:val="0"/>
    <w:rPr>
      <w:rFonts w:hint="eastAsia" w:ascii="宋体" w:hAnsi="宋体" w:eastAsia="宋体"/>
      <w:b/>
      <w:bCs/>
      <w:kern w:val="44"/>
      <w:sz w:val="32"/>
      <w:szCs w:val="44"/>
      <w:lang w:val="en-US" w:eastAsia="zh-CN" w:bidi="ar-SA"/>
    </w:rPr>
  </w:style>
  <w:style w:type="character" w:customStyle="1" w:styleId="878">
    <w:name w:val="样式 纯文本普通文字 Char纯文本 Char Char普通文字纯文本 Char Char Char Char Char...6 Char"/>
    <w:autoRedefine/>
    <w:qFormat/>
    <w:locked/>
    <w:uiPriority w:val="0"/>
    <w:rPr>
      <w:rFonts w:hint="eastAsia" w:ascii="宋体" w:hAnsi="Courier New" w:eastAsia="宋体" w:cs="Courier New"/>
      <w:color w:val="000000"/>
      <w:szCs w:val="21"/>
    </w:rPr>
  </w:style>
  <w:style w:type="character" w:customStyle="1" w:styleId="879">
    <w:name w:val="样式 正文文本 Char"/>
    <w:autoRedefine/>
    <w:qFormat/>
    <w:locked/>
    <w:uiPriority w:val="0"/>
    <w:rPr>
      <w:rFonts w:hint="default" w:ascii="Arial" w:hAnsi="Arial" w:eastAsia="宋体" w:cs="宋体"/>
      <w:color w:val="000000"/>
    </w:rPr>
  </w:style>
  <w:style w:type="character" w:customStyle="1" w:styleId="880">
    <w:name w:val="内文 Char"/>
    <w:autoRedefine/>
    <w:qFormat/>
    <w:locked/>
    <w:uiPriority w:val="0"/>
    <w:rPr>
      <w:rFonts w:hint="default" w:ascii="Arial" w:hAnsi="Arial" w:eastAsia="Times New Roman" w:cs="Arial"/>
      <w:kern w:val="2"/>
      <w:sz w:val="21"/>
      <w:szCs w:val="22"/>
      <w:lang w:val="en-US" w:eastAsia="zh-CN" w:bidi="ar-SA"/>
    </w:rPr>
  </w:style>
  <w:style w:type="character" w:customStyle="1" w:styleId="881">
    <w:name w:val="明显引用 字符2"/>
    <w:autoRedefine/>
    <w:qFormat/>
    <w:locked/>
    <w:uiPriority w:val="0"/>
    <w:rPr>
      <w:i/>
      <w:sz w:val="21"/>
    </w:rPr>
  </w:style>
  <w:style w:type="character" w:customStyle="1" w:styleId="882">
    <w:name w:val="引用 Char2"/>
    <w:autoRedefine/>
    <w:qFormat/>
    <w:uiPriority w:val="0"/>
    <w:rPr>
      <w:rFonts w:hint="default" w:ascii="Times New Roman" w:hAnsi="Times New Roman" w:cs="Times New Roman"/>
      <w:i/>
      <w:iCs/>
      <w:color w:val="000000"/>
      <w:kern w:val="2"/>
      <w:sz w:val="21"/>
      <w:szCs w:val="24"/>
    </w:rPr>
  </w:style>
  <w:style w:type="character" w:customStyle="1" w:styleId="883">
    <w:name w:val="font91"/>
    <w:autoRedefine/>
    <w:qFormat/>
    <w:uiPriority w:val="0"/>
    <w:rPr>
      <w:rFonts w:hint="eastAsia" w:ascii="宋体" w:hAnsi="宋体" w:eastAsia="宋体"/>
      <w:color w:val="000000"/>
      <w:sz w:val="18"/>
      <w:szCs w:val="18"/>
      <w:u w:val="none"/>
    </w:rPr>
  </w:style>
  <w:style w:type="character" w:customStyle="1" w:styleId="884">
    <w:name w:val="font81"/>
    <w:autoRedefine/>
    <w:qFormat/>
    <w:uiPriority w:val="0"/>
    <w:rPr>
      <w:rFonts w:hint="default" w:ascii="Arial" w:hAnsi="Arial" w:cs="Arial"/>
      <w:color w:val="000000"/>
      <w:sz w:val="18"/>
      <w:szCs w:val="18"/>
      <w:u w:val="none"/>
    </w:rPr>
  </w:style>
  <w:style w:type="character" w:customStyle="1" w:styleId="885">
    <w:name w:val="font101"/>
    <w:autoRedefine/>
    <w:qFormat/>
    <w:uiPriority w:val="0"/>
    <w:rPr>
      <w:rFonts w:hint="default" w:ascii="Arial" w:hAnsi="Arial" w:cs="Arial"/>
      <w:color w:val="000000"/>
      <w:sz w:val="20"/>
      <w:szCs w:val="20"/>
      <w:u w:val="none"/>
    </w:rPr>
  </w:style>
  <w:style w:type="character" w:customStyle="1" w:styleId="886">
    <w:name w:val="font31"/>
    <w:autoRedefine/>
    <w:qFormat/>
    <w:uiPriority w:val="0"/>
    <w:rPr>
      <w:rFonts w:hint="eastAsia" w:ascii="宋体" w:hAnsi="宋体" w:eastAsia="宋体"/>
      <w:color w:val="000000"/>
      <w:sz w:val="20"/>
      <w:szCs w:val="20"/>
      <w:u w:val="none"/>
    </w:rPr>
  </w:style>
  <w:style w:type="character" w:customStyle="1" w:styleId="887">
    <w:name w:val="Heading 6 Char"/>
    <w:autoRedefine/>
    <w:qFormat/>
    <w:locked/>
    <w:uiPriority w:val="0"/>
    <w:rPr>
      <w:rFonts w:hint="default" w:ascii="Arial" w:hAnsi="Arial" w:eastAsia="黑体" w:cs="Arial"/>
      <w:b/>
      <w:bCs/>
      <w:sz w:val="24"/>
      <w:szCs w:val="24"/>
      <w:lang w:val="en-US" w:eastAsia="zh-CN" w:bidi="ar-SA"/>
    </w:rPr>
  </w:style>
  <w:style w:type="character" w:customStyle="1" w:styleId="888">
    <w:name w:val="正文2 Char"/>
    <w:autoRedefine/>
    <w:qFormat/>
    <w:uiPriority w:val="0"/>
    <w:rPr>
      <w:rFonts w:hint="eastAsia" w:ascii="宋体" w:hAnsi="宋体" w:eastAsia="宋体"/>
      <w:kern w:val="2"/>
      <w:sz w:val="24"/>
      <w:lang w:val="en-US" w:eastAsia="zh-CN" w:bidi="ar-SA"/>
    </w:rPr>
  </w:style>
  <w:style w:type="character" w:customStyle="1" w:styleId="889">
    <w:name w:val="Heading 4 Char"/>
    <w:autoRedefine/>
    <w:qFormat/>
    <w:locked/>
    <w:uiPriority w:val="0"/>
    <w:rPr>
      <w:rFonts w:hint="default" w:ascii="Arial" w:hAnsi="Arial" w:eastAsia="黑体" w:cs="Arial"/>
      <w:b/>
      <w:bCs/>
      <w:kern w:val="2"/>
      <w:sz w:val="28"/>
      <w:szCs w:val="28"/>
      <w:lang w:val="en-US" w:eastAsia="zh-CN" w:bidi="ar-SA"/>
    </w:rPr>
  </w:style>
  <w:style w:type="character" w:customStyle="1" w:styleId="890">
    <w:name w:val="副标题 Char1"/>
    <w:autoRedefine/>
    <w:qFormat/>
    <w:uiPriority w:val="0"/>
    <w:rPr>
      <w:rFonts w:hint="default" w:ascii="Cambria" w:hAnsi="Cambria" w:cs="Times New Roman"/>
      <w:b/>
      <w:bCs/>
      <w:kern w:val="28"/>
      <w:sz w:val="32"/>
      <w:szCs w:val="32"/>
    </w:rPr>
  </w:style>
  <w:style w:type="character" w:customStyle="1" w:styleId="891">
    <w:name w:val="Comment Subject Char"/>
    <w:autoRedefine/>
    <w:qFormat/>
    <w:locked/>
    <w:uiPriority w:val="0"/>
    <w:rPr>
      <w:rFonts w:hint="eastAsia" w:ascii="宋体" w:hAnsi="宋体" w:eastAsia="宋体"/>
      <w:b/>
      <w:bCs/>
      <w:kern w:val="2"/>
      <w:sz w:val="21"/>
      <w:szCs w:val="24"/>
      <w:lang w:val="en-US" w:eastAsia="zh-CN" w:bidi="ar-SA"/>
    </w:rPr>
  </w:style>
  <w:style w:type="character" w:customStyle="1" w:styleId="892">
    <w:name w:val="Heading 3 - old Char"/>
    <w:autoRedefine/>
    <w:qFormat/>
    <w:uiPriority w:val="0"/>
    <w:rPr>
      <w:rFonts w:hint="eastAsia" w:ascii="宋体" w:hAnsi="宋体" w:eastAsia="宋体"/>
      <w:b/>
      <w:bCs/>
      <w:kern w:val="2"/>
      <w:sz w:val="21"/>
      <w:szCs w:val="32"/>
      <w:lang w:val="en-US" w:eastAsia="zh-CN" w:bidi="ar-SA"/>
    </w:rPr>
  </w:style>
  <w:style w:type="character" w:customStyle="1" w:styleId="893">
    <w:name w:val="Heading 3 Char"/>
    <w:autoRedefine/>
    <w:qFormat/>
    <w:locked/>
    <w:uiPriority w:val="0"/>
    <w:rPr>
      <w:rFonts w:hint="eastAsia" w:ascii="宋体" w:hAnsi="宋体" w:eastAsia="宋体"/>
      <w:b/>
      <w:bCs/>
      <w:kern w:val="2"/>
      <w:sz w:val="32"/>
      <w:szCs w:val="32"/>
      <w:lang w:val="en-US" w:eastAsia="zh-CN" w:bidi="ar-SA"/>
    </w:rPr>
  </w:style>
  <w:style w:type="character" w:customStyle="1" w:styleId="894">
    <w:name w:val="Char Char"/>
    <w:autoRedefine/>
    <w:qFormat/>
    <w:uiPriority w:val="0"/>
    <w:rPr>
      <w:rFonts w:hint="default" w:ascii="Arial" w:hAnsi="Arial" w:eastAsia="黑体" w:cs="Arial"/>
      <w:b/>
      <w:bCs/>
      <w:kern w:val="2"/>
      <w:sz w:val="32"/>
      <w:szCs w:val="32"/>
      <w:lang w:val="en-US" w:eastAsia="zh-CN" w:bidi="ar-SA"/>
    </w:rPr>
  </w:style>
  <w:style w:type="character" w:customStyle="1" w:styleId="895">
    <w:name w:val="Body Text Char"/>
    <w:autoRedefine/>
    <w:qFormat/>
    <w:locked/>
    <w:uiPriority w:val="0"/>
    <w:rPr>
      <w:rFonts w:hint="eastAsia" w:ascii="宋体" w:hAnsi="宋体" w:eastAsia="宋体"/>
      <w:kern w:val="2"/>
      <w:sz w:val="21"/>
      <w:szCs w:val="24"/>
      <w:lang w:val="en-US" w:eastAsia="zh-CN" w:bidi="ar-SA"/>
    </w:rPr>
  </w:style>
  <w:style w:type="character" w:customStyle="1" w:styleId="896">
    <w:name w:val="正文文字4 Char Char1"/>
    <w:autoRedefine/>
    <w:qFormat/>
    <w:uiPriority w:val="0"/>
    <w:rPr>
      <w:rFonts w:hint="eastAsia" w:ascii="宋体" w:hAnsi="宋体" w:eastAsia="宋体"/>
      <w:kern w:val="2"/>
      <w:sz w:val="24"/>
      <w:szCs w:val="24"/>
      <w:lang w:val="en-US" w:eastAsia="zh-CN" w:bidi="ar-SA"/>
    </w:rPr>
  </w:style>
  <w:style w:type="character" w:customStyle="1" w:styleId="897">
    <w:name w:val="country-name"/>
    <w:autoRedefine/>
    <w:qFormat/>
    <w:uiPriority w:val="0"/>
  </w:style>
  <w:style w:type="character" w:customStyle="1" w:styleId="898">
    <w:name w:val="Title Char"/>
    <w:autoRedefine/>
    <w:qFormat/>
    <w:locked/>
    <w:uiPriority w:val="0"/>
    <w:rPr>
      <w:rFonts w:hint="default" w:ascii="Arial" w:hAnsi="Arial" w:eastAsia="宋体" w:cs="Arial"/>
      <w:b/>
      <w:sz w:val="32"/>
      <w:lang w:val="en-US" w:eastAsia="zh-CN" w:bidi="ar-SA"/>
    </w:rPr>
  </w:style>
  <w:style w:type="character" w:customStyle="1" w:styleId="899">
    <w:name w:val="Heading 8 Char"/>
    <w:autoRedefine/>
    <w:qFormat/>
    <w:locked/>
    <w:uiPriority w:val="0"/>
    <w:rPr>
      <w:rFonts w:hint="default" w:ascii="Arial" w:hAnsi="Arial" w:eastAsia="黑体" w:cs="Arial"/>
      <w:sz w:val="24"/>
      <w:szCs w:val="24"/>
      <w:lang w:val="en-US" w:eastAsia="zh-CN" w:bidi="ar-SA"/>
    </w:rPr>
  </w:style>
  <w:style w:type="character" w:customStyle="1" w:styleId="900">
    <w:name w:val="Balloon Text Char"/>
    <w:autoRedefine/>
    <w:qFormat/>
    <w:locked/>
    <w:uiPriority w:val="0"/>
    <w:rPr>
      <w:rFonts w:hint="eastAsia" w:ascii="宋体" w:hAnsi="宋体" w:eastAsia="宋体"/>
      <w:kern w:val="2"/>
      <w:sz w:val="18"/>
      <w:szCs w:val="18"/>
      <w:lang w:val="en-US" w:eastAsia="zh-CN" w:bidi="ar-SA"/>
    </w:rPr>
  </w:style>
  <w:style w:type="character" w:customStyle="1" w:styleId="901">
    <w:name w:val="手改 Char Char"/>
    <w:autoRedefine/>
    <w:qFormat/>
    <w:uiPriority w:val="0"/>
    <w:rPr>
      <w:rFonts w:hint="eastAsia" w:ascii="宋体" w:hAnsi="宋体" w:eastAsia="宋体"/>
      <w:kern w:val="2"/>
      <w:sz w:val="21"/>
      <w:szCs w:val="24"/>
      <w:lang w:val="en-US" w:eastAsia="zh-CN" w:bidi="ar-SA"/>
    </w:rPr>
  </w:style>
  <w:style w:type="character" w:customStyle="1" w:styleId="902">
    <w:name w:val="Para head"/>
    <w:autoRedefine/>
    <w:qFormat/>
    <w:uiPriority w:val="0"/>
    <w:rPr>
      <w:rFonts w:hint="default" w:ascii="Arial" w:hAnsi="Arial" w:eastAsia="Times New Roman" w:cs="Arial"/>
      <w:sz w:val="20"/>
    </w:rPr>
  </w:style>
  <w:style w:type="character" w:customStyle="1" w:styleId="903">
    <w:name w:val="正文文字4 Char Char2"/>
    <w:autoRedefine/>
    <w:qFormat/>
    <w:uiPriority w:val="0"/>
    <w:rPr>
      <w:rFonts w:hint="eastAsia" w:ascii="宋体" w:hAnsi="宋体" w:eastAsia="宋体"/>
      <w:kern w:val="2"/>
      <w:sz w:val="24"/>
      <w:szCs w:val="24"/>
      <w:lang w:val="en-US" w:eastAsia="zh-CN" w:bidi="ar-SA"/>
    </w:rPr>
  </w:style>
  <w:style w:type="character" w:customStyle="1" w:styleId="904">
    <w:name w:val="Char Char7"/>
    <w:autoRedefine/>
    <w:qFormat/>
    <w:uiPriority w:val="0"/>
    <w:rPr>
      <w:rFonts w:hint="default" w:ascii="Arial" w:hAnsi="Arial" w:eastAsia="黑体" w:cs="Arial"/>
      <w:b/>
      <w:bCs/>
      <w:kern w:val="2"/>
      <w:sz w:val="32"/>
      <w:szCs w:val="32"/>
      <w:lang w:val="en-US" w:eastAsia="zh-CN" w:bidi="ar-SA"/>
    </w:rPr>
  </w:style>
  <w:style w:type="character" w:customStyle="1" w:styleId="905">
    <w:name w:val="署名 Char2"/>
    <w:autoRedefine/>
    <w:qFormat/>
    <w:uiPriority w:val="0"/>
    <w:rPr>
      <w:rFonts w:hint="eastAsia" w:ascii="宋体" w:hAnsi="宋体" w:eastAsia="宋体"/>
      <w:snapToGrid w:val="0"/>
      <w:color w:val="000000"/>
      <w:kern w:val="28"/>
      <w:sz w:val="28"/>
      <w:lang w:val="en-US" w:eastAsia="zh-CN" w:bidi="ar-SA"/>
    </w:rPr>
  </w:style>
  <w:style w:type="character" w:customStyle="1" w:styleId="906">
    <w:name w:val="Char Char2"/>
    <w:autoRedefine/>
    <w:qFormat/>
    <w:uiPriority w:val="0"/>
    <w:rPr>
      <w:rFonts w:hint="eastAsia" w:ascii="宋体" w:hAnsi="宋体" w:eastAsia="宋体"/>
      <w:kern w:val="2"/>
      <w:sz w:val="21"/>
      <w:szCs w:val="24"/>
      <w:lang w:val="en-US" w:eastAsia="zh-CN" w:bidi="ar-SA"/>
    </w:rPr>
  </w:style>
  <w:style w:type="character" w:customStyle="1" w:styleId="907">
    <w:name w:val="Char Char1"/>
    <w:autoRedefine/>
    <w:qFormat/>
    <w:uiPriority w:val="0"/>
    <w:rPr>
      <w:rFonts w:hint="eastAsia" w:ascii="宋体" w:hAnsi="Courier New" w:eastAsia="宋体" w:cs="Courier New"/>
      <w:kern w:val="2"/>
      <w:sz w:val="21"/>
      <w:szCs w:val="21"/>
      <w:lang w:val="en-US" w:eastAsia="zh-CN" w:bidi="ar-SA"/>
    </w:rPr>
  </w:style>
  <w:style w:type="character" w:customStyle="1" w:styleId="908">
    <w:name w:val="正文文字4 Char Char"/>
    <w:autoRedefine/>
    <w:qFormat/>
    <w:uiPriority w:val="0"/>
    <w:rPr>
      <w:rFonts w:hint="eastAsia" w:ascii="宋体" w:hAnsi="宋体" w:eastAsia="宋体"/>
      <w:kern w:val="2"/>
      <w:sz w:val="21"/>
      <w:szCs w:val="24"/>
      <w:lang w:val="en-US" w:eastAsia="zh-CN" w:bidi="ar-SA"/>
    </w:rPr>
  </w:style>
  <w:style w:type="character" w:customStyle="1" w:styleId="909">
    <w:name w:val="个人撰写风格"/>
    <w:autoRedefine/>
    <w:qFormat/>
    <w:uiPriority w:val="0"/>
    <w:rPr>
      <w:rFonts w:hint="default" w:ascii="Arial" w:hAnsi="Arial" w:eastAsia="宋体" w:cs="Arial"/>
      <w:color w:val="auto"/>
      <w:sz w:val="20"/>
    </w:rPr>
  </w:style>
  <w:style w:type="character" w:customStyle="1" w:styleId="910">
    <w:name w:val="Header Char"/>
    <w:autoRedefine/>
    <w:qFormat/>
    <w:locked/>
    <w:uiPriority w:val="0"/>
    <w:rPr>
      <w:rFonts w:hint="eastAsia" w:ascii="宋体" w:hAnsi="宋体" w:eastAsia="宋体"/>
      <w:kern w:val="2"/>
      <w:sz w:val="18"/>
      <w:szCs w:val="18"/>
      <w:lang w:val="en-US" w:eastAsia="zh-CN" w:bidi="ar-SA"/>
    </w:rPr>
  </w:style>
  <w:style w:type="character" w:customStyle="1" w:styleId="911">
    <w:name w:val="locality"/>
    <w:autoRedefine/>
    <w:qFormat/>
    <w:uiPriority w:val="0"/>
  </w:style>
  <w:style w:type="character" w:customStyle="1" w:styleId="912">
    <w:name w:val="text"/>
    <w:autoRedefine/>
    <w:qFormat/>
    <w:uiPriority w:val="0"/>
  </w:style>
  <w:style w:type="character" w:customStyle="1" w:styleId="913">
    <w:name w:val="Char Char9"/>
    <w:autoRedefine/>
    <w:qFormat/>
    <w:uiPriority w:val="0"/>
    <w:rPr>
      <w:rFonts w:hint="eastAsia" w:ascii="宋体" w:hAnsi="宋体" w:eastAsia="宋体"/>
      <w:color w:val="000000"/>
      <w:kern w:val="2"/>
      <w:sz w:val="24"/>
      <w:lang w:val="en-US" w:eastAsia="zh-CN" w:bidi="ar-SA"/>
    </w:rPr>
  </w:style>
  <w:style w:type="character" w:customStyle="1" w:styleId="914">
    <w:name w:val="正文文本缩进 2 Char1"/>
    <w:autoRedefine/>
    <w:qFormat/>
    <w:uiPriority w:val="0"/>
    <w:rPr>
      <w:rFonts w:hint="eastAsia" w:ascii="宋体" w:hAnsi="宋体" w:eastAsia="宋体"/>
      <w:szCs w:val="24"/>
    </w:rPr>
  </w:style>
  <w:style w:type="character" w:customStyle="1" w:styleId="915">
    <w:name w:val="标题 Char3"/>
    <w:autoRedefine/>
    <w:qFormat/>
    <w:uiPriority w:val="0"/>
    <w:rPr>
      <w:rFonts w:hint="default" w:ascii="Cambria" w:hAnsi="Cambria" w:eastAsia="宋体" w:cs="Times New Roman"/>
      <w:b/>
      <w:bCs/>
      <w:sz w:val="32"/>
      <w:szCs w:val="32"/>
    </w:rPr>
  </w:style>
  <w:style w:type="character" w:customStyle="1" w:styleId="916">
    <w:name w:val="bookmark-item"/>
    <w:autoRedefine/>
    <w:qFormat/>
    <w:uiPriority w:val="0"/>
  </w:style>
  <w:style w:type="character" w:customStyle="1" w:styleId="917">
    <w:name w:val="正文首行缩进 Char1"/>
    <w:autoRedefine/>
    <w:qFormat/>
    <w:uiPriority w:val="0"/>
    <w:rPr>
      <w:rFonts w:hint="eastAsia" w:ascii="宋体" w:hAnsi="宋体" w:eastAsia="宋体"/>
      <w:szCs w:val="24"/>
    </w:rPr>
  </w:style>
  <w:style w:type="character" w:customStyle="1" w:styleId="918">
    <w:name w:val="样式 正文缩进正文（首行缩进两字）特点ALT+Z表正文正文非缩进四号段1Normal Indent Char2... Char"/>
    <w:autoRedefine/>
    <w:qFormat/>
    <w:uiPriority w:val="0"/>
    <w:rPr>
      <w:rFonts w:hint="default" w:ascii="Arial" w:hAnsi="Arial" w:eastAsia="宋体" w:cs="Arial"/>
      <w:b/>
      <w:kern w:val="2"/>
      <w:sz w:val="24"/>
      <w:szCs w:val="32"/>
      <w:lang w:val="en-US" w:eastAsia="zh-CN" w:bidi="ar-SA"/>
    </w:rPr>
  </w:style>
  <w:style w:type="character" w:customStyle="1" w:styleId="919">
    <w:name w:val="2nd level Char"/>
    <w:autoRedefine/>
    <w:qFormat/>
    <w:uiPriority w:val="0"/>
    <w:rPr>
      <w:rFonts w:hint="default" w:ascii="Arial" w:hAnsi="Arial" w:eastAsia="宋体" w:cs="Arial"/>
      <w:b/>
      <w:bCs/>
      <w:kern w:val="2"/>
      <w:sz w:val="24"/>
      <w:szCs w:val="32"/>
      <w:lang w:val="en-US" w:eastAsia="zh-CN" w:bidi="ar-SA"/>
    </w:rPr>
  </w:style>
  <w:style w:type="character" w:customStyle="1" w:styleId="920">
    <w:name w:val="明显引用 Char2"/>
    <w:autoRedefine/>
    <w:qFormat/>
    <w:uiPriority w:val="0"/>
    <w:rPr>
      <w:rFonts w:hint="default" w:ascii="Times New Roman" w:hAnsi="Times New Roman" w:eastAsia="宋体" w:cs="Times New Roman"/>
      <w:b/>
      <w:bCs/>
      <w:i/>
      <w:iCs/>
      <w:color w:val="4F81BD"/>
      <w:szCs w:val="24"/>
    </w:rPr>
  </w:style>
  <w:style w:type="character" w:customStyle="1" w:styleId="921">
    <w:name w:val="页眉 Char2"/>
    <w:autoRedefine/>
    <w:qFormat/>
    <w:uiPriority w:val="0"/>
    <w:rPr>
      <w:rFonts w:hint="eastAsia" w:ascii="宋体" w:hAnsi="宋体" w:eastAsia="宋体"/>
      <w:kern w:val="2"/>
      <w:sz w:val="18"/>
      <w:szCs w:val="18"/>
      <w:lang w:val="en-US" w:eastAsia="zh-CN" w:bidi="ar-SA"/>
    </w:rPr>
  </w:style>
  <w:style w:type="character" w:customStyle="1" w:styleId="922">
    <w:name w:val="Date Char"/>
    <w:autoRedefine/>
    <w:qFormat/>
    <w:locked/>
    <w:uiPriority w:val="0"/>
    <w:rPr>
      <w:rFonts w:hint="eastAsia" w:ascii="宋体" w:hAnsi="宋体" w:eastAsia="宋体"/>
      <w:kern w:val="2"/>
      <w:sz w:val="24"/>
      <w:lang w:val="en-US" w:eastAsia="zh-CN" w:bidi="ar-SA"/>
    </w:rPr>
  </w:style>
  <w:style w:type="character" w:customStyle="1" w:styleId="923">
    <w:name w:val="Char Char121"/>
    <w:autoRedefine/>
    <w:qFormat/>
    <w:uiPriority w:val="0"/>
    <w:rPr>
      <w:rFonts w:hint="default" w:ascii="Arial" w:hAnsi="Arial" w:eastAsia="宋体" w:cs="Arial"/>
      <w:b/>
      <w:sz w:val="32"/>
      <w:lang w:val="en-US" w:eastAsia="zh-CN" w:bidi="ar-SA"/>
    </w:rPr>
  </w:style>
  <w:style w:type="character" w:customStyle="1" w:styleId="924">
    <w:name w:val="Heading 5 Char"/>
    <w:autoRedefine/>
    <w:qFormat/>
    <w:locked/>
    <w:uiPriority w:val="0"/>
    <w:rPr>
      <w:rFonts w:hint="eastAsia" w:ascii="宋体" w:hAnsi="宋体" w:eastAsia="宋体"/>
      <w:b/>
      <w:bCs/>
      <w:kern w:val="2"/>
      <w:sz w:val="28"/>
      <w:szCs w:val="28"/>
      <w:lang w:val="en-US" w:eastAsia="zh-CN" w:bidi="ar-SA"/>
    </w:rPr>
  </w:style>
  <w:style w:type="character" w:customStyle="1" w:styleId="925">
    <w:name w:val="Char Char Char Char Char Char Char Char Char"/>
    <w:autoRedefine/>
    <w:qFormat/>
    <w:uiPriority w:val="0"/>
    <w:rPr>
      <w:rFonts w:hint="eastAsia" w:ascii="宋体" w:hAnsi="宋体" w:eastAsia="宋体"/>
      <w:kern w:val="2"/>
      <w:sz w:val="21"/>
      <w:szCs w:val="24"/>
      <w:lang w:val="en-US" w:eastAsia="zh-CN" w:bidi="ar-SA"/>
    </w:rPr>
  </w:style>
  <w:style w:type="character" w:customStyle="1" w:styleId="926">
    <w:name w:val="日期 Char"/>
    <w:autoRedefine/>
    <w:qFormat/>
    <w:uiPriority w:val="0"/>
    <w:rPr>
      <w:rFonts w:hint="eastAsia" w:ascii="宋体" w:hAnsi="宋体" w:eastAsia="宋体"/>
      <w:sz w:val="28"/>
      <w:lang w:bidi="ar-SA"/>
    </w:rPr>
  </w:style>
  <w:style w:type="character" w:customStyle="1" w:styleId="927">
    <w:name w:val="正文文本 Char"/>
    <w:autoRedefine/>
    <w:qFormat/>
    <w:uiPriority w:val="0"/>
    <w:rPr>
      <w:lang w:bidi="ar-SA"/>
    </w:rPr>
  </w:style>
  <w:style w:type="character" w:customStyle="1" w:styleId="928">
    <w:name w:val="标题 6 Char"/>
    <w:autoRedefine/>
    <w:qFormat/>
    <w:uiPriority w:val="0"/>
    <w:rPr>
      <w:rFonts w:hint="default" w:ascii="Cambria" w:hAnsi="Cambria" w:eastAsia="宋体"/>
      <w:b/>
      <w:bCs/>
      <w:kern w:val="2"/>
      <w:sz w:val="24"/>
      <w:szCs w:val="24"/>
      <w:lang w:val="en-US" w:eastAsia="zh-CN" w:bidi="ar-SA"/>
    </w:rPr>
  </w:style>
  <w:style w:type="character" w:customStyle="1" w:styleId="929">
    <w:name w:val="页脚 Char"/>
    <w:autoRedefine/>
    <w:qFormat/>
    <w:uiPriority w:val="99"/>
    <w:rPr>
      <w:kern w:val="2"/>
      <w:sz w:val="18"/>
      <w:szCs w:val="18"/>
      <w:lang w:bidi="ar-SA"/>
    </w:rPr>
  </w:style>
  <w:style w:type="character" w:customStyle="1" w:styleId="930">
    <w:name w:val="批注框文本 Char"/>
    <w:autoRedefine/>
    <w:qFormat/>
    <w:uiPriority w:val="0"/>
    <w:rPr>
      <w:rFonts w:hint="eastAsia" w:ascii="宋体" w:hAnsi="宋体" w:eastAsia="宋体"/>
      <w:sz w:val="18"/>
      <w:szCs w:val="18"/>
      <w:lang w:bidi="ar-SA"/>
    </w:rPr>
  </w:style>
  <w:style w:type="character" w:customStyle="1" w:styleId="931">
    <w:name w:val="标题 3 Char"/>
    <w:autoRedefine/>
    <w:qFormat/>
    <w:uiPriority w:val="0"/>
    <w:rPr>
      <w:rFonts w:hint="default" w:ascii="Calibri" w:hAnsi="Calibri" w:eastAsia="宋体" w:cs="Calibri"/>
      <w:b/>
      <w:bCs/>
      <w:kern w:val="2"/>
      <w:sz w:val="32"/>
      <w:szCs w:val="32"/>
      <w:lang w:val="en-US" w:eastAsia="zh-CN" w:bidi="ar-SA"/>
    </w:rPr>
  </w:style>
  <w:style w:type="character" w:customStyle="1" w:styleId="932">
    <w:name w:val="日期 Char3"/>
    <w:autoRedefine/>
    <w:qFormat/>
    <w:uiPriority w:val="0"/>
    <w:rPr>
      <w:rFonts w:hint="eastAsia" w:ascii="仿宋_GB2312" w:eastAsia="仿宋_GB2312"/>
      <w:kern w:val="2"/>
      <w:sz w:val="28"/>
      <w:lang w:val="en-US" w:eastAsia="zh-CN" w:bidi="ar-SA"/>
    </w:rPr>
  </w:style>
  <w:style w:type="character" w:customStyle="1" w:styleId="933">
    <w:name w:val="批注主题 Char3"/>
    <w:autoRedefine/>
    <w:qFormat/>
    <w:uiPriority w:val="0"/>
    <w:rPr>
      <w:rFonts w:hint="eastAsia" w:ascii="宋体" w:hAnsi="宋体" w:eastAsia="宋体"/>
      <w:b/>
      <w:bCs/>
      <w:kern w:val="2"/>
      <w:sz w:val="21"/>
      <w:szCs w:val="24"/>
      <w:lang w:val="en-US" w:eastAsia="zh-CN" w:bidi="ar-SA"/>
    </w:rPr>
  </w:style>
  <w:style w:type="character" w:customStyle="1" w:styleId="934">
    <w:name w:val="chs1"/>
    <w:autoRedefine/>
    <w:qFormat/>
    <w:uiPriority w:val="0"/>
    <w:rPr>
      <w:rFonts w:hint="default"/>
      <w:sz w:val="18"/>
      <w:szCs w:val="18"/>
    </w:rPr>
  </w:style>
  <w:style w:type="character" w:customStyle="1" w:styleId="935">
    <w:name w:val="个人答复风格"/>
    <w:autoRedefine/>
    <w:qFormat/>
    <w:uiPriority w:val="0"/>
    <w:rPr>
      <w:rFonts w:hint="default" w:ascii="Arial" w:hAnsi="Arial" w:eastAsia="宋体" w:cs="Arial"/>
      <w:color w:val="auto"/>
      <w:sz w:val="20"/>
    </w:rPr>
  </w:style>
  <w:style w:type="character" w:customStyle="1" w:styleId="936">
    <w:name w:val="htd01"/>
    <w:autoRedefine/>
    <w:qFormat/>
    <w:uiPriority w:val="0"/>
  </w:style>
  <w:style w:type="character" w:customStyle="1" w:styleId="937">
    <w:name w:val="标题 Char"/>
    <w:autoRedefine/>
    <w:qFormat/>
    <w:uiPriority w:val="0"/>
    <w:rPr>
      <w:rFonts w:hint="default" w:ascii="Cambria" w:hAnsi="Cambria"/>
      <w:b/>
      <w:bCs/>
      <w:kern w:val="2"/>
      <w:sz w:val="32"/>
      <w:szCs w:val="32"/>
      <w:lang w:bidi="ar-SA"/>
    </w:rPr>
  </w:style>
  <w:style w:type="character" w:customStyle="1" w:styleId="938">
    <w:name w:val="标题 2 Char"/>
    <w:autoRedefine/>
    <w:qFormat/>
    <w:uiPriority w:val="0"/>
    <w:rPr>
      <w:rFonts w:hint="default" w:ascii="Cambria" w:hAnsi="Cambria" w:eastAsia="宋体"/>
      <w:b/>
      <w:bCs/>
      <w:kern w:val="2"/>
      <w:sz w:val="32"/>
      <w:szCs w:val="32"/>
      <w:lang w:val="en-US" w:eastAsia="zh-CN" w:bidi="ar-SA"/>
    </w:rPr>
  </w:style>
  <w:style w:type="character" w:customStyle="1" w:styleId="939">
    <w:name w:val="标题 1 Char"/>
    <w:autoRedefine/>
    <w:qFormat/>
    <w:uiPriority w:val="9"/>
    <w:rPr>
      <w:rFonts w:hint="default" w:ascii="Calibri" w:hAnsi="Calibri" w:eastAsia="宋体" w:cs="Calibri"/>
      <w:b/>
      <w:bCs/>
      <w:kern w:val="44"/>
      <w:sz w:val="44"/>
      <w:szCs w:val="44"/>
      <w:lang w:val="en-US" w:eastAsia="zh-CN" w:bidi="ar-SA"/>
    </w:rPr>
  </w:style>
  <w:style w:type="character" w:customStyle="1" w:styleId="940">
    <w:name w:val="页眉 Char"/>
    <w:autoRedefine/>
    <w:qFormat/>
    <w:uiPriority w:val="99"/>
    <w:rPr>
      <w:kern w:val="2"/>
      <w:sz w:val="18"/>
      <w:szCs w:val="18"/>
      <w:lang w:bidi="ar-SA"/>
    </w:rPr>
  </w:style>
  <w:style w:type="character" w:customStyle="1" w:styleId="941">
    <w:name w:val="批注文字 Char"/>
    <w:autoRedefine/>
    <w:qFormat/>
    <w:uiPriority w:val="0"/>
    <w:rPr>
      <w:rFonts w:hint="default" w:ascii="Calibri" w:hAnsi="Calibri" w:eastAsia="宋体" w:cs="Calibri"/>
      <w:kern w:val="2"/>
      <w:sz w:val="21"/>
      <w:szCs w:val="22"/>
      <w:lang w:val="en-US" w:eastAsia="zh-CN" w:bidi="ar-SA"/>
    </w:rPr>
  </w:style>
  <w:style w:type="character" w:customStyle="1" w:styleId="942">
    <w:name w:val="标题 4 Char"/>
    <w:autoRedefine/>
    <w:qFormat/>
    <w:uiPriority w:val="0"/>
    <w:rPr>
      <w:rFonts w:hint="default" w:ascii="Cambria" w:hAnsi="Cambria" w:eastAsia="宋体"/>
      <w:b/>
      <w:bCs/>
      <w:kern w:val="2"/>
      <w:sz w:val="28"/>
      <w:szCs w:val="28"/>
      <w:lang w:val="en-US" w:eastAsia="zh-CN" w:bidi="ar-SA"/>
    </w:rPr>
  </w:style>
  <w:style w:type="character" w:customStyle="1" w:styleId="943">
    <w:name w:val="标题 5 Char"/>
    <w:autoRedefine/>
    <w:qFormat/>
    <w:uiPriority w:val="0"/>
    <w:rPr>
      <w:rFonts w:hint="default" w:ascii="Calibri" w:hAnsi="Calibri" w:eastAsia="宋体" w:cs="Calibri"/>
      <w:b/>
      <w:bCs/>
      <w:kern w:val="2"/>
      <w:sz w:val="28"/>
      <w:szCs w:val="28"/>
      <w:lang w:val="en-US" w:eastAsia="zh-CN" w:bidi="ar-SA"/>
    </w:rPr>
  </w:style>
  <w:style w:type="character" w:customStyle="1" w:styleId="944">
    <w:name w:val="op-map-singlepoint-info-right"/>
    <w:autoRedefine/>
    <w:qFormat/>
    <w:uiPriority w:val="0"/>
  </w:style>
  <w:style w:type="character" w:customStyle="1" w:styleId="945">
    <w:name w:val="by jerry Char2"/>
    <w:autoRedefine/>
    <w:qFormat/>
    <w:uiPriority w:val="0"/>
    <w:rPr>
      <w:b/>
      <w:bCs/>
      <w:kern w:val="44"/>
      <w:sz w:val="44"/>
      <w:szCs w:val="44"/>
    </w:rPr>
  </w:style>
  <w:style w:type="character" w:customStyle="1" w:styleId="946">
    <w:name w:val="标题 9 Char"/>
    <w:autoRedefine/>
    <w:qFormat/>
    <w:uiPriority w:val="0"/>
    <w:rPr>
      <w:rFonts w:hint="default" w:ascii="Cambria" w:hAnsi="Cambria" w:eastAsia="宋体"/>
      <w:kern w:val="2"/>
      <w:sz w:val="21"/>
      <w:szCs w:val="21"/>
      <w:lang w:val="en-US" w:eastAsia="zh-CN" w:bidi="ar-SA"/>
    </w:rPr>
  </w:style>
  <w:style w:type="character" w:customStyle="1" w:styleId="947">
    <w:name w:val="H4 Char"/>
    <w:autoRedefine/>
    <w:qFormat/>
    <w:locked/>
    <w:uiPriority w:val="0"/>
    <w:rPr>
      <w:rFonts w:hint="default" w:ascii="Arial" w:hAnsi="Arial" w:eastAsia="黑体" w:cs="Arial"/>
      <w:b/>
      <w:bCs/>
      <w:kern w:val="2"/>
      <w:sz w:val="28"/>
      <w:szCs w:val="28"/>
      <w:lang w:val="zh-CN"/>
    </w:rPr>
  </w:style>
  <w:style w:type="character" w:customStyle="1" w:styleId="948">
    <w:name w:val="style13"/>
    <w:autoRedefine/>
    <w:qFormat/>
    <w:uiPriority w:val="0"/>
  </w:style>
  <w:style w:type="character" w:customStyle="1" w:styleId="949">
    <w:name w:val="Char Char8"/>
    <w:autoRedefine/>
    <w:qFormat/>
    <w:uiPriority w:val="0"/>
    <w:rPr>
      <w:rFonts w:hint="default" w:ascii="Arial" w:hAnsi="Arial" w:eastAsia="黑体" w:cs="Arial"/>
      <w:b/>
      <w:bCs/>
      <w:kern w:val="2"/>
      <w:sz w:val="32"/>
      <w:szCs w:val="32"/>
      <w:lang w:val="en-US" w:eastAsia="zh-CN" w:bidi="ar-SA"/>
    </w:rPr>
  </w:style>
  <w:style w:type="character" w:customStyle="1" w:styleId="950">
    <w:name w:val="普通文字 Char Char3"/>
    <w:autoRedefine/>
    <w:qFormat/>
    <w:uiPriority w:val="0"/>
    <w:rPr>
      <w:rFonts w:hint="eastAsia" w:ascii="宋体" w:hAnsi="Courier New" w:eastAsia="宋体"/>
      <w:kern w:val="2"/>
      <w:sz w:val="21"/>
      <w:lang w:val="en-US" w:eastAsia="zh-CN" w:bidi="ar-SA"/>
    </w:rPr>
  </w:style>
  <w:style w:type="character" w:customStyle="1" w:styleId="951">
    <w:name w:val="Heading 9 Char"/>
    <w:autoRedefine/>
    <w:qFormat/>
    <w:locked/>
    <w:uiPriority w:val="0"/>
    <w:rPr>
      <w:rFonts w:hint="default" w:ascii="Arial" w:hAnsi="Arial" w:eastAsia="黑体" w:cs="Arial"/>
      <w:sz w:val="21"/>
      <w:szCs w:val="21"/>
      <w:lang w:val="en-US" w:eastAsia="zh-CN" w:bidi="ar-SA"/>
    </w:rPr>
  </w:style>
  <w:style w:type="character" w:customStyle="1" w:styleId="952">
    <w:name w:val="Footer Char"/>
    <w:autoRedefine/>
    <w:qFormat/>
    <w:locked/>
    <w:uiPriority w:val="0"/>
    <w:rPr>
      <w:rFonts w:hint="eastAsia" w:ascii="宋体" w:hAnsi="宋体" w:eastAsia="宋体"/>
      <w:kern w:val="2"/>
      <w:sz w:val="18"/>
      <w:szCs w:val="18"/>
      <w:lang w:val="en-US" w:eastAsia="zh-CN" w:bidi="ar-SA"/>
    </w:rPr>
  </w:style>
  <w:style w:type="character" w:customStyle="1" w:styleId="953">
    <w:name w:val="标题 Char2"/>
    <w:autoRedefine/>
    <w:qFormat/>
    <w:uiPriority w:val="0"/>
    <w:rPr>
      <w:rFonts w:hint="default" w:ascii="Arial" w:hAnsi="Arial" w:eastAsia="宋体" w:cs="Arial"/>
      <w:b/>
      <w:sz w:val="32"/>
      <w:lang w:val="en-US" w:eastAsia="zh-CN" w:bidi="ar-SA"/>
    </w:rPr>
  </w:style>
  <w:style w:type="character" w:customStyle="1" w:styleId="954">
    <w:name w:val="引用 Char"/>
    <w:autoRedefine/>
    <w:qFormat/>
    <w:uiPriority w:val="0"/>
    <w:rPr>
      <w:i/>
      <w:iCs/>
      <w:color w:val="000000"/>
      <w:kern w:val="2"/>
      <w:sz w:val="21"/>
      <w:szCs w:val="22"/>
      <w:lang w:bidi="ar-SA"/>
    </w:rPr>
  </w:style>
  <w:style w:type="character" w:customStyle="1" w:styleId="955">
    <w:name w:val="批注主题 Char"/>
    <w:autoRedefine/>
    <w:qFormat/>
    <w:uiPriority w:val="0"/>
    <w:rPr>
      <w:rFonts w:hint="eastAsia" w:ascii="宋体" w:hAnsi="宋体" w:eastAsia="宋体"/>
      <w:b/>
      <w:bCs/>
      <w:sz w:val="28"/>
      <w:lang w:bidi="ar-SA"/>
    </w:rPr>
  </w:style>
  <w:style w:type="character" w:customStyle="1" w:styleId="956">
    <w:name w:val="street-address"/>
    <w:autoRedefine/>
    <w:qFormat/>
    <w:uiPriority w:val="0"/>
  </w:style>
  <w:style w:type="character" w:customStyle="1" w:styleId="957">
    <w:name w:val="by jerry Char3"/>
    <w:autoRedefine/>
    <w:qFormat/>
    <w:uiPriority w:val="0"/>
    <w:rPr>
      <w:b/>
      <w:bCs/>
      <w:kern w:val="44"/>
      <w:sz w:val="44"/>
      <w:szCs w:val="44"/>
    </w:rPr>
  </w:style>
  <w:style w:type="character" w:customStyle="1" w:styleId="958">
    <w:name w:val="Document Map Char"/>
    <w:autoRedefine/>
    <w:qFormat/>
    <w:locked/>
    <w:uiPriority w:val="0"/>
    <w:rPr>
      <w:rFonts w:hint="eastAsia" w:ascii="宋体" w:hAnsi="宋体" w:eastAsia="宋体"/>
      <w:kern w:val="2"/>
      <w:sz w:val="21"/>
      <w:szCs w:val="24"/>
      <w:lang w:val="en-US" w:eastAsia="zh-CN" w:bidi="ar-SA"/>
    </w:rPr>
  </w:style>
  <w:style w:type="character" w:customStyle="1" w:styleId="959">
    <w:name w:val="Char Char12"/>
    <w:autoRedefine/>
    <w:qFormat/>
    <w:uiPriority w:val="0"/>
    <w:rPr>
      <w:rFonts w:hint="default" w:ascii="Courier New" w:hAnsi="Courier New" w:eastAsia="宋体" w:cs="Courier New"/>
      <w:kern w:val="2"/>
      <w:sz w:val="21"/>
      <w:lang w:val="en-US" w:eastAsia="zh-CN" w:bidi="ar-SA"/>
    </w:rPr>
  </w:style>
  <w:style w:type="character" w:customStyle="1" w:styleId="960">
    <w:name w:val="Heading 7 Char"/>
    <w:autoRedefine/>
    <w:qFormat/>
    <w:locked/>
    <w:uiPriority w:val="0"/>
    <w:rPr>
      <w:rFonts w:hint="eastAsia" w:ascii="宋体" w:hAnsi="宋体" w:eastAsia="宋体"/>
      <w:b/>
      <w:bCs/>
      <w:sz w:val="24"/>
      <w:szCs w:val="24"/>
      <w:lang w:val="en-US" w:eastAsia="zh-CN" w:bidi="ar-SA"/>
    </w:rPr>
  </w:style>
  <w:style w:type="character" w:customStyle="1" w:styleId="961">
    <w:name w:val="批注文字 Char2"/>
    <w:autoRedefine/>
    <w:qFormat/>
    <w:uiPriority w:val="0"/>
    <w:rPr>
      <w:rFonts w:hint="eastAsia" w:ascii="宋体" w:hAnsi="宋体" w:eastAsia="宋体"/>
      <w:kern w:val="2"/>
      <w:sz w:val="21"/>
      <w:szCs w:val="24"/>
      <w:lang w:val="en-US" w:eastAsia="zh-CN" w:bidi="ar-SA"/>
    </w:rPr>
  </w:style>
  <w:style w:type="character" w:customStyle="1" w:styleId="962">
    <w:name w:val="正文文本缩进 Char1"/>
    <w:autoRedefine/>
    <w:qFormat/>
    <w:uiPriority w:val="0"/>
    <w:rPr>
      <w:rFonts w:hint="eastAsia" w:ascii="宋体" w:hAnsi="Courier New" w:eastAsia="宋体" w:cs="Times New Roman"/>
      <w:spacing w:val="-4"/>
      <w:sz w:val="18"/>
      <w:szCs w:val="20"/>
    </w:rPr>
  </w:style>
  <w:style w:type="character" w:customStyle="1" w:styleId="963">
    <w:name w:val="font121"/>
    <w:autoRedefine/>
    <w:qFormat/>
    <w:uiPriority w:val="0"/>
    <w:rPr>
      <w:rFonts w:hint="default" w:ascii="Times New Roman" w:hAnsi="Times New Roman" w:cs="Times New Roman"/>
      <w:color w:val="000000"/>
      <w:sz w:val="24"/>
      <w:szCs w:val="24"/>
      <w:u w:val="none"/>
    </w:rPr>
  </w:style>
  <w:style w:type="character" w:customStyle="1" w:styleId="964">
    <w:name w:val="Default Char"/>
    <w:autoRedefine/>
    <w:qFormat/>
    <w:uiPriority w:val="0"/>
    <w:rPr>
      <w:rFonts w:hint="eastAsia" w:ascii="宋体" w:hAnsi="宋体" w:eastAsia="宋体"/>
      <w:color w:val="000000"/>
      <w:sz w:val="24"/>
      <w:szCs w:val="24"/>
      <w:lang w:val="en-US" w:eastAsia="zh-CN" w:bidi="ar-SA"/>
    </w:rPr>
  </w:style>
  <w:style w:type="character" w:customStyle="1" w:styleId="965">
    <w:name w:val="Char Char3"/>
    <w:autoRedefine/>
    <w:qFormat/>
    <w:uiPriority w:val="0"/>
    <w:rPr>
      <w:rFonts w:hint="eastAsia" w:ascii="宋体" w:hAnsi="宋体" w:eastAsia="宋体"/>
      <w:kern w:val="2"/>
      <w:sz w:val="18"/>
      <w:szCs w:val="18"/>
      <w:lang w:val="en-US" w:eastAsia="zh-CN" w:bidi="ar-SA"/>
    </w:rPr>
  </w:style>
  <w:style w:type="character" w:customStyle="1" w:styleId="966">
    <w:name w:val="Char Char5"/>
    <w:autoRedefine/>
    <w:qFormat/>
    <w:uiPriority w:val="0"/>
    <w:rPr>
      <w:rFonts w:hint="eastAsia" w:ascii="宋体" w:hAnsi="宋体" w:eastAsia="宋体"/>
      <w:sz w:val="28"/>
      <w:szCs w:val="28"/>
      <w:lang w:bidi="ar-SA"/>
    </w:rPr>
  </w:style>
  <w:style w:type="character" w:customStyle="1" w:styleId="967">
    <w:name w:val="内文正文 Char Char"/>
    <w:autoRedefine/>
    <w:qFormat/>
    <w:uiPriority w:val="0"/>
    <w:rPr>
      <w:rFonts w:hint="eastAsia" w:ascii="宋体" w:hAnsi="???|CS?o｡ﾀ?" w:eastAsia="宋体"/>
      <w:sz w:val="21"/>
      <w:szCs w:val="28"/>
      <w:lang w:val="en-US" w:eastAsia="zh-CN" w:bidi="ar-SA"/>
    </w:rPr>
  </w:style>
  <w:style w:type="character" w:customStyle="1" w:styleId="968">
    <w:name w:val="Char Char18"/>
    <w:autoRedefine/>
    <w:qFormat/>
    <w:uiPriority w:val="0"/>
    <w:rPr>
      <w:rFonts w:hint="default" w:ascii="Calibri" w:hAnsi="Calibri" w:cs="Calibri"/>
      <w:b/>
      <w:bCs/>
      <w:kern w:val="2"/>
      <w:sz w:val="28"/>
      <w:szCs w:val="28"/>
    </w:rPr>
  </w:style>
  <w:style w:type="character" w:customStyle="1" w:styleId="969">
    <w:name w:val="_Style 196"/>
    <w:autoRedefine/>
    <w:qFormat/>
    <w:uiPriority w:val="0"/>
    <w:rPr>
      <w:b/>
      <w:bCs/>
      <w:smallCaps/>
      <w:color w:val="C0504D"/>
      <w:spacing w:val="5"/>
      <w:u w:val="single"/>
    </w:rPr>
  </w:style>
  <w:style w:type="character" w:customStyle="1" w:styleId="970">
    <w:name w:val="Char Char10"/>
    <w:autoRedefine/>
    <w:qFormat/>
    <w:uiPriority w:val="0"/>
    <w:rPr>
      <w:rFonts w:hint="default" w:ascii="Arial" w:hAnsi="Arial" w:eastAsia="黑体" w:cs="Arial"/>
      <w:b/>
      <w:bCs/>
      <w:kern w:val="2"/>
      <w:sz w:val="28"/>
      <w:szCs w:val="28"/>
    </w:rPr>
  </w:style>
  <w:style w:type="character" w:customStyle="1" w:styleId="971">
    <w:name w:val="_Style 201"/>
    <w:autoRedefine/>
    <w:qFormat/>
    <w:uiPriority w:val="0"/>
    <w:rPr>
      <w:b/>
      <w:bCs/>
      <w:smallCaps/>
      <w:spacing w:val="5"/>
    </w:rPr>
  </w:style>
  <w:style w:type="character" w:customStyle="1" w:styleId="972">
    <w:name w:val="unnamed51"/>
    <w:autoRedefine/>
    <w:qFormat/>
    <w:uiPriority w:val="0"/>
    <w:rPr>
      <w:sz w:val="22"/>
      <w:szCs w:val="22"/>
    </w:rPr>
  </w:style>
  <w:style w:type="character" w:customStyle="1" w:styleId="973">
    <w:name w:val="Char Char101"/>
    <w:autoRedefine/>
    <w:qFormat/>
    <w:uiPriority w:val="0"/>
    <w:rPr>
      <w:rFonts w:hint="default" w:ascii="Arial" w:hAnsi="Arial" w:eastAsia="黑体" w:cs="Arial"/>
      <w:b/>
      <w:bCs/>
      <w:kern w:val="2"/>
      <w:sz w:val="28"/>
      <w:szCs w:val="28"/>
    </w:rPr>
  </w:style>
  <w:style w:type="character" w:customStyle="1" w:styleId="974">
    <w:name w:val="dz1"/>
    <w:autoRedefine/>
    <w:qFormat/>
    <w:uiPriority w:val="0"/>
  </w:style>
  <w:style w:type="character" w:customStyle="1" w:styleId="975">
    <w:name w:val="font141"/>
    <w:autoRedefine/>
    <w:qFormat/>
    <w:uiPriority w:val="0"/>
    <w:rPr>
      <w:rFonts w:hint="default" w:ascii="Tahoma" w:hAnsi="Tahoma" w:eastAsia="Tahoma" w:cs="Tahoma"/>
      <w:color w:val="000000"/>
      <w:sz w:val="24"/>
      <w:szCs w:val="24"/>
      <w:u w:val="none"/>
    </w:rPr>
  </w:style>
  <w:style w:type="character" w:customStyle="1" w:styleId="976">
    <w:name w:val="font112"/>
    <w:autoRedefine/>
    <w:qFormat/>
    <w:uiPriority w:val="0"/>
    <w:rPr>
      <w:rFonts w:hint="default" w:ascii="Times New Roman" w:hAnsi="Times New Roman" w:cs="Times New Roman"/>
      <w:color w:val="000000"/>
      <w:sz w:val="24"/>
      <w:szCs w:val="24"/>
      <w:u w:val="none"/>
    </w:rPr>
  </w:style>
  <w:style w:type="character" w:customStyle="1" w:styleId="977">
    <w:name w:val="_Style 225"/>
    <w:autoRedefine/>
    <w:qFormat/>
    <w:uiPriority w:val="0"/>
    <w:rPr>
      <w:b/>
      <w:bCs/>
      <w:i/>
      <w:iCs/>
      <w:color w:val="4F81BD"/>
    </w:rPr>
  </w:style>
  <w:style w:type="character" w:customStyle="1" w:styleId="978">
    <w:name w:val="apple-converted-space"/>
    <w:autoRedefine/>
    <w:qFormat/>
    <w:uiPriority w:val="0"/>
  </w:style>
  <w:style w:type="character" w:customStyle="1" w:styleId="979">
    <w:name w:val="Char Char20"/>
    <w:autoRedefine/>
    <w:qFormat/>
    <w:uiPriority w:val="0"/>
    <w:rPr>
      <w:bCs/>
      <w:kern w:val="2"/>
      <w:sz w:val="24"/>
      <w:szCs w:val="21"/>
    </w:rPr>
  </w:style>
  <w:style w:type="character" w:customStyle="1" w:styleId="980">
    <w:name w:val="Char Char81"/>
    <w:autoRedefine/>
    <w:qFormat/>
    <w:uiPriority w:val="0"/>
    <w:rPr>
      <w:rFonts w:hint="eastAsia" w:ascii="宋体" w:hAnsi="宋体" w:eastAsia="宋体"/>
      <w:kern w:val="2"/>
      <w:sz w:val="18"/>
      <w:szCs w:val="18"/>
      <w:lang w:val="en-US" w:eastAsia="zh-CN" w:bidi="ar-SA"/>
    </w:rPr>
  </w:style>
  <w:style w:type="character" w:customStyle="1" w:styleId="981">
    <w:name w:val="font131"/>
    <w:autoRedefine/>
    <w:qFormat/>
    <w:uiPriority w:val="0"/>
    <w:rPr>
      <w:rFonts w:hint="default" w:ascii="Calibri" w:hAnsi="Calibri" w:cs="Calibri"/>
      <w:color w:val="000000"/>
      <w:sz w:val="24"/>
      <w:szCs w:val="24"/>
      <w:u w:val="none"/>
    </w:rPr>
  </w:style>
  <w:style w:type="character" w:customStyle="1" w:styleId="982">
    <w:name w:val="font01"/>
    <w:autoRedefine/>
    <w:qFormat/>
    <w:uiPriority w:val="0"/>
    <w:rPr>
      <w:rFonts w:hint="eastAsia" w:ascii="宋体" w:hAnsi="宋体" w:eastAsia="宋体" w:cs="宋体"/>
      <w:color w:val="000000"/>
      <w:sz w:val="24"/>
      <w:szCs w:val="24"/>
      <w:u w:val="none"/>
    </w:rPr>
  </w:style>
  <w:style w:type="character" w:customStyle="1" w:styleId="983">
    <w:name w:val="EmailStyle161"/>
    <w:autoRedefine/>
    <w:qFormat/>
    <w:uiPriority w:val="0"/>
    <w:rPr>
      <w:rFonts w:hint="default" w:ascii="Arial" w:hAnsi="Arial" w:eastAsia="宋体" w:cs="Arial"/>
      <w:color w:val="auto"/>
      <w:sz w:val="20"/>
    </w:rPr>
  </w:style>
  <w:style w:type="character" w:customStyle="1" w:styleId="984">
    <w:name w:val="样式1 Char Char Char"/>
    <w:autoRedefine/>
    <w:qFormat/>
    <w:uiPriority w:val="0"/>
    <w:rPr>
      <w:rFonts w:hint="default" w:ascii="Arial" w:hAnsi="Arial" w:eastAsia="宋体" w:cs="Arial"/>
      <w:kern w:val="2"/>
      <w:sz w:val="21"/>
      <w:szCs w:val="24"/>
      <w:lang w:val="en-US" w:eastAsia="zh-CN" w:bidi="ar-SA"/>
    </w:rPr>
  </w:style>
  <w:style w:type="character" w:customStyle="1" w:styleId="985">
    <w:name w:val="EmailStyle151"/>
    <w:autoRedefine/>
    <w:qFormat/>
    <w:uiPriority w:val="0"/>
    <w:rPr>
      <w:rFonts w:hint="default" w:ascii="Arial" w:hAnsi="Arial" w:eastAsia="宋体" w:cs="Arial"/>
      <w:color w:val="auto"/>
      <w:sz w:val="20"/>
    </w:rPr>
  </w:style>
  <w:style w:type="character" w:customStyle="1" w:styleId="986">
    <w:name w:val="Char Char11"/>
    <w:autoRedefine/>
    <w:qFormat/>
    <w:uiPriority w:val="0"/>
    <w:rPr>
      <w:bCs/>
      <w:kern w:val="2"/>
      <w:sz w:val="24"/>
      <w:szCs w:val="21"/>
    </w:rPr>
  </w:style>
  <w:style w:type="character" w:customStyle="1" w:styleId="987">
    <w:name w:val="Char Char13"/>
    <w:autoRedefine/>
    <w:qFormat/>
    <w:uiPriority w:val="0"/>
    <w:rPr>
      <w:rFonts w:hint="eastAsia" w:ascii="宋体" w:hAnsi="宋体" w:eastAsia="宋体"/>
      <w:kern w:val="2"/>
      <w:sz w:val="18"/>
      <w:szCs w:val="18"/>
    </w:rPr>
  </w:style>
  <w:style w:type="character" w:customStyle="1" w:styleId="988">
    <w:name w:val="_Style 267"/>
    <w:autoRedefine/>
    <w:qFormat/>
    <w:uiPriority w:val="0"/>
    <w:rPr>
      <w:i/>
      <w:iCs/>
      <w:color w:val="808080"/>
    </w:rPr>
  </w:style>
  <w:style w:type="character" w:customStyle="1" w:styleId="989">
    <w:name w:val="Char Char71"/>
    <w:autoRedefine/>
    <w:qFormat/>
    <w:uiPriority w:val="0"/>
    <w:rPr>
      <w:rFonts w:hint="eastAsia" w:ascii="宋体" w:hAnsi="宋体" w:eastAsia="宋体"/>
      <w:sz w:val="24"/>
      <w:szCs w:val="28"/>
      <w:lang w:val="en-US" w:eastAsia="zh-CN" w:bidi="ar-SA"/>
    </w:rPr>
  </w:style>
  <w:style w:type="character" w:customStyle="1" w:styleId="990">
    <w:name w:val="font41"/>
    <w:autoRedefine/>
    <w:qFormat/>
    <w:uiPriority w:val="0"/>
    <w:rPr>
      <w:rFonts w:hint="eastAsia" w:ascii="宋体" w:hAnsi="宋体" w:eastAsia="宋体" w:cs="宋体"/>
      <w:color w:val="000000"/>
      <w:sz w:val="24"/>
      <w:szCs w:val="24"/>
      <w:u w:val="none"/>
    </w:rPr>
  </w:style>
  <w:style w:type="character" w:customStyle="1" w:styleId="991">
    <w:name w:val="Char Char16"/>
    <w:autoRedefine/>
    <w:qFormat/>
    <w:uiPriority w:val="0"/>
    <w:rPr>
      <w:rFonts w:hint="eastAsia" w:ascii="宋体" w:hAnsi="宋体" w:eastAsia="宋体"/>
      <w:b/>
      <w:bCs/>
      <w:kern w:val="2"/>
      <w:sz w:val="28"/>
      <w:szCs w:val="28"/>
      <w:lang w:val="en-US" w:eastAsia="zh-CN" w:bidi="ar-SA"/>
    </w:rPr>
  </w:style>
  <w:style w:type="character" w:customStyle="1" w:styleId="992">
    <w:name w:val="未处理的提及1"/>
    <w:autoRedefine/>
    <w:qFormat/>
    <w:uiPriority w:val="99"/>
    <w:rPr>
      <w:color w:val="605E5C"/>
      <w:shd w:val="clear" w:color="auto" w:fill="E1DFDD"/>
    </w:rPr>
  </w:style>
  <w:style w:type="character" w:customStyle="1" w:styleId="993">
    <w:name w:val="_Style 282"/>
    <w:autoRedefine/>
    <w:qFormat/>
    <w:uiPriority w:val="0"/>
    <w:rPr>
      <w:smallCaps/>
      <w:color w:val="C0504D"/>
      <w:u w:val="single"/>
    </w:rPr>
  </w:style>
  <w:style w:type="character" w:customStyle="1" w:styleId="994">
    <w:name w:val="Char Char111"/>
    <w:autoRedefine/>
    <w:qFormat/>
    <w:uiPriority w:val="0"/>
    <w:rPr>
      <w:bCs/>
      <w:kern w:val="2"/>
      <w:sz w:val="24"/>
      <w:szCs w:val="21"/>
    </w:rPr>
  </w:style>
  <w:style w:type="character" w:customStyle="1" w:styleId="995">
    <w:name w:val="font11"/>
    <w:autoRedefine/>
    <w:qFormat/>
    <w:uiPriority w:val="0"/>
    <w:rPr>
      <w:rFonts w:hint="eastAsia" w:ascii="宋体" w:hAnsi="宋体" w:eastAsia="宋体" w:cs="宋体"/>
      <w:color w:val="000000"/>
      <w:sz w:val="24"/>
      <w:szCs w:val="24"/>
      <w:u w:val="none"/>
    </w:rPr>
  </w:style>
  <w:style w:type="character" w:customStyle="1" w:styleId="996">
    <w:name w:val="明显引用 字符1"/>
    <w:autoRedefine/>
    <w:qFormat/>
    <w:uiPriority w:val="99"/>
    <w:rPr>
      <w:i/>
      <w:iCs/>
      <w:color w:val="4F81BD"/>
      <w:kern w:val="2"/>
      <w:sz w:val="21"/>
      <w:szCs w:val="24"/>
    </w:rPr>
  </w:style>
  <w:style w:type="character" w:customStyle="1" w:styleId="997">
    <w:name w:val="书籍标题11"/>
    <w:autoRedefine/>
    <w:qFormat/>
    <w:uiPriority w:val="0"/>
    <w:rPr>
      <w:b/>
      <w:bCs/>
      <w:smallCaps/>
      <w:spacing w:val="5"/>
    </w:rPr>
  </w:style>
  <w:style w:type="character" w:customStyle="1" w:styleId="998">
    <w:name w:val="明显强调11"/>
    <w:autoRedefine/>
    <w:qFormat/>
    <w:uiPriority w:val="0"/>
    <w:rPr>
      <w:b/>
      <w:bCs/>
      <w:i/>
      <w:iCs/>
      <w:color w:val="4F81BD"/>
    </w:rPr>
  </w:style>
  <w:style w:type="character" w:customStyle="1" w:styleId="999">
    <w:name w:val="不明显强调11"/>
    <w:autoRedefine/>
    <w:qFormat/>
    <w:uiPriority w:val="0"/>
    <w:rPr>
      <w:i/>
      <w:iCs/>
      <w:color w:val="808080"/>
    </w:rPr>
  </w:style>
  <w:style w:type="character" w:customStyle="1" w:styleId="1000">
    <w:name w:val="不明显参考11"/>
    <w:autoRedefine/>
    <w:qFormat/>
    <w:uiPriority w:val="0"/>
    <w:rPr>
      <w:smallCaps/>
      <w:color w:val="C0504D"/>
      <w:u w:val="single"/>
    </w:rPr>
  </w:style>
  <w:style w:type="character" w:customStyle="1" w:styleId="1001">
    <w:name w:val="明显参考11"/>
    <w:autoRedefine/>
    <w:qFormat/>
    <w:uiPriority w:val="0"/>
    <w:rPr>
      <w:b/>
      <w:bCs/>
      <w:smallCaps/>
      <w:color w:val="C0504D"/>
      <w:spacing w:val="5"/>
      <w:u w:val="single"/>
    </w:rPr>
  </w:style>
  <w:style w:type="character" w:customStyle="1" w:styleId="1002">
    <w:name w:val="引用 字符1"/>
    <w:autoRedefine/>
    <w:qFormat/>
    <w:uiPriority w:val="99"/>
    <w:rPr>
      <w:i/>
      <w:iCs/>
      <w:color w:val="404040"/>
      <w:kern w:val="2"/>
      <w:sz w:val="21"/>
      <w:szCs w:val="24"/>
    </w:rPr>
  </w:style>
  <w:style w:type="character" w:customStyle="1" w:styleId="1003">
    <w:name w:val="批注文字 字符1"/>
    <w:autoRedefine/>
    <w:semiHidden/>
    <w:qFormat/>
    <w:uiPriority w:val="99"/>
    <w:rPr>
      <w:rFonts w:hint="default" w:ascii="Calibri" w:hAnsi="Calibri" w:eastAsia="宋体" w:cs="Times New Roman"/>
      <w:kern w:val="2"/>
      <w:sz w:val="21"/>
      <w:szCs w:val="22"/>
    </w:rPr>
  </w:style>
  <w:style w:type="character" w:customStyle="1" w:styleId="1004">
    <w:name w:val="副标题 字符1"/>
    <w:autoRedefine/>
    <w:qFormat/>
    <w:uiPriority w:val="11"/>
    <w:rPr>
      <w:rFonts w:hint="default" w:ascii="Calibri" w:hAnsi="Calibri" w:eastAsia="宋体" w:cs="Times New Roman"/>
      <w:b/>
      <w:bCs/>
      <w:kern w:val="28"/>
      <w:sz w:val="32"/>
      <w:szCs w:val="32"/>
    </w:rPr>
  </w:style>
  <w:style w:type="character" w:customStyle="1" w:styleId="1005">
    <w:name w:val="标题 字符1"/>
    <w:autoRedefine/>
    <w:qFormat/>
    <w:uiPriority w:val="10"/>
    <w:rPr>
      <w:rFonts w:hint="default" w:ascii="Cambria" w:hAnsi="Cambria" w:eastAsia="宋体" w:cs="Times New Roman"/>
      <w:b/>
      <w:bCs/>
      <w:kern w:val="2"/>
      <w:sz w:val="32"/>
      <w:szCs w:val="32"/>
    </w:rPr>
  </w:style>
  <w:style w:type="character" w:customStyle="1" w:styleId="1006">
    <w:name w:val="文档结构图 字符1"/>
    <w:autoRedefine/>
    <w:semiHidden/>
    <w:qFormat/>
    <w:uiPriority w:val="99"/>
    <w:rPr>
      <w:rFonts w:hint="eastAsia" w:ascii="Microsoft YaHei UI" w:hAnsi="Calibri" w:eastAsia="Microsoft YaHei UI" w:cs="Times New Roman"/>
      <w:kern w:val="2"/>
      <w:sz w:val="18"/>
      <w:szCs w:val="18"/>
    </w:rPr>
  </w:style>
  <w:style w:type="character" w:customStyle="1" w:styleId="1007">
    <w:name w:val="正文文本 字符1"/>
    <w:autoRedefine/>
    <w:semiHidden/>
    <w:qFormat/>
    <w:uiPriority w:val="99"/>
    <w:rPr>
      <w:rFonts w:hint="default" w:ascii="Calibri" w:hAnsi="Calibri" w:eastAsia="宋体" w:cs="Times New Roman"/>
      <w:kern w:val="2"/>
      <w:sz w:val="21"/>
      <w:szCs w:val="22"/>
    </w:rPr>
  </w:style>
  <w:style w:type="character" w:customStyle="1" w:styleId="1008">
    <w:name w:val="批注主题 字符1"/>
    <w:autoRedefine/>
    <w:semiHidden/>
    <w:qFormat/>
    <w:uiPriority w:val="99"/>
    <w:rPr>
      <w:rFonts w:hint="default" w:ascii="Calibri" w:hAnsi="Calibri" w:eastAsia="宋体" w:cs="Times New Roman"/>
      <w:b/>
      <w:bCs/>
      <w:kern w:val="2"/>
      <w:sz w:val="21"/>
      <w:szCs w:val="22"/>
    </w:rPr>
  </w:style>
  <w:style w:type="character" w:customStyle="1" w:styleId="1009">
    <w:name w:val="日期 字符1"/>
    <w:autoRedefine/>
    <w:semiHidden/>
    <w:qFormat/>
    <w:uiPriority w:val="99"/>
    <w:rPr>
      <w:rFonts w:hint="default" w:ascii="Calibri" w:hAnsi="Calibri" w:eastAsia="宋体" w:cs="Times New Roman"/>
      <w:kern w:val="2"/>
      <w:sz w:val="21"/>
      <w:szCs w:val="22"/>
    </w:rPr>
  </w:style>
  <w:style w:type="character" w:customStyle="1" w:styleId="1010">
    <w:name w:val="批注框文本 字符1"/>
    <w:autoRedefine/>
    <w:semiHidden/>
    <w:qFormat/>
    <w:uiPriority w:val="99"/>
    <w:rPr>
      <w:rFonts w:hint="default" w:ascii="Calibri" w:hAnsi="Calibri" w:eastAsia="宋体" w:cs="Times New Roman"/>
      <w:kern w:val="2"/>
      <w:sz w:val="18"/>
      <w:szCs w:val="18"/>
    </w:rPr>
  </w:style>
  <w:style w:type="character" w:customStyle="1" w:styleId="1011">
    <w:name w:val="doc_title"/>
    <w:autoRedefine/>
    <w:qFormat/>
    <w:uiPriority w:val="0"/>
  </w:style>
  <w:style w:type="character" w:customStyle="1" w:styleId="1012">
    <w:name w:val="未处理的提及2"/>
    <w:autoRedefine/>
    <w:qFormat/>
    <w:uiPriority w:val="99"/>
    <w:rPr>
      <w:color w:val="605E5C"/>
      <w:shd w:val="clear" w:color="auto" w:fill="E1DFDD"/>
    </w:rPr>
  </w:style>
  <w:style w:type="table" w:customStyle="1" w:styleId="1013">
    <w:name w:val="网格型1"/>
    <w:basedOn w:val="61"/>
    <w:autoRedefine/>
    <w:qFormat/>
    <w:uiPriority w:val="59"/>
    <w:rPr>
      <w:rFonts w:ascii="Calibri" w:hAnsi="Calibri" w:eastAsia="微软雅黑"/>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014">
    <w:name w:val="网格型2"/>
    <w:basedOn w:val="61"/>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15">
    <w:name w:val="页眉1"/>
    <w:basedOn w:val="199"/>
    <w:autoRedefine/>
    <w:qFormat/>
    <w:uiPriority w:val="0"/>
    <w:pPr>
      <w:pBdr>
        <w:bottom w:val="none" w:color="auto" w:sz="0" w:space="0"/>
      </w:pBdr>
    </w:pPr>
    <w:rPr>
      <w:rFonts w:ascii="Calibri" w:hAnsi="Calibri"/>
    </w:rPr>
  </w:style>
  <w:style w:type="paragraph" w:customStyle="1" w:styleId="1016">
    <w:name w:val="样式 标题 3 + (中文) 黑体 小四 非加粗 段前: 7.8 磅 段后: 0 磅 行距: 固定值 20 磅_0"/>
    <w:basedOn w:val="764"/>
    <w:autoRedefine/>
    <w:qFormat/>
    <w:uiPriority w:val="0"/>
    <w:pPr>
      <w:spacing w:before="0" w:after="0" w:line="400" w:lineRule="exact"/>
      <w:jc w:val="left"/>
    </w:pPr>
    <w:rPr>
      <w:rFonts w:ascii="黑体" w:hAnsi="宋体" w:eastAsia="黑体"/>
      <w:b w:val="0"/>
      <w:sz w:val="30"/>
      <w:szCs w:val="20"/>
    </w:rPr>
  </w:style>
  <w:style w:type="paragraph" w:customStyle="1" w:styleId="1017">
    <w:name w:val="样式 标题 3 + (中文) 黑体 小四 非加粗 段前: 7.8 磅 段后: 0 磅 行距: 固定值 20 磅_0_0"/>
    <w:basedOn w:val="782"/>
    <w:autoRedefine/>
    <w:qFormat/>
    <w:uiPriority w:val="0"/>
    <w:pPr>
      <w:spacing w:before="0" w:after="0" w:line="400" w:lineRule="exact"/>
    </w:pPr>
    <w:rPr>
      <w:rFonts w:eastAsia="黑体"/>
      <w:b w:val="0"/>
      <w:bCs w:val="0"/>
      <w:sz w:val="24"/>
      <w:szCs w:val="20"/>
    </w:rPr>
  </w:style>
  <w:style w:type="paragraph" w:customStyle="1" w:styleId="1018">
    <w:name w:val="样式 标题 2 + Times New Roman 四号 非加粗 段前: 5 磅 段后: 0 磅 行距: 固定值 20..._0"/>
    <w:basedOn w:val="848"/>
    <w:autoRedefine/>
    <w:qFormat/>
    <w:uiPriority w:val="0"/>
    <w:pPr>
      <w:spacing w:before="100" w:after="0" w:line="400" w:lineRule="exact"/>
    </w:pPr>
    <w:rPr>
      <w:rFonts w:ascii="Times New Roman" w:hAnsi="Times New Roman"/>
      <w:b w:val="0"/>
      <w:bCs w:val="0"/>
      <w:sz w:val="28"/>
      <w:szCs w:val="20"/>
    </w:rPr>
  </w:style>
  <w:style w:type="paragraph" w:customStyle="1" w:styleId="1019">
    <w:name w:val="样式 样式 标题 3 + Calibri 加粗 左侧:  0 厘米 + 黑色 首行缩进:  2 字符"/>
    <w:basedOn w:val="648"/>
    <w:autoRedefine/>
    <w:qFormat/>
    <w:uiPriority w:val="0"/>
    <w:pPr>
      <w:spacing w:beforeLines="100"/>
    </w:pPr>
    <w:rPr>
      <w:color w:val="000000"/>
    </w:rPr>
  </w:style>
  <w:style w:type="paragraph" w:customStyle="1" w:styleId="1020">
    <w:name w:val="修订2"/>
    <w:autoRedefine/>
    <w:hidden/>
    <w:unhideWhenUsed/>
    <w:qFormat/>
    <w:uiPriority w:val="99"/>
    <w:rPr>
      <w:rFonts w:asciiTheme="minorHAnsi" w:hAnsiTheme="minorHAnsi" w:eastAsiaTheme="minorEastAsia" w:cstheme="minorBidi"/>
      <w:kern w:val="2"/>
      <w:sz w:val="21"/>
      <w:szCs w:val="22"/>
      <w:lang w:val="en-US" w:eastAsia="zh-CN" w:bidi="ar-SA"/>
    </w:rPr>
  </w:style>
  <w:style w:type="character" w:customStyle="1" w:styleId="1021">
    <w:name w:val="NormalCharacter"/>
    <w:autoRedefine/>
    <w:semiHidden/>
    <w:qFormat/>
    <w:uiPriority w:val="0"/>
  </w:style>
  <w:style w:type="paragraph" w:customStyle="1" w:styleId="1022">
    <w:name w:val="一级条标题"/>
    <w:basedOn w:val="1023"/>
    <w:next w:val="299"/>
    <w:autoRedefine/>
    <w:unhideWhenUsed/>
    <w:qFormat/>
    <w:uiPriority w:val="0"/>
    <w:pPr>
      <w:spacing w:line="240" w:lineRule="auto"/>
      <w:ind w:left="420"/>
      <w:outlineLvl w:val="2"/>
    </w:pPr>
  </w:style>
  <w:style w:type="paragraph" w:customStyle="1" w:styleId="1023">
    <w:name w:val="章标题"/>
    <w:next w:val="1"/>
    <w:autoRedefine/>
    <w:unhideWhenUsed/>
    <w:qFormat/>
    <w:uiPriority w:val="0"/>
    <w:pPr>
      <w:spacing w:line="360" w:lineRule="auto"/>
      <w:jc w:val="both"/>
      <w:outlineLvl w:val="1"/>
    </w:pPr>
    <w:rPr>
      <w:rFonts w:hint="eastAsia" w:ascii="黑体" w:hAnsi="Times New Roman" w:eastAsia="黑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5C81D9-3968-41CF-8E2C-1846BF41DAC8}">
  <ds:schemaRefs/>
</ds:datastoreItem>
</file>

<file path=docProps/app.xml><?xml version="1.0" encoding="utf-8"?>
<Properties xmlns="http://schemas.openxmlformats.org/officeDocument/2006/extended-properties" xmlns:vt="http://schemas.openxmlformats.org/officeDocument/2006/docPropsVTypes">
  <Template>Normal.dotm</Template>
  <Pages>152</Pages>
  <Words>77693</Words>
  <Characters>85467</Characters>
  <Lines>711</Lines>
  <Paragraphs>200</Paragraphs>
  <TotalTime>3</TotalTime>
  <ScaleCrop>false</ScaleCrop>
  <LinksUpToDate>false</LinksUpToDate>
  <CharactersWithSpaces>91666</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2024-04-19T03:58:00Z</dcterms:created>
  <dc:creator>钱闯</dc:creator>
  <cp:lastModifiedBy>豪圣</cp:lastModifiedBy>
  <dcterms:modified xsi:type="dcterms:W3CDTF">2024-06-28T13:57:03Z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5E1A370F3C104DE8ACFD51B60D0904B5_13</vt:lpwstr>
  </property>
</Properties>
</file>