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039B8B">
      <w:pPr>
        <w:jc w:val="both"/>
        <w:rPr>
          <w:rFonts w:hint="eastAsia" w:ascii="黑体" w:hAnsi="黑体" w:eastAsia="黑体"/>
          <w:color w:val="auto"/>
          <w:spacing w:val="5760"/>
          <w:w w:val="100"/>
          <w:kern w:val="0"/>
          <w:sz w:val="36"/>
          <w:szCs w:val="36"/>
          <w:highlight w:val="none"/>
          <w:fitText w:val="6120" w:id="-1002138880"/>
          <w:lang w:val="en-US" w:eastAsia="zh-CN"/>
        </w:rPr>
      </w:pPr>
    </w:p>
    <w:p w14:paraId="2DD0582A">
      <w:pPr>
        <w:jc w:val="center"/>
        <w:rPr>
          <w:rFonts w:hint="eastAsia"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兵团政府采购项目</w:t>
      </w:r>
    </w:p>
    <w:p w14:paraId="08B3A613">
      <w:pPr>
        <w:jc w:val="center"/>
        <w:rPr>
          <w:rFonts w:hint="eastAsia" w:ascii="宋体" w:hAnsi="宋体" w:eastAsia="宋体" w:cs="宋体"/>
          <w:b/>
          <w:bCs/>
          <w:color w:val="auto"/>
          <w:sz w:val="60"/>
          <w:szCs w:val="60"/>
          <w:highlight w:val="none"/>
        </w:rPr>
      </w:pPr>
      <w:r>
        <w:rPr>
          <w:rFonts w:hint="eastAsia" w:ascii="宋体" w:hAnsi="宋体" w:eastAsia="宋体" w:cs="宋体"/>
          <w:b/>
          <w:bCs/>
          <w:color w:val="auto"/>
          <w:sz w:val="60"/>
          <w:szCs w:val="60"/>
          <w:highlight w:val="none"/>
        </w:rPr>
        <w:t>竞争性磋商文件</w:t>
      </w:r>
    </w:p>
    <w:p w14:paraId="6C8C8A47">
      <w:pPr>
        <w:jc w:val="center"/>
        <w:rPr>
          <w:rFonts w:hint="eastAsia" w:ascii="宋体" w:hAnsi="宋体" w:eastAsia="宋体" w:cs="宋体"/>
          <w:b/>
          <w:bCs/>
          <w:color w:val="auto"/>
          <w:sz w:val="60"/>
          <w:szCs w:val="60"/>
          <w:highlight w:val="none"/>
          <w:lang w:eastAsia="zh-CN"/>
        </w:rPr>
      </w:pPr>
      <w:r>
        <w:rPr>
          <w:rFonts w:hint="eastAsia" w:ascii="宋体" w:hAnsi="宋体" w:eastAsia="宋体" w:cs="宋体"/>
          <w:b/>
          <w:bCs/>
          <w:color w:val="auto"/>
          <w:sz w:val="60"/>
          <w:szCs w:val="60"/>
          <w:highlight w:val="none"/>
          <w:lang w:eastAsia="zh-CN"/>
        </w:rPr>
        <w:t>（</w:t>
      </w:r>
      <w:r>
        <w:rPr>
          <w:rFonts w:hint="eastAsia" w:ascii="宋体" w:hAnsi="宋体" w:eastAsia="宋体" w:cs="宋体"/>
          <w:b/>
          <w:bCs/>
          <w:color w:val="auto"/>
          <w:sz w:val="60"/>
          <w:szCs w:val="60"/>
          <w:highlight w:val="none"/>
          <w:lang w:val="en-US" w:eastAsia="zh-CN"/>
        </w:rPr>
        <w:t>货物</w:t>
      </w:r>
      <w:r>
        <w:rPr>
          <w:rFonts w:hint="eastAsia" w:ascii="宋体" w:hAnsi="宋体" w:eastAsia="宋体" w:cs="宋体"/>
          <w:b/>
          <w:bCs/>
          <w:color w:val="auto"/>
          <w:sz w:val="60"/>
          <w:szCs w:val="60"/>
          <w:highlight w:val="none"/>
          <w:lang w:eastAsia="zh-CN"/>
        </w:rPr>
        <w:t>）</w:t>
      </w:r>
    </w:p>
    <w:p w14:paraId="281ECC9C">
      <w:pPr>
        <w:jc w:val="center"/>
        <w:rPr>
          <w:rFonts w:ascii="黑体" w:hAnsi="黑体" w:eastAsia="黑体"/>
          <w:color w:val="auto"/>
          <w:sz w:val="72"/>
          <w:szCs w:val="72"/>
          <w:highlight w:val="none"/>
        </w:rPr>
      </w:pPr>
    </w:p>
    <w:p w14:paraId="450CD3A6">
      <w:pPr>
        <w:jc w:val="center"/>
        <w:rPr>
          <w:rFonts w:ascii="黑体" w:hAnsi="黑体" w:eastAsia="黑体"/>
          <w:color w:val="auto"/>
          <w:sz w:val="72"/>
          <w:szCs w:val="72"/>
          <w:highlight w:val="none"/>
        </w:rPr>
      </w:pPr>
    </w:p>
    <w:p w14:paraId="3B8266FE">
      <w:pPr>
        <w:ind w:left="420" w:leftChars="175"/>
        <w:rPr>
          <w:rFonts w:hint="eastAsia" w:ascii="宋体" w:hAnsi="宋体" w:eastAsia="宋体" w:cs="宋体"/>
          <w:color w:val="auto"/>
          <w:sz w:val="36"/>
          <w:szCs w:val="36"/>
          <w:highlight w:val="none"/>
          <w:u w:val="single"/>
        </w:rPr>
      </w:pPr>
      <w:r>
        <w:rPr>
          <w:rFonts w:hint="eastAsia" w:ascii="宋体" w:hAnsi="宋体" w:eastAsia="宋体" w:cs="宋体"/>
          <w:color w:val="auto"/>
          <w:sz w:val="36"/>
          <w:szCs w:val="36"/>
          <w:highlight w:val="none"/>
        </w:rPr>
        <w:t>项目编号：</w:t>
      </w:r>
      <w:r>
        <w:rPr>
          <w:rFonts w:hint="eastAsia" w:cs="宋体"/>
          <w:color w:val="auto"/>
          <w:sz w:val="36"/>
          <w:szCs w:val="36"/>
          <w:highlight w:val="none"/>
          <w:u w:val="single"/>
          <w:lang w:val="en-US" w:eastAsia="zh-CN"/>
        </w:rPr>
        <w:t>B15SBJ[2025]15号</w:t>
      </w:r>
      <w:r>
        <w:rPr>
          <w:rFonts w:hint="eastAsia" w:ascii="宋体" w:hAnsi="宋体" w:eastAsia="宋体" w:cs="宋体"/>
          <w:color w:val="auto"/>
          <w:sz w:val="36"/>
          <w:szCs w:val="36"/>
          <w:highlight w:val="none"/>
          <w:u w:val="single"/>
        </w:rPr>
        <w:t xml:space="preserve"> </w:t>
      </w:r>
    </w:p>
    <w:p w14:paraId="4ED656F3">
      <w:pPr>
        <w:ind w:left="2220" w:leftChars="175" w:hanging="1800" w:hangingChars="5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cs="宋体"/>
          <w:color w:val="auto"/>
          <w:sz w:val="36"/>
          <w:szCs w:val="36"/>
          <w:highlight w:val="none"/>
          <w:u w:val="single"/>
          <w:lang w:val="en-US" w:eastAsia="zh-CN"/>
        </w:rPr>
        <w:t>昆仑人民医院2025年办公家具采购项目</w:t>
      </w:r>
    </w:p>
    <w:p w14:paraId="728E52F3">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购</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cs="宋体"/>
          <w:color w:val="auto"/>
          <w:sz w:val="36"/>
          <w:szCs w:val="36"/>
          <w:highlight w:val="none"/>
          <w:u w:val="single"/>
          <w:lang w:val="en-US" w:eastAsia="zh-CN"/>
        </w:rPr>
        <w:t>草湖项目区昆仑人民医院</w:t>
      </w:r>
      <w:r>
        <w:rPr>
          <w:rFonts w:hint="eastAsia" w:ascii="宋体" w:hAnsi="宋体" w:eastAsia="宋体" w:cs="宋体"/>
          <w:color w:val="auto"/>
          <w:sz w:val="36"/>
          <w:szCs w:val="36"/>
          <w:highlight w:val="none"/>
          <w:u w:val="single"/>
        </w:rPr>
        <w:t xml:space="preserve">  </w:t>
      </w:r>
    </w:p>
    <w:p w14:paraId="4B180FDF">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采购代理机构</w:t>
      </w:r>
      <w:r>
        <w:rPr>
          <w:rFonts w:hint="eastAsia" w:cs="宋体"/>
          <w:color w:val="auto"/>
          <w:sz w:val="36"/>
          <w:szCs w:val="36"/>
          <w:highlight w:val="none"/>
          <w:lang w:eastAsia="zh-CN"/>
        </w:rPr>
        <w:t>：</w:t>
      </w:r>
      <w:r>
        <w:rPr>
          <w:rFonts w:hint="eastAsia" w:cs="宋体"/>
          <w:color w:val="auto"/>
          <w:sz w:val="36"/>
          <w:szCs w:val="36"/>
          <w:highlight w:val="none"/>
          <w:u w:val="single"/>
          <w:lang w:val="en-US" w:eastAsia="zh-CN"/>
        </w:rPr>
        <w:t>草湖项目区公共资源交易中心</w:t>
      </w:r>
      <w:r>
        <w:rPr>
          <w:rFonts w:hint="eastAsia" w:ascii="宋体" w:hAnsi="宋体" w:eastAsia="宋体" w:cs="宋体"/>
          <w:color w:val="auto"/>
          <w:sz w:val="36"/>
          <w:szCs w:val="36"/>
          <w:highlight w:val="none"/>
          <w:u w:val="single"/>
        </w:rPr>
        <w:t xml:space="preserve"> </w:t>
      </w:r>
    </w:p>
    <w:p w14:paraId="2C93F193">
      <w:pPr>
        <w:rPr>
          <w:rFonts w:ascii="黑体" w:hAnsi="黑体" w:eastAsia="黑体"/>
          <w:color w:val="auto"/>
          <w:highlight w:val="none"/>
        </w:rPr>
      </w:pPr>
    </w:p>
    <w:p w14:paraId="02F7A154">
      <w:pPr>
        <w:jc w:val="center"/>
        <w:rPr>
          <w:rFonts w:ascii="黑体" w:hAnsi="黑体" w:eastAsia="黑体"/>
          <w:color w:val="auto"/>
          <w:sz w:val="32"/>
          <w:szCs w:val="32"/>
          <w:highlight w:val="none"/>
        </w:rPr>
      </w:pPr>
      <w:r>
        <w:rPr>
          <w:rFonts w:hint="eastAsia" w:ascii="黑体" w:hAnsi="黑体" w:eastAsia="黑体"/>
          <w:color w:val="auto"/>
          <w:sz w:val="32"/>
          <w:szCs w:val="32"/>
          <w:highlight w:val="none"/>
        </w:rPr>
        <w:t xml:space="preserve">   </w:t>
      </w:r>
    </w:p>
    <w:p w14:paraId="27E04485">
      <w:pPr>
        <w:rPr>
          <w:rFonts w:ascii="黑体" w:hAnsi="黑体" w:eastAsia="黑体"/>
          <w:color w:val="auto"/>
          <w:sz w:val="32"/>
          <w:szCs w:val="32"/>
          <w:highlight w:val="none"/>
        </w:rPr>
      </w:pPr>
    </w:p>
    <w:p w14:paraId="07CC1862">
      <w:pPr>
        <w:jc w:val="center"/>
        <w:rPr>
          <w:rFonts w:hint="eastAsia" w:ascii="黑体" w:hAnsi="黑体" w:eastAsia="黑体"/>
          <w:color w:val="auto"/>
          <w:sz w:val="48"/>
          <w:szCs w:val="48"/>
          <w:highlight w:val="none"/>
        </w:rPr>
      </w:pPr>
    </w:p>
    <w:p w14:paraId="418EFBE5">
      <w:pPr>
        <w:jc w:val="center"/>
        <w:rPr>
          <w:rFonts w:hint="eastAsia" w:ascii="黑体" w:hAnsi="黑体" w:eastAsia="黑体"/>
          <w:color w:val="auto"/>
          <w:sz w:val="48"/>
          <w:szCs w:val="48"/>
          <w:highlight w:val="none"/>
        </w:rPr>
      </w:pPr>
    </w:p>
    <w:p w14:paraId="1F37BEF8">
      <w:pPr>
        <w:jc w:val="center"/>
        <w:rPr>
          <w:rFonts w:hint="eastAsia" w:ascii="黑体" w:hAnsi="黑体" w:eastAsia="黑体"/>
          <w:color w:val="auto"/>
          <w:sz w:val="48"/>
          <w:szCs w:val="48"/>
          <w:highlight w:val="none"/>
        </w:rPr>
      </w:pPr>
    </w:p>
    <w:p w14:paraId="4902EC6E">
      <w:pPr>
        <w:jc w:val="center"/>
        <w:rPr>
          <w:rFonts w:hint="eastAsia" w:ascii="黑体" w:hAnsi="黑体" w:eastAsia="黑体"/>
          <w:color w:val="auto"/>
          <w:sz w:val="48"/>
          <w:szCs w:val="48"/>
          <w:highlight w:val="none"/>
        </w:rPr>
      </w:pPr>
    </w:p>
    <w:p w14:paraId="71EA2382">
      <w:pPr>
        <w:jc w:val="center"/>
        <w:rPr>
          <w:rFonts w:hint="eastAsia" w:ascii="黑体" w:hAnsi="黑体" w:eastAsia="黑体"/>
          <w:color w:val="auto"/>
          <w:sz w:val="48"/>
          <w:szCs w:val="48"/>
          <w:highlight w:val="none"/>
        </w:rPr>
      </w:pPr>
    </w:p>
    <w:p w14:paraId="4D90D7D4">
      <w:pPr>
        <w:keepNext w:val="0"/>
        <w:keepLines w:val="0"/>
        <w:pageBreakBefore w:val="0"/>
        <w:widowControl w:val="0"/>
        <w:kinsoku/>
        <w:wordWrap/>
        <w:overflowPunct/>
        <w:topLinePunct w:val="0"/>
        <w:autoSpaceDE/>
        <w:autoSpaceDN/>
        <w:bidi w:val="0"/>
        <w:adjustRightInd/>
        <w:snapToGrid/>
        <w:spacing w:line="440" w:lineRule="exact"/>
        <w:textAlignment w:val="auto"/>
        <w:rPr>
          <w:rFonts w:ascii="黑体" w:hAnsi="黑体" w:eastAsia="黑体"/>
          <w:color w:val="auto"/>
          <w:sz w:val="32"/>
          <w:szCs w:val="32"/>
          <w:highlight w:val="none"/>
        </w:rPr>
      </w:pPr>
    </w:p>
    <w:p w14:paraId="410F7668">
      <w:pPr>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目 </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录</w:t>
      </w:r>
    </w:p>
    <w:p w14:paraId="310FA481">
      <w:pPr>
        <w:jc w:val="center"/>
        <w:rPr>
          <w:rFonts w:hint="eastAsia" w:ascii="宋体" w:hAnsi="宋体" w:eastAsia="宋体" w:cs="宋体"/>
          <w:b/>
          <w:bCs/>
          <w:color w:val="auto"/>
          <w:sz w:val="36"/>
          <w:szCs w:val="36"/>
          <w:highlight w:val="none"/>
        </w:rPr>
      </w:pPr>
    </w:p>
    <w:p w14:paraId="5BA6B05E">
      <w:pPr>
        <w:pStyle w:val="19"/>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TOC \o "1-3" \h \z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_Toc5467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第一章 </w:t>
      </w:r>
      <w:r>
        <w:rPr>
          <w:rFonts w:hint="eastAsia" w:ascii="宋体" w:hAnsi="宋体" w:eastAsia="宋体" w:cs="宋体"/>
          <w:sz w:val="24"/>
          <w:szCs w:val="24"/>
          <w:highlight w:val="none"/>
        </w:rPr>
        <w:t>竞争性磋商</w:t>
      </w:r>
      <w:r>
        <w:rPr>
          <w:rFonts w:hint="eastAsia" w:ascii="宋体" w:hAnsi="宋体" w:eastAsia="宋体" w:cs="宋体"/>
          <w:sz w:val="24"/>
          <w:szCs w:val="24"/>
          <w:highlight w:val="none"/>
          <w:lang w:val="en-US" w:eastAsia="zh-CN"/>
        </w:rPr>
        <w:t>公告</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_Toc5467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- 1 -</w:t>
      </w:r>
      <w:r>
        <w:rPr>
          <w:rFonts w:hint="eastAsia" w:ascii="宋体" w:hAnsi="宋体" w:eastAsia="宋体" w:cs="宋体"/>
          <w:sz w:val="24"/>
          <w:szCs w:val="24"/>
          <w:highlight w:val="none"/>
        </w:rPr>
        <w:fldChar w:fldCharType="end"/>
      </w:r>
      <w:r>
        <w:rPr>
          <w:rFonts w:hint="eastAsia" w:ascii="宋体" w:hAnsi="宋体" w:eastAsia="宋体" w:cs="宋体"/>
          <w:color w:val="auto"/>
          <w:sz w:val="24"/>
          <w:szCs w:val="24"/>
          <w:highlight w:val="none"/>
        </w:rPr>
        <w:fldChar w:fldCharType="end"/>
      </w:r>
    </w:p>
    <w:p w14:paraId="2F1D869D">
      <w:pPr>
        <w:pStyle w:val="19"/>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_Toc31171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第二章 供应商须知</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_Toc31171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 xml:space="preserve">- </w:t>
      </w:r>
      <w:r>
        <w:rPr>
          <w:rFonts w:hint="eastAsia" w:ascii="宋体" w:eastAsia="宋体" w:cs="宋体"/>
          <w:sz w:val="24"/>
          <w:szCs w:val="24"/>
          <w:highlight w:val="none"/>
          <w:lang w:val="en-US" w:eastAsia="zh-CN"/>
        </w:rPr>
        <w:t>4</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rPr>
        <w:fldChar w:fldCharType="end"/>
      </w:r>
      <w:r>
        <w:rPr>
          <w:rFonts w:hint="eastAsia" w:ascii="宋体" w:hAnsi="宋体" w:eastAsia="宋体" w:cs="宋体"/>
          <w:color w:val="auto"/>
          <w:sz w:val="24"/>
          <w:szCs w:val="24"/>
          <w:highlight w:val="none"/>
        </w:rPr>
        <w:fldChar w:fldCharType="end"/>
      </w:r>
    </w:p>
    <w:p w14:paraId="6454A5C9">
      <w:pPr>
        <w:pStyle w:val="19"/>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_Toc494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 项目采购需求</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_Toc494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- 3</w:t>
      </w:r>
      <w:r>
        <w:rPr>
          <w:rFonts w:hint="eastAsia" w:ascii="宋体" w:eastAsia="宋体" w:cs="宋体"/>
          <w:sz w:val="24"/>
          <w:szCs w:val="24"/>
          <w:highlight w:val="none"/>
          <w:lang w:val="en-US" w:eastAsia="zh-CN"/>
        </w:rPr>
        <w:t>7</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rPr>
        <w:fldChar w:fldCharType="end"/>
      </w:r>
      <w:r>
        <w:rPr>
          <w:rFonts w:hint="eastAsia" w:ascii="宋体" w:hAnsi="宋体" w:eastAsia="宋体" w:cs="宋体"/>
          <w:color w:val="auto"/>
          <w:sz w:val="24"/>
          <w:szCs w:val="24"/>
          <w:highlight w:val="none"/>
        </w:rPr>
        <w:fldChar w:fldCharType="end"/>
      </w:r>
    </w:p>
    <w:p w14:paraId="19B74C79">
      <w:pPr>
        <w:pStyle w:val="19"/>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_Toc28045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第四章 评审方法及标准</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_Toc28045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 xml:space="preserve">- </w:t>
      </w:r>
      <w:r>
        <w:rPr>
          <w:rFonts w:hint="eastAsia" w:ascii="宋体" w:eastAsia="宋体" w:cs="宋体"/>
          <w:sz w:val="24"/>
          <w:szCs w:val="24"/>
          <w:highlight w:val="none"/>
          <w:lang w:val="en-US" w:eastAsia="zh-CN"/>
        </w:rPr>
        <w:t>54</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rPr>
        <w:fldChar w:fldCharType="end"/>
      </w:r>
      <w:r>
        <w:rPr>
          <w:rFonts w:hint="eastAsia" w:ascii="宋体" w:hAnsi="宋体" w:eastAsia="宋体" w:cs="宋体"/>
          <w:color w:val="auto"/>
          <w:sz w:val="24"/>
          <w:szCs w:val="24"/>
          <w:highlight w:val="none"/>
        </w:rPr>
        <w:fldChar w:fldCharType="end"/>
      </w:r>
    </w:p>
    <w:p w14:paraId="7B7C9F54">
      <w:pPr>
        <w:pStyle w:val="19"/>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_Toc11717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第五章 </w:t>
      </w:r>
      <w:r>
        <w:rPr>
          <w:rFonts w:hint="eastAsia" w:ascii="宋体" w:hAnsi="宋体" w:eastAsia="宋体" w:cs="宋体"/>
          <w:bCs/>
          <w:kern w:val="44"/>
          <w:sz w:val="24"/>
          <w:szCs w:val="24"/>
          <w:highlight w:val="none"/>
          <w:lang w:val="zh-CN" w:eastAsia="zh-CN" w:bidi="ar-SA"/>
        </w:rPr>
        <w:t>合同草案</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_Toc11717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 xml:space="preserve">- </w:t>
      </w:r>
      <w:r>
        <w:rPr>
          <w:rFonts w:hint="eastAsia" w:ascii="宋体" w:eastAsia="宋体" w:cs="宋体"/>
          <w:sz w:val="24"/>
          <w:szCs w:val="24"/>
          <w:highlight w:val="none"/>
          <w:lang w:val="en-US" w:eastAsia="zh-CN"/>
        </w:rPr>
        <w:t>71</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rPr>
        <w:fldChar w:fldCharType="end"/>
      </w:r>
      <w:r>
        <w:rPr>
          <w:rFonts w:hint="eastAsia" w:ascii="宋体" w:hAnsi="宋体" w:eastAsia="宋体" w:cs="宋体"/>
          <w:color w:val="auto"/>
          <w:sz w:val="24"/>
          <w:szCs w:val="24"/>
          <w:highlight w:val="none"/>
        </w:rPr>
        <w:fldChar w:fldCharType="end"/>
      </w:r>
    </w:p>
    <w:p w14:paraId="5975121C">
      <w:pPr>
        <w:pStyle w:val="19"/>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_Toc3807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第六章 </w:t>
      </w:r>
      <w:r>
        <w:rPr>
          <w:rFonts w:hint="eastAsia" w:ascii="宋体" w:hAnsi="宋体" w:eastAsia="宋体" w:cs="宋体"/>
          <w:sz w:val="24"/>
          <w:szCs w:val="24"/>
          <w:highlight w:val="none"/>
        </w:rPr>
        <w:t>响应文件的格式</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_Toc3807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 xml:space="preserve">- </w:t>
      </w:r>
      <w:r>
        <w:rPr>
          <w:rFonts w:hint="eastAsia" w:ascii="宋体" w:eastAsia="宋体" w:cs="宋体"/>
          <w:sz w:val="24"/>
          <w:szCs w:val="24"/>
          <w:highlight w:val="none"/>
          <w:lang w:val="en-US" w:eastAsia="zh-CN"/>
        </w:rPr>
        <w:t>87</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rPr>
        <w:fldChar w:fldCharType="end"/>
      </w:r>
      <w:r>
        <w:rPr>
          <w:rFonts w:hint="eastAsia" w:ascii="宋体" w:hAnsi="宋体" w:eastAsia="宋体" w:cs="宋体"/>
          <w:color w:val="auto"/>
          <w:sz w:val="24"/>
          <w:szCs w:val="24"/>
          <w:highlight w:val="none"/>
        </w:rPr>
        <w:fldChar w:fldCharType="end"/>
      </w:r>
    </w:p>
    <w:p w14:paraId="78940B49">
      <w:pPr>
        <w:pStyle w:val="23"/>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_Toc15252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lang w:val="en-US" w:eastAsia="zh-CN"/>
        </w:rPr>
        <w:t>响应</w:t>
      </w:r>
      <w:r>
        <w:rPr>
          <w:rFonts w:hint="eastAsia" w:ascii="宋体" w:hAnsi="宋体" w:eastAsia="宋体" w:cs="宋体"/>
          <w:b/>
          <w:bCs/>
          <w:sz w:val="24"/>
          <w:szCs w:val="24"/>
          <w:highlight w:val="none"/>
        </w:rPr>
        <w:t>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_Toc21528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rPr>
        <w:t>资格证明文件</w:t>
      </w:r>
      <w:r>
        <w:rPr>
          <w:rFonts w:hint="eastAsia" w:ascii="宋体" w:hAnsi="宋体" w:eastAsia="宋体" w:cs="宋体"/>
          <w:b/>
          <w:bCs/>
          <w:sz w:val="24"/>
          <w:szCs w:val="24"/>
          <w:highlight w:val="none"/>
        </w:rPr>
        <w:tab/>
      </w:r>
      <w:r>
        <w:rPr>
          <w:rFonts w:hint="eastAsia" w:ascii="宋体" w:hAnsi="宋体" w:eastAsia="宋体" w:cs="宋体"/>
          <w:b/>
          <w:bCs/>
          <w:sz w:val="24"/>
          <w:szCs w:val="24"/>
          <w:highlight w:val="none"/>
        </w:rPr>
        <w:fldChar w:fldCharType="begin"/>
      </w:r>
      <w:r>
        <w:rPr>
          <w:rFonts w:hint="eastAsia" w:ascii="宋体" w:hAnsi="宋体" w:eastAsia="宋体" w:cs="宋体"/>
          <w:b/>
          <w:bCs/>
          <w:sz w:val="24"/>
          <w:szCs w:val="24"/>
          <w:highlight w:val="none"/>
        </w:rPr>
        <w:instrText xml:space="preserve"> PAGEREF _Toc21528 \h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rPr>
        <w:t xml:space="preserve">- </w:t>
      </w:r>
      <w:r>
        <w:rPr>
          <w:rFonts w:hint="eastAsia" w:ascii="宋体" w:eastAsia="宋体" w:cs="宋体"/>
          <w:b/>
          <w:bCs/>
          <w:sz w:val="24"/>
          <w:szCs w:val="24"/>
          <w:highlight w:val="none"/>
          <w:lang w:val="en-US" w:eastAsia="zh-CN"/>
        </w:rPr>
        <w:t>88</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rPr>
        <w:fldChar w:fldCharType="end"/>
      </w:r>
      <w:r>
        <w:rPr>
          <w:rFonts w:hint="eastAsia" w:ascii="宋体" w:hAnsi="宋体" w:eastAsia="宋体" w:cs="宋体"/>
          <w:b/>
          <w:bCs/>
          <w:color w:val="auto"/>
          <w:sz w:val="24"/>
          <w:szCs w:val="24"/>
          <w:highlight w:val="none"/>
        </w:rPr>
        <w:fldChar w:fldCharType="end"/>
      </w:r>
    </w:p>
    <w:p w14:paraId="1A5EF40A">
      <w:pPr>
        <w:pStyle w:val="23"/>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_Toc26612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lang w:val="en-US" w:eastAsia="zh-CN"/>
        </w:rPr>
        <w:t>响应</w:t>
      </w:r>
      <w:r>
        <w:rPr>
          <w:rFonts w:hint="eastAsia" w:ascii="宋体" w:hAnsi="宋体" w:eastAsia="宋体" w:cs="宋体"/>
          <w:b/>
          <w:bCs/>
          <w:sz w:val="24"/>
          <w:szCs w:val="24"/>
          <w:highlight w:val="none"/>
        </w:rPr>
        <w:t>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_Toc31092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lang w:val="en-US" w:eastAsia="zh-CN"/>
        </w:rPr>
        <w:t>报价文件</w:t>
      </w:r>
      <w:r>
        <w:rPr>
          <w:rFonts w:hint="eastAsia" w:ascii="宋体" w:hAnsi="宋体" w:eastAsia="宋体" w:cs="宋体"/>
          <w:b/>
          <w:bCs/>
          <w:sz w:val="24"/>
          <w:szCs w:val="24"/>
          <w:highlight w:val="none"/>
        </w:rPr>
        <w:tab/>
      </w:r>
      <w:r>
        <w:rPr>
          <w:rFonts w:hint="eastAsia" w:ascii="宋体" w:hAnsi="宋体" w:eastAsia="宋体" w:cs="宋体"/>
          <w:b/>
          <w:bCs/>
          <w:sz w:val="24"/>
          <w:szCs w:val="24"/>
          <w:highlight w:val="none"/>
        </w:rPr>
        <w:fldChar w:fldCharType="begin"/>
      </w:r>
      <w:r>
        <w:rPr>
          <w:rFonts w:hint="eastAsia" w:ascii="宋体" w:hAnsi="宋体" w:eastAsia="宋体" w:cs="宋体"/>
          <w:b/>
          <w:bCs/>
          <w:sz w:val="24"/>
          <w:szCs w:val="24"/>
          <w:highlight w:val="none"/>
        </w:rPr>
        <w:instrText xml:space="preserve"> PAGEREF _Toc31092 \h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rPr>
        <w:t xml:space="preserve">- </w:t>
      </w:r>
      <w:r>
        <w:rPr>
          <w:rFonts w:hint="eastAsia" w:ascii="宋体" w:eastAsia="宋体" w:cs="宋体"/>
          <w:b/>
          <w:bCs/>
          <w:sz w:val="24"/>
          <w:szCs w:val="24"/>
          <w:highlight w:val="none"/>
          <w:lang w:val="en-US" w:eastAsia="zh-CN"/>
        </w:rPr>
        <w:t>111</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rPr>
        <w:fldChar w:fldCharType="end"/>
      </w:r>
      <w:r>
        <w:rPr>
          <w:rFonts w:hint="eastAsia" w:ascii="宋体" w:hAnsi="宋体" w:eastAsia="宋体" w:cs="宋体"/>
          <w:b/>
          <w:bCs/>
          <w:color w:val="auto"/>
          <w:sz w:val="24"/>
          <w:szCs w:val="24"/>
          <w:highlight w:val="none"/>
        </w:rPr>
        <w:fldChar w:fldCharType="end"/>
      </w:r>
    </w:p>
    <w:p w14:paraId="7C2854BE">
      <w:pPr>
        <w:pStyle w:val="23"/>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_Toc30541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lang w:val="en-US" w:eastAsia="zh-CN"/>
        </w:rPr>
        <w:t>响应</w:t>
      </w:r>
      <w:r>
        <w:rPr>
          <w:rFonts w:hint="eastAsia" w:ascii="宋体" w:hAnsi="宋体" w:eastAsia="宋体" w:cs="宋体"/>
          <w:b/>
          <w:bCs/>
          <w:sz w:val="24"/>
          <w:szCs w:val="24"/>
          <w:highlight w:val="none"/>
        </w:rPr>
        <w:t>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_Toc22748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lang w:val="en-US" w:eastAsia="zh-CN"/>
        </w:rPr>
        <w:t>商务技术文件</w:t>
      </w:r>
      <w:r>
        <w:rPr>
          <w:rFonts w:hint="eastAsia" w:ascii="宋体" w:hAnsi="宋体" w:eastAsia="宋体" w:cs="宋体"/>
          <w:b/>
          <w:bCs/>
          <w:sz w:val="24"/>
          <w:szCs w:val="24"/>
          <w:highlight w:val="none"/>
        </w:rPr>
        <w:tab/>
      </w:r>
      <w:r>
        <w:rPr>
          <w:rFonts w:hint="eastAsia" w:ascii="宋体" w:hAnsi="宋体" w:eastAsia="宋体" w:cs="宋体"/>
          <w:b/>
          <w:bCs/>
          <w:sz w:val="24"/>
          <w:szCs w:val="24"/>
          <w:highlight w:val="none"/>
        </w:rPr>
        <w:fldChar w:fldCharType="begin"/>
      </w:r>
      <w:r>
        <w:rPr>
          <w:rFonts w:hint="eastAsia" w:ascii="宋体" w:hAnsi="宋体" w:eastAsia="宋体" w:cs="宋体"/>
          <w:b/>
          <w:bCs/>
          <w:sz w:val="24"/>
          <w:szCs w:val="24"/>
          <w:highlight w:val="none"/>
        </w:rPr>
        <w:instrText xml:space="preserve"> PAGEREF _Toc22748 \h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rPr>
        <w:t xml:space="preserve">- </w:t>
      </w:r>
      <w:r>
        <w:rPr>
          <w:rFonts w:hint="eastAsia" w:ascii="宋体" w:eastAsia="宋体" w:cs="宋体"/>
          <w:b/>
          <w:bCs/>
          <w:sz w:val="24"/>
          <w:szCs w:val="24"/>
          <w:highlight w:val="none"/>
          <w:lang w:val="en-US" w:eastAsia="zh-CN"/>
        </w:rPr>
        <w:t>115</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rPr>
        <w:fldChar w:fldCharType="end"/>
      </w:r>
      <w:r>
        <w:rPr>
          <w:rFonts w:hint="eastAsia" w:ascii="宋体" w:hAnsi="宋体" w:eastAsia="宋体" w:cs="宋体"/>
          <w:b/>
          <w:bCs/>
          <w:color w:val="auto"/>
          <w:sz w:val="24"/>
          <w:szCs w:val="24"/>
          <w:highlight w:val="none"/>
        </w:rPr>
        <w:fldChar w:fldCharType="end"/>
      </w:r>
    </w:p>
    <w:p w14:paraId="0A049A4E">
      <w:pPr>
        <w:pStyle w:val="23"/>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highlight w:val="none"/>
        </w:rPr>
      </w:pPr>
    </w:p>
    <w:p w14:paraId="7EEF7B7B">
      <w:pPr>
        <w:jc w:val="center"/>
        <w:rPr>
          <w:rFonts w:ascii="黑体" w:hAnsi="黑体" w:eastAsia="黑体"/>
          <w:color w:val="auto"/>
          <w:sz w:val="32"/>
          <w:szCs w:val="32"/>
          <w:highlight w:val="none"/>
        </w:rPr>
        <w:sectPr>
          <w:headerReference r:id="rId5" w:type="default"/>
          <w:pgSz w:w="11906" w:h="16838"/>
          <w:pgMar w:top="1440" w:right="1800" w:bottom="1440" w:left="1800" w:header="851" w:footer="992" w:gutter="0"/>
          <w:cols w:space="425" w:num="1"/>
          <w:docGrid w:type="lines" w:linePitch="312" w:charSpace="0"/>
        </w:sectPr>
      </w:pPr>
      <w:r>
        <w:rPr>
          <w:rFonts w:hint="eastAsia" w:ascii="宋体" w:hAnsi="宋体" w:eastAsia="宋体" w:cs="宋体"/>
          <w:color w:val="auto"/>
          <w:sz w:val="24"/>
          <w:szCs w:val="24"/>
          <w:highlight w:val="none"/>
        </w:rPr>
        <w:fldChar w:fldCharType="end"/>
      </w:r>
    </w:p>
    <w:p w14:paraId="0DDCC6E5">
      <w:pPr>
        <w:pStyle w:val="2"/>
        <w:keepNext/>
        <w:keepLines/>
        <w:pageBreakBefore w:val="0"/>
        <w:widowControl w:val="0"/>
        <w:numPr>
          <w:ilvl w:val="0"/>
          <w:numId w:val="0"/>
        </w:numPr>
        <w:kinsoku/>
        <w:wordWrap/>
        <w:overflowPunct/>
        <w:topLinePunct w:val="0"/>
        <w:autoSpaceDE/>
        <w:autoSpaceDN/>
        <w:bidi w:val="0"/>
        <w:adjustRightInd/>
        <w:snapToGrid/>
        <w:spacing w:before="100" w:after="90" w:line="360" w:lineRule="auto"/>
        <w:ind w:left="420" w:leftChars="0" w:hanging="420" w:firstLineChars="0"/>
        <w:textAlignment w:val="auto"/>
        <w:rPr>
          <w:color w:val="auto"/>
          <w:highlight w:val="none"/>
        </w:rPr>
      </w:pPr>
      <w:bookmarkStart w:id="0" w:name="_Toc5467"/>
      <w:r>
        <w:rPr>
          <w:rFonts w:hint="eastAsia" w:ascii="宋体" w:hAnsi="宋体" w:eastAsia="宋体" w:cs="宋体"/>
          <w:b/>
          <w:bCs/>
          <w:color w:val="auto"/>
          <w:kern w:val="44"/>
          <w:sz w:val="36"/>
          <w:szCs w:val="36"/>
          <w:highlight w:val="none"/>
          <w:lang w:val="en-US" w:eastAsia="zh-CN" w:bidi="ar-SA"/>
        </w:rPr>
        <w:t xml:space="preserve">第一章 </w:t>
      </w:r>
      <w:r>
        <w:rPr>
          <w:rFonts w:hint="eastAsia" w:ascii="宋体" w:hAnsi="宋体" w:eastAsia="宋体" w:cs="宋体"/>
          <w:color w:val="auto"/>
          <w:sz w:val="36"/>
          <w:szCs w:val="36"/>
          <w:highlight w:val="none"/>
        </w:rPr>
        <w:t>竞争性磋商</w:t>
      </w:r>
      <w:r>
        <w:rPr>
          <w:rFonts w:hint="eastAsia" w:ascii="宋体" w:hAnsi="宋体" w:eastAsia="宋体" w:cs="宋体"/>
          <w:color w:val="auto"/>
          <w:sz w:val="36"/>
          <w:szCs w:val="36"/>
          <w:highlight w:val="none"/>
          <w:lang w:val="en-US" w:eastAsia="zh-CN"/>
        </w:rPr>
        <w:t>公告</w:t>
      </w:r>
      <w:bookmarkEnd w:id="0"/>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4756E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66770E71">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olor w:val="auto"/>
                <w:sz w:val="24"/>
                <w:szCs w:val="24"/>
                <w:highlight w:val="none"/>
                <w:lang w:val="en-US" w:eastAsia="zh-CN"/>
              </w:rPr>
            </w:pPr>
            <w:bookmarkStart w:id="1" w:name="_Toc1661"/>
            <w:bookmarkStart w:id="2" w:name="_Toc1785"/>
            <w:bookmarkStart w:id="3" w:name="_Toc109899829"/>
            <w:bookmarkStart w:id="4" w:name="_Toc109900248"/>
            <w:bookmarkStart w:id="5" w:name="_Toc35393798"/>
            <w:bookmarkStart w:id="6" w:name="_Toc140132745"/>
            <w:bookmarkStart w:id="7" w:name="_Toc35393629"/>
            <w:bookmarkStart w:id="8" w:name="_Toc155185860"/>
            <w:bookmarkStart w:id="9" w:name="_Toc163492812"/>
            <w:bookmarkStart w:id="10" w:name="_Toc28359012"/>
            <w:bookmarkStart w:id="11" w:name="_Toc44583628"/>
            <w:bookmarkStart w:id="12" w:name="_Toc109899410"/>
            <w:bookmarkStart w:id="13" w:name="_Toc28359089"/>
            <w:r>
              <w:rPr>
                <w:rFonts w:hint="eastAsia"/>
                <w:color w:val="auto"/>
                <w:sz w:val="24"/>
                <w:szCs w:val="24"/>
                <w:highlight w:val="none"/>
                <w:lang w:val="en-US" w:eastAsia="zh-CN"/>
              </w:rPr>
              <w:t>项目概况：</w:t>
            </w:r>
            <w:bookmarkEnd w:id="1"/>
            <w:bookmarkEnd w:id="2"/>
          </w:p>
          <w:p w14:paraId="6E3F83A4">
            <w:pPr>
              <w:ind w:firstLine="480" w:firstLineChars="200"/>
              <w:rPr>
                <w:rFonts w:hint="default"/>
                <w:color w:val="auto"/>
                <w:highlight w:val="none"/>
                <w:lang w:val="en-US" w:eastAsia="zh-CN"/>
              </w:rPr>
            </w:pPr>
            <w:r>
              <w:rPr>
                <w:rFonts w:hint="eastAsia" w:ascii="宋体" w:hAnsi="宋体" w:eastAsia="宋体" w:cstheme="minorBidi"/>
                <w:i w:val="0"/>
                <w:iCs w:val="0"/>
                <w:color w:val="auto"/>
                <w:kern w:val="2"/>
                <w:sz w:val="24"/>
                <w:szCs w:val="22"/>
                <w:highlight w:val="none"/>
                <w:u w:val="none"/>
                <w:lang w:val="hr-HR" w:eastAsia="zh-CN" w:bidi="ar-SA"/>
              </w:rPr>
              <w:t xml:space="preserve"> </w:t>
            </w:r>
            <w:r>
              <w:rPr>
                <w:rFonts w:hint="eastAsia" w:ascii="宋体" w:hAnsi="宋体" w:eastAsia="宋体" w:cstheme="minorBidi"/>
                <w:i w:val="0"/>
                <w:iCs w:val="0"/>
                <w:color w:val="auto"/>
                <w:kern w:val="2"/>
                <w:sz w:val="24"/>
                <w:szCs w:val="22"/>
                <w:highlight w:val="none"/>
                <w:u w:val="single"/>
                <w:lang w:val="en-US" w:eastAsia="zh-CN" w:bidi="ar-SA"/>
              </w:rPr>
              <w:t>昆仑人民医院</w:t>
            </w:r>
            <w:r>
              <w:rPr>
                <w:rFonts w:hint="eastAsia" w:cstheme="minorBidi"/>
                <w:i w:val="0"/>
                <w:iCs w:val="0"/>
                <w:color w:val="auto"/>
                <w:kern w:val="2"/>
                <w:sz w:val="24"/>
                <w:szCs w:val="22"/>
                <w:highlight w:val="none"/>
                <w:u w:val="single"/>
                <w:lang w:val="en-US" w:eastAsia="zh-CN" w:bidi="ar-SA"/>
              </w:rPr>
              <w:t>2025年</w:t>
            </w:r>
            <w:r>
              <w:rPr>
                <w:rFonts w:hint="eastAsia" w:ascii="宋体" w:hAnsi="宋体" w:eastAsia="宋体" w:cstheme="minorBidi"/>
                <w:i w:val="0"/>
                <w:iCs w:val="0"/>
                <w:color w:val="auto"/>
                <w:kern w:val="2"/>
                <w:sz w:val="24"/>
                <w:szCs w:val="22"/>
                <w:highlight w:val="none"/>
                <w:u w:val="single"/>
                <w:lang w:val="en-US" w:eastAsia="zh-CN" w:bidi="ar-SA"/>
              </w:rPr>
              <w:t>办公家具</w:t>
            </w:r>
            <w:r>
              <w:rPr>
                <w:rFonts w:hint="default" w:ascii="宋体" w:hAnsi="宋体" w:eastAsia="宋体" w:cstheme="minorBidi"/>
                <w:i w:val="0"/>
                <w:iCs w:val="0"/>
                <w:color w:val="auto"/>
                <w:kern w:val="2"/>
                <w:sz w:val="24"/>
                <w:szCs w:val="22"/>
                <w:highlight w:val="none"/>
                <w:u w:val="single"/>
                <w:lang w:val="en-US" w:eastAsia="zh-CN" w:bidi="ar-SA"/>
              </w:rPr>
              <w:t>采购项目</w:t>
            </w:r>
            <w:r>
              <w:rPr>
                <w:rFonts w:hint="default" w:ascii="宋体" w:hAnsi="宋体" w:eastAsia="宋体" w:cstheme="minorBidi"/>
                <w:i w:val="0"/>
                <w:iCs w:val="0"/>
                <w:color w:val="auto"/>
                <w:kern w:val="2"/>
                <w:sz w:val="24"/>
                <w:szCs w:val="22"/>
                <w:highlight w:val="none"/>
                <w:u w:val="none"/>
                <w:lang w:val="en-US" w:eastAsia="zh-CN" w:bidi="ar-SA"/>
              </w:rPr>
              <w:t>的潜在供应商应在</w:t>
            </w:r>
            <w:r>
              <w:rPr>
                <w:rFonts w:hint="eastAsia" w:ascii="宋体" w:hAnsi="宋体" w:eastAsia="宋体" w:cs="宋体"/>
                <w:color w:val="auto"/>
                <w:sz w:val="24"/>
                <w:szCs w:val="24"/>
                <w:highlight w:val="none"/>
                <w:u w:val="single"/>
                <w:lang w:val="en-US"/>
              </w:rPr>
              <w:t>登录政采云平台</w:t>
            </w:r>
            <w:r>
              <w:rPr>
                <w:rFonts w:hint="eastAsia" w:ascii="宋体" w:hAnsi="宋体" w:eastAsia="宋体" w:cs="宋体"/>
                <w:color w:val="auto"/>
                <w:sz w:val="24"/>
                <w:szCs w:val="24"/>
                <w:highlight w:val="none"/>
                <w:u w:val="single"/>
                <w:lang w:val="hr-HR"/>
              </w:rPr>
              <w:t>（https://www.zcygov.cn/）</w:t>
            </w:r>
            <w:r>
              <w:rPr>
                <w:rFonts w:hint="default" w:ascii="宋体" w:hAnsi="宋体" w:eastAsia="宋体" w:cstheme="minorBidi"/>
                <w:i w:val="0"/>
                <w:iCs w:val="0"/>
                <w:color w:val="auto"/>
                <w:kern w:val="2"/>
                <w:sz w:val="24"/>
                <w:szCs w:val="22"/>
                <w:highlight w:val="none"/>
                <w:u w:val="none"/>
                <w:lang w:val="en-US" w:eastAsia="zh-CN" w:bidi="ar-SA"/>
              </w:rPr>
              <w:t>获取采购文件，并于</w:t>
            </w:r>
            <w:r>
              <w:rPr>
                <w:rFonts w:hint="eastAsia" w:cstheme="minorBidi"/>
                <w:i w:val="0"/>
                <w:iCs w:val="0"/>
                <w:color w:val="auto"/>
                <w:kern w:val="2"/>
                <w:sz w:val="24"/>
                <w:szCs w:val="22"/>
                <w:highlight w:val="none"/>
                <w:u w:val="none"/>
                <w:lang w:val="en-US" w:eastAsia="zh-CN" w:bidi="ar-SA"/>
              </w:rPr>
              <w:t>2025</w:t>
            </w:r>
            <w:r>
              <w:rPr>
                <w:rFonts w:hint="default" w:ascii="宋体" w:hAnsi="宋体" w:eastAsia="宋体" w:cstheme="minorBidi"/>
                <w:i w:val="0"/>
                <w:iCs w:val="0"/>
                <w:color w:val="auto"/>
                <w:kern w:val="2"/>
                <w:sz w:val="24"/>
                <w:szCs w:val="22"/>
                <w:highlight w:val="none"/>
                <w:u w:val="none"/>
                <w:lang w:val="en-US" w:eastAsia="zh-CN" w:bidi="ar-SA"/>
              </w:rPr>
              <w:t>年</w:t>
            </w:r>
            <w:r>
              <w:rPr>
                <w:rFonts w:hint="eastAsia" w:cstheme="minorBidi"/>
                <w:i w:val="0"/>
                <w:iCs w:val="0"/>
                <w:color w:val="auto"/>
                <w:kern w:val="2"/>
                <w:sz w:val="24"/>
                <w:szCs w:val="22"/>
                <w:highlight w:val="none"/>
                <w:u w:val="none"/>
                <w:lang w:val="en-US" w:eastAsia="zh-CN" w:bidi="ar-SA"/>
              </w:rPr>
              <w:t>4</w:t>
            </w:r>
            <w:r>
              <w:rPr>
                <w:rFonts w:hint="default" w:ascii="宋体" w:hAnsi="宋体" w:eastAsia="宋体" w:cstheme="minorBidi"/>
                <w:i w:val="0"/>
                <w:iCs w:val="0"/>
                <w:color w:val="auto"/>
                <w:kern w:val="2"/>
                <w:sz w:val="24"/>
                <w:szCs w:val="22"/>
                <w:highlight w:val="none"/>
                <w:u w:val="none"/>
                <w:lang w:val="en-US" w:eastAsia="zh-CN" w:bidi="ar-SA"/>
              </w:rPr>
              <w:t>月</w:t>
            </w:r>
            <w:r>
              <w:rPr>
                <w:rFonts w:hint="eastAsia" w:cstheme="minorBidi"/>
                <w:i w:val="0"/>
                <w:iCs w:val="0"/>
                <w:color w:val="auto"/>
                <w:kern w:val="2"/>
                <w:sz w:val="24"/>
                <w:szCs w:val="22"/>
                <w:highlight w:val="none"/>
                <w:u w:val="none"/>
                <w:lang w:val="en-US" w:eastAsia="zh-CN" w:bidi="ar-SA"/>
              </w:rPr>
              <w:t>18</w:t>
            </w:r>
            <w:r>
              <w:rPr>
                <w:rFonts w:hint="default" w:ascii="宋体" w:hAnsi="宋体" w:eastAsia="宋体" w:cstheme="minorBidi"/>
                <w:i w:val="0"/>
                <w:iCs w:val="0"/>
                <w:color w:val="auto"/>
                <w:kern w:val="2"/>
                <w:sz w:val="24"/>
                <w:szCs w:val="22"/>
                <w:highlight w:val="none"/>
                <w:u w:val="none"/>
                <w:lang w:val="en-US" w:eastAsia="zh-CN" w:bidi="ar-SA"/>
              </w:rPr>
              <w:t>日</w:t>
            </w:r>
            <w:r>
              <w:rPr>
                <w:rFonts w:hint="eastAsia" w:cstheme="minorBidi"/>
                <w:i w:val="0"/>
                <w:iCs w:val="0"/>
                <w:color w:val="auto"/>
                <w:kern w:val="2"/>
                <w:sz w:val="24"/>
                <w:szCs w:val="22"/>
                <w:highlight w:val="none"/>
                <w:u w:val="none"/>
                <w:lang w:val="en-US" w:eastAsia="zh-CN" w:bidi="ar-SA"/>
              </w:rPr>
              <w:t>11</w:t>
            </w:r>
            <w:r>
              <w:rPr>
                <w:rFonts w:hint="eastAsia" w:ascii="宋体" w:hAnsi="宋体" w:eastAsia="宋体" w:cstheme="minorBidi"/>
                <w:i w:val="0"/>
                <w:iCs w:val="0"/>
                <w:color w:val="auto"/>
                <w:kern w:val="2"/>
                <w:sz w:val="24"/>
                <w:szCs w:val="22"/>
                <w:highlight w:val="none"/>
                <w:u w:val="none"/>
                <w:lang w:val="en-US" w:eastAsia="zh-CN" w:bidi="ar-SA"/>
              </w:rPr>
              <w:t>时</w:t>
            </w:r>
            <w:r>
              <w:rPr>
                <w:rFonts w:hint="eastAsia" w:cstheme="minorBidi"/>
                <w:i w:val="0"/>
                <w:iCs w:val="0"/>
                <w:color w:val="auto"/>
                <w:kern w:val="2"/>
                <w:sz w:val="24"/>
                <w:szCs w:val="22"/>
                <w:highlight w:val="none"/>
                <w:u w:val="none"/>
                <w:lang w:val="en-US" w:eastAsia="zh-CN" w:bidi="ar-SA"/>
              </w:rPr>
              <w:t>00</w:t>
            </w:r>
            <w:r>
              <w:rPr>
                <w:rFonts w:hint="default" w:ascii="宋体" w:hAnsi="宋体" w:eastAsia="宋体" w:cstheme="minorBidi"/>
                <w:i w:val="0"/>
                <w:iCs w:val="0"/>
                <w:color w:val="auto"/>
                <w:kern w:val="2"/>
                <w:sz w:val="24"/>
                <w:szCs w:val="22"/>
                <w:highlight w:val="none"/>
                <w:u w:val="none"/>
                <w:lang w:val="en-US" w:eastAsia="zh-CN" w:bidi="ar-SA"/>
              </w:rPr>
              <w:t>分（北京时间）前提交响应文件。</w:t>
            </w:r>
          </w:p>
        </w:tc>
      </w:tr>
    </w:tbl>
    <w:p w14:paraId="4072DEF0">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color w:val="auto"/>
          <w:sz w:val="24"/>
          <w:szCs w:val="24"/>
          <w:highlight w:val="none"/>
          <w:lang w:val="hr-HR"/>
        </w:rPr>
      </w:pPr>
      <w:bookmarkStart w:id="14" w:name="_Toc21835"/>
      <w:r>
        <w:rPr>
          <w:rFonts w:hint="eastAsia" w:ascii="宋体" w:hAnsi="宋体" w:eastAsia="宋体" w:cs="宋体"/>
          <w:b/>
          <w:bCs/>
          <w:color w:val="auto"/>
          <w:kern w:val="2"/>
          <w:sz w:val="24"/>
          <w:szCs w:val="24"/>
          <w:highlight w:val="none"/>
          <w:lang w:val="hr-HR" w:eastAsia="zh-CN" w:bidi="ar-SA"/>
        </w:rPr>
        <w:t>一、</w:t>
      </w:r>
      <w:r>
        <w:rPr>
          <w:rFonts w:hint="eastAsia" w:ascii="宋体" w:hAnsi="宋体" w:eastAsia="宋体" w:cs="宋体"/>
          <w:color w:val="auto"/>
          <w:sz w:val="24"/>
          <w:szCs w:val="24"/>
          <w:highlight w:val="none"/>
          <w:lang w:val="hr-HR"/>
        </w:rPr>
        <w:t>项目基本情况</w:t>
      </w:r>
      <w:bookmarkEnd w:id="3"/>
      <w:bookmarkEnd w:id="4"/>
      <w:bookmarkEnd w:id="5"/>
      <w:bookmarkEnd w:id="6"/>
      <w:bookmarkEnd w:id="7"/>
      <w:bookmarkEnd w:id="8"/>
      <w:bookmarkEnd w:id="9"/>
      <w:bookmarkEnd w:id="10"/>
      <w:bookmarkEnd w:id="11"/>
      <w:bookmarkEnd w:id="12"/>
      <w:bookmarkEnd w:id="13"/>
      <w:bookmarkEnd w:id="14"/>
    </w:p>
    <w:p w14:paraId="777F6489">
      <w:pPr>
        <w:pStyle w:val="33"/>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hr-HR"/>
        </w:rPr>
        <w:t>1.项目编号</w:t>
      </w:r>
      <w:r>
        <w:rPr>
          <w:rFonts w:hint="eastAsia" w:ascii="宋体" w:hAnsi="宋体" w:eastAsia="宋体" w:cs="宋体"/>
          <w:color w:val="auto"/>
          <w:sz w:val="24"/>
          <w:szCs w:val="24"/>
          <w:highlight w:val="none"/>
          <w:lang w:val="hr-HR" w:eastAsia="zh-CN"/>
        </w:rPr>
        <w:t>/包号</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u w:val="single"/>
          <w:lang w:val="en-US" w:eastAsia="zh-CN"/>
        </w:rPr>
        <w:t>B15SBJ[2025]15号</w:t>
      </w:r>
    </w:p>
    <w:p w14:paraId="70A2BB89">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hr-HR"/>
        </w:rPr>
        <w:t>.项目名称：</w:t>
      </w:r>
      <w:r>
        <w:rPr>
          <w:rFonts w:hint="eastAsia" w:ascii="宋体" w:hAnsi="宋体" w:eastAsia="宋体" w:cs="宋体"/>
          <w:color w:val="auto"/>
          <w:sz w:val="24"/>
          <w:szCs w:val="24"/>
          <w:highlight w:val="none"/>
          <w:u w:val="single"/>
          <w:lang w:val="en-US" w:eastAsia="zh-CN"/>
        </w:rPr>
        <w:t>昆仑人民医院</w:t>
      </w:r>
      <w:r>
        <w:rPr>
          <w:rFonts w:hint="eastAsia" w:cs="宋体"/>
          <w:color w:val="auto"/>
          <w:sz w:val="24"/>
          <w:szCs w:val="24"/>
          <w:highlight w:val="none"/>
          <w:u w:val="single"/>
          <w:lang w:val="en-US" w:eastAsia="zh-CN"/>
        </w:rPr>
        <w:t>2025年</w:t>
      </w:r>
      <w:r>
        <w:rPr>
          <w:rFonts w:hint="eastAsia" w:ascii="宋体" w:hAnsi="宋体" w:eastAsia="宋体" w:cs="宋体"/>
          <w:color w:val="auto"/>
          <w:sz w:val="24"/>
          <w:szCs w:val="24"/>
          <w:highlight w:val="none"/>
          <w:u w:val="single"/>
          <w:lang w:val="en-US" w:eastAsia="zh-CN"/>
        </w:rPr>
        <w:t>办公家具采购项目</w:t>
      </w:r>
    </w:p>
    <w:p w14:paraId="3CE35A7E">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hr-HR"/>
        </w:rPr>
        <w:t>.采购方式：</w:t>
      </w:r>
      <w:r>
        <w:rPr>
          <w:rFonts w:hint="eastAsia" w:ascii="宋体" w:hAnsi="宋体" w:eastAsia="宋体" w:cs="宋体"/>
          <w:color w:val="auto"/>
          <w:sz w:val="24"/>
          <w:szCs w:val="24"/>
          <w:highlight w:val="none"/>
          <w:u w:val="single"/>
          <w:lang w:val="en-US" w:eastAsia="zh-CN"/>
        </w:rPr>
        <w:t>竞争性磋商</w:t>
      </w:r>
    </w:p>
    <w:p w14:paraId="78A90596">
      <w:pPr>
        <w:pStyle w:val="33"/>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hr-HR"/>
        </w:rPr>
        <w:t>.预算金额：</w:t>
      </w:r>
      <w:r>
        <w:rPr>
          <w:rFonts w:hint="eastAsia" w:cs="宋体"/>
          <w:color w:val="auto"/>
          <w:sz w:val="24"/>
          <w:szCs w:val="24"/>
          <w:highlight w:val="none"/>
          <w:u w:val="single"/>
          <w:lang w:val="en-US" w:eastAsia="zh-CN"/>
        </w:rPr>
        <w:t>53.95万元</w:t>
      </w:r>
    </w:p>
    <w:p w14:paraId="2192F269">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u w:val="single"/>
          <w:lang w:val="en-US" w:eastAsia="zh-CN"/>
        </w:rPr>
        <w:t>53</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95</w:t>
      </w:r>
      <w:r>
        <w:rPr>
          <w:rFonts w:hint="eastAsia" w:cs="宋体"/>
          <w:color w:val="auto"/>
          <w:sz w:val="24"/>
          <w:szCs w:val="24"/>
          <w:highlight w:val="none"/>
          <w:u w:val="single"/>
          <w:lang w:val="en-US" w:eastAsia="zh-CN"/>
        </w:rPr>
        <w:t>万</w:t>
      </w:r>
      <w:r>
        <w:rPr>
          <w:rFonts w:hint="eastAsia" w:ascii="宋体" w:hAnsi="宋体" w:eastAsia="宋体" w:cs="宋体"/>
          <w:color w:val="auto"/>
          <w:sz w:val="24"/>
          <w:szCs w:val="24"/>
          <w:highlight w:val="none"/>
          <w:u w:val="single"/>
          <w:lang w:val="en-US" w:eastAsia="zh-CN"/>
        </w:rPr>
        <w:t>元</w:t>
      </w:r>
    </w:p>
    <w:p w14:paraId="1F977D6E">
      <w:pPr>
        <w:pStyle w:val="33"/>
        <w:rPr>
          <w:rFonts w:hint="eastAsia" w:ascii="宋体" w:hAnsi="宋体" w:eastAsia="宋体" w:cs="宋体"/>
          <w:color w:val="auto"/>
          <w:sz w:val="24"/>
          <w:szCs w:val="24"/>
          <w:highlight w:val="none"/>
          <w:lang w:val="hr-HR"/>
        </w:rPr>
      </w:pPr>
    </w:p>
    <w:p w14:paraId="601A9C8F">
      <w:pPr>
        <w:pStyle w:val="33"/>
        <w:rPr>
          <w:rFonts w:hint="eastAsia" w:ascii="宋体" w:hAnsi="宋体" w:eastAsia="宋体" w:cs="宋体"/>
          <w:color w:val="auto"/>
          <w:sz w:val="24"/>
          <w:szCs w:val="24"/>
          <w:highlight w:val="none"/>
          <w:u w:val="single"/>
          <w:lang w:val="hr-HR"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hr-HR"/>
        </w:rPr>
        <w:t>.采购需求：</w:t>
      </w:r>
      <w:r>
        <w:rPr>
          <w:rFonts w:hint="eastAsia" w:ascii="宋体" w:hAnsi="宋体" w:eastAsia="宋体" w:cs="宋体"/>
          <w:color w:val="auto"/>
          <w:sz w:val="24"/>
          <w:szCs w:val="24"/>
          <w:highlight w:val="none"/>
          <w:u w:val="single"/>
          <w:lang w:val="en-US" w:eastAsia="zh-CN"/>
        </w:rPr>
        <w:t>昆仑人民医院办公家具采购项目，具体详见采购文件“第三章  采购需求”。</w:t>
      </w:r>
    </w:p>
    <w:p w14:paraId="56FBF6DA">
      <w:pPr>
        <w:pStyle w:val="33"/>
        <w:keepNext w:val="0"/>
        <w:keepLines w:val="0"/>
        <w:pageBreakBefore w:val="0"/>
        <w:widowControl w:val="0"/>
        <w:kinsoku/>
        <w:wordWrap w:val="0"/>
        <w:overflowPunct/>
        <w:topLinePunct w:val="0"/>
        <w:autoSpaceDE/>
        <w:autoSpaceDN/>
        <w:bidi w:val="0"/>
        <w:adjustRightInd/>
        <w:snapToGrid/>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.合同履行期限：</w:t>
      </w:r>
      <w:r>
        <w:rPr>
          <w:rFonts w:hint="eastAsia" w:ascii="仿宋_GB2312" w:hAnsi="仿宋_GB2312" w:eastAsia="仿宋_GB2312" w:cs="仿宋_GB2312"/>
          <w:sz w:val="28"/>
          <w:szCs w:val="28"/>
          <w:highlight w:val="none"/>
          <w:lang w:val="en-US" w:eastAsia="zh-CN"/>
        </w:rPr>
        <w:t>合同签订后30天内交货</w:t>
      </w:r>
    </w:p>
    <w:p w14:paraId="4B098642">
      <w:pPr>
        <w:pStyle w:val="33"/>
        <w:rPr>
          <w:rFonts w:hint="eastAsia" w:ascii="宋体" w:hAnsi="宋体" w:eastAsia="宋体" w:cs="宋体"/>
          <w:color w:val="auto"/>
          <w:sz w:val="24"/>
          <w:szCs w:val="24"/>
          <w:highlight w:val="none"/>
          <w:lang w:val="en-US" w:eastAsia="zh-CN"/>
        </w:rPr>
      </w:pPr>
      <w:bookmarkStart w:id="15" w:name="_Toc44583629"/>
      <w:bookmarkStart w:id="16" w:name="_Toc35393630"/>
      <w:bookmarkStart w:id="17" w:name="_Toc28359090"/>
      <w:bookmarkStart w:id="18" w:name="_Toc35393799"/>
      <w:bookmarkStart w:id="19" w:name="_Toc28359013"/>
      <w:r>
        <w:rPr>
          <w:rFonts w:hint="eastAsia" w:ascii="宋体" w:hAnsi="宋体" w:eastAsia="宋体" w:cs="宋体"/>
          <w:color w:val="auto"/>
          <w:sz w:val="24"/>
          <w:szCs w:val="24"/>
          <w:highlight w:val="none"/>
          <w:lang w:val="en-US" w:eastAsia="zh-CN"/>
        </w:rPr>
        <w:t>8.</w:t>
      </w:r>
      <w:bookmarkStart w:id="20" w:name="_Hlk162011358"/>
      <w:r>
        <w:rPr>
          <w:rFonts w:hint="eastAsia" w:ascii="宋体" w:hAnsi="宋体" w:eastAsia="宋体" w:cs="宋体"/>
          <w:color w:val="auto"/>
          <w:sz w:val="24"/>
          <w:szCs w:val="24"/>
          <w:highlight w:val="none"/>
          <w:lang w:val="en-US" w:eastAsia="zh-CN"/>
        </w:rPr>
        <w:t>本项目是否接受联合体：□是</w:t>
      </w:r>
      <w:bookmarkEnd w:id="20"/>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否</w:t>
      </w:r>
    </w:p>
    <w:p w14:paraId="1EEB1622">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21" w:name="_Toc140132746"/>
      <w:bookmarkStart w:id="22" w:name="_Toc155185861"/>
      <w:bookmarkStart w:id="23" w:name="_Toc109899411"/>
      <w:bookmarkStart w:id="24" w:name="_Toc163492813"/>
      <w:bookmarkStart w:id="25" w:name="_Toc30448"/>
      <w:bookmarkStart w:id="26" w:name="_Toc109900249"/>
      <w:bookmarkStart w:id="27" w:name="_Toc109899830"/>
      <w:r>
        <w:rPr>
          <w:rFonts w:hint="eastAsia" w:ascii="宋体" w:hAnsi="宋体" w:eastAsia="宋体" w:cs="宋体"/>
          <w:b/>
          <w:bCs/>
          <w:color w:val="auto"/>
          <w:kern w:val="2"/>
          <w:sz w:val="24"/>
          <w:szCs w:val="24"/>
          <w:highlight w:val="none"/>
          <w:lang w:val="en-US" w:eastAsia="zh-CN" w:bidi="ar-SA"/>
        </w:rPr>
        <w:t>二、申请人的</w:t>
      </w:r>
      <w:r>
        <w:rPr>
          <w:rFonts w:hint="eastAsia" w:ascii="宋体" w:hAnsi="宋体" w:eastAsia="宋体" w:cs="宋体"/>
          <w:b/>
          <w:bCs/>
          <w:color w:val="auto"/>
          <w:kern w:val="2"/>
          <w:sz w:val="24"/>
          <w:szCs w:val="24"/>
          <w:highlight w:val="none"/>
          <w:lang w:val="hr-HR" w:eastAsia="zh-CN" w:bidi="ar-SA"/>
        </w:rPr>
        <w:t>资格要求</w:t>
      </w:r>
      <w:bookmarkEnd w:id="15"/>
      <w:bookmarkEnd w:id="16"/>
      <w:bookmarkEnd w:id="17"/>
      <w:bookmarkEnd w:id="18"/>
      <w:bookmarkEnd w:id="19"/>
      <w:bookmarkEnd w:id="21"/>
      <w:bookmarkEnd w:id="22"/>
      <w:bookmarkEnd w:id="23"/>
      <w:bookmarkEnd w:id="24"/>
      <w:bookmarkEnd w:id="25"/>
      <w:bookmarkEnd w:id="26"/>
      <w:bookmarkEnd w:id="27"/>
    </w:p>
    <w:p w14:paraId="5384018C">
      <w:pPr>
        <w:ind w:firstLine="480" w:firstLineChars="200"/>
        <w:rPr>
          <w:rFonts w:hint="eastAsia" w:ascii="宋体" w:hAnsi="宋体" w:eastAsia="宋体" w:cs="宋体"/>
          <w:color w:val="auto"/>
          <w:sz w:val="24"/>
          <w:szCs w:val="24"/>
          <w:highlight w:val="none"/>
          <w:lang w:val="en-US" w:eastAsia="zh-CN"/>
        </w:rPr>
      </w:pPr>
      <w:bookmarkStart w:id="28" w:name="_Toc44583630"/>
      <w:bookmarkStart w:id="29" w:name="_Toc35393800"/>
      <w:bookmarkStart w:id="30" w:name="_Toc28359014"/>
      <w:bookmarkStart w:id="31" w:name="_Toc28359091"/>
      <w:bookmarkStart w:id="32" w:name="_Toc35393631"/>
      <w:r>
        <w:rPr>
          <w:rFonts w:hint="eastAsia" w:ascii="宋体" w:hAnsi="宋体" w:eastAsia="宋体" w:cs="宋体"/>
          <w:color w:val="auto"/>
          <w:sz w:val="24"/>
          <w:szCs w:val="24"/>
          <w:highlight w:val="none"/>
          <w:lang w:val="en-US" w:eastAsia="zh-CN"/>
        </w:rPr>
        <w:t>1. 满足《中华人民共和国政府采购法》第二十二条规定；</w:t>
      </w:r>
    </w:p>
    <w:p w14:paraId="7C7506D1">
      <w:pPr>
        <w:ind w:firstLine="480" w:firstLineChars="200"/>
        <w:rPr>
          <w:rFonts w:hint="eastAsia" w:cs="宋体"/>
          <w:color w:val="auto"/>
          <w:sz w:val="24"/>
          <w:szCs w:val="24"/>
          <w:highlight w:val="none"/>
          <w:lang w:val="en-US" w:eastAsia="zh-CN"/>
        </w:rPr>
      </w:pPr>
      <w:r>
        <w:rPr>
          <w:rFonts w:hint="eastAsia" w:cs="宋体"/>
          <w:color w:val="auto"/>
          <w:sz w:val="24"/>
          <w:szCs w:val="24"/>
          <w:highlight w:val="none"/>
          <w:lang w:val="en-US" w:eastAsia="zh-CN"/>
        </w:rPr>
        <w:t>（1）供应商需在投标文件中提供完整、准确、真实的兵团政府采购供应商承诺函。</w:t>
      </w:r>
    </w:p>
    <w:p w14:paraId="387E3359">
      <w:pPr>
        <w:ind w:firstLine="480" w:firstLineChars="200"/>
        <w:rPr>
          <w:rFonts w:hint="default" w:cs="宋体"/>
          <w:color w:val="auto"/>
          <w:sz w:val="24"/>
          <w:szCs w:val="24"/>
          <w:highlight w:val="none"/>
          <w:lang w:val="en-US" w:eastAsia="zh-CN"/>
        </w:rPr>
      </w:pPr>
      <w:r>
        <w:rPr>
          <w:rFonts w:hint="eastAsia" w:cs="宋体"/>
          <w:color w:val="auto"/>
          <w:sz w:val="24"/>
          <w:szCs w:val="24"/>
          <w:highlight w:val="none"/>
          <w:lang w:val="en-US" w:eastAsia="zh-CN"/>
        </w:rPr>
        <w:t>（2）供应商法人营业执照（副本）或事业单位法人证书（副本）或个体工商户营业执照或有效的自然人身份证明、组织机构代码证扫描件（供应商按“三证合一”登记制度办理营业执照的，组织机构代码证和税务登记证（副本）以供应商提供的营业执照（副本）扫描件为准。供应商法定代表人身份证明和法定代表人授权代表委托书。</w:t>
      </w:r>
    </w:p>
    <w:p w14:paraId="07998FA8">
      <w:pPr>
        <w:ind w:firstLine="480" w:firstLineChars="200"/>
        <w:rPr>
          <w:rFonts w:hint="eastAsia" w:ascii="宋体" w:hAnsi="宋体" w:eastAsia="宋体" w:cs="宋体"/>
          <w:color w:val="auto"/>
          <w:sz w:val="24"/>
          <w:szCs w:val="24"/>
          <w:highlight w:val="none"/>
          <w:u w:val="none"/>
          <w:lang w:val="en-US" w:eastAsia="zh-CN"/>
        </w:rPr>
      </w:pPr>
      <w:bookmarkStart w:id="33" w:name="_Hlk89807755"/>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.落实政府采购政策需满足的资格要求</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u w:val="single"/>
          <w:lang w:val="en-US" w:eastAsia="zh-CN"/>
        </w:rPr>
        <w:t>本项目为专门面向中小企业采购的项目，全部由符合政策要求的中小企业承接（说明：监狱企业、残疾人福利性单位视同小型、微型企业），供应商</w:t>
      </w:r>
      <w:r>
        <w:rPr>
          <w:rFonts w:hint="eastAsia" w:cs="宋体"/>
          <w:color w:val="auto"/>
          <w:sz w:val="24"/>
          <w:szCs w:val="24"/>
          <w:highlight w:val="none"/>
          <w:u w:val="single"/>
          <w:lang w:val="en-US" w:eastAsia="zh-CN"/>
        </w:rPr>
        <w:t>须</w:t>
      </w:r>
      <w:r>
        <w:rPr>
          <w:rFonts w:hint="eastAsia" w:ascii="宋体" w:hAnsi="宋体" w:eastAsia="宋体" w:cs="宋体"/>
          <w:color w:val="auto"/>
          <w:sz w:val="24"/>
          <w:szCs w:val="24"/>
          <w:highlight w:val="none"/>
          <w:u w:val="single"/>
          <w:lang w:val="en-US" w:eastAsia="zh-CN"/>
        </w:rPr>
        <w:t>出具正确的《中小企业声明函》</w:t>
      </w:r>
      <w:r>
        <w:rPr>
          <w:rFonts w:hint="eastAsia" w:ascii="宋体" w:hAnsi="宋体" w:eastAsia="宋体" w:cs="宋体"/>
          <w:i w:val="0"/>
          <w:iCs w:val="0"/>
          <w:color w:val="auto"/>
          <w:sz w:val="24"/>
          <w:szCs w:val="24"/>
          <w:highlight w:val="none"/>
          <w:u w:val="single"/>
          <w:lang w:val="en-US" w:eastAsia="zh-CN"/>
        </w:rPr>
        <w:t>。</w:t>
      </w:r>
      <w:r>
        <w:rPr>
          <w:rFonts w:hint="eastAsia" w:cs="宋体"/>
          <w:color w:val="FF0000"/>
          <w:sz w:val="24"/>
          <w:szCs w:val="24"/>
          <w:highlight w:val="none"/>
          <w:lang w:val="en-US" w:eastAsia="zh-CN"/>
        </w:rPr>
        <w:t xml:space="preserve">     </w:t>
      </w:r>
      <w:r>
        <w:rPr>
          <w:rFonts w:hint="eastAsia" w:ascii="宋体" w:hAnsi="宋体" w:eastAsia="宋体" w:cs="宋体"/>
          <w:color w:val="FF0000"/>
          <w:sz w:val="24"/>
          <w:szCs w:val="24"/>
          <w:highlight w:val="none"/>
          <w:u w:val="none"/>
          <w:lang w:val="en-US" w:eastAsia="zh-CN"/>
        </w:rPr>
        <w:t>。</w:t>
      </w:r>
    </w:p>
    <w:p w14:paraId="6B3ECAEB">
      <w:pPr>
        <w:ind w:firstLine="480" w:firstLineChars="200"/>
        <w:rPr>
          <w:rFonts w:hint="default" w:ascii="宋体" w:hAnsi="宋体" w:eastAsia="宋体" w:cs="宋体"/>
          <w:i w:val="0"/>
          <w:iCs w:val="0"/>
          <w:color w:val="auto"/>
          <w:sz w:val="24"/>
          <w:szCs w:val="24"/>
          <w:highlight w:val="none"/>
          <w:u w:val="single"/>
          <w:lang w:val="en-US" w:eastAsia="zh-CN"/>
        </w:rPr>
      </w:pPr>
      <w:r>
        <w:rPr>
          <w:rFonts w:hint="eastAsia" w:ascii="宋体" w:hAnsi="宋体" w:eastAsia="宋体" w:cs="宋体"/>
          <w:color w:val="auto"/>
          <w:sz w:val="24"/>
          <w:szCs w:val="24"/>
          <w:highlight w:val="none"/>
          <w:u w:val="none"/>
          <w:lang w:val="en-US" w:eastAsia="zh-CN"/>
        </w:rPr>
        <w:t>3.本项目的特定资格要求：</w:t>
      </w:r>
      <w:r>
        <w:rPr>
          <w:rFonts w:hint="eastAsia" w:cs="宋体"/>
          <w:color w:val="auto"/>
          <w:sz w:val="24"/>
          <w:szCs w:val="24"/>
          <w:highlight w:val="none"/>
          <w:u w:val="none"/>
          <w:lang w:val="en-US" w:eastAsia="zh-CN"/>
        </w:rPr>
        <w:t>无。</w:t>
      </w:r>
    </w:p>
    <w:p w14:paraId="70ACFBBB">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 其他资格要求：</w:t>
      </w:r>
    </w:p>
    <w:p w14:paraId="69D2AB04">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所有家具须按照甲方使用要求进行设计及颜色确定，经甲方确认后方可进行生产。家具参数中有多种参数的都需满足，待后期甲方确定一种或多种参数进行生产，价格产生的浮动甲方不再进行调整，以投标单价为准。订制内家具由投标单价控制，数量根据甲方实际需求确定，但总价不得超过预算总价。供货时间包括设计、生产、运输和安装时间。</w:t>
      </w:r>
    </w:p>
    <w:p w14:paraId="040E7358">
      <w:pPr>
        <w:pStyle w:val="33"/>
        <w:rPr>
          <w:rFonts w:hint="eastAsia" w:ascii="宋体" w:hAnsi="宋体" w:eastAsia="宋体" w:cs="宋体"/>
          <w:color w:val="auto"/>
          <w:sz w:val="24"/>
          <w:szCs w:val="24"/>
          <w:highlight w:val="none"/>
          <w:lang w:val="hr-HR" w:eastAsia="zh-CN"/>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hr-HR"/>
        </w:rPr>
        <w:t>法定代表人或</w:t>
      </w:r>
      <w:r>
        <w:rPr>
          <w:rFonts w:hint="eastAsia" w:ascii="宋体" w:hAnsi="宋体" w:eastAsia="宋体" w:cs="宋体"/>
          <w:color w:val="auto"/>
          <w:sz w:val="24"/>
          <w:szCs w:val="24"/>
          <w:highlight w:val="none"/>
          <w:lang w:val="en-US" w:eastAsia="zh-CN"/>
        </w:rPr>
        <w:t>单位</w:t>
      </w:r>
      <w:r>
        <w:rPr>
          <w:rFonts w:hint="eastAsia" w:ascii="宋体" w:hAnsi="宋体" w:eastAsia="宋体" w:cs="宋体"/>
          <w:color w:val="auto"/>
          <w:sz w:val="24"/>
          <w:szCs w:val="24"/>
          <w:highlight w:val="none"/>
          <w:lang w:val="hr-HR"/>
        </w:rPr>
        <w:t>负责人为同一人或者存在</w:t>
      </w:r>
      <w:r>
        <w:rPr>
          <w:rFonts w:hint="eastAsia" w:ascii="宋体" w:hAnsi="宋体" w:eastAsia="宋体" w:cs="宋体"/>
          <w:color w:val="auto"/>
          <w:sz w:val="24"/>
          <w:szCs w:val="24"/>
          <w:highlight w:val="none"/>
          <w:lang w:val="en-US" w:eastAsia="zh-CN"/>
        </w:rPr>
        <w:t>直接</w:t>
      </w:r>
      <w:r>
        <w:rPr>
          <w:rFonts w:hint="eastAsia" w:ascii="宋体" w:hAnsi="宋体" w:eastAsia="宋体" w:cs="宋体"/>
          <w:color w:val="auto"/>
          <w:sz w:val="24"/>
          <w:szCs w:val="24"/>
          <w:highlight w:val="none"/>
          <w:lang w:val="hr-HR"/>
        </w:rPr>
        <w:t>控股、管理关系的</w:t>
      </w:r>
      <w:r>
        <w:rPr>
          <w:rFonts w:hint="eastAsia" w:ascii="宋体" w:hAnsi="宋体" w:eastAsia="宋体" w:cs="宋体"/>
          <w:color w:val="auto"/>
          <w:sz w:val="24"/>
          <w:szCs w:val="24"/>
          <w:highlight w:val="none"/>
          <w:lang w:val="en-US" w:eastAsia="zh-CN"/>
        </w:rPr>
        <w:t>不同供应商</w:t>
      </w:r>
      <w:r>
        <w:rPr>
          <w:rFonts w:hint="eastAsia" w:ascii="宋体" w:hAnsi="宋体" w:eastAsia="宋体" w:cs="宋体"/>
          <w:color w:val="auto"/>
          <w:sz w:val="24"/>
          <w:szCs w:val="24"/>
          <w:highlight w:val="none"/>
          <w:lang w:val="hr-HR"/>
        </w:rPr>
        <w:t>，不得参加同一合同项下的政府采购活动。</w:t>
      </w:r>
    </w:p>
    <w:p w14:paraId="68099EEC">
      <w:pPr>
        <w:pStyle w:val="33"/>
        <w:rPr>
          <w:rFonts w:hint="eastAsia" w:ascii="宋体" w:hAnsi="宋体" w:eastAsia="宋体" w:cs="宋体"/>
          <w:color w:val="auto"/>
          <w:sz w:val="24"/>
          <w:szCs w:val="24"/>
          <w:highlight w:val="none"/>
          <w:lang w:val="hr-HR" w:eastAsia="zh-CN"/>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hr-HR"/>
        </w:rPr>
        <w:t>除单一来源采购项目外，为采购项目提供整体设计、规范编制或者项目管理、监理、检测等服务的供应商，不得再参加该采购项目的其他采购活动。</w:t>
      </w:r>
    </w:p>
    <w:p w14:paraId="233A0AC8">
      <w:pPr>
        <w:ind w:firstLine="480" w:firstLineChars="200"/>
        <w:rPr>
          <w:rFonts w:hint="eastAsia" w:ascii="宋体" w:hAnsi="宋体" w:eastAsia="宋体" w:cs="宋体"/>
          <w:i w:val="0"/>
          <w:iCs w:val="0"/>
          <w:color w:val="auto"/>
          <w:sz w:val="24"/>
          <w:szCs w:val="24"/>
          <w:highlight w:val="none"/>
          <w:u w:val="single"/>
          <w:lang w:val="en-US" w:eastAsia="zh-CN"/>
        </w:rPr>
      </w:pPr>
      <w:r>
        <w:rPr>
          <w:rFonts w:hint="eastAsia" w:ascii="宋体" w:hAnsi="宋体" w:eastAsia="宋体" w:cs="宋体"/>
          <w:color w:val="auto"/>
          <w:sz w:val="24"/>
          <w:szCs w:val="24"/>
          <w:highlight w:val="none"/>
          <w:lang w:val="hr-HR" w:eastAsia="zh-CN"/>
        </w:rPr>
        <w:t>（</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hr-HR"/>
        </w:rPr>
        <w:t>供应商的信用行为</w:t>
      </w:r>
      <w:r>
        <w:rPr>
          <w:rFonts w:hint="eastAsia" w:ascii="宋体" w:hAnsi="宋体" w:eastAsia="宋体" w:cs="宋体"/>
          <w:color w:val="auto"/>
          <w:sz w:val="24"/>
          <w:szCs w:val="24"/>
          <w:highlight w:val="none"/>
          <w:lang w:val="hr-HR" w:eastAsia="zh-CN"/>
        </w:rPr>
        <w:t>：</w:t>
      </w:r>
      <w:r>
        <w:rPr>
          <w:rFonts w:hint="eastAsia" w:ascii="宋体" w:hAnsi="宋体" w:eastAsia="宋体" w:cs="宋体"/>
          <w:color w:val="auto"/>
          <w:sz w:val="24"/>
          <w:szCs w:val="24"/>
          <w:highlight w:val="none"/>
          <w:lang w:val="hr-HR"/>
        </w:rPr>
        <w:t>在</w:t>
      </w:r>
      <w:r>
        <w:rPr>
          <w:rFonts w:hint="eastAsia" w:ascii="宋体" w:hAnsi="宋体" w:eastAsia="宋体" w:cs="宋体"/>
          <w:color w:val="auto"/>
          <w:sz w:val="24"/>
          <w:szCs w:val="24"/>
          <w:highlight w:val="none"/>
          <w:lang w:val="en-US" w:eastAsia="zh-CN"/>
        </w:rPr>
        <w:t>资格审查阶段经查询</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eastAsia="zh-CN"/>
        </w:rPr>
        <w:t>未被列入“失信被执行人”、“重大税收违法失信主体”、“政府采购严重违法失信行为记录名单”</w:t>
      </w:r>
      <w:r>
        <w:rPr>
          <w:rFonts w:hint="eastAsia" w:ascii="宋体" w:hAnsi="宋体" w:eastAsia="宋体" w:cs="宋体"/>
          <w:color w:val="auto"/>
          <w:sz w:val="24"/>
          <w:szCs w:val="24"/>
          <w:highlight w:val="none"/>
          <w:lang w:val="hr-HR"/>
        </w:rPr>
        <w:t>其中之一。如有以上不良信用记录</w:t>
      </w:r>
      <w:r>
        <w:rPr>
          <w:rFonts w:hint="eastAsia" w:ascii="宋体" w:hAnsi="宋体" w:eastAsia="宋体" w:cs="宋体"/>
          <w:color w:val="auto"/>
          <w:sz w:val="24"/>
          <w:szCs w:val="24"/>
          <w:highlight w:val="none"/>
          <w:lang w:val="en-US" w:eastAsia="zh-CN"/>
        </w:rPr>
        <w:t>之一的，</w:t>
      </w:r>
      <w:r>
        <w:rPr>
          <w:rFonts w:hint="eastAsia" w:ascii="宋体" w:hAnsi="宋体" w:eastAsia="宋体" w:cs="宋体"/>
          <w:color w:val="auto"/>
          <w:sz w:val="24"/>
          <w:szCs w:val="24"/>
          <w:highlight w:val="none"/>
          <w:lang w:val="hr-HR"/>
        </w:rPr>
        <w:t>其</w:t>
      </w:r>
      <w:r>
        <w:rPr>
          <w:rFonts w:hint="eastAsia" w:ascii="宋体" w:hAnsi="宋体" w:eastAsia="宋体" w:cs="宋体"/>
          <w:b/>
          <w:bCs/>
          <w:color w:val="auto"/>
          <w:sz w:val="24"/>
          <w:szCs w:val="24"/>
          <w:highlight w:val="none"/>
          <w:lang w:val="en-US" w:eastAsia="zh-CN"/>
        </w:rPr>
        <w:t>响应无效</w:t>
      </w:r>
      <w:r>
        <w:rPr>
          <w:rFonts w:hint="eastAsia" w:ascii="宋体" w:hAnsi="宋体" w:eastAsia="宋体" w:cs="宋体"/>
          <w:color w:val="auto"/>
          <w:sz w:val="24"/>
          <w:szCs w:val="24"/>
          <w:highlight w:val="none"/>
          <w:lang w:val="hr-HR"/>
        </w:rPr>
        <w:t>。</w:t>
      </w:r>
    </w:p>
    <w:bookmarkEnd w:id="33"/>
    <w:p w14:paraId="17F1ED43">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34" w:name="_Toc109899412"/>
      <w:bookmarkStart w:id="35" w:name="_Toc109899831"/>
      <w:bookmarkStart w:id="36" w:name="_Toc18883"/>
      <w:bookmarkStart w:id="37" w:name="_Toc163492814"/>
      <w:bookmarkStart w:id="38" w:name="_Toc140132747"/>
      <w:bookmarkStart w:id="39" w:name="_Toc155185862"/>
      <w:bookmarkStart w:id="40" w:name="_Toc109900250"/>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hr-HR" w:eastAsia="zh-CN" w:bidi="ar-SA"/>
        </w:rPr>
        <w:t>获取</w:t>
      </w:r>
      <w:r>
        <w:rPr>
          <w:rFonts w:hint="eastAsia" w:ascii="宋体" w:hAnsi="宋体" w:eastAsia="宋体" w:cs="宋体"/>
          <w:b/>
          <w:bCs/>
          <w:color w:val="auto"/>
          <w:kern w:val="2"/>
          <w:sz w:val="24"/>
          <w:szCs w:val="24"/>
          <w:highlight w:val="none"/>
          <w:lang w:val="en-US" w:eastAsia="zh-CN" w:bidi="ar-SA"/>
        </w:rPr>
        <w:t>采购</w:t>
      </w:r>
      <w:r>
        <w:rPr>
          <w:rFonts w:hint="eastAsia" w:ascii="宋体" w:hAnsi="宋体" w:eastAsia="宋体" w:cs="宋体"/>
          <w:b/>
          <w:bCs/>
          <w:color w:val="auto"/>
          <w:kern w:val="2"/>
          <w:sz w:val="24"/>
          <w:szCs w:val="24"/>
          <w:highlight w:val="none"/>
          <w:lang w:val="hr-HR" w:eastAsia="zh-CN" w:bidi="ar-SA"/>
        </w:rPr>
        <w:t>文件</w:t>
      </w:r>
      <w:bookmarkEnd w:id="28"/>
      <w:bookmarkEnd w:id="29"/>
      <w:bookmarkEnd w:id="30"/>
      <w:bookmarkEnd w:id="31"/>
      <w:bookmarkEnd w:id="32"/>
      <w:bookmarkEnd w:id="34"/>
      <w:bookmarkEnd w:id="35"/>
      <w:bookmarkEnd w:id="36"/>
      <w:bookmarkEnd w:id="37"/>
      <w:bookmarkEnd w:id="38"/>
      <w:bookmarkEnd w:id="39"/>
      <w:bookmarkEnd w:id="40"/>
      <w:r>
        <w:rPr>
          <w:rFonts w:hint="eastAsia" w:ascii="宋体" w:hAnsi="宋体" w:eastAsia="宋体" w:cs="宋体"/>
          <w:b/>
          <w:bCs/>
          <w:color w:val="auto"/>
          <w:kern w:val="2"/>
          <w:sz w:val="24"/>
          <w:szCs w:val="24"/>
          <w:highlight w:val="none"/>
          <w:lang w:val="hr-HR" w:eastAsia="zh-CN" w:bidi="ar-SA"/>
        </w:rPr>
        <w:t xml:space="preserve"> </w:t>
      </w:r>
    </w:p>
    <w:p w14:paraId="7F0135DE">
      <w:pPr>
        <w:spacing w:line="360" w:lineRule="auto"/>
        <w:ind w:firstLine="540"/>
        <w:rPr>
          <w:rFonts w:hint="eastAsia" w:ascii="宋体" w:hAnsi="宋体" w:eastAsia="宋体" w:cs="宋体"/>
          <w:i w:val="0"/>
          <w:iCs w:val="0"/>
          <w:color w:val="auto"/>
          <w:sz w:val="24"/>
          <w:szCs w:val="24"/>
          <w:highlight w:val="none"/>
          <w:lang w:val="hr-HR" w:eastAsia="zh-CN"/>
        </w:rPr>
      </w:pPr>
      <w:bookmarkStart w:id="41" w:name="_Hlk130457234"/>
      <w:bookmarkStart w:id="42" w:name="_Toc35393801"/>
      <w:bookmarkStart w:id="43" w:name="_Hlk130457327"/>
      <w:bookmarkStart w:id="44" w:name="_Toc35393632"/>
      <w:bookmarkStart w:id="45" w:name="_Hlk130457261"/>
      <w:bookmarkStart w:id="46" w:name="_Toc28359015"/>
      <w:bookmarkStart w:id="47" w:name="_Toc28359092"/>
      <w:r>
        <w:rPr>
          <w:rFonts w:hint="eastAsia" w:ascii="宋体" w:hAnsi="宋体" w:eastAsia="宋体" w:cs="宋体"/>
          <w:i w:val="0"/>
          <w:iCs w:val="0"/>
          <w:color w:val="auto"/>
          <w:sz w:val="24"/>
          <w:szCs w:val="24"/>
          <w:highlight w:val="none"/>
          <w:lang w:val="hr-HR"/>
        </w:rPr>
        <w:t>1.时间：</w:t>
      </w:r>
      <w:r>
        <w:rPr>
          <w:rFonts w:hint="eastAsia" w:cs="宋体"/>
          <w:i w:val="0"/>
          <w:iCs w:val="0"/>
          <w:color w:val="auto"/>
          <w:sz w:val="24"/>
          <w:szCs w:val="24"/>
          <w:highlight w:val="none"/>
          <w:u w:val="single"/>
          <w:lang w:val="en-US" w:eastAsia="zh-CN"/>
        </w:rPr>
        <w:t>2025</w:t>
      </w:r>
      <w:r>
        <w:rPr>
          <w:rFonts w:hint="eastAsia" w:ascii="宋体" w:hAnsi="宋体" w:eastAsia="宋体" w:cs="宋体"/>
          <w:i w:val="0"/>
          <w:iCs w:val="0"/>
          <w:color w:val="auto"/>
          <w:sz w:val="24"/>
          <w:szCs w:val="24"/>
          <w:highlight w:val="none"/>
          <w:u w:val="single"/>
        </w:rPr>
        <w:t>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rPr>
        <w:t>月</w:t>
      </w:r>
      <w:r>
        <w:rPr>
          <w:rFonts w:hint="eastAsia" w:cs="宋体"/>
          <w:i w:val="0"/>
          <w:iCs w:val="0"/>
          <w:color w:val="auto"/>
          <w:sz w:val="24"/>
          <w:szCs w:val="24"/>
          <w:highlight w:val="none"/>
          <w:u w:val="single"/>
          <w:lang w:val="en-US" w:eastAsia="zh-CN"/>
        </w:rPr>
        <w:t>8</w:t>
      </w:r>
      <w:r>
        <w:rPr>
          <w:rFonts w:hint="eastAsia" w:ascii="宋体" w:hAnsi="宋体" w:eastAsia="宋体" w:cs="宋体"/>
          <w:i w:val="0"/>
          <w:iCs w:val="0"/>
          <w:color w:val="auto"/>
          <w:sz w:val="24"/>
          <w:szCs w:val="24"/>
          <w:highlight w:val="none"/>
          <w:u w:val="single"/>
        </w:rPr>
        <w:t>日</w:t>
      </w:r>
      <w:r>
        <w:rPr>
          <w:rFonts w:hint="eastAsia" w:cs="宋体"/>
          <w:i w:val="0"/>
          <w:iCs w:val="0"/>
          <w:color w:val="auto"/>
          <w:sz w:val="24"/>
          <w:szCs w:val="24"/>
          <w:highlight w:val="none"/>
          <w:u w:val="single"/>
          <w:lang w:val="en-US" w:eastAsia="zh-CN"/>
        </w:rPr>
        <w:t>11时00分</w:t>
      </w:r>
      <w:r>
        <w:rPr>
          <w:rFonts w:hint="eastAsia" w:ascii="宋体" w:hAnsi="宋体" w:eastAsia="宋体" w:cs="宋体"/>
          <w:i w:val="0"/>
          <w:iCs w:val="0"/>
          <w:color w:val="auto"/>
          <w:sz w:val="24"/>
          <w:szCs w:val="24"/>
          <w:highlight w:val="none"/>
          <w:u w:val="none"/>
        </w:rPr>
        <w:t>至</w:t>
      </w:r>
      <w:r>
        <w:rPr>
          <w:rFonts w:hint="eastAsia" w:cs="宋体"/>
          <w:i w:val="0"/>
          <w:iCs w:val="0"/>
          <w:color w:val="auto"/>
          <w:sz w:val="24"/>
          <w:szCs w:val="24"/>
          <w:highlight w:val="none"/>
          <w:u w:val="single"/>
          <w:lang w:val="en-US" w:eastAsia="zh-CN"/>
        </w:rPr>
        <w:t>2025</w:t>
      </w:r>
      <w:r>
        <w:rPr>
          <w:rFonts w:hint="eastAsia" w:ascii="宋体" w:hAnsi="宋体" w:eastAsia="宋体" w:cs="宋体"/>
          <w:i w:val="0"/>
          <w:iCs w:val="0"/>
          <w:color w:val="auto"/>
          <w:sz w:val="24"/>
          <w:szCs w:val="24"/>
          <w:highlight w:val="none"/>
          <w:u w:val="single"/>
        </w:rPr>
        <w:t>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rPr>
        <w:t xml:space="preserve"> 月</w:t>
      </w:r>
      <w:r>
        <w:rPr>
          <w:rFonts w:hint="eastAsia" w:cs="宋体"/>
          <w:i w:val="0"/>
          <w:iCs w:val="0"/>
          <w:color w:val="auto"/>
          <w:sz w:val="24"/>
          <w:szCs w:val="24"/>
          <w:highlight w:val="none"/>
          <w:u w:val="single"/>
          <w:lang w:val="en-US" w:eastAsia="zh-CN"/>
        </w:rPr>
        <w:t>15</w:t>
      </w:r>
      <w:r>
        <w:rPr>
          <w:rFonts w:hint="eastAsia" w:ascii="宋体" w:hAnsi="宋体" w:eastAsia="宋体" w:cs="宋体"/>
          <w:i w:val="0"/>
          <w:iCs w:val="0"/>
          <w:color w:val="auto"/>
          <w:sz w:val="24"/>
          <w:szCs w:val="24"/>
          <w:highlight w:val="none"/>
          <w:u w:val="single"/>
        </w:rPr>
        <w:t>日</w:t>
      </w:r>
      <w:r>
        <w:rPr>
          <w:rFonts w:hint="eastAsia" w:cs="宋体"/>
          <w:i w:val="0"/>
          <w:iCs w:val="0"/>
          <w:color w:val="auto"/>
          <w:sz w:val="24"/>
          <w:szCs w:val="24"/>
          <w:highlight w:val="none"/>
          <w:u w:val="single"/>
          <w:lang w:val="en-US" w:eastAsia="zh-CN"/>
        </w:rPr>
        <w:t>11时00分</w:t>
      </w:r>
      <w:r>
        <w:rPr>
          <w:rFonts w:hint="eastAsia" w:ascii="宋体" w:hAnsi="宋体" w:eastAsia="宋体" w:cs="宋体"/>
          <w:i w:val="0"/>
          <w:iCs w:val="0"/>
          <w:color w:val="auto"/>
          <w:sz w:val="24"/>
          <w:szCs w:val="24"/>
          <w:highlight w:val="none"/>
          <w:u w:val="none"/>
        </w:rPr>
        <w:t>（北京时间）</w:t>
      </w:r>
      <w:r>
        <w:rPr>
          <w:rFonts w:hint="eastAsia" w:ascii="宋体" w:hAnsi="宋体" w:eastAsia="宋体" w:cs="宋体"/>
          <w:i w:val="0"/>
          <w:iCs w:val="0"/>
          <w:color w:val="auto"/>
          <w:sz w:val="24"/>
          <w:szCs w:val="24"/>
          <w:highlight w:val="none"/>
          <w:lang w:eastAsia="zh-CN"/>
        </w:rPr>
        <w:t>。</w:t>
      </w:r>
    </w:p>
    <w:bookmarkEnd w:id="41"/>
    <w:p w14:paraId="34FD69CE">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2.</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val="hr-HR"/>
        </w:rPr>
        <w:t>：</w:t>
      </w:r>
      <w:bookmarkStart w:id="48" w:name="_Hlk89807779"/>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w:t>
      </w:r>
      <w:bookmarkEnd w:id="48"/>
    </w:p>
    <w:p w14:paraId="42A40251">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3.</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供应商登录政采云平台</w:t>
      </w:r>
      <w:r>
        <w:rPr>
          <w:rFonts w:hint="eastAsia" w:ascii="宋体" w:hAnsi="宋体" w:eastAsia="宋体" w:cs="宋体"/>
          <w:color w:val="auto"/>
          <w:sz w:val="24"/>
          <w:szCs w:val="24"/>
          <w:highlight w:val="none"/>
          <w:lang w:val="hr-HR"/>
        </w:rPr>
        <w:t>https</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lang w:val="hr-HR"/>
        </w:rPr>
        <w:t>//www.zcygov.cn/</w:t>
      </w:r>
      <w:r>
        <w:rPr>
          <w:rFonts w:hint="eastAsia" w:ascii="宋体" w:hAnsi="宋体" w:eastAsia="宋体" w:cs="宋体"/>
          <w:color w:val="auto"/>
          <w:sz w:val="24"/>
          <w:szCs w:val="24"/>
          <w:highlight w:val="none"/>
          <w:lang w:val="en-US"/>
        </w:rPr>
        <w:t>在线申请</w:t>
      </w:r>
      <w:r>
        <w:rPr>
          <w:rFonts w:hint="eastAsia" w:ascii="宋体" w:hAnsi="宋体" w:eastAsia="宋体" w:cs="宋体"/>
          <w:color w:val="auto"/>
          <w:sz w:val="24"/>
          <w:szCs w:val="24"/>
          <w:highlight w:val="none"/>
          <w:lang w:val="en-US" w:eastAsia="zh-CN"/>
        </w:rPr>
        <w:t>，免费</w:t>
      </w:r>
      <w:r>
        <w:rPr>
          <w:rFonts w:hint="eastAsia" w:ascii="宋体" w:hAnsi="宋体" w:eastAsia="宋体" w:cs="宋体"/>
          <w:color w:val="auto"/>
          <w:sz w:val="24"/>
          <w:szCs w:val="24"/>
          <w:highlight w:val="none"/>
          <w:lang w:val="en-US"/>
        </w:rPr>
        <w:t>获取</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lang w:val="en-US"/>
        </w:rPr>
        <w:t>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进入</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项目采购</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应用</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在获取采购文件菜单中选择项目</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申请获取采购文件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hr-HR"/>
        </w:rPr>
        <w:t xml:space="preserve"> </w:t>
      </w:r>
    </w:p>
    <w:p w14:paraId="6565D40F">
      <w:pPr>
        <w:pStyle w:val="33"/>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rPr>
        <w:t>售价：</w:t>
      </w:r>
      <w:r>
        <w:rPr>
          <w:rFonts w:hint="eastAsia" w:ascii="宋体" w:hAnsi="宋体" w:eastAsia="宋体" w:cs="宋体"/>
          <w:color w:val="auto"/>
          <w:sz w:val="24"/>
          <w:szCs w:val="24"/>
          <w:highlight w:val="none"/>
          <w:lang w:val="en-US" w:eastAsia="zh-CN"/>
        </w:rPr>
        <w:t>0元。</w:t>
      </w:r>
    </w:p>
    <w:bookmarkEnd w:id="42"/>
    <w:bookmarkEnd w:id="43"/>
    <w:bookmarkEnd w:id="44"/>
    <w:bookmarkEnd w:id="45"/>
    <w:bookmarkEnd w:id="46"/>
    <w:bookmarkEnd w:id="47"/>
    <w:p w14:paraId="66DADC54">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49" w:name="_Toc109900251"/>
      <w:bookmarkStart w:id="50" w:name="_Toc163492815"/>
      <w:bookmarkStart w:id="51" w:name="_Toc155185863"/>
      <w:bookmarkStart w:id="52" w:name="_Toc140132748"/>
      <w:bookmarkStart w:id="53" w:name="_Toc109899832"/>
      <w:bookmarkStart w:id="54" w:name="_Toc109899413"/>
      <w:bookmarkStart w:id="55" w:name="_Toc17463"/>
      <w:r>
        <w:rPr>
          <w:rFonts w:hint="eastAsia" w:ascii="宋体" w:hAnsi="宋体" w:eastAsia="宋体" w:cs="宋体"/>
          <w:b/>
          <w:bCs/>
          <w:color w:val="auto"/>
          <w:kern w:val="2"/>
          <w:sz w:val="24"/>
          <w:szCs w:val="24"/>
          <w:highlight w:val="none"/>
          <w:lang w:val="en-US" w:eastAsia="zh-CN" w:bidi="ar-SA"/>
        </w:rPr>
        <w:t>四、</w:t>
      </w:r>
      <w:bookmarkEnd w:id="49"/>
      <w:bookmarkEnd w:id="50"/>
      <w:bookmarkEnd w:id="51"/>
      <w:bookmarkEnd w:id="52"/>
      <w:bookmarkEnd w:id="53"/>
      <w:bookmarkEnd w:id="54"/>
      <w:r>
        <w:rPr>
          <w:rFonts w:hint="eastAsia" w:ascii="宋体" w:hAnsi="宋体" w:eastAsia="宋体" w:cs="宋体"/>
          <w:b/>
          <w:bCs/>
          <w:color w:val="auto"/>
          <w:spacing w:val="-6"/>
          <w:kern w:val="2"/>
          <w:sz w:val="24"/>
          <w:szCs w:val="24"/>
          <w:highlight w:val="none"/>
          <w:lang w:val="hr-HR" w:eastAsia="zh-CN" w:bidi="ar-SA"/>
        </w:rPr>
        <w:t>响应文件提交</w:t>
      </w:r>
      <w:bookmarkEnd w:id="55"/>
    </w:p>
    <w:p w14:paraId="2D110B47">
      <w:pPr>
        <w:pStyle w:val="33"/>
        <w:rPr>
          <w:rFonts w:hint="eastAsia" w:ascii="宋体" w:hAnsi="宋体" w:eastAsia="宋体" w:cs="宋体"/>
          <w:color w:val="auto"/>
          <w:sz w:val="24"/>
          <w:szCs w:val="24"/>
          <w:highlight w:val="none"/>
        </w:rPr>
      </w:pPr>
      <w:bookmarkStart w:id="56" w:name="_Hlk130457395"/>
      <w:bookmarkStart w:id="57" w:name="_Toc28359017"/>
      <w:bookmarkStart w:id="58" w:name="_Toc44583633"/>
      <w:bookmarkStart w:id="59" w:name="_Toc35393634"/>
      <w:bookmarkStart w:id="60" w:name="_Toc28359094"/>
      <w:bookmarkStart w:id="61" w:name="_Toc35393803"/>
      <w:r>
        <w:rPr>
          <w:rFonts w:hint="eastAsia" w:ascii="宋体" w:hAnsi="宋体" w:eastAsia="宋体" w:cs="宋体"/>
          <w:color w:val="auto"/>
          <w:sz w:val="24"/>
          <w:szCs w:val="24"/>
          <w:highlight w:val="none"/>
        </w:rPr>
        <w:t>1.截止时间</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cs="宋体"/>
          <w:color w:val="auto"/>
          <w:sz w:val="24"/>
          <w:szCs w:val="24"/>
          <w:highlight w:val="none"/>
          <w:u w:val="single"/>
          <w:lang w:val="en-US" w:eastAsia="zh-CN"/>
        </w:rPr>
        <w:t>18</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时</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rPr>
        <w:t>（北京时间）。</w:t>
      </w:r>
    </w:p>
    <w:p w14:paraId="63FC81BC">
      <w:pPr>
        <w:pStyle w:val="3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地点</w:t>
      </w:r>
      <w:r>
        <w:rPr>
          <w:rFonts w:hint="eastAsia" w:ascii="宋体" w:hAnsi="宋体" w:eastAsia="宋体" w:cs="宋体"/>
          <w:color w:val="auto"/>
          <w:sz w:val="24"/>
          <w:szCs w:val="24"/>
          <w:highlight w:val="none"/>
        </w:rPr>
        <w:t>：通过</w:t>
      </w:r>
      <w:r>
        <w:rPr>
          <w:rFonts w:hint="eastAsia" w:ascii="宋体" w:hAnsi="宋体" w:eastAsia="宋体" w:cs="宋体"/>
          <w:color w:val="auto"/>
          <w:sz w:val="24"/>
          <w:szCs w:val="24"/>
          <w:highlight w:val="none"/>
          <w:lang w:val="en-US"/>
        </w:rPr>
        <w:t>政采云平台投标</w:t>
      </w:r>
      <w:r>
        <w:rPr>
          <w:rFonts w:hint="eastAsia" w:ascii="宋体" w:hAnsi="宋体" w:eastAsia="宋体" w:cs="宋体"/>
          <w:color w:val="auto"/>
          <w:sz w:val="24"/>
          <w:szCs w:val="24"/>
          <w:highlight w:val="none"/>
        </w:rPr>
        <w:t>供应商客户端选择项目分包文件递交页面进行递交（上传）。</w:t>
      </w:r>
    </w:p>
    <w:bookmarkEnd w:id="56"/>
    <w:p w14:paraId="6BAC9797">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62" w:name="_Toc28035"/>
      <w:bookmarkStart w:id="63" w:name="_Toc155185864"/>
      <w:bookmarkStart w:id="64" w:name="_Toc109900252"/>
      <w:bookmarkStart w:id="65" w:name="_Toc140132749"/>
      <w:bookmarkStart w:id="66" w:name="_Toc109899833"/>
      <w:bookmarkStart w:id="67" w:name="_Toc109899414"/>
      <w:bookmarkStart w:id="68" w:name="_Toc163492816"/>
      <w:r>
        <w:rPr>
          <w:rFonts w:hint="eastAsia" w:ascii="宋体" w:hAnsi="宋体" w:eastAsia="宋体" w:cs="宋体"/>
          <w:b/>
          <w:bCs/>
          <w:color w:val="auto"/>
          <w:kern w:val="2"/>
          <w:sz w:val="24"/>
          <w:szCs w:val="24"/>
          <w:highlight w:val="none"/>
          <w:lang w:val="en-US" w:eastAsia="zh-CN" w:bidi="ar-SA"/>
        </w:rPr>
        <w:t>五、开启</w:t>
      </w:r>
      <w:bookmarkEnd w:id="62"/>
    </w:p>
    <w:p w14:paraId="508C6E16">
      <w:pPr>
        <w:pStyle w:val="3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1.时间：</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cs="宋体"/>
          <w:color w:val="auto"/>
          <w:sz w:val="24"/>
          <w:szCs w:val="24"/>
          <w:highlight w:val="none"/>
          <w:u w:val="single"/>
          <w:lang w:val="en-US" w:eastAsia="zh-CN"/>
        </w:rPr>
        <w:t>18</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时</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rPr>
        <w:t>（北京时间）。</w:t>
      </w:r>
    </w:p>
    <w:p w14:paraId="71EF07E7">
      <w:pPr>
        <w:pStyle w:val="3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地点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供应商登录政采云平台https</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lang w:val="en-US"/>
        </w:rPr>
        <w:t>//www.zcygov.cn/，进入“项目采购-开评标管理-右边选择对应项目点击“进入项目”进入开标大厅</w:t>
      </w:r>
      <w:r>
        <w:rPr>
          <w:rFonts w:hint="eastAsia" w:ascii="宋体" w:hAnsi="宋体" w:eastAsia="宋体" w:cs="宋体"/>
          <w:color w:val="auto"/>
          <w:sz w:val="24"/>
          <w:szCs w:val="24"/>
          <w:highlight w:val="none"/>
        </w:rPr>
        <w:t>。</w:t>
      </w:r>
    </w:p>
    <w:p w14:paraId="679A69E0">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69" w:name="_Toc4954"/>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hr-HR" w:eastAsia="zh-CN" w:bidi="ar-SA"/>
        </w:rPr>
        <w:t>公告期限</w:t>
      </w:r>
      <w:bookmarkEnd w:id="57"/>
      <w:bookmarkEnd w:id="58"/>
      <w:bookmarkEnd w:id="59"/>
      <w:bookmarkEnd w:id="60"/>
      <w:bookmarkEnd w:id="61"/>
      <w:bookmarkEnd w:id="63"/>
      <w:bookmarkEnd w:id="64"/>
      <w:bookmarkEnd w:id="65"/>
      <w:bookmarkEnd w:id="66"/>
      <w:bookmarkEnd w:id="67"/>
      <w:bookmarkEnd w:id="68"/>
      <w:bookmarkEnd w:id="69"/>
    </w:p>
    <w:p w14:paraId="187C1FE3">
      <w:pPr>
        <w:pageBreakBefore w:val="0"/>
        <w:kinsoku/>
        <w:wordWrap/>
        <w:overflowPunct/>
        <w:topLinePunct w:val="0"/>
        <w:bidi w:val="0"/>
        <w:snapToGrid w:val="0"/>
        <w:spacing w:line="348" w:lineRule="auto"/>
        <w:ind w:left="0" w:leftChars="0" w:firstLine="480" w:firstLineChars="200"/>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自本公告发布之日起3个工作日。</w:t>
      </w:r>
      <w:bookmarkStart w:id="70" w:name="_Toc44583634"/>
      <w:bookmarkStart w:id="71" w:name="_Toc109899834"/>
      <w:bookmarkStart w:id="72" w:name="_Toc163492817"/>
      <w:bookmarkStart w:id="73" w:name="_Toc155185865"/>
      <w:bookmarkStart w:id="74" w:name="_Toc35393635"/>
      <w:bookmarkStart w:id="75" w:name="_Toc109900253"/>
      <w:bookmarkStart w:id="76" w:name="_Toc35393804"/>
      <w:bookmarkStart w:id="77" w:name="_Toc109899415"/>
      <w:bookmarkStart w:id="78" w:name="_Toc140132750"/>
    </w:p>
    <w:p w14:paraId="20DD1AA0">
      <w:pPr>
        <w:pageBreakBefore w:val="0"/>
        <w:kinsoku/>
        <w:wordWrap/>
        <w:overflowPunct/>
        <w:topLinePunct w:val="0"/>
        <w:bidi w:val="0"/>
        <w:snapToGrid w:val="0"/>
        <w:spacing w:line="348" w:lineRule="auto"/>
        <w:jc w:val="both"/>
        <w:outlineLvl w:val="9"/>
        <w:rPr>
          <w:rFonts w:hint="eastAsia" w:ascii="宋体" w:hAnsi="宋体" w:eastAsia="宋体" w:cs="宋体"/>
          <w:b w:val="0"/>
          <w:bCs w:val="0"/>
          <w:color w:val="auto"/>
          <w:kern w:val="2"/>
          <w:sz w:val="24"/>
          <w:szCs w:val="24"/>
          <w:highlight w:val="none"/>
          <w:lang w:val="hr-HR" w:eastAsia="zh-CN" w:bidi="ar-SA"/>
        </w:rPr>
      </w:pPr>
      <w:bookmarkStart w:id="79" w:name="_Toc14741"/>
      <w:r>
        <w:rPr>
          <w:rStyle w:val="38"/>
          <w:rFonts w:hint="eastAsia"/>
          <w:sz w:val="24"/>
          <w:szCs w:val="24"/>
          <w:highlight w:val="none"/>
          <w:lang w:val="hr-HR" w:eastAsia="zh-CN"/>
        </w:rPr>
        <w:t>七、其他补充事宜</w:t>
      </w:r>
      <w:bookmarkEnd w:id="70"/>
      <w:bookmarkEnd w:id="71"/>
      <w:bookmarkEnd w:id="72"/>
      <w:bookmarkEnd w:id="73"/>
      <w:bookmarkEnd w:id="74"/>
      <w:bookmarkEnd w:id="75"/>
      <w:bookmarkEnd w:id="76"/>
      <w:bookmarkEnd w:id="77"/>
      <w:bookmarkEnd w:id="78"/>
      <w:bookmarkEnd w:id="79"/>
    </w:p>
    <w:p w14:paraId="2043A8DF">
      <w:pPr>
        <w:widowControl/>
        <w:shd w:val="clear" w:color="auto" w:fill="FFFFFF"/>
        <w:spacing w:line="48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1、本项目实行网上响应，采用电子响应文件。</w:t>
      </w:r>
    </w:p>
    <w:p w14:paraId="7DFC1A41">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兵团区域电子开评标的供应商，可访问兵团政府采购网-办事指南-操作指南-CA证书办理操作指南或点击链接：http://ccgp-bingtuan.gov.cn/site/detail?parentId=189171&amp;articleId=CZ0bD526ZE+CHX5isJvt0w==&amp;utm=site.site-PC-4840.633-pc-websitegroup-secondlevelpage-front.1.2e96d52081d811eebbd67dd2372c0b9a自行进行申领。</w:t>
      </w:r>
    </w:p>
    <w:p w14:paraId="4B02550E">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供应商将政采云电子交易客户端下载、安装完成后，可通过账号密码或CA登录客户端进行响应文件的制作。在使用政采云投标客户端时，建议使用WIN7（64位）及以上操作系统。客户端请至兵团政府采购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692B7884">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color w:val="auto"/>
          <w:sz w:val="24"/>
          <w:szCs w:val="24"/>
          <w:highlight w:val="none"/>
          <w:lang w:val="hr-HR" w:eastAsia="zh-CN"/>
        </w:rPr>
      </w:pPr>
      <w:bookmarkStart w:id="80" w:name="_Toc18641"/>
      <w:r>
        <w:rPr>
          <w:rFonts w:hint="eastAsia" w:ascii="宋体" w:hAnsi="宋体" w:eastAsia="宋体" w:cs="宋体"/>
          <w:color w:val="auto"/>
          <w:kern w:val="2"/>
          <w:sz w:val="24"/>
          <w:szCs w:val="24"/>
          <w:highlight w:val="none"/>
          <w:lang w:val="en-US" w:eastAsia="zh-CN" w:bidi="ar-SA"/>
        </w:rPr>
        <w:t>八、</w:t>
      </w:r>
      <w:r>
        <w:rPr>
          <w:rFonts w:hint="eastAsia" w:ascii="宋体" w:hAnsi="宋体" w:eastAsia="宋体" w:cs="宋体"/>
          <w:color w:val="auto"/>
          <w:kern w:val="2"/>
          <w:sz w:val="24"/>
          <w:szCs w:val="24"/>
          <w:highlight w:val="none"/>
          <w:lang w:val="hr-HR" w:eastAsia="zh-CN" w:bidi="ar-SA"/>
        </w:rPr>
        <w:t>凡对本次采购提出询问，请按以下方式联系</w:t>
      </w:r>
      <w:bookmarkEnd w:id="80"/>
    </w:p>
    <w:p w14:paraId="3EEAC95D">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bookmarkStart w:id="81" w:name="_Toc35393637"/>
      <w:bookmarkStart w:id="82" w:name="_Toc35393806"/>
      <w:bookmarkStart w:id="83" w:name="_Toc28359096"/>
      <w:bookmarkStart w:id="84" w:name="_Toc28359019"/>
      <w:r>
        <w:rPr>
          <w:rFonts w:hint="eastAsia" w:ascii="宋体" w:hAnsi="宋体" w:eastAsia="宋体" w:cs="宋体"/>
          <w:color w:val="auto"/>
          <w:sz w:val="24"/>
          <w:szCs w:val="24"/>
          <w:highlight w:val="none"/>
        </w:rPr>
        <w:t>1.采购人信息</w:t>
      </w:r>
      <w:bookmarkEnd w:id="81"/>
      <w:bookmarkEnd w:id="82"/>
      <w:bookmarkEnd w:id="83"/>
      <w:bookmarkEnd w:id="84"/>
    </w:p>
    <w:p w14:paraId="1E629EC9">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名称：</w:t>
      </w:r>
      <w:r>
        <w:rPr>
          <w:rFonts w:hint="eastAsia" w:cs="宋体"/>
          <w:color w:val="auto"/>
          <w:sz w:val="24"/>
          <w:szCs w:val="24"/>
          <w:highlight w:val="none"/>
          <w:u w:val="single"/>
          <w:lang w:val="en-US" w:eastAsia="zh-CN"/>
        </w:rPr>
        <w:t>草湖项目区昆仑人民医院</w:t>
      </w:r>
      <w:r>
        <w:rPr>
          <w:rFonts w:hint="eastAsia" w:ascii="宋体" w:hAnsi="宋体" w:eastAsia="宋体" w:cs="宋体"/>
          <w:color w:val="auto"/>
          <w:sz w:val="24"/>
          <w:szCs w:val="24"/>
          <w:highlight w:val="none"/>
          <w:u w:val="single"/>
        </w:rPr>
        <w:t xml:space="preserve"> </w:t>
      </w:r>
    </w:p>
    <w:p w14:paraId="40F214C1">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地址：</w:t>
      </w:r>
      <w:r>
        <w:rPr>
          <w:rFonts w:hint="eastAsia" w:cs="宋体"/>
          <w:color w:val="auto"/>
          <w:sz w:val="24"/>
          <w:szCs w:val="24"/>
          <w:highlight w:val="none"/>
          <w:u w:val="single"/>
          <w:lang w:val="en-US" w:eastAsia="zh-CN"/>
        </w:rPr>
        <w:t>新疆维吾尔自治区图木舒克市41团草湖镇东江大道1号</w:t>
      </w:r>
    </w:p>
    <w:p w14:paraId="676204EA">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w:t>
      </w:r>
      <w:bookmarkStart w:id="85" w:name="_Hlk46775675"/>
      <w:r>
        <w:rPr>
          <w:rFonts w:hint="eastAsia" w:cs="宋体"/>
          <w:color w:val="auto"/>
          <w:sz w:val="24"/>
          <w:szCs w:val="24"/>
          <w:highlight w:val="none"/>
          <w:u w:val="single"/>
          <w:lang w:val="en-US" w:eastAsia="zh-CN"/>
        </w:rPr>
        <w:t>娜迪热  18899123203</w:t>
      </w:r>
    </w:p>
    <w:bookmarkEnd w:id="85"/>
    <w:p w14:paraId="5C798AB6">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bookmarkStart w:id="86" w:name="_Toc35393807"/>
      <w:bookmarkStart w:id="87" w:name="_Toc35393638"/>
      <w:bookmarkStart w:id="88" w:name="_Toc28359097"/>
      <w:bookmarkStart w:id="89" w:name="_Toc28359020"/>
      <w:r>
        <w:rPr>
          <w:rFonts w:hint="eastAsia" w:ascii="宋体" w:hAnsi="宋体" w:eastAsia="宋体" w:cs="宋体"/>
          <w:color w:val="auto"/>
          <w:sz w:val="24"/>
          <w:szCs w:val="24"/>
          <w:highlight w:val="none"/>
        </w:rPr>
        <w:t>2.采购代理机构信息</w:t>
      </w:r>
      <w:bookmarkEnd w:id="86"/>
      <w:bookmarkEnd w:id="87"/>
      <w:bookmarkEnd w:id="88"/>
      <w:bookmarkEnd w:id="89"/>
    </w:p>
    <w:p w14:paraId="5E585559">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cs="宋体"/>
          <w:color w:val="auto"/>
          <w:sz w:val="24"/>
          <w:szCs w:val="24"/>
          <w:highlight w:val="none"/>
          <w:u w:val="single"/>
          <w:lang w:val="en-US" w:eastAsia="zh-CN"/>
        </w:rPr>
        <w:t>草湖项目区公共资源交易中心</w:t>
      </w:r>
    </w:p>
    <w:p w14:paraId="2395F894">
      <w:pPr>
        <w:pStyle w:val="33"/>
        <w:keepNext w:val="0"/>
        <w:keepLines w:val="0"/>
        <w:pageBreakBefore w:val="0"/>
        <w:widowControl w:val="0"/>
        <w:kinsoku/>
        <w:wordWrap w:val="0"/>
        <w:overflowPunct/>
        <w:topLinePunct w:val="0"/>
        <w:autoSpaceDE/>
        <w:autoSpaceDN/>
        <w:bidi w:val="0"/>
        <w:adjustRightInd/>
        <w:snapToGrid/>
        <w:spacing w:line="400" w:lineRule="exact"/>
        <w:ind w:left="1200" w:leftChars="200" w:hanging="720" w:hangingChars="30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地址：</w:t>
      </w:r>
      <w:r>
        <w:rPr>
          <w:rFonts w:hint="eastAsia" w:cs="宋体"/>
          <w:color w:val="auto"/>
          <w:sz w:val="24"/>
          <w:szCs w:val="24"/>
          <w:highlight w:val="none"/>
          <w:u w:val="single"/>
          <w:lang w:val="en-US" w:eastAsia="zh-CN"/>
        </w:rPr>
        <w:t>新疆维吾尔自治区图木舒克市41团草湖镇职工创业园草湖项目区公共资源交易中心</w:t>
      </w:r>
    </w:p>
    <w:p w14:paraId="78A9DBA0">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default" w:ascii="宋体" w:hAnsi="宋体" w:eastAsia="宋体" w:cs="宋体"/>
          <w:color w:val="auto"/>
          <w:sz w:val="24"/>
          <w:szCs w:val="24"/>
          <w:highlight w:val="none"/>
          <w:u w:val="single"/>
          <w:lang w:val="en-US"/>
        </w:rPr>
      </w:pPr>
      <w:r>
        <w:rPr>
          <w:rFonts w:hint="eastAsia" w:ascii="宋体" w:hAnsi="宋体" w:eastAsia="宋体" w:cs="宋体"/>
          <w:color w:val="auto"/>
          <w:sz w:val="24"/>
          <w:szCs w:val="24"/>
          <w:highlight w:val="none"/>
        </w:rPr>
        <w:t>联系方式：</w:t>
      </w:r>
      <w:r>
        <w:rPr>
          <w:rFonts w:hint="eastAsia" w:cs="宋体"/>
          <w:color w:val="auto"/>
          <w:sz w:val="24"/>
          <w:szCs w:val="24"/>
          <w:highlight w:val="none"/>
          <w:u w:val="single"/>
          <w:lang w:val="en-US" w:eastAsia="zh-CN"/>
        </w:rPr>
        <w:t>冯宗琼</w:t>
      </w:r>
      <w:bookmarkStart w:id="90" w:name="_Toc35393639"/>
      <w:bookmarkStart w:id="91" w:name="_Toc28359021"/>
      <w:bookmarkStart w:id="92" w:name="_Toc28359098"/>
      <w:bookmarkStart w:id="93" w:name="_Toc35393808"/>
      <w:r>
        <w:rPr>
          <w:rFonts w:hint="eastAsia" w:cs="宋体"/>
          <w:color w:val="auto"/>
          <w:sz w:val="24"/>
          <w:szCs w:val="24"/>
          <w:highlight w:val="none"/>
          <w:u w:val="single"/>
          <w:lang w:val="en-US" w:eastAsia="zh-CN"/>
        </w:rPr>
        <w:t>15886887569</w:t>
      </w:r>
    </w:p>
    <w:p w14:paraId="28B1182B">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项目联系方式</w:t>
      </w:r>
    </w:p>
    <w:p w14:paraId="7E6118A7">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联系人：</w:t>
      </w:r>
      <w:r>
        <w:rPr>
          <w:rFonts w:hint="eastAsia" w:cs="宋体"/>
          <w:color w:val="auto"/>
          <w:sz w:val="24"/>
          <w:szCs w:val="24"/>
          <w:highlight w:val="none"/>
          <w:u w:val="single"/>
          <w:lang w:val="en-US" w:eastAsia="zh-CN"/>
        </w:rPr>
        <w:t>冯宗琼</w:t>
      </w:r>
    </w:p>
    <w:bookmarkEnd w:id="90"/>
    <w:bookmarkEnd w:id="91"/>
    <w:bookmarkEnd w:id="92"/>
    <w:bookmarkEnd w:id="93"/>
    <w:p w14:paraId="02037304">
      <w:pPr>
        <w:pStyle w:val="33"/>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color w:val="auto"/>
          <w:highlight w:val="none"/>
        </w:rPr>
        <w:sectPr>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start="1"/>
          <w:cols w:space="425" w:num="1"/>
          <w:docGrid w:type="lines" w:linePitch="312" w:charSpace="0"/>
        </w:sectPr>
      </w:pPr>
      <w:r>
        <w:rPr>
          <w:rFonts w:hint="eastAsia" w:ascii="宋体" w:hAnsi="宋体" w:eastAsia="宋体" w:cs="宋体"/>
          <w:color w:val="auto"/>
          <w:sz w:val="24"/>
          <w:szCs w:val="24"/>
          <w:highlight w:val="none"/>
          <w:lang w:val="en-US" w:eastAsia="zh-CN"/>
        </w:rPr>
        <w:t>电话：</w:t>
      </w:r>
      <w:r>
        <w:rPr>
          <w:rFonts w:hint="eastAsia" w:cs="宋体"/>
          <w:color w:val="auto"/>
          <w:sz w:val="24"/>
          <w:szCs w:val="24"/>
          <w:highlight w:val="none"/>
          <w:u w:val="single"/>
          <w:lang w:val="en-US" w:eastAsia="zh-CN"/>
        </w:rPr>
        <w:t>15886887569</w:t>
      </w:r>
    </w:p>
    <w:p w14:paraId="1E2C9AB2">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94" w:name="_Toc31171"/>
      <w:r>
        <w:rPr>
          <w:rFonts w:hint="eastAsia" w:ascii="宋体" w:hAnsi="宋体" w:eastAsia="宋体" w:cs="宋体"/>
          <w:b/>
          <w:bCs/>
          <w:color w:val="auto"/>
          <w:kern w:val="44"/>
          <w:sz w:val="36"/>
          <w:szCs w:val="36"/>
          <w:highlight w:val="none"/>
          <w:lang w:val="en-US" w:eastAsia="zh-CN" w:bidi="ar-SA"/>
        </w:rPr>
        <w:t>第二章 供应商须知</w:t>
      </w:r>
      <w:bookmarkEnd w:id="94"/>
    </w:p>
    <w:p w14:paraId="224924B5">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95" w:name="_Toc23982"/>
      <w:r>
        <w:rPr>
          <w:rFonts w:hint="eastAsia" w:eastAsia="宋体" w:asciiTheme="majorHAnsi" w:hAnsiTheme="majorHAnsi" w:cstheme="majorBidi"/>
          <w:b/>
          <w:bCs/>
          <w:color w:val="auto"/>
          <w:kern w:val="2"/>
          <w:sz w:val="28"/>
          <w:szCs w:val="28"/>
          <w:highlight w:val="none"/>
          <w:lang w:val="en-US" w:eastAsia="zh-CN" w:bidi="ar-SA"/>
        </w:rPr>
        <w:t>一、供应商须知前附表</w:t>
      </w:r>
      <w:bookmarkEnd w:id="95"/>
    </w:p>
    <w:p w14:paraId="016068EF">
      <w:pPr>
        <w:pStyle w:val="33"/>
        <w:ind w:firstLine="480"/>
        <w:rPr>
          <w:color w:val="auto"/>
          <w:highlight w:val="none"/>
        </w:rPr>
      </w:pPr>
      <w:r>
        <w:rPr>
          <w:rFonts w:hint="eastAsia"/>
          <w:color w:val="auto"/>
          <w:highlight w:val="none"/>
        </w:rPr>
        <w:t>磋商供应商应仔细阅读本磋商文件的第二章“供应商须知”，下面所列资料是对“供应商须知”的具体补充和说明。如有矛盾，应以本表为准。</w:t>
      </w:r>
      <w:r>
        <w:rPr>
          <w:rFonts w:hint="eastAsia"/>
          <w:color w:val="auto"/>
          <w:highlight w:val="none"/>
          <w:lang w:val="en-US" w:eastAsia="zh-CN"/>
        </w:rPr>
        <w:t>标记“</w:t>
      </w:r>
      <w:r>
        <w:rPr>
          <w:rFonts w:hint="eastAsia" w:ascii="宋体" w:hAnsi="宋体" w:eastAsia="宋体"/>
          <w:color w:val="auto"/>
          <w:highlight w:val="none"/>
          <w:lang w:val="en-US" w:eastAsia="zh-CN"/>
        </w:rPr>
        <w:t>☑”的选项意为适用于本项目，标记“</w:t>
      </w:r>
      <w:r>
        <w:rPr>
          <w:rFonts w:hint="eastAsia" w:cs="宋体"/>
          <w:color w:val="auto"/>
          <w:sz w:val="24"/>
          <w:szCs w:val="24"/>
          <w:highlight w:val="none"/>
        </w:rPr>
        <w:sym w:font="Wingdings" w:char="00A8"/>
      </w:r>
      <w:r>
        <w:rPr>
          <w:rFonts w:hint="eastAsia" w:ascii="宋体" w:hAnsi="宋体" w:eastAsia="宋体"/>
          <w:color w:val="auto"/>
          <w:highlight w:val="none"/>
          <w:lang w:val="en-US" w:eastAsia="zh-CN"/>
        </w:rPr>
        <w:t>”的选项意为不适用于本项目。</w:t>
      </w:r>
    </w:p>
    <w:tbl>
      <w:tblPr>
        <w:tblStyle w:val="27"/>
        <w:tblW w:w="9674" w:type="dxa"/>
        <w:tblInd w:w="-456"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721"/>
        <w:gridCol w:w="6983"/>
      </w:tblGrid>
      <w:tr w14:paraId="5EEA9A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4"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5EA5529">
            <w:pPr>
              <w:pStyle w:val="44"/>
              <w:jc w:val="center"/>
              <w:rPr>
                <w:rFonts w:hint="eastAsia" w:ascii="宋体" w:hAnsi="宋体" w:eastAsia="宋体" w:cs="宋体"/>
                <w:b/>
                <w:bCs/>
                <w:color w:val="auto"/>
                <w:sz w:val="24"/>
                <w:szCs w:val="24"/>
                <w:highlight w:val="none"/>
              </w:rPr>
            </w:pPr>
            <w:bookmarkStart w:id="96" w:name="_Hlk161703381"/>
            <w:r>
              <w:rPr>
                <w:rFonts w:hint="eastAsia" w:ascii="宋体" w:hAnsi="宋体" w:eastAsia="宋体" w:cs="宋体"/>
                <w:b/>
                <w:bCs/>
                <w:color w:val="auto"/>
                <w:sz w:val="24"/>
                <w:szCs w:val="24"/>
                <w:highlight w:val="none"/>
              </w:rPr>
              <w:t>条款号</w:t>
            </w:r>
          </w:p>
        </w:tc>
        <w:tc>
          <w:tcPr>
            <w:tcW w:w="1721"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60503F1">
            <w:pPr>
              <w:pStyle w:val="44"/>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条款名称</w:t>
            </w:r>
          </w:p>
        </w:tc>
        <w:tc>
          <w:tcPr>
            <w:tcW w:w="6983"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6777820C">
            <w:pPr>
              <w:pStyle w:val="44"/>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5E8AF7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43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2C88517F">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1</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459A0018">
            <w:pPr>
              <w:pStyle w:val="44"/>
              <w:keepNext w:val="0"/>
              <w:keepLines w:val="0"/>
              <w:pageBreakBefore w:val="0"/>
              <w:kinsoku/>
              <w:wordWrap/>
              <w:overflowPunct/>
              <w:topLinePunct w:val="0"/>
              <w:bidi w:val="0"/>
              <w:snapToGrid/>
              <w:spacing w:beforeAutospacing="0" w:afterAutospacing="0" w:line="560" w:lineRule="exact"/>
              <w:ind w:right="0" w:rightChars="0" w:firstLine="0" w:firstLineChars="0"/>
              <w:jc w:val="center"/>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项目名称</w:t>
            </w:r>
          </w:p>
          <w:p w14:paraId="4339F498">
            <w:pPr>
              <w:pStyle w:val="44"/>
              <w:keepNext w:val="0"/>
              <w:keepLines w:val="0"/>
              <w:pageBreakBefore w:val="0"/>
              <w:kinsoku/>
              <w:wordWrap/>
              <w:overflowPunct/>
              <w:topLinePunct w:val="0"/>
              <w:bidi w:val="0"/>
              <w:snapToGrid/>
              <w:spacing w:beforeAutospacing="0" w:afterAutospacing="0" w:line="560" w:lineRule="exact"/>
              <w:ind w:right="0" w:rightChars="0" w:firstLine="0" w:firstLineChars="0"/>
              <w:jc w:val="center"/>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项目编号</w:t>
            </w:r>
          </w:p>
        </w:tc>
        <w:tc>
          <w:tcPr>
            <w:tcW w:w="6983" w:type="dxa"/>
            <w:tcBorders>
              <w:top w:val="single" w:color="auto" w:sz="2" w:space="0"/>
              <w:left w:val="single" w:color="auto" w:sz="2" w:space="0"/>
              <w:bottom w:val="single" w:color="auto" w:sz="2" w:space="0"/>
              <w:right w:val="single" w:color="auto" w:sz="2" w:space="0"/>
            </w:tcBorders>
            <w:shd w:val="clear" w:color="auto" w:fill="auto"/>
            <w:vAlign w:val="center"/>
          </w:tcPr>
          <w:p w14:paraId="65D81F2D">
            <w:pPr>
              <w:pStyle w:val="44"/>
              <w:keepNext w:val="0"/>
              <w:keepLines w:val="0"/>
              <w:pageBreakBefore w:val="0"/>
              <w:kinsoku/>
              <w:wordWrap/>
              <w:overflowPunct/>
              <w:topLinePunct w:val="0"/>
              <w:bidi w:val="0"/>
              <w:snapToGrid/>
              <w:spacing w:beforeAutospacing="0" w:afterAutospacing="0" w:line="560" w:lineRule="exact"/>
              <w:ind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项目名称：</w:t>
            </w:r>
            <w:r>
              <w:rPr>
                <w:rFonts w:hint="eastAsia" w:ascii="宋体" w:hAnsi="宋体" w:eastAsia="宋体" w:cstheme="minorBidi"/>
                <w:i w:val="0"/>
                <w:iCs w:val="0"/>
                <w:color w:val="auto"/>
                <w:kern w:val="2"/>
                <w:sz w:val="24"/>
                <w:szCs w:val="22"/>
                <w:highlight w:val="none"/>
                <w:u w:val="single"/>
                <w:lang w:val="en-US" w:eastAsia="zh-CN" w:bidi="ar-SA"/>
              </w:rPr>
              <w:t>昆仑人民医院</w:t>
            </w:r>
            <w:r>
              <w:rPr>
                <w:rFonts w:hint="eastAsia" w:cstheme="minorBidi"/>
                <w:i w:val="0"/>
                <w:iCs w:val="0"/>
                <w:color w:val="auto"/>
                <w:kern w:val="2"/>
                <w:sz w:val="24"/>
                <w:szCs w:val="22"/>
                <w:highlight w:val="none"/>
                <w:u w:val="single"/>
                <w:lang w:val="en-US" w:eastAsia="zh-CN" w:bidi="ar-SA"/>
              </w:rPr>
              <w:t>2025年</w:t>
            </w:r>
            <w:r>
              <w:rPr>
                <w:rFonts w:hint="eastAsia" w:ascii="宋体" w:hAnsi="宋体" w:eastAsia="宋体" w:cstheme="minorBidi"/>
                <w:i w:val="0"/>
                <w:iCs w:val="0"/>
                <w:color w:val="auto"/>
                <w:kern w:val="2"/>
                <w:sz w:val="24"/>
                <w:szCs w:val="22"/>
                <w:highlight w:val="none"/>
                <w:u w:val="single"/>
                <w:lang w:val="en-US" w:eastAsia="zh-CN" w:bidi="ar-SA"/>
              </w:rPr>
              <w:t>办公家具</w:t>
            </w:r>
            <w:r>
              <w:rPr>
                <w:rFonts w:hint="default" w:ascii="宋体" w:hAnsi="宋体" w:eastAsia="宋体" w:cstheme="minorBidi"/>
                <w:i w:val="0"/>
                <w:iCs w:val="0"/>
                <w:color w:val="auto"/>
                <w:kern w:val="2"/>
                <w:sz w:val="24"/>
                <w:szCs w:val="22"/>
                <w:highlight w:val="none"/>
                <w:u w:val="single"/>
                <w:lang w:val="en-US" w:eastAsia="zh-CN" w:bidi="ar-SA"/>
              </w:rPr>
              <w:t>采购项目</w:t>
            </w:r>
          </w:p>
          <w:p w14:paraId="69A5A4A2">
            <w:pPr>
              <w:pStyle w:val="44"/>
              <w:keepNext w:val="0"/>
              <w:keepLines w:val="0"/>
              <w:pageBreakBefore w:val="0"/>
              <w:kinsoku/>
              <w:wordWrap/>
              <w:overflowPunct/>
              <w:topLinePunct w:val="0"/>
              <w:bidi w:val="0"/>
              <w:snapToGrid/>
              <w:spacing w:beforeAutospacing="0" w:afterAutospacing="0" w:line="560" w:lineRule="exact"/>
              <w:ind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项目编号：B15SBJ[2025]1</w:t>
            </w:r>
            <w:r>
              <w:rPr>
                <w:rFonts w:hint="eastAsia"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en-US" w:eastAsia="zh-CN"/>
              </w:rPr>
              <w:t>号</w:t>
            </w:r>
          </w:p>
        </w:tc>
      </w:tr>
      <w:tr w14:paraId="55B486D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731"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0EBDEC06">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2</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7DA8CD19">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采购人</w:t>
            </w:r>
          </w:p>
        </w:tc>
        <w:tc>
          <w:tcPr>
            <w:tcW w:w="6983" w:type="dxa"/>
            <w:tcBorders>
              <w:top w:val="single" w:color="auto" w:sz="2" w:space="0"/>
              <w:left w:val="single" w:color="auto" w:sz="2" w:space="0"/>
              <w:bottom w:val="single" w:color="auto" w:sz="2" w:space="0"/>
              <w:right w:val="single" w:color="auto" w:sz="2" w:space="0"/>
            </w:tcBorders>
            <w:shd w:val="clear" w:color="auto" w:fill="auto"/>
            <w:vAlign w:val="center"/>
          </w:tcPr>
          <w:p w14:paraId="7D017EA9">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    称：草湖项目区昆仑人民医院</w:t>
            </w:r>
          </w:p>
          <w:p w14:paraId="72647F53">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    址：新疆维吾尔自治区图木舒克市草湖镇东江大道1号昆仑人民医院</w:t>
            </w:r>
          </w:p>
          <w:p w14:paraId="5E7B0EF5">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 系 人：娜迪热</w:t>
            </w:r>
          </w:p>
          <w:p w14:paraId="052008FF">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电话： 18899123203</w:t>
            </w:r>
          </w:p>
        </w:tc>
      </w:tr>
      <w:tr w14:paraId="0866B5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44C3604C">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3</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30E3A0DC">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采购代理机构</w:t>
            </w:r>
          </w:p>
        </w:tc>
        <w:tc>
          <w:tcPr>
            <w:tcW w:w="6983" w:type="dxa"/>
            <w:tcBorders>
              <w:top w:val="single" w:color="auto" w:sz="2" w:space="0"/>
              <w:left w:val="single" w:color="auto" w:sz="2" w:space="0"/>
              <w:bottom w:val="single" w:color="auto" w:sz="2" w:space="0"/>
              <w:right w:val="single" w:color="auto" w:sz="2" w:space="0"/>
            </w:tcBorders>
            <w:shd w:val="clear" w:color="auto" w:fill="auto"/>
            <w:vAlign w:val="center"/>
          </w:tcPr>
          <w:p w14:paraId="14D4E98D">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名称：草湖项目区公共资源交易中心</w:t>
            </w:r>
          </w:p>
          <w:p w14:paraId="5BAAA9C5">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地址：新疆维吾尔自治区图木舒克市草湖镇职工创业园</w:t>
            </w:r>
          </w:p>
          <w:p w14:paraId="3FBF857D">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联系人：</w:t>
            </w:r>
            <w:r>
              <w:rPr>
                <w:rFonts w:hint="eastAsia" w:cs="宋体"/>
                <w:i w:val="0"/>
                <w:iCs w:val="0"/>
                <w:color w:val="auto"/>
                <w:sz w:val="24"/>
                <w:szCs w:val="24"/>
                <w:highlight w:val="none"/>
                <w:lang w:val="en-US" w:eastAsia="zh-CN"/>
              </w:rPr>
              <w:t>冯宗琼</w:t>
            </w:r>
          </w:p>
          <w:p w14:paraId="3EA93989">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联系电话：</w:t>
            </w:r>
            <w:r>
              <w:rPr>
                <w:rFonts w:hint="eastAsia" w:cs="宋体"/>
                <w:i w:val="0"/>
                <w:iCs w:val="0"/>
                <w:color w:val="auto"/>
                <w:sz w:val="24"/>
                <w:szCs w:val="24"/>
                <w:highlight w:val="none"/>
                <w:lang w:val="en-US" w:eastAsia="zh-CN"/>
              </w:rPr>
              <w:t>15886887569</w:t>
            </w:r>
          </w:p>
          <w:p w14:paraId="78736C96">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电子邮件：</w:t>
            </w:r>
            <w:r>
              <w:rPr>
                <w:rFonts w:hint="eastAsia" w:cs="宋体"/>
                <w:i w:val="0"/>
                <w:iCs w:val="0"/>
                <w:color w:val="auto"/>
                <w:sz w:val="24"/>
                <w:szCs w:val="24"/>
                <w:highlight w:val="none"/>
                <w:lang w:val="en-US" w:eastAsia="zh-CN"/>
              </w:rPr>
              <w:t>2810523201@qq.com</w:t>
            </w:r>
          </w:p>
        </w:tc>
      </w:tr>
      <w:tr w14:paraId="09F2DED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79029A0A">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4</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11FDC15E">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监管部门</w:t>
            </w:r>
          </w:p>
        </w:tc>
        <w:tc>
          <w:tcPr>
            <w:tcW w:w="6983" w:type="dxa"/>
            <w:tcBorders>
              <w:top w:val="single" w:color="auto" w:sz="2" w:space="0"/>
              <w:left w:val="single" w:color="auto" w:sz="2" w:space="0"/>
              <w:bottom w:val="single" w:color="auto" w:sz="2" w:space="0"/>
              <w:right w:val="single" w:color="auto" w:sz="2" w:space="0"/>
            </w:tcBorders>
            <w:shd w:val="clear" w:color="auto" w:fill="auto"/>
            <w:vAlign w:val="center"/>
          </w:tcPr>
          <w:p w14:paraId="49DC5799">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名称：草湖项目区财政局</w:t>
            </w:r>
          </w:p>
          <w:p w14:paraId="5C782A72">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地址：新疆维吾尔自治区图木舒克市草湖镇</w:t>
            </w:r>
            <w:r>
              <w:rPr>
                <w:rFonts w:hint="eastAsia" w:cs="宋体"/>
                <w:i w:val="0"/>
                <w:iCs w:val="0"/>
                <w:color w:val="auto"/>
                <w:sz w:val="24"/>
                <w:szCs w:val="24"/>
                <w:highlight w:val="none"/>
                <w:lang w:val="en-US" w:eastAsia="zh-CN"/>
              </w:rPr>
              <w:t>六连s311省道14号</w:t>
            </w:r>
          </w:p>
          <w:p w14:paraId="53E10B85">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联系人：魏媛明</w:t>
            </w:r>
          </w:p>
          <w:p w14:paraId="3B070BD1">
            <w:pPr>
              <w:pStyle w:val="44"/>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电话：0998</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6371687</w:t>
            </w:r>
          </w:p>
        </w:tc>
      </w:tr>
      <w:tr w14:paraId="00CDAA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66D2FF53">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721" w:type="dxa"/>
            <w:tcBorders>
              <w:top w:val="single" w:color="auto" w:sz="2" w:space="0"/>
              <w:left w:val="single" w:color="auto" w:sz="2" w:space="0"/>
              <w:bottom w:val="single" w:color="auto" w:sz="2" w:space="0"/>
              <w:right w:val="single" w:color="auto" w:sz="2" w:space="0"/>
            </w:tcBorders>
            <w:vAlign w:val="center"/>
          </w:tcPr>
          <w:p w14:paraId="551BCB83">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核心产品</w:t>
            </w:r>
          </w:p>
        </w:tc>
        <w:tc>
          <w:tcPr>
            <w:tcW w:w="6983" w:type="dxa"/>
            <w:tcBorders>
              <w:top w:val="single" w:color="auto" w:sz="2" w:space="0"/>
              <w:left w:val="single" w:color="auto" w:sz="2" w:space="0"/>
              <w:bottom w:val="single" w:color="auto" w:sz="2" w:space="0"/>
              <w:right w:val="single" w:color="auto" w:sz="2" w:space="0"/>
            </w:tcBorders>
            <w:vAlign w:val="center"/>
          </w:tcPr>
          <w:p w14:paraId="0A60E333">
            <w:pPr>
              <w:pStyle w:val="44"/>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本项目第</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lang w:val="en-US" w:eastAsia="zh-CN"/>
              </w:rPr>
              <w:t xml:space="preserve">包不适用。 </w:t>
            </w:r>
          </w:p>
          <w:p w14:paraId="603E08B8">
            <w:pPr>
              <w:pStyle w:val="44"/>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本项目第</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lang w:val="en-US" w:eastAsia="zh-CN"/>
              </w:rPr>
              <w:t xml:space="preserve">包为单一产品采购项目。 </w:t>
            </w:r>
          </w:p>
          <w:p w14:paraId="61FC74A4">
            <w:pPr>
              <w:pStyle w:val="44"/>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本项目第</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lang w:val="en-US" w:eastAsia="zh-CN"/>
              </w:rPr>
              <w:t>包为非单一产品采购项目，其中核心产品为：</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w:t>
            </w:r>
          </w:p>
        </w:tc>
      </w:tr>
      <w:tr w14:paraId="1D8B4A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648EF93E">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w:t>
            </w:r>
          </w:p>
        </w:tc>
        <w:tc>
          <w:tcPr>
            <w:tcW w:w="1721" w:type="dxa"/>
            <w:tcBorders>
              <w:top w:val="single" w:color="auto" w:sz="2" w:space="0"/>
              <w:left w:val="single" w:color="auto" w:sz="2" w:space="0"/>
              <w:bottom w:val="single" w:color="auto" w:sz="2" w:space="0"/>
              <w:right w:val="single" w:color="auto" w:sz="2" w:space="0"/>
            </w:tcBorders>
            <w:vAlign w:val="center"/>
          </w:tcPr>
          <w:p w14:paraId="684D5D8B">
            <w:pPr>
              <w:keepNext w:val="0"/>
              <w:keepLines w:val="0"/>
              <w:widowControl/>
              <w:suppressLineNumbers w:val="0"/>
              <w:spacing w:line="24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科研仪器设备</w:t>
            </w:r>
          </w:p>
        </w:tc>
        <w:tc>
          <w:tcPr>
            <w:tcW w:w="6983" w:type="dxa"/>
            <w:tcBorders>
              <w:top w:val="single" w:color="auto" w:sz="2" w:space="0"/>
              <w:left w:val="single" w:color="auto" w:sz="2" w:space="0"/>
              <w:bottom w:val="single" w:color="auto" w:sz="2" w:space="0"/>
              <w:right w:val="single" w:color="auto" w:sz="2" w:space="0"/>
            </w:tcBorders>
            <w:vAlign w:val="center"/>
          </w:tcPr>
          <w:p w14:paraId="19FDECD0">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是否属于科研仪器设备采购项目： </w:t>
            </w:r>
          </w:p>
          <w:p w14:paraId="341E7760">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 xml:space="preserve">是 </w:t>
            </w:r>
          </w:p>
          <w:p w14:paraId="2C80CB22">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否</w:t>
            </w:r>
          </w:p>
        </w:tc>
      </w:tr>
      <w:tr w14:paraId="705471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2AEE4073">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.1</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71CF8DC6">
            <w:pPr>
              <w:pStyle w:val="44"/>
              <w:jc w:val="center"/>
              <w:rPr>
                <w:rFonts w:hint="eastAsia" w:ascii="宋体" w:hAnsi="宋体" w:eastAsia="宋体" w:cs="宋体"/>
                <w:color w:val="auto"/>
                <w:sz w:val="24"/>
                <w:szCs w:val="24"/>
                <w:highlight w:val="none"/>
              </w:rPr>
            </w:pPr>
            <w:bookmarkStart w:id="97" w:name="_Hlk143529175"/>
            <w:r>
              <w:rPr>
                <w:rFonts w:hint="eastAsia" w:ascii="宋体" w:hAnsi="宋体" w:eastAsia="宋体" w:cs="宋体"/>
                <w:color w:val="auto"/>
                <w:sz w:val="24"/>
                <w:szCs w:val="24"/>
                <w:highlight w:val="none"/>
              </w:rPr>
              <w:t>现场考察</w:t>
            </w:r>
            <w:bookmarkEnd w:id="97"/>
          </w:p>
        </w:tc>
        <w:tc>
          <w:tcPr>
            <w:tcW w:w="6983" w:type="dxa"/>
            <w:tcBorders>
              <w:top w:val="single" w:color="auto" w:sz="2" w:space="0"/>
              <w:left w:val="single" w:color="auto" w:sz="2" w:space="0"/>
              <w:bottom w:val="single" w:color="auto" w:sz="2" w:space="0"/>
              <w:right w:val="single" w:color="auto" w:sz="2" w:space="0"/>
            </w:tcBorders>
            <w:shd w:val="clear" w:color="auto" w:fill="auto"/>
            <w:vAlign w:val="center"/>
          </w:tcPr>
          <w:p w14:paraId="5E2B3EE4">
            <w:pPr>
              <w:pStyle w:val="44"/>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不组织，供应商自行前往</w:t>
            </w:r>
            <w:r>
              <w:rPr>
                <w:rFonts w:hint="eastAsia" w:ascii="宋体" w:hAnsi="宋体" w:eastAsia="宋体" w:cs="宋体"/>
                <w:color w:val="auto"/>
                <w:sz w:val="24"/>
                <w:szCs w:val="24"/>
                <w:highlight w:val="none"/>
                <w:lang w:eastAsia="zh-CN"/>
              </w:rPr>
              <w:t>。</w:t>
            </w:r>
          </w:p>
          <w:p w14:paraId="2238EF6A">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047A7004">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1520FC15">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5B8528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3AA490D3">
            <w:pPr>
              <w:pStyle w:val="44"/>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9.5</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06B687FF">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答疑会</w:t>
            </w:r>
          </w:p>
        </w:tc>
        <w:tc>
          <w:tcPr>
            <w:tcW w:w="6983" w:type="dxa"/>
            <w:tcBorders>
              <w:top w:val="single" w:color="auto" w:sz="2" w:space="0"/>
              <w:left w:val="single" w:color="auto" w:sz="2" w:space="0"/>
              <w:bottom w:val="single" w:color="auto" w:sz="2" w:space="0"/>
              <w:right w:val="single" w:color="auto" w:sz="2" w:space="0"/>
            </w:tcBorders>
            <w:shd w:val="clear" w:color="auto" w:fill="auto"/>
            <w:vAlign w:val="center"/>
          </w:tcPr>
          <w:p w14:paraId="2311FEB9">
            <w:pPr>
              <w:pStyle w:val="44"/>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w:t>
            </w:r>
          </w:p>
          <w:p w14:paraId="0460CD8F">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0485F5E8">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051C6642">
            <w:pPr>
              <w:pStyle w:val="44"/>
              <w:ind w:firstLine="240" w:firstLineChars="1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50FF56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6CBF1A30">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4A7BE250">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询问</w:t>
            </w:r>
          </w:p>
        </w:tc>
        <w:tc>
          <w:tcPr>
            <w:tcW w:w="6983" w:type="dxa"/>
            <w:tcBorders>
              <w:top w:val="single" w:color="auto" w:sz="2" w:space="0"/>
              <w:left w:val="single" w:color="auto" w:sz="2" w:space="0"/>
              <w:bottom w:val="single" w:color="auto" w:sz="2" w:space="0"/>
              <w:right w:val="single" w:color="auto" w:sz="2" w:space="0"/>
            </w:tcBorders>
            <w:vAlign w:val="center"/>
          </w:tcPr>
          <w:p w14:paraId="35CDAC39">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方式：</w:t>
            </w:r>
          </w:p>
          <w:p w14:paraId="7419497D">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在供应商客户端中按照格式填写询问函，并在生成询问函后加盖</w:t>
            </w:r>
            <w:r>
              <w:rPr>
                <w:rFonts w:hint="eastAsia" w:ascii="宋体" w:hAnsi="宋体" w:eastAsia="宋体" w:cs="宋体"/>
                <w:color w:val="auto"/>
                <w:sz w:val="24"/>
                <w:szCs w:val="24"/>
                <w:highlight w:val="none"/>
                <w:lang w:eastAsia="zh-CN"/>
              </w:rPr>
              <w:t>公章或</w:t>
            </w:r>
            <w:r>
              <w:rPr>
                <w:rFonts w:hint="eastAsia" w:ascii="宋体" w:hAnsi="宋体" w:eastAsia="宋体" w:cs="宋体"/>
                <w:color w:val="auto"/>
                <w:sz w:val="24"/>
                <w:szCs w:val="24"/>
                <w:highlight w:val="none"/>
              </w:rPr>
              <w:t>电子印章提交</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其他询问方式：</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p>
          <w:p w14:paraId="631C46F9">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p>
        </w:tc>
      </w:tr>
      <w:tr w14:paraId="4571B91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697CBDA8">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56E4A3E9">
            <w:pPr>
              <w:pStyle w:val="44"/>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响应文件有效期</w:t>
            </w:r>
          </w:p>
        </w:tc>
        <w:tc>
          <w:tcPr>
            <w:tcW w:w="6983" w:type="dxa"/>
            <w:tcBorders>
              <w:top w:val="single" w:color="auto" w:sz="2" w:space="0"/>
              <w:left w:val="single" w:color="auto" w:sz="2" w:space="0"/>
              <w:bottom w:val="single" w:color="auto" w:sz="2" w:space="0"/>
              <w:right w:val="single" w:color="auto" w:sz="2" w:space="0"/>
            </w:tcBorders>
            <w:vAlign w:val="center"/>
          </w:tcPr>
          <w:p w14:paraId="7A8404D2">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响应文件递交截止日期后</w:t>
            </w:r>
            <w:r>
              <w:rPr>
                <w:rFonts w:hint="eastAsia" w:ascii="宋体" w:hAnsi="宋体" w:eastAsia="宋体" w:cs="宋体"/>
                <w:color w:val="auto"/>
                <w:sz w:val="24"/>
                <w:szCs w:val="24"/>
                <w:highlight w:val="none"/>
                <w:u w:val="single"/>
              </w:rPr>
              <w:t>90</w:t>
            </w:r>
            <w:r>
              <w:rPr>
                <w:rFonts w:hint="eastAsia" w:ascii="宋体" w:hAnsi="宋体" w:eastAsia="宋体" w:cs="宋体"/>
                <w:color w:val="auto"/>
                <w:sz w:val="24"/>
                <w:szCs w:val="24"/>
                <w:highlight w:val="none"/>
              </w:rPr>
              <w:t>日历日。</w:t>
            </w:r>
          </w:p>
        </w:tc>
      </w:tr>
      <w:tr w14:paraId="49C77E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26C48057">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17.1</w:t>
            </w:r>
          </w:p>
        </w:tc>
        <w:tc>
          <w:tcPr>
            <w:tcW w:w="1721" w:type="dxa"/>
            <w:tcBorders>
              <w:top w:val="single" w:color="auto" w:sz="2" w:space="0"/>
              <w:left w:val="single" w:color="auto" w:sz="2" w:space="0"/>
              <w:bottom w:val="single" w:color="auto" w:sz="2" w:space="0"/>
              <w:right w:val="single" w:color="auto" w:sz="2" w:space="0"/>
            </w:tcBorders>
            <w:vAlign w:val="center"/>
          </w:tcPr>
          <w:p w14:paraId="60D2F551">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磋商保证金</w:t>
            </w:r>
          </w:p>
        </w:tc>
        <w:tc>
          <w:tcPr>
            <w:tcW w:w="6983" w:type="dxa"/>
            <w:tcBorders>
              <w:top w:val="single" w:color="auto" w:sz="2" w:space="0"/>
              <w:left w:val="single" w:color="auto" w:sz="2" w:space="0"/>
              <w:bottom w:val="single" w:color="auto" w:sz="2" w:space="0"/>
              <w:right w:val="single" w:color="auto" w:sz="2" w:space="0"/>
            </w:tcBorders>
            <w:vAlign w:val="center"/>
          </w:tcPr>
          <w:p w14:paraId="6A5BD78D">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1F705AC0">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5033BC8E">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预算金额</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eastAsia="zh-CN"/>
              </w:rPr>
              <w:t>。</w:t>
            </w:r>
          </w:p>
          <w:p w14:paraId="31FDD906">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ascii="宋体" w:hAnsi="宋体" w:eastAsia="宋体" w:cs="宋体"/>
                <w:color w:val="auto"/>
                <w:sz w:val="24"/>
                <w:szCs w:val="24"/>
                <w:highlight w:val="none"/>
                <w:u w:val="single"/>
              </w:rPr>
              <w:t xml:space="preserve">人民币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元</w:t>
            </w:r>
            <w:r>
              <w:rPr>
                <w:rFonts w:hint="eastAsia" w:ascii="宋体" w:hAnsi="宋体" w:eastAsia="宋体" w:cs="宋体"/>
                <w:color w:val="auto"/>
                <w:sz w:val="24"/>
                <w:szCs w:val="24"/>
                <w:highlight w:val="none"/>
                <w:lang w:eastAsia="zh-CN"/>
              </w:rPr>
              <w:t>。</w:t>
            </w:r>
          </w:p>
          <w:p w14:paraId="73F09281">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4077D0C0">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供应商可自主选择以支票、汇票、本票、电汇、转账、网银、保函等非现金形式缴纳或提交保证金。</w:t>
            </w:r>
          </w:p>
          <w:p w14:paraId="3BF881EC">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收取单位：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 xml:space="preserve">                           </w:t>
            </w:r>
          </w:p>
          <w:p w14:paraId="0D11824F">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4.收取账号：</w:t>
            </w:r>
            <w:r>
              <w:rPr>
                <w:rFonts w:hint="eastAsia" w:ascii="宋体" w:hAnsi="宋体" w:eastAsia="宋体" w:cs="宋体"/>
                <w:color w:val="auto"/>
                <w:sz w:val="24"/>
                <w:szCs w:val="24"/>
                <w:highlight w:val="none"/>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 xml:space="preserve">             </w:t>
            </w:r>
          </w:p>
          <w:p w14:paraId="1F174ACF">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退还时间：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 xml:space="preserve">              </w:t>
            </w:r>
          </w:p>
          <w:p w14:paraId="0C79EF6C">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注意事项：</w:t>
            </w:r>
          </w:p>
          <w:p w14:paraId="7CEAD366">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51E0176B">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保证金的，受益人和收取单位须为采购人。</w:t>
            </w:r>
          </w:p>
        </w:tc>
      </w:tr>
      <w:tr w14:paraId="7111AC9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97" w:hRule="atLeast"/>
        </w:trPr>
        <w:tc>
          <w:tcPr>
            <w:tcW w:w="970" w:type="dxa"/>
            <w:tcBorders>
              <w:top w:val="single" w:color="auto" w:sz="2" w:space="0"/>
              <w:left w:val="single" w:color="auto" w:sz="2" w:space="0"/>
              <w:bottom w:val="single" w:color="auto" w:sz="2" w:space="0"/>
              <w:right w:val="single" w:color="auto" w:sz="2" w:space="0"/>
            </w:tcBorders>
            <w:vAlign w:val="center"/>
          </w:tcPr>
          <w:p w14:paraId="61BD2EB4">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w:t>
            </w:r>
          </w:p>
        </w:tc>
        <w:tc>
          <w:tcPr>
            <w:tcW w:w="1721" w:type="dxa"/>
            <w:tcBorders>
              <w:top w:val="single" w:color="auto" w:sz="2" w:space="0"/>
              <w:left w:val="single" w:color="auto" w:sz="2" w:space="0"/>
              <w:bottom w:val="single" w:color="auto" w:sz="2" w:space="0"/>
              <w:right w:val="single" w:color="auto" w:sz="2" w:space="0"/>
            </w:tcBorders>
            <w:vAlign w:val="center"/>
          </w:tcPr>
          <w:p w14:paraId="5DF09144">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实物样品</w:t>
            </w:r>
          </w:p>
        </w:tc>
        <w:tc>
          <w:tcPr>
            <w:tcW w:w="6983" w:type="dxa"/>
            <w:tcBorders>
              <w:top w:val="single" w:color="auto" w:sz="2" w:space="0"/>
              <w:left w:val="single" w:color="auto" w:sz="2" w:space="0"/>
              <w:bottom w:val="single" w:color="auto" w:sz="2" w:space="0"/>
              <w:right w:val="single" w:color="auto" w:sz="2" w:space="0"/>
            </w:tcBorders>
            <w:vAlign w:val="center"/>
          </w:tcPr>
          <w:p w14:paraId="1A755E2A">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磋商样品递交： </w:t>
            </w:r>
          </w:p>
          <w:p w14:paraId="2DA6B3DD">
            <w:pPr>
              <w:pStyle w:val="44"/>
              <w:ind w:firstLine="240" w:firstLineChars="1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6CF1D977">
            <w:pPr>
              <w:pStyle w:val="44"/>
              <w:ind w:firstLine="240" w:firstLineChars="1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需要，具体要求如下： </w:t>
            </w:r>
          </w:p>
          <w:p w14:paraId="73C0D6A0">
            <w:pPr>
              <w:keepNext w:val="0"/>
              <w:keepLines w:val="0"/>
              <w:pageBreakBefore w:val="0"/>
              <w:numPr>
                <w:ilvl w:val="0"/>
                <w:numId w:val="0"/>
              </w:numPr>
              <w:kinsoku/>
              <w:wordWrap/>
              <w:overflowPunct/>
              <w:topLinePunct w:val="0"/>
              <w:autoSpaceDE/>
              <w:autoSpaceDN/>
              <w:bidi w:val="0"/>
              <w:adjustRightInd/>
              <w:snapToGrid/>
              <w:spacing w:line="500" w:lineRule="exact"/>
              <w:ind w:firstLine="240" w:firstLineChars="10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样品制作的标准和要求：</w:t>
            </w:r>
          </w:p>
          <w:p w14:paraId="1EEC0A74">
            <w:pPr>
              <w:keepNext w:val="0"/>
              <w:keepLines w:val="0"/>
              <w:pageBreakBefore w:val="0"/>
              <w:numPr>
                <w:ilvl w:val="0"/>
                <w:numId w:val="0"/>
              </w:numPr>
              <w:kinsoku/>
              <w:wordWrap/>
              <w:overflowPunct/>
              <w:topLinePunct w:val="0"/>
              <w:autoSpaceDE/>
              <w:autoSpaceDN/>
              <w:bidi w:val="0"/>
              <w:adjustRightInd/>
              <w:snapToGrid/>
              <w:spacing w:line="50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（1）样品封存，作为验货依据；</w:t>
            </w:r>
          </w:p>
          <w:p w14:paraId="3A9E4366">
            <w:pPr>
              <w:keepNext w:val="0"/>
              <w:keepLines w:val="0"/>
              <w:pageBreakBefore w:val="0"/>
              <w:numPr>
                <w:ilvl w:val="0"/>
                <w:numId w:val="0"/>
              </w:numPr>
              <w:kinsoku/>
              <w:wordWrap/>
              <w:overflowPunct/>
              <w:topLinePunct w:val="0"/>
              <w:autoSpaceDE/>
              <w:autoSpaceDN/>
              <w:bidi w:val="0"/>
              <w:adjustRightInd/>
              <w:snapToGrid/>
              <w:spacing w:line="50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（2）所有投标人提供的样品必须有生产厂家商标，如有举报或查实使用其他企业产品，或冒名顶替其他厂家产品参与投标，取消所有中标结果。</w:t>
            </w:r>
          </w:p>
          <w:p w14:paraId="23BD1F4B">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2.是否需要随样品提交相关检测报告： </w:t>
            </w:r>
          </w:p>
          <w:p w14:paraId="1C722A75">
            <w:pPr>
              <w:pStyle w:val="44"/>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□不需要 </w:t>
            </w:r>
          </w:p>
          <w:p w14:paraId="612E9C11">
            <w:pPr>
              <w:pStyle w:val="44"/>
              <w:ind w:firstLine="480" w:firstLineChars="2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需要 </w:t>
            </w:r>
          </w:p>
          <w:p w14:paraId="140A7E83">
            <w:pPr>
              <w:pStyle w:val="44"/>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3.样品递交要求：</w:t>
            </w:r>
          </w:p>
          <w:p w14:paraId="163503B2">
            <w:pPr>
              <w:pStyle w:val="44"/>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递交时间：</w:t>
            </w:r>
            <w:r>
              <w:rPr>
                <w:rFonts w:hint="eastAsia" w:cs="宋体"/>
                <w:color w:val="auto"/>
                <w:sz w:val="24"/>
                <w:szCs w:val="24"/>
                <w:highlight w:val="none"/>
                <w:u w:val="single"/>
                <w:lang w:val="en-US" w:eastAsia="zh-CN"/>
              </w:rPr>
              <w:t>2025年4月17日（北京时间13:00前）</w:t>
            </w:r>
            <w:r>
              <w:rPr>
                <w:rFonts w:hint="eastAsia" w:ascii="宋体" w:hAnsi="宋体" w:eastAsia="宋体" w:cs="宋体"/>
                <w:color w:val="auto"/>
                <w:sz w:val="24"/>
                <w:szCs w:val="24"/>
                <w:highlight w:val="none"/>
              </w:rPr>
              <w:t>，</w:t>
            </w:r>
          </w:p>
          <w:p w14:paraId="405BE77E">
            <w:pPr>
              <w:pStyle w:val="44"/>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草湖项目区昆仑人民医院指定地点</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，逾期提供的样品将不予接受。</w:t>
            </w:r>
            <w:r>
              <w:rPr>
                <w:rFonts w:hint="eastAsia" w:ascii="宋体" w:hAnsi="宋体" w:eastAsia="宋体" w:cs="宋体"/>
                <w:color w:val="auto"/>
                <w:sz w:val="24"/>
                <w:szCs w:val="24"/>
                <w:highlight w:val="none"/>
                <w:lang w:val="en-US" w:eastAsia="zh-CN"/>
              </w:rPr>
              <w:t xml:space="preserve"> </w:t>
            </w:r>
          </w:p>
          <w:p w14:paraId="66E8902D">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4.未中标人样品退还：</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自中标通知书发出之日起5个工作日内退还</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61DDB2E5">
            <w:pPr>
              <w:pStyle w:val="44"/>
              <w:ind w:firstLine="240" w:firstLineChars="1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5.中标人样品保管、封存及退还</w:t>
            </w:r>
            <w:r>
              <w:rPr>
                <w:rFonts w:hint="eastAsia" w:cs="宋体"/>
                <w:color w:val="auto"/>
                <w:sz w:val="24"/>
                <w:szCs w:val="24"/>
                <w:highlight w:val="none"/>
                <w:lang w:val="en-US" w:eastAsia="zh-CN"/>
              </w:rPr>
              <w:t>:</w:t>
            </w:r>
            <w:r>
              <w:rPr>
                <w:rFonts w:hint="eastAsia" w:cs="宋体"/>
                <w:color w:val="auto"/>
                <w:sz w:val="24"/>
                <w:szCs w:val="24"/>
                <w:highlight w:val="none"/>
                <w:u w:val="single"/>
                <w:lang w:val="en-US" w:eastAsia="zh-CN"/>
              </w:rPr>
              <w:t>签订合同验收货物后5个工作日内退还</w:t>
            </w:r>
            <w:r>
              <w:rPr>
                <w:rFonts w:hint="eastAsia" w:ascii="宋体" w:hAnsi="宋体" w:eastAsia="宋体" w:cs="宋体"/>
                <w:color w:val="auto"/>
                <w:sz w:val="24"/>
                <w:szCs w:val="24"/>
                <w:highlight w:val="none"/>
                <w:u w:val="single"/>
                <w:lang w:val="en-US" w:eastAsia="zh-CN"/>
              </w:rPr>
              <w:t xml:space="preserve"> ； </w:t>
            </w:r>
          </w:p>
          <w:p w14:paraId="6985B4A7">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6.其他要求（如有）：</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w:t>
            </w:r>
          </w:p>
        </w:tc>
      </w:tr>
      <w:tr w14:paraId="0492E4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073" w:hRule="atLeast"/>
        </w:trPr>
        <w:tc>
          <w:tcPr>
            <w:tcW w:w="970" w:type="dxa"/>
            <w:tcBorders>
              <w:top w:val="single" w:color="auto" w:sz="2" w:space="0"/>
              <w:left w:val="single" w:color="auto" w:sz="2" w:space="0"/>
              <w:bottom w:val="single" w:color="auto" w:sz="2" w:space="0"/>
              <w:right w:val="single" w:color="auto" w:sz="2" w:space="0"/>
            </w:tcBorders>
            <w:vAlign w:val="center"/>
          </w:tcPr>
          <w:p w14:paraId="733F5245">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w:t>
            </w:r>
          </w:p>
        </w:tc>
        <w:tc>
          <w:tcPr>
            <w:tcW w:w="1721" w:type="dxa"/>
            <w:tcBorders>
              <w:top w:val="single" w:color="auto" w:sz="2" w:space="0"/>
              <w:left w:val="single" w:color="auto" w:sz="2" w:space="0"/>
              <w:bottom w:val="single" w:color="auto" w:sz="2" w:space="0"/>
              <w:right w:val="single" w:color="auto" w:sz="2" w:space="0"/>
            </w:tcBorders>
            <w:vAlign w:val="center"/>
          </w:tcPr>
          <w:p w14:paraId="4ABD3E07">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w:t>
            </w:r>
          </w:p>
        </w:tc>
        <w:tc>
          <w:tcPr>
            <w:tcW w:w="6983" w:type="dxa"/>
            <w:tcBorders>
              <w:top w:val="single" w:color="auto" w:sz="2" w:space="0"/>
              <w:left w:val="single" w:color="auto" w:sz="2" w:space="0"/>
              <w:bottom w:val="single" w:color="auto" w:sz="2" w:space="0"/>
              <w:right w:val="single" w:color="auto" w:sz="2" w:space="0"/>
            </w:tcBorders>
            <w:vAlign w:val="center"/>
          </w:tcPr>
          <w:p w14:paraId="2F127983">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不进行</w:t>
            </w:r>
          </w:p>
          <w:p w14:paraId="3E1D5472">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进行，远程线上演示/现场演示</w:t>
            </w:r>
          </w:p>
          <w:p w14:paraId="78D358FD">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1.演示时间不得超过</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 xml:space="preserve"> 分钟。</w:t>
            </w:r>
          </w:p>
          <w:p w14:paraId="4FF9BE53">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2.进行远程线上演示的，供应商应提前自行准备好演示的软硬配置环境和网络环境，做好演示的各项准备工作。因供应商自身原因无法演示或者演示效果不理想的，导致的后果由供应商自行承担。</w:t>
            </w:r>
          </w:p>
          <w:p w14:paraId="727E4770">
            <w:pPr>
              <w:pStyle w:val="44"/>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3.进行现场演示的，演示人员不得超过</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人，演示现场提供</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 xml:space="preserve"> 。</w:t>
            </w:r>
          </w:p>
        </w:tc>
      </w:tr>
      <w:tr w14:paraId="4181FF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14" w:hRule="atLeast"/>
        </w:trPr>
        <w:tc>
          <w:tcPr>
            <w:tcW w:w="970" w:type="dxa"/>
            <w:tcBorders>
              <w:top w:val="single" w:color="auto" w:sz="2" w:space="0"/>
              <w:left w:val="single" w:color="auto" w:sz="2" w:space="0"/>
              <w:bottom w:val="single" w:color="auto" w:sz="2" w:space="0"/>
              <w:right w:val="single" w:color="auto" w:sz="2" w:space="0"/>
            </w:tcBorders>
            <w:vAlign w:val="center"/>
          </w:tcPr>
          <w:p w14:paraId="75DCCD86">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25.2</w:t>
            </w:r>
          </w:p>
        </w:tc>
        <w:tc>
          <w:tcPr>
            <w:tcW w:w="1721" w:type="dxa"/>
            <w:tcBorders>
              <w:top w:val="single" w:color="auto" w:sz="2" w:space="0"/>
              <w:left w:val="single" w:color="auto" w:sz="2" w:space="0"/>
              <w:bottom w:val="single" w:color="auto" w:sz="2" w:space="0"/>
              <w:right w:val="single" w:color="auto" w:sz="2" w:space="0"/>
            </w:tcBorders>
            <w:vAlign w:val="center"/>
          </w:tcPr>
          <w:p w14:paraId="747E8F82">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解密响应文件的时限</w:t>
            </w:r>
          </w:p>
        </w:tc>
        <w:tc>
          <w:tcPr>
            <w:tcW w:w="6983" w:type="dxa"/>
            <w:tcBorders>
              <w:top w:val="single" w:color="auto" w:sz="2" w:space="0"/>
              <w:left w:val="single" w:color="auto" w:sz="2" w:space="0"/>
              <w:bottom w:val="single" w:color="auto" w:sz="2" w:space="0"/>
              <w:right w:val="single" w:color="auto" w:sz="2" w:space="0"/>
            </w:tcBorders>
            <w:vAlign w:val="center"/>
          </w:tcPr>
          <w:p w14:paraId="023E6148">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不见面开标默认解密时长：</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30</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 </w:t>
            </w:r>
          </w:p>
          <w:p w14:paraId="608EF5D4">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rPr>
              <w:t>除因交易平台发生故障导致响应文件无法按时解密外，响应文件未按时解密的，视为未按规定提交响应文件</w:t>
            </w:r>
            <w:r>
              <w:rPr>
                <w:rFonts w:hint="eastAsia" w:ascii="宋体" w:hAnsi="宋体" w:eastAsia="宋体" w:cs="宋体"/>
                <w:color w:val="auto"/>
                <w:sz w:val="24"/>
                <w:szCs w:val="24"/>
                <w:highlight w:val="none"/>
                <w:lang w:eastAsia="zh-CN"/>
              </w:rPr>
              <w:t>，响应无效。</w:t>
            </w:r>
          </w:p>
        </w:tc>
      </w:tr>
      <w:tr w14:paraId="55F302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38" w:hRule="atLeast"/>
        </w:trPr>
        <w:tc>
          <w:tcPr>
            <w:tcW w:w="970" w:type="dxa"/>
            <w:tcBorders>
              <w:top w:val="single" w:color="auto" w:sz="2" w:space="0"/>
              <w:left w:val="single" w:color="auto" w:sz="2" w:space="0"/>
              <w:bottom w:val="single" w:color="auto" w:sz="2" w:space="0"/>
              <w:right w:val="single" w:color="auto" w:sz="2" w:space="0"/>
            </w:tcBorders>
            <w:vAlign w:val="center"/>
          </w:tcPr>
          <w:p w14:paraId="0A512A01">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29.2</w:t>
            </w:r>
          </w:p>
        </w:tc>
        <w:tc>
          <w:tcPr>
            <w:tcW w:w="1721" w:type="dxa"/>
            <w:tcBorders>
              <w:top w:val="single" w:color="auto" w:sz="2" w:space="0"/>
              <w:left w:val="single" w:color="auto" w:sz="2" w:space="0"/>
              <w:bottom w:val="single" w:color="auto" w:sz="2" w:space="0"/>
              <w:right w:val="single" w:color="auto" w:sz="2" w:space="0"/>
            </w:tcBorders>
            <w:vAlign w:val="center"/>
          </w:tcPr>
          <w:p w14:paraId="3B1D8DC9">
            <w:pPr>
              <w:pStyle w:val="44"/>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推荐成交候选供应商</w:t>
            </w:r>
          </w:p>
        </w:tc>
        <w:tc>
          <w:tcPr>
            <w:tcW w:w="6983" w:type="dxa"/>
            <w:tcBorders>
              <w:top w:val="single" w:color="auto" w:sz="2" w:space="0"/>
              <w:left w:val="single" w:color="auto" w:sz="2" w:space="0"/>
              <w:bottom w:val="single" w:color="auto" w:sz="2" w:space="0"/>
              <w:right w:val="single" w:color="auto" w:sz="2" w:space="0"/>
            </w:tcBorders>
            <w:vAlign w:val="center"/>
          </w:tcPr>
          <w:p w14:paraId="67201373">
            <w:pPr>
              <w:pStyle w:val="44"/>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成交候选供应商数量</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家</w:t>
            </w:r>
          </w:p>
        </w:tc>
      </w:tr>
      <w:tr w14:paraId="15B571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060" w:hRule="atLeast"/>
        </w:trPr>
        <w:tc>
          <w:tcPr>
            <w:tcW w:w="970" w:type="dxa"/>
            <w:tcBorders>
              <w:top w:val="single" w:color="auto" w:sz="2" w:space="0"/>
              <w:left w:val="single" w:color="auto" w:sz="2" w:space="0"/>
              <w:bottom w:val="single" w:color="auto" w:sz="2" w:space="0"/>
              <w:right w:val="single" w:color="auto" w:sz="2" w:space="0"/>
            </w:tcBorders>
            <w:vAlign w:val="center"/>
          </w:tcPr>
          <w:p w14:paraId="37AC9C03">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7F769072">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确定成交供应商</w:t>
            </w:r>
          </w:p>
        </w:tc>
        <w:tc>
          <w:tcPr>
            <w:tcW w:w="6983" w:type="dxa"/>
            <w:tcBorders>
              <w:top w:val="single" w:color="auto" w:sz="2" w:space="0"/>
              <w:left w:val="single" w:color="auto" w:sz="2" w:space="0"/>
              <w:bottom w:val="single" w:color="auto" w:sz="2" w:space="0"/>
              <w:right w:val="single" w:color="auto" w:sz="2" w:space="0"/>
            </w:tcBorders>
            <w:vAlign w:val="center"/>
          </w:tcPr>
          <w:p w14:paraId="77284D4E">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lang w:eastAsia="zh-CN"/>
              </w:rPr>
              <w:t>在</w:t>
            </w:r>
            <w:r>
              <w:rPr>
                <w:rFonts w:hint="eastAsia" w:ascii="宋体" w:hAnsi="宋体" w:eastAsia="宋体" w:cs="宋体"/>
                <w:color w:val="auto"/>
                <w:sz w:val="24"/>
                <w:szCs w:val="24"/>
                <w:highlight w:val="none"/>
              </w:rPr>
              <w:t>收到评审报告后5个工作日内，按评审报告中推荐的成交候选人排序确定成交供应商。</w:t>
            </w:r>
          </w:p>
          <w:p w14:paraId="20F6D23A">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采购人委托磋商小组直接确定成交供应商。</w:t>
            </w:r>
          </w:p>
        </w:tc>
      </w:tr>
      <w:tr w14:paraId="024268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027ED33D">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6AB44AED">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6983" w:type="dxa"/>
            <w:tcBorders>
              <w:top w:val="single" w:color="auto" w:sz="2" w:space="0"/>
              <w:left w:val="single" w:color="auto" w:sz="2" w:space="0"/>
              <w:bottom w:val="single" w:color="auto" w:sz="2" w:space="0"/>
              <w:right w:val="single" w:color="auto" w:sz="2" w:space="0"/>
            </w:tcBorders>
            <w:vAlign w:val="center"/>
          </w:tcPr>
          <w:p w14:paraId="790E0B45">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31157547">
            <w:pPr>
              <w:pStyle w:val="44"/>
              <w:ind w:firstLine="240" w:firstLineChars="100"/>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1B5A19AA">
            <w:pPr>
              <w:pStyle w:val="44"/>
              <w:ind w:firstLine="240" w:firstLineChars="100"/>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合同价的</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49B6D208">
            <w:pPr>
              <w:pStyle w:val="44"/>
              <w:ind w:firstLine="240" w:firstLineChars="100"/>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cs="宋体"/>
                <w:color w:val="auto"/>
                <w:sz w:val="24"/>
                <w:szCs w:val="24"/>
                <w:highlight w:val="none"/>
                <w:u w:val="single"/>
                <w:lang w:val="en-US" w:eastAsia="zh-CN"/>
              </w:rPr>
              <w:t xml:space="preserve"> 5万元 </w:t>
            </w:r>
          </w:p>
          <w:p w14:paraId="52DC4B48">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63ACCF21">
            <w:pPr>
              <w:pStyle w:val="57"/>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供应商可自主选择以支票、汇票、本票、电汇、转账、网银、保函等非现金形式缴纳或提交保证金。</w:t>
            </w:r>
          </w:p>
          <w:p w14:paraId="412117C6">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收取单位：                            </w:t>
            </w:r>
          </w:p>
          <w:p w14:paraId="2664878C">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4.收取账号：</w:t>
            </w:r>
            <w:r>
              <w:rPr>
                <w:rFonts w:hint="eastAsia" w:ascii="宋体" w:hAnsi="宋体" w:eastAsia="宋体" w:cs="宋体"/>
                <w:color w:val="auto"/>
                <w:sz w:val="24"/>
                <w:szCs w:val="24"/>
                <w:highlight w:val="none"/>
              </w:rPr>
              <w:t xml:space="preserve">              </w:t>
            </w:r>
          </w:p>
          <w:p w14:paraId="70C3B21D">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退还时间：              </w:t>
            </w:r>
          </w:p>
          <w:p w14:paraId="22C7C956">
            <w:pPr>
              <w:pStyle w:val="44"/>
              <w:rPr>
                <w:rFonts w:hint="eastAsia" w:ascii="宋体" w:hAnsi="宋体" w:eastAsia="宋体" w:cs="宋体"/>
                <w:b/>
                <w:bCs/>
                <w:color w:val="auto"/>
                <w:sz w:val="24"/>
                <w:szCs w:val="24"/>
                <w:highlight w:val="none"/>
              </w:rPr>
            </w:pPr>
          </w:p>
          <w:p w14:paraId="151176AB">
            <w:pPr>
              <w:pStyle w:val="44"/>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p w14:paraId="64BE45E6">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28DC084A">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以担保函、保证保险形式缴纳履约保证金的，受益人和收取单位须为采购人。</w:t>
            </w:r>
          </w:p>
        </w:tc>
      </w:tr>
      <w:tr w14:paraId="64B5E43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0861755C">
            <w:pPr>
              <w:pStyle w:val="44"/>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34.5</w:t>
            </w:r>
          </w:p>
        </w:tc>
        <w:tc>
          <w:tcPr>
            <w:tcW w:w="1721" w:type="dxa"/>
            <w:tcBorders>
              <w:top w:val="single" w:color="auto" w:sz="2" w:space="0"/>
              <w:left w:val="single" w:color="auto" w:sz="2" w:space="0"/>
              <w:bottom w:val="single" w:color="auto" w:sz="2" w:space="0"/>
              <w:right w:val="single" w:color="auto" w:sz="2" w:space="0"/>
            </w:tcBorders>
            <w:vAlign w:val="center"/>
          </w:tcPr>
          <w:p w14:paraId="04D9510B">
            <w:pPr>
              <w:pStyle w:val="44"/>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合同分包</w:t>
            </w:r>
          </w:p>
        </w:tc>
        <w:tc>
          <w:tcPr>
            <w:tcW w:w="6983" w:type="dxa"/>
            <w:tcBorders>
              <w:top w:val="single" w:color="auto" w:sz="2" w:space="0"/>
              <w:left w:val="single" w:color="auto" w:sz="2" w:space="0"/>
              <w:bottom w:val="single" w:color="auto" w:sz="2" w:space="0"/>
              <w:right w:val="single" w:color="auto" w:sz="2" w:space="0"/>
            </w:tcBorders>
            <w:vAlign w:val="center"/>
          </w:tcPr>
          <w:p w14:paraId="4344EC45">
            <w:pPr>
              <w:pStyle w:val="44"/>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本项目的非主体、非关键性工作是否允许分包： </w:t>
            </w:r>
          </w:p>
          <w:p w14:paraId="3D901FC0">
            <w:pPr>
              <w:pStyle w:val="44"/>
              <w:ind w:firstLine="240" w:firstLineChars="100"/>
              <w:rPr>
                <w:rFonts w:hint="eastAsia"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 xml:space="preserve">不允许 </w:t>
            </w:r>
          </w:p>
          <w:p w14:paraId="56DFA0F7">
            <w:pPr>
              <w:pStyle w:val="44"/>
              <w:ind w:firstLine="240" w:firstLineChars="1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□允许，具体要求： </w:t>
            </w:r>
          </w:p>
          <w:p w14:paraId="6C445FF2">
            <w:pPr>
              <w:pStyle w:val="44"/>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1.可以分包履行的具体内容：</w:t>
            </w:r>
            <w:r>
              <w:rPr>
                <w:rFonts w:hint="eastAsia" w:ascii="宋体" w:hAnsi="宋体" w:eastAsia="宋体" w:cs="宋体"/>
                <w:color w:val="auto"/>
                <w:kern w:val="2"/>
                <w:sz w:val="24"/>
                <w:szCs w:val="24"/>
                <w:highlight w:val="none"/>
                <w:u w:val="single"/>
                <w:lang w:val="en-US" w:eastAsia="zh-CN" w:bidi="ar-SA"/>
              </w:rPr>
              <w:t xml:space="preserve">           </w:t>
            </w:r>
            <w:r>
              <w:rPr>
                <w:rFonts w:hint="eastAsia" w:cs="宋体"/>
                <w:color w:val="auto"/>
                <w:kern w:val="2"/>
                <w:sz w:val="24"/>
                <w:szCs w:val="24"/>
                <w:highlight w:val="none"/>
                <w:u w:val="single"/>
                <w:lang w:val="en-US" w:eastAsia="zh-CN" w:bidi="ar-SA"/>
              </w:rPr>
              <w:t>/</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w:t>
            </w:r>
          </w:p>
          <w:p w14:paraId="71BE067E">
            <w:pPr>
              <w:pStyle w:val="44"/>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2.允许分包的金额或者比例：</w:t>
            </w:r>
            <w:r>
              <w:rPr>
                <w:rFonts w:hint="eastAsia" w:ascii="宋体" w:hAnsi="宋体" w:eastAsia="宋体" w:cs="宋体"/>
                <w:color w:val="auto"/>
                <w:kern w:val="2"/>
                <w:sz w:val="24"/>
                <w:szCs w:val="24"/>
                <w:highlight w:val="none"/>
                <w:u w:val="single"/>
                <w:lang w:val="en-US" w:eastAsia="zh-CN" w:bidi="ar-SA"/>
              </w:rPr>
              <w:t xml:space="preserve">          </w:t>
            </w:r>
            <w:r>
              <w:rPr>
                <w:rFonts w:hint="eastAsia" w:cs="宋体"/>
                <w:color w:val="auto"/>
                <w:kern w:val="2"/>
                <w:sz w:val="24"/>
                <w:szCs w:val="24"/>
                <w:highlight w:val="none"/>
                <w:u w:val="single"/>
                <w:lang w:val="en-US" w:eastAsia="zh-CN" w:bidi="ar-SA"/>
              </w:rPr>
              <w:t>/</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w:t>
            </w:r>
          </w:p>
          <w:p w14:paraId="3628979B">
            <w:pPr>
              <w:pStyle w:val="44"/>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3.其他要求：</w:t>
            </w:r>
            <w:r>
              <w:rPr>
                <w:rFonts w:hint="eastAsia" w:ascii="宋体" w:hAnsi="宋体" w:eastAsia="宋体" w:cs="宋体"/>
                <w:color w:val="auto"/>
                <w:kern w:val="2"/>
                <w:sz w:val="24"/>
                <w:szCs w:val="24"/>
                <w:highlight w:val="none"/>
                <w:u w:val="single"/>
                <w:lang w:val="en-US" w:eastAsia="zh-CN" w:bidi="ar-SA"/>
              </w:rPr>
              <w:t xml:space="preserve">                      </w:t>
            </w:r>
            <w:r>
              <w:rPr>
                <w:rFonts w:hint="eastAsia" w:cs="宋体"/>
                <w:color w:val="auto"/>
                <w:kern w:val="2"/>
                <w:sz w:val="24"/>
                <w:szCs w:val="24"/>
                <w:highlight w:val="none"/>
                <w:u w:val="single"/>
                <w:lang w:val="en-US" w:eastAsia="zh-CN" w:bidi="ar-SA"/>
              </w:rPr>
              <w:t>/</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w:t>
            </w:r>
          </w:p>
        </w:tc>
      </w:tr>
      <w:tr w14:paraId="749FBCF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F3EF9C4">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w:t>
            </w:r>
          </w:p>
        </w:tc>
        <w:tc>
          <w:tcPr>
            <w:tcW w:w="1721" w:type="dxa"/>
            <w:tcBorders>
              <w:top w:val="single" w:color="auto" w:sz="2" w:space="0"/>
              <w:left w:val="single" w:color="auto" w:sz="2" w:space="0"/>
              <w:bottom w:val="single" w:color="auto" w:sz="2" w:space="0"/>
              <w:right w:val="single" w:color="auto" w:sz="2" w:space="0"/>
            </w:tcBorders>
            <w:vAlign w:val="center"/>
          </w:tcPr>
          <w:p w14:paraId="66EBB004">
            <w:pPr>
              <w:pStyle w:val="44"/>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质疑</w:t>
            </w:r>
          </w:p>
        </w:tc>
        <w:tc>
          <w:tcPr>
            <w:tcW w:w="6983" w:type="dxa"/>
            <w:tcBorders>
              <w:top w:val="single" w:color="auto" w:sz="2" w:space="0"/>
              <w:left w:val="single" w:color="auto" w:sz="2" w:space="0"/>
              <w:bottom w:val="single" w:color="auto" w:sz="2" w:space="0"/>
              <w:right w:val="single" w:color="auto" w:sz="2" w:space="0"/>
            </w:tcBorders>
            <w:vAlign w:val="center"/>
          </w:tcPr>
          <w:p w14:paraId="6616D79E">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1.供应商认为采购文件、采购过程、中标或者成交结果使自己的权益受到损害的，可以在知道或者应知其权益受到损害之日起7个工作日内，以书面形式向采购人、采购代理机构提出质疑。</w:t>
            </w:r>
          </w:p>
          <w:p w14:paraId="1E7FED9A">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2.供应商在法定质疑期内必须一次性提出针对同一采购程序环节的质疑。</w:t>
            </w:r>
          </w:p>
          <w:p w14:paraId="00183726">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3.质疑供应商应按照财政部制定的《政府采购质疑函范本》格式10（可从财政部官方网站下载）和《政府采购质疑和投诉办法》（财政部令第94号）的要求，在法定质疑期内以书面形式提出质疑。 </w:t>
            </w:r>
          </w:p>
          <w:p w14:paraId="482A06FA">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4.超出法定质疑期、重复或分次提出的、内容或形式不符合《政府采购质疑和投诉办法》规定的质疑将被拒绝。 </w:t>
            </w:r>
          </w:p>
          <w:p w14:paraId="3B2B6F0B">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5.依据：《中华人民共和国政府采购法》第五十二条、《中华人民共和国政府采购法实施条例》第五十三条规定的供应商应知其权益受到损害之日，是指：(1）对可以质疑的采购文件提出质疑的，为收到采购文件之日或者采购文件公告期限届满之日；(2）对采购过程提出质疑的，为各采购程序环节结束之日；(3）对中标或者成交结果提出质疑的，为中标或者成交结果公告期限届满之日。逾期送达，不予受理。</w:t>
            </w:r>
          </w:p>
          <w:p w14:paraId="5CA6088F">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6.澄清、修改文件发出后（若有），供应商必须使用最新的澄清文件制作电子响应文件。</w:t>
            </w:r>
          </w:p>
          <w:p w14:paraId="20FBAF5B">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7.采购代理机构质疑函接收部门、联系电话：</w:t>
            </w:r>
          </w:p>
          <w:p w14:paraId="6F4EEFE8">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接收部门：</w:t>
            </w:r>
            <w:r>
              <w:rPr>
                <w:rFonts w:hint="eastAsia" w:ascii="宋体" w:hAnsi="宋体" w:cs="宋体"/>
                <w:color w:val="auto"/>
                <w:kern w:val="2"/>
                <w:sz w:val="24"/>
                <w:szCs w:val="24"/>
                <w:highlight w:val="none"/>
                <w:lang w:val="en-US" w:eastAsia="zh-CN" w:bidi="ar-SA"/>
              </w:rPr>
              <w:t>草湖项目区公共资源交易中心</w:t>
            </w:r>
          </w:p>
          <w:p w14:paraId="176B07F9">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联系人：</w:t>
            </w:r>
            <w:r>
              <w:rPr>
                <w:rFonts w:hint="eastAsia" w:ascii="宋体" w:hAnsi="宋体" w:cs="宋体"/>
                <w:color w:val="auto"/>
                <w:kern w:val="2"/>
                <w:sz w:val="24"/>
                <w:szCs w:val="24"/>
                <w:highlight w:val="none"/>
                <w:lang w:val="en-US" w:eastAsia="zh-CN" w:bidi="ar-SA"/>
              </w:rPr>
              <w:t>冯宗琼</w:t>
            </w:r>
          </w:p>
          <w:p w14:paraId="11ECCEDB">
            <w:pPr>
              <w:pStyle w:val="52"/>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联系电话：</w:t>
            </w:r>
            <w:r>
              <w:rPr>
                <w:rFonts w:hint="eastAsia" w:ascii="宋体" w:hAnsi="宋体" w:cs="宋体"/>
                <w:color w:val="auto"/>
                <w:kern w:val="2"/>
                <w:sz w:val="24"/>
                <w:szCs w:val="24"/>
                <w:highlight w:val="none"/>
                <w:lang w:val="en-US" w:eastAsia="zh-CN" w:bidi="ar-SA"/>
              </w:rPr>
              <w:t>15886887569</w:t>
            </w:r>
          </w:p>
          <w:p w14:paraId="1AFDAD29">
            <w:pPr>
              <w:pStyle w:val="52"/>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地址：</w:t>
            </w:r>
            <w:r>
              <w:rPr>
                <w:rFonts w:hint="eastAsia" w:ascii="宋体" w:hAnsi="宋体" w:eastAsia="宋体" w:cs="宋体"/>
                <w:i w:val="0"/>
                <w:iCs w:val="0"/>
                <w:color w:val="auto"/>
                <w:sz w:val="24"/>
                <w:szCs w:val="24"/>
                <w:highlight w:val="none"/>
                <w:lang w:val="en-US" w:eastAsia="zh-CN"/>
              </w:rPr>
              <w:t>新疆维吾尔自治区图木舒克市</w:t>
            </w:r>
            <w:r>
              <w:rPr>
                <w:rFonts w:hint="eastAsia" w:ascii="宋体" w:hAnsi="宋体" w:cs="宋体"/>
                <w:i w:val="0"/>
                <w:iCs w:val="0"/>
                <w:color w:val="auto"/>
                <w:sz w:val="24"/>
                <w:szCs w:val="24"/>
                <w:highlight w:val="none"/>
                <w:lang w:val="en-US" w:eastAsia="zh-CN"/>
              </w:rPr>
              <w:t>41团</w:t>
            </w:r>
            <w:r>
              <w:rPr>
                <w:rFonts w:hint="eastAsia" w:ascii="宋体" w:hAnsi="宋体" w:eastAsia="宋体" w:cs="宋体"/>
                <w:i w:val="0"/>
                <w:iCs w:val="0"/>
                <w:color w:val="auto"/>
                <w:sz w:val="24"/>
                <w:szCs w:val="24"/>
                <w:highlight w:val="none"/>
                <w:lang w:val="en-US" w:eastAsia="zh-CN"/>
              </w:rPr>
              <w:t>草湖镇职工创业园</w:t>
            </w:r>
            <w:r>
              <w:rPr>
                <w:rFonts w:hint="eastAsia" w:ascii="宋体" w:hAnsi="宋体" w:cs="宋体"/>
                <w:i w:val="0"/>
                <w:iCs w:val="0"/>
                <w:color w:val="auto"/>
                <w:sz w:val="24"/>
                <w:szCs w:val="24"/>
                <w:highlight w:val="none"/>
                <w:lang w:val="en-US" w:eastAsia="zh-CN"/>
              </w:rPr>
              <w:t>草湖项目区公共资源交易中心</w:t>
            </w:r>
            <w:r>
              <w:rPr>
                <w:rFonts w:hint="eastAsia" w:ascii="宋体" w:hAnsi="宋体" w:eastAsia="宋体" w:cs="宋体"/>
                <w:color w:val="auto"/>
                <w:kern w:val="2"/>
                <w:sz w:val="24"/>
                <w:szCs w:val="24"/>
                <w:highlight w:val="none"/>
                <w:lang w:val="zh-CN" w:eastAsia="zh-CN" w:bidi="ar-SA"/>
              </w:rPr>
              <w:t xml:space="preserve"> </w:t>
            </w:r>
          </w:p>
        </w:tc>
      </w:tr>
      <w:tr w14:paraId="33386A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465" w:hRule="atLeast"/>
        </w:trPr>
        <w:tc>
          <w:tcPr>
            <w:tcW w:w="970" w:type="dxa"/>
            <w:tcBorders>
              <w:top w:val="single" w:color="auto" w:sz="2" w:space="0"/>
              <w:left w:val="single" w:color="auto" w:sz="2" w:space="0"/>
              <w:bottom w:val="single" w:color="auto" w:sz="2" w:space="0"/>
              <w:right w:val="single" w:color="auto" w:sz="2" w:space="0"/>
            </w:tcBorders>
            <w:vAlign w:val="center"/>
          </w:tcPr>
          <w:p w14:paraId="0B4B8253">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620FF725">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采购代理服务费收取方式和标准</w:t>
            </w:r>
          </w:p>
        </w:tc>
        <w:tc>
          <w:tcPr>
            <w:tcW w:w="6983" w:type="dxa"/>
            <w:tcBorders>
              <w:top w:val="single" w:color="auto" w:sz="2" w:space="0"/>
              <w:left w:val="single" w:color="auto" w:sz="2" w:space="0"/>
              <w:bottom w:val="single" w:color="auto" w:sz="2" w:space="0"/>
              <w:right w:val="single" w:color="auto" w:sz="2" w:space="0"/>
            </w:tcBorders>
            <w:vAlign w:val="center"/>
          </w:tcPr>
          <w:p w14:paraId="50481589">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收</w:t>
            </w:r>
            <w:r>
              <w:rPr>
                <w:rFonts w:hint="eastAsia" w:ascii="宋体" w:hAnsi="宋体" w:eastAsia="宋体" w:cs="宋体"/>
                <w:color w:val="auto"/>
                <w:sz w:val="24"/>
                <w:szCs w:val="24"/>
                <w:highlight w:val="none"/>
              </w:rPr>
              <w:t>费</w:t>
            </w:r>
            <w:r>
              <w:rPr>
                <w:rFonts w:hint="eastAsia" w:ascii="宋体" w:hAnsi="宋体" w:eastAsia="宋体" w:cs="宋体"/>
                <w:color w:val="auto"/>
                <w:sz w:val="24"/>
                <w:szCs w:val="24"/>
                <w:highlight w:val="none"/>
                <w:lang w:val="en-US" w:eastAsia="zh-CN"/>
              </w:rPr>
              <w:t>对象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采购人支付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 xml:space="preserve">人支付 </w:t>
            </w:r>
          </w:p>
          <w:p w14:paraId="4710D0C3">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收费</w:t>
            </w:r>
            <w:r>
              <w:rPr>
                <w:rFonts w:hint="eastAsia" w:ascii="宋体" w:hAnsi="宋体" w:eastAsia="宋体" w:cs="宋体"/>
                <w:color w:val="auto"/>
                <w:sz w:val="24"/>
                <w:szCs w:val="24"/>
                <w:highlight w:val="none"/>
              </w:rPr>
              <w:t>标准：</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p>
          <w:p w14:paraId="7984F9E6">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p>
          <w:p w14:paraId="624D4904">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p>
        </w:tc>
      </w:tr>
      <w:tr w14:paraId="399E08F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14" w:hRule="atLeast"/>
        </w:trPr>
        <w:tc>
          <w:tcPr>
            <w:tcW w:w="970" w:type="dxa"/>
            <w:tcBorders>
              <w:top w:val="single" w:color="auto" w:sz="2" w:space="0"/>
              <w:left w:val="single" w:color="auto" w:sz="2" w:space="0"/>
              <w:bottom w:val="single" w:color="auto" w:sz="2" w:space="0"/>
              <w:right w:val="single" w:color="auto" w:sz="2" w:space="0"/>
            </w:tcBorders>
            <w:vAlign w:val="center"/>
          </w:tcPr>
          <w:p w14:paraId="0A071A53">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vAlign w:val="center"/>
          </w:tcPr>
          <w:p w14:paraId="1785FF1B">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是否接受进口产品</w:t>
            </w:r>
          </w:p>
        </w:tc>
        <w:tc>
          <w:tcPr>
            <w:tcW w:w="6983" w:type="dxa"/>
            <w:tcBorders>
              <w:top w:val="single" w:color="auto" w:sz="2" w:space="0"/>
              <w:left w:val="single" w:color="auto" w:sz="2" w:space="0"/>
              <w:bottom w:val="single" w:color="auto" w:sz="2" w:space="0"/>
              <w:right w:val="single" w:color="auto" w:sz="2" w:space="0"/>
            </w:tcBorders>
            <w:vAlign w:val="center"/>
          </w:tcPr>
          <w:p w14:paraId="3B4D5E17">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不接受</w:t>
            </w:r>
          </w:p>
          <w:p w14:paraId="77F5BFD2">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F0A8"/>
            </w:r>
            <w:r>
              <w:rPr>
                <w:rFonts w:hint="eastAsia" w:ascii="宋体" w:hAnsi="宋体" w:eastAsia="宋体" w:cs="宋体"/>
                <w:color w:val="auto"/>
                <w:sz w:val="24"/>
                <w:szCs w:val="24"/>
                <w:highlight w:val="none"/>
                <w:lang w:val="zh-CN"/>
              </w:rPr>
              <w:t>接受</w:t>
            </w:r>
          </w:p>
        </w:tc>
      </w:tr>
      <w:tr w14:paraId="6F7014D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5EB639A">
            <w:pPr>
              <w:pStyle w:val="44"/>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p>
        </w:tc>
        <w:tc>
          <w:tcPr>
            <w:tcW w:w="1721" w:type="dxa"/>
            <w:tcBorders>
              <w:top w:val="single" w:color="auto" w:sz="2" w:space="0"/>
              <w:left w:val="single" w:color="auto" w:sz="2" w:space="0"/>
              <w:bottom w:val="single" w:color="auto" w:sz="2" w:space="0"/>
              <w:right w:val="single" w:color="auto" w:sz="2" w:space="0"/>
            </w:tcBorders>
            <w:vAlign w:val="center"/>
          </w:tcPr>
          <w:p w14:paraId="623E81DC">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支持中小企业政策</w:t>
            </w:r>
            <w:r>
              <w:rPr>
                <w:rFonts w:hint="eastAsia" w:ascii="宋体" w:hAnsi="宋体" w:eastAsia="宋体" w:cs="宋体"/>
                <w:b w:val="0"/>
                <w:bCs/>
                <w:i/>
                <w:color w:val="auto"/>
                <w:kern w:val="0"/>
                <w:sz w:val="24"/>
                <w:szCs w:val="24"/>
                <w:highlight w:val="none"/>
                <w:lang w:val="en-US" w:eastAsia="zh-CN" w:bidi="ar-SA"/>
              </w:rPr>
              <w:t>（非专门面向中小企业采购项目适用）</w:t>
            </w:r>
          </w:p>
        </w:tc>
        <w:tc>
          <w:tcPr>
            <w:tcW w:w="6983" w:type="dxa"/>
            <w:tcBorders>
              <w:top w:val="single" w:color="auto" w:sz="2" w:space="0"/>
              <w:left w:val="single" w:color="auto" w:sz="2" w:space="0"/>
              <w:bottom w:val="single" w:color="auto" w:sz="2" w:space="0"/>
              <w:right w:val="single" w:color="auto" w:sz="2" w:space="0"/>
            </w:tcBorders>
            <w:vAlign w:val="center"/>
          </w:tcPr>
          <w:p w14:paraId="494A9BAF">
            <w:pPr>
              <w:pStyle w:val="66"/>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1</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小型和微型企业价格扣除：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1EC73829">
            <w:pPr>
              <w:pStyle w:val="66"/>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2</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监狱企业价格扣除：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498559E5">
            <w:pPr>
              <w:pStyle w:val="66"/>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3</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残疾人福利性单位价格扣除：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6AB8547">
            <w:pPr>
              <w:pStyle w:val="66"/>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4</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符合条件的联合体价格扣除：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083F702C">
            <w:pPr>
              <w:pStyle w:val="66"/>
              <w:widowControl w:val="0"/>
              <w:spacing w:before="0" w:beforeAutospacing="0" w:after="0" w:afterAutospacing="0" w:line="240" w:lineRule="auto"/>
              <w:jc w:val="both"/>
              <w:rPr>
                <w:rFonts w:hint="eastAsia" w:ascii="宋体" w:hAnsi="宋体" w:eastAsia="宋体" w:cs="宋体"/>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5</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符合条件的向小微企业分包的大中型企业价格扣除：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r>
              <w:rPr>
                <w:rFonts w:hint="eastAsia" w:ascii="宋体" w:hAnsi="宋体" w:eastAsia="宋体" w:cs="宋体"/>
                <w:b w:val="0"/>
                <w:i w:val="0"/>
                <w:iCs/>
                <w:color w:val="auto"/>
                <w:sz w:val="24"/>
                <w:szCs w:val="24"/>
                <w:highlight w:val="none"/>
              </w:rPr>
              <w:t>（允许大中型企业向小微企业分包的项目适用）</w:t>
            </w:r>
          </w:p>
        </w:tc>
      </w:tr>
      <w:tr w14:paraId="016051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9" w:hRule="atLeast"/>
        </w:trPr>
        <w:tc>
          <w:tcPr>
            <w:tcW w:w="970" w:type="dxa"/>
            <w:tcBorders>
              <w:top w:val="single" w:color="auto" w:sz="2" w:space="0"/>
              <w:left w:val="single" w:color="auto" w:sz="2" w:space="0"/>
              <w:bottom w:val="single" w:color="auto" w:sz="2" w:space="0"/>
              <w:right w:val="single" w:color="auto" w:sz="2" w:space="0"/>
            </w:tcBorders>
            <w:vAlign w:val="center"/>
          </w:tcPr>
          <w:p w14:paraId="790F1479">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42.9</w:t>
            </w:r>
          </w:p>
        </w:tc>
        <w:tc>
          <w:tcPr>
            <w:tcW w:w="1721" w:type="dxa"/>
            <w:tcBorders>
              <w:top w:val="single" w:color="auto" w:sz="2" w:space="0"/>
              <w:left w:val="single" w:color="auto" w:sz="2" w:space="0"/>
              <w:bottom w:val="single" w:color="auto" w:sz="2" w:space="0"/>
              <w:right w:val="single" w:color="auto" w:sz="2" w:space="0"/>
            </w:tcBorders>
            <w:vAlign w:val="center"/>
          </w:tcPr>
          <w:p w14:paraId="46C03D62">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标的所属行业</w:t>
            </w:r>
          </w:p>
          <w:p w14:paraId="10DBCCB6">
            <w:pPr>
              <w:pStyle w:val="44"/>
              <w:rPr>
                <w:rFonts w:hint="eastAsia" w:ascii="宋体" w:hAnsi="宋体" w:eastAsia="宋体" w:cs="宋体"/>
                <w:color w:val="auto"/>
                <w:sz w:val="24"/>
                <w:szCs w:val="24"/>
                <w:highlight w:val="none"/>
              </w:rPr>
            </w:pPr>
            <w:r>
              <w:rPr>
                <w:rFonts w:hint="eastAsia" w:ascii="宋体" w:hAnsi="宋体" w:eastAsia="宋体" w:cs="宋体"/>
                <w:b w:val="0"/>
                <w:bCs/>
                <w:i/>
                <w:color w:val="auto"/>
                <w:kern w:val="0"/>
                <w:sz w:val="24"/>
                <w:szCs w:val="24"/>
                <w:highlight w:val="none"/>
                <w:lang w:val="en-US" w:eastAsia="zh-CN" w:bidi="ar-SA"/>
              </w:rPr>
              <w:t>（参照后附《工信部联企业〔2011〕300号》文件规定）</w:t>
            </w:r>
          </w:p>
        </w:tc>
        <w:tc>
          <w:tcPr>
            <w:tcW w:w="6983" w:type="dxa"/>
            <w:tcBorders>
              <w:top w:val="single" w:color="auto" w:sz="2" w:space="0"/>
              <w:left w:val="single" w:color="auto" w:sz="2" w:space="0"/>
              <w:bottom w:val="single" w:color="auto" w:sz="2" w:space="0"/>
              <w:right w:val="single" w:color="auto" w:sz="2" w:space="0"/>
            </w:tcBorders>
            <w:vAlign w:val="center"/>
          </w:tcPr>
          <w:p w14:paraId="73639D39">
            <w:pPr>
              <w:keepNext w:val="0"/>
              <w:keepLines w:val="0"/>
              <w:widowControl/>
              <w:suppressLineNumbers w:val="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本项目采购标的对应的中小企业划分标准所属行业： </w:t>
            </w:r>
          </w:p>
          <w:tbl>
            <w:tblPr>
              <w:tblStyle w:val="28"/>
              <w:tblW w:w="6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1824"/>
              <w:gridCol w:w="3245"/>
            </w:tblGrid>
            <w:tr w14:paraId="385ED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6A664177">
                  <w:pPr>
                    <w:keepNext w:val="0"/>
                    <w:keepLines w:val="0"/>
                    <w:widowControl/>
                    <w:suppressLineNumbers w:val="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包号</w:t>
                  </w:r>
                </w:p>
              </w:tc>
              <w:tc>
                <w:tcPr>
                  <w:tcW w:w="1824" w:type="dxa"/>
                  <w:vAlign w:val="center"/>
                </w:tcPr>
                <w:p w14:paraId="0AD36816">
                  <w:pPr>
                    <w:keepNext w:val="0"/>
                    <w:keepLines w:val="0"/>
                    <w:widowControl/>
                    <w:suppressLineNumbers w:val="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标的名称</w:t>
                  </w:r>
                </w:p>
              </w:tc>
              <w:tc>
                <w:tcPr>
                  <w:tcW w:w="3245" w:type="dxa"/>
                  <w:vAlign w:val="center"/>
                </w:tcPr>
                <w:p w14:paraId="2C78D772">
                  <w:pPr>
                    <w:keepNext w:val="0"/>
                    <w:keepLines w:val="0"/>
                    <w:widowControl/>
                    <w:suppressLineNumbers w:val="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中小企业划分标准所属行业</w:t>
                  </w:r>
                </w:p>
              </w:tc>
            </w:tr>
            <w:tr w14:paraId="531AC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45DA92CB">
                  <w:pPr>
                    <w:keepNext w:val="0"/>
                    <w:keepLines w:val="0"/>
                    <w:widowControl/>
                    <w:suppressLineNumbers w:val="0"/>
                    <w:jc w:val="center"/>
                    <w:rPr>
                      <w:rFonts w:hint="default" w:ascii="宋体" w:hAnsi="宋体" w:eastAsia="宋体" w:cs="宋体"/>
                      <w:color w:val="auto"/>
                      <w:kern w:val="0"/>
                      <w:sz w:val="24"/>
                      <w:szCs w:val="24"/>
                      <w:highlight w:val="none"/>
                      <w:vertAlign w:val="baseline"/>
                      <w:lang w:val="en-US" w:eastAsia="zh-CN" w:bidi="ar"/>
                    </w:rPr>
                  </w:pPr>
                  <w:r>
                    <w:rPr>
                      <w:rFonts w:hint="eastAsia" w:cs="宋体"/>
                      <w:color w:val="auto"/>
                      <w:kern w:val="0"/>
                      <w:sz w:val="24"/>
                      <w:szCs w:val="24"/>
                      <w:highlight w:val="none"/>
                      <w:vertAlign w:val="baseline"/>
                      <w:lang w:val="en-US" w:eastAsia="zh-CN" w:bidi="ar"/>
                    </w:rPr>
                    <w:t>B15SBJ[2025]15号</w:t>
                  </w:r>
                </w:p>
              </w:tc>
              <w:tc>
                <w:tcPr>
                  <w:tcW w:w="1824" w:type="dxa"/>
                  <w:vAlign w:val="center"/>
                </w:tcPr>
                <w:p w14:paraId="7B94C3FE">
                  <w:pPr>
                    <w:keepNext w:val="0"/>
                    <w:keepLines w:val="0"/>
                    <w:widowControl/>
                    <w:suppressLineNumbers w:val="0"/>
                    <w:jc w:val="center"/>
                    <w:rPr>
                      <w:rFonts w:hint="default" w:ascii="宋体" w:hAnsi="宋体" w:eastAsia="宋体" w:cs="宋体"/>
                      <w:color w:val="auto"/>
                      <w:kern w:val="0"/>
                      <w:sz w:val="24"/>
                      <w:szCs w:val="24"/>
                      <w:highlight w:val="none"/>
                      <w:vertAlign w:val="baseline"/>
                      <w:lang w:val="en-US" w:eastAsia="zh-CN" w:bidi="ar"/>
                    </w:rPr>
                  </w:pPr>
                  <w:r>
                    <w:rPr>
                      <w:rFonts w:hint="eastAsia" w:cs="宋体"/>
                      <w:color w:val="auto"/>
                      <w:kern w:val="0"/>
                      <w:sz w:val="24"/>
                      <w:szCs w:val="24"/>
                      <w:highlight w:val="none"/>
                      <w:vertAlign w:val="baseline"/>
                      <w:lang w:val="en-US" w:eastAsia="zh-CN" w:bidi="ar"/>
                    </w:rPr>
                    <w:t>草湖项目区昆仑人民医院2025年办公家具采购项目</w:t>
                  </w:r>
                </w:p>
              </w:tc>
              <w:tc>
                <w:tcPr>
                  <w:tcW w:w="3245" w:type="dxa"/>
                  <w:vAlign w:val="center"/>
                </w:tcPr>
                <w:p w14:paraId="33535D95">
                  <w:pPr>
                    <w:keepNext w:val="0"/>
                    <w:keepLines w:val="0"/>
                    <w:widowControl/>
                    <w:suppressLineNumbers w:val="0"/>
                    <w:jc w:val="center"/>
                    <w:rPr>
                      <w:rFonts w:hint="default" w:ascii="宋体" w:hAnsi="宋体" w:eastAsia="宋体" w:cs="宋体"/>
                      <w:color w:val="auto"/>
                      <w:kern w:val="0"/>
                      <w:sz w:val="24"/>
                      <w:szCs w:val="24"/>
                      <w:highlight w:val="none"/>
                      <w:vertAlign w:val="baseline"/>
                      <w:lang w:val="en-US" w:eastAsia="zh-CN" w:bidi="ar"/>
                    </w:rPr>
                  </w:pPr>
                  <w:r>
                    <w:rPr>
                      <w:rFonts w:hint="eastAsia" w:cs="宋体"/>
                      <w:color w:val="auto"/>
                      <w:kern w:val="0"/>
                      <w:sz w:val="24"/>
                      <w:szCs w:val="24"/>
                      <w:highlight w:val="none"/>
                      <w:vertAlign w:val="baseline"/>
                      <w:lang w:val="en-US" w:eastAsia="zh-CN" w:bidi="ar"/>
                    </w:rPr>
                    <w:t>详见</w:t>
                  </w:r>
                  <w:r>
                    <w:rPr>
                      <w:rFonts w:hint="eastAsia" w:ascii="宋体" w:hAnsi="宋体" w:eastAsia="宋体" w:cs="宋体"/>
                      <w:b w:val="0"/>
                      <w:bCs/>
                      <w:i/>
                      <w:color w:val="auto"/>
                      <w:kern w:val="0"/>
                      <w:sz w:val="24"/>
                      <w:szCs w:val="24"/>
                      <w:highlight w:val="none"/>
                      <w:lang w:val="en-US" w:eastAsia="zh-CN" w:bidi="ar-SA"/>
                    </w:rPr>
                    <w:t>工信部联</w:t>
                  </w:r>
                  <w:r>
                    <w:rPr>
                      <w:rFonts w:hint="eastAsia" w:cs="宋体"/>
                      <w:color w:val="auto"/>
                      <w:kern w:val="0"/>
                      <w:sz w:val="24"/>
                      <w:szCs w:val="24"/>
                      <w:highlight w:val="none"/>
                      <w:vertAlign w:val="baseline"/>
                      <w:lang w:val="en-US" w:eastAsia="zh-CN" w:bidi="ar"/>
                    </w:rPr>
                    <w:t>企业〔2011〕300号》的中小企业划型标准规定</w:t>
                  </w:r>
                </w:p>
              </w:tc>
            </w:tr>
          </w:tbl>
          <w:p w14:paraId="4176FC14">
            <w:pPr>
              <w:pStyle w:val="44"/>
              <w:rPr>
                <w:rFonts w:hint="eastAsia" w:ascii="宋体" w:hAnsi="宋体" w:eastAsia="宋体" w:cs="宋体"/>
                <w:color w:val="auto"/>
                <w:sz w:val="24"/>
                <w:szCs w:val="24"/>
                <w:highlight w:val="none"/>
              </w:rPr>
            </w:pPr>
          </w:p>
        </w:tc>
      </w:tr>
      <w:tr w14:paraId="05BF20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9" w:hRule="atLeast"/>
        </w:trPr>
        <w:tc>
          <w:tcPr>
            <w:tcW w:w="970" w:type="dxa"/>
            <w:tcBorders>
              <w:top w:val="single" w:color="auto" w:sz="2" w:space="0"/>
              <w:left w:val="single" w:color="auto" w:sz="2" w:space="0"/>
              <w:bottom w:val="single" w:color="auto" w:sz="2" w:space="0"/>
              <w:right w:val="single" w:color="auto" w:sz="2" w:space="0"/>
            </w:tcBorders>
            <w:vAlign w:val="center"/>
          </w:tcPr>
          <w:p w14:paraId="369A7B1B">
            <w:pPr>
              <w:pStyle w:val="4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43.5</w:t>
            </w:r>
          </w:p>
        </w:tc>
        <w:tc>
          <w:tcPr>
            <w:tcW w:w="1721" w:type="dxa"/>
            <w:tcBorders>
              <w:top w:val="single" w:color="auto" w:sz="2" w:space="0"/>
              <w:left w:val="single" w:color="auto" w:sz="2" w:space="0"/>
              <w:bottom w:val="single" w:color="auto" w:sz="2" w:space="0"/>
              <w:right w:val="single" w:color="auto" w:sz="2" w:space="0"/>
            </w:tcBorders>
            <w:vAlign w:val="center"/>
          </w:tcPr>
          <w:p w14:paraId="7250B4B7">
            <w:pPr>
              <w:pStyle w:val="44"/>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优先采购创新节能环保产品</w:t>
            </w:r>
          </w:p>
        </w:tc>
        <w:tc>
          <w:tcPr>
            <w:tcW w:w="6983" w:type="dxa"/>
            <w:tcBorders>
              <w:top w:val="single" w:color="auto" w:sz="2" w:space="0"/>
              <w:left w:val="single" w:color="auto" w:sz="2" w:space="0"/>
              <w:bottom w:val="single" w:color="auto" w:sz="2" w:space="0"/>
              <w:right w:val="single" w:color="auto" w:sz="2" w:space="0"/>
            </w:tcBorders>
            <w:vAlign w:val="center"/>
          </w:tcPr>
          <w:p w14:paraId="09930298">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产品纳入创新产品应用示范推荐目录内企业、所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产品获得节能产品或环境标志产品认证证书的</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报价给予</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的价格扣除。</w:t>
            </w:r>
          </w:p>
        </w:tc>
      </w:tr>
      <w:tr w14:paraId="5DE88C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2786DB02">
            <w:pPr>
              <w:pStyle w:val="44"/>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2" w:space="0"/>
            </w:tcBorders>
            <w:shd w:val="clear" w:color="auto" w:fill="auto"/>
            <w:vAlign w:val="center"/>
          </w:tcPr>
          <w:p w14:paraId="21C72458">
            <w:pPr>
              <w:pStyle w:val="44"/>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政府采购合同融资政策</w:t>
            </w:r>
          </w:p>
        </w:tc>
        <w:tc>
          <w:tcPr>
            <w:tcW w:w="6983" w:type="dxa"/>
            <w:tcBorders>
              <w:top w:val="single" w:color="auto" w:sz="2" w:space="0"/>
              <w:left w:val="single" w:color="auto" w:sz="2" w:space="0"/>
              <w:bottom w:val="single" w:color="auto" w:sz="2" w:space="0"/>
              <w:right w:val="single" w:color="auto" w:sz="2" w:space="0"/>
            </w:tcBorders>
            <w:shd w:val="clear" w:color="auto" w:fill="auto"/>
            <w:vAlign w:val="center"/>
          </w:tcPr>
          <w:p w14:paraId="073C66E9">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1.有融资需求的成交人在获得政府采购成交通知书后，即可向开展“政采贷”业务的金融机构提出申请，金融机构依据政府采购成交通知书和政府采购合同，为中小微企业提供融资服务。</w:t>
            </w:r>
          </w:p>
          <w:p w14:paraId="4FBEC518">
            <w:pPr>
              <w:pStyle w:val="44"/>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 xml:space="preserve">  2.“政采贷”融资指引：在取得政府采购成交通知书后，可访问“兵团政采贷融资服务平台”，查看和联系第三方平台或者金融机构，商洽融资事项，确定融资意向。成交人签署政府采购成交合同后，登录“兵团政采贷融资服务平台”，选择意向产品进行申请，并填写相关信息，“兵团政采贷融资服务平台”将中标人融资申请信息推送第三方平台、意向金融机构。</w:t>
            </w:r>
          </w:p>
        </w:tc>
      </w:tr>
      <w:tr w14:paraId="54F8D04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81" w:hRule="atLeast"/>
        </w:trPr>
        <w:tc>
          <w:tcPr>
            <w:tcW w:w="970" w:type="dxa"/>
            <w:tcBorders>
              <w:top w:val="single" w:color="auto" w:sz="2" w:space="0"/>
              <w:left w:val="single" w:color="auto" w:sz="2" w:space="0"/>
              <w:bottom w:val="single" w:color="auto" w:sz="2" w:space="0"/>
              <w:right w:val="single" w:color="auto" w:sz="4" w:space="0"/>
            </w:tcBorders>
            <w:vAlign w:val="center"/>
          </w:tcPr>
          <w:p w14:paraId="342D37A4">
            <w:pPr>
              <w:pStyle w:val="4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21" w:type="dxa"/>
            <w:tcBorders>
              <w:top w:val="single" w:color="auto" w:sz="2" w:space="0"/>
              <w:left w:val="single" w:color="auto" w:sz="2" w:space="0"/>
              <w:bottom w:val="single" w:color="auto" w:sz="2" w:space="0"/>
              <w:right w:val="single" w:color="auto" w:sz="4" w:space="0"/>
            </w:tcBorders>
            <w:vAlign w:val="center"/>
          </w:tcPr>
          <w:p w14:paraId="57A459C3">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需要补充的其他内容</w:t>
            </w:r>
          </w:p>
        </w:tc>
        <w:tc>
          <w:tcPr>
            <w:tcW w:w="6983" w:type="dxa"/>
            <w:tcBorders>
              <w:top w:val="single" w:color="auto" w:sz="2" w:space="0"/>
              <w:left w:val="single" w:color="auto" w:sz="4" w:space="0"/>
              <w:bottom w:val="single" w:color="auto" w:sz="2" w:space="0"/>
              <w:right w:val="single" w:color="auto" w:sz="2" w:space="0"/>
            </w:tcBorders>
            <w:vAlign w:val="center"/>
          </w:tcPr>
          <w:p w14:paraId="7C6D9930">
            <w:pPr>
              <w:pStyle w:val="44"/>
              <w:rPr>
                <w:rFonts w:hint="eastAsia" w:ascii="宋体" w:hAnsi="宋体" w:eastAsia="宋体" w:cs="宋体"/>
                <w:color w:val="auto"/>
                <w:sz w:val="24"/>
                <w:szCs w:val="24"/>
                <w:highlight w:val="none"/>
              </w:rPr>
            </w:pPr>
          </w:p>
        </w:tc>
      </w:tr>
      <w:tr w14:paraId="1707FD3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674" w:type="dxa"/>
            <w:gridSpan w:val="3"/>
            <w:tcBorders>
              <w:top w:val="single" w:color="auto" w:sz="2" w:space="0"/>
              <w:left w:val="single" w:color="auto" w:sz="2" w:space="0"/>
              <w:bottom w:val="single" w:color="auto" w:sz="2" w:space="0"/>
              <w:right w:val="single" w:color="auto" w:sz="2" w:space="0"/>
            </w:tcBorders>
            <w:vAlign w:val="center"/>
          </w:tcPr>
          <w:p w14:paraId="45AC7FA3">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除本竞争性磋商文件另有规定外，竞争性磋商文件中出现的类似于“近三年”或“前三年”、“近五年”或“前五年”均指递交响应文件时间以前三年或前五年，以此类推。如：递交响应文件时间为  年  月  日，则“近三年”是指  年  月  日至  年  月  日。</w:t>
            </w:r>
          </w:p>
          <w:p w14:paraId="27269E57">
            <w:pPr>
              <w:pStyle w:val="4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本竞争性磋商文件所称的“以上”、“以下”、“内”、“以内”，包括本数；所称的“不足”，不包括本数。</w:t>
            </w:r>
          </w:p>
        </w:tc>
      </w:tr>
      <w:bookmarkEnd w:id="96"/>
    </w:tbl>
    <w:p w14:paraId="70F4C75D">
      <w:pPr>
        <w:rPr>
          <w:color w:val="auto"/>
          <w:highlight w:val="none"/>
        </w:rPr>
      </w:pPr>
    </w:p>
    <w:p w14:paraId="23740FD0">
      <w:pPr>
        <w:rPr>
          <w:color w:val="auto"/>
          <w:highlight w:val="none"/>
        </w:rPr>
        <w:sectPr>
          <w:footerReference r:id="rId7" w:type="default"/>
          <w:pgSz w:w="11906" w:h="16838"/>
          <w:pgMar w:top="1440" w:right="1800" w:bottom="1440" w:left="1800" w:header="851" w:footer="652" w:gutter="0"/>
          <w:pgNumType w:fmt="numberInDash"/>
          <w:cols w:space="0" w:num="1"/>
          <w:rtlGutter w:val="0"/>
          <w:docGrid w:type="lines" w:linePitch="312" w:charSpace="0"/>
        </w:sectPr>
      </w:pPr>
    </w:p>
    <w:p w14:paraId="1CF0D4F4">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98" w:name="_Toc21912"/>
      <w:r>
        <w:rPr>
          <w:rFonts w:hint="eastAsia" w:eastAsia="宋体" w:asciiTheme="majorHAnsi" w:hAnsiTheme="majorHAnsi" w:cstheme="majorBidi"/>
          <w:b/>
          <w:bCs/>
          <w:color w:val="auto"/>
          <w:kern w:val="2"/>
          <w:sz w:val="28"/>
          <w:szCs w:val="28"/>
          <w:highlight w:val="none"/>
          <w:lang w:val="en-US" w:eastAsia="zh-CN" w:bidi="ar-SA"/>
        </w:rPr>
        <w:t>二、供应商须知</w:t>
      </w:r>
      <w:bookmarkEnd w:id="98"/>
    </w:p>
    <w:p w14:paraId="04978FCD">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99" w:name="_Toc109899951"/>
      <w:bookmarkStart w:id="100" w:name="_Toc46771638"/>
      <w:bookmarkStart w:id="101" w:name="_Toc109899532"/>
      <w:bookmarkStart w:id="102" w:name="_Toc109900370"/>
      <w:bookmarkStart w:id="103" w:name="_Toc163493611"/>
      <w:bookmarkStart w:id="104" w:name="_Toc11014"/>
      <w:bookmarkStart w:id="105" w:name="_Toc109897433"/>
      <w:bookmarkStart w:id="106" w:name="_Toc1844"/>
      <w:bookmarkStart w:id="107" w:name="_Toc470172694"/>
      <w:r>
        <w:rPr>
          <w:rFonts w:hint="eastAsia" w:ascii="宋体" w:hAnsi="宋体" w:eastAsia="宋体" w:cs="宋体"/>
          <w:b/>
          <w:bCs/>
          <w:color w:val="auto"/>
          <w:kern w:val="2"/>
          <w:sz w:val="24"/>
          <w:szCs w:val="24"/>
          <w:highlight w:val="none"/>
          <w:lang w:val="en-US" w:eastAsia="zh-CN" w:bidi="ar-SA"/>
        </w:rPr>
        <w:t>（一）总则</w:t>
      </w:r>
      <w:bookmarkEnd w:id="99"/>
      <w:bookmarkEnd w:id="100"/>
      <w:bookmarkEnd w:id="101"/>
      <w:bookmarkEnd w:id="102"/>
      <w:bookmarkEnd w:id="103"/>
      <w:bookmarkEnd w:id="104"/>
      <w:bookmarkEnd w:id="105"/>
      <w:bookmarkEnd w:id="106"/>
    </w:p>
    <w:p w14:paraId="18977FAF">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08" w:name="_Toc51674210"/>
      <w:bookmarkStart w:id="109" w:name="_Toc109897434"/>
      <w:bookmarkStart w:id="110" w:name="_Toc52960552"/>
      <w:bookmarkStart w:id="111" w:name="_Toc109899952"/>
      <w:bookmarkStart w:id="112" w:name="_Toc46772240"/>
      <w:bookmarkStart w:id="113" w:name="_Toc109900371"/>
      <w:bookmarkStart w:id="114" w:name="_Toc48846108"/>
      <w:bookmarkStart w:id="115" w:name="_Toc27243"/>
      <w:bookmarkStart w:id="116" w:name="_Toc470172664"/>
      <w:bookmarkStart w:id="117" w:name="_Toc109899533"/>
      <w:bookmarkStart w:id="118" w:name="_Toc46771639"/>
      <w:bookmarkStart w:id="119" w:name="_Toc48688788"/>
      <w:bookmarkStart w:id="120" w:name="_Toc52962726"/>
      <w:r>
        <w:rPr>
          <w:rFonts w:hint="eastAsia" w:ascii="宋体" w:hAnsi="宋体" w:eastAsia="宋体" w:cs="宋体"/>
          <w:b/>
          <w:bCs/>
          <w:color w:val="auto"/>
          <w:kern w:val="2"/>
          <w:sz w:val="24"/>
          <w:szCs w:val="24"/>
          <w:highlight w:val="none"/>
          <w:lang w:val="en-US" w:eastAsia="zh-CN" w:bidi="ar-SA"/>
        </w:rPr>
        <w:t>1.适用范围</w:t>
      </w:r>
      <w:bookmarkEnd w:id="108"/>
      <w:bookmarkEnd w:id="109"/>
      <w:bookmarkEnd w:id="110"/>
      <w:bookmarkEnd w:id="111"/>
      <w:bookmarkEnd w:id="112"/>
      <w:bookmarkEnd w:id="113"/>
      <w:bookmarkEnd w:id="114"/>
      <w:bookmarkEnd w:id="115"/>
      <w:bookmarkEnd w:id="116"/>
      <w:bookmarkEnd w:id="117"/>
      <w:bookmarkEnd w:id="118"/>
      <w:bookmarkEnd w:id="119"/>
      <w:bookmarkEnd w:id="120"/>
    </w:p>
    <w:p w14:paraId="3FAC17DD">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1.1本竞争性磋商文件（也称磋商文件或采购文件）仅适用于本次竞争性磋商中所述项目的采购活动。</w:t>
      </w:r>
    </w:p>
    <w:p w14:paraId="34F08411">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21" w:name="_Toc163492824"/>
      <w:r>
        <w:rPr>
          <w:rFonts w:hint="eastAsia" w:ascii="宋体" w:hAnsi="宋体" w:eastAsia="宋体" w:cs="宋体"/>
          <w:b/>
          <w:bCs/>
          <w:color w:val="auto"/>
          <w:kern w:val="2"/>
          <w:sz w:val="24"/>
          <w:szCs w:val="24"/>
          <w:highlight w:val="none"/>
          <w:lang w:val="en-US" w:eastAsia="zh-CN" w:bidi="ar-SA"/>
        </w:rPr>
        <w:t>2.基本定义</w:t>
      </w:r>
      <w:bookmarkEnd w:id="121"/>
    </w:p>
    <w:p w14:paraId="768D70C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2.1根据《中华人民共和国政府采购法》及其实施条例等有关法律、法规和规章的规定，制定本竞争性磋商文件。</w:t>
      </w:r>
    </w:p>
    <w:p w14:paraId="342EC44E">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2.2采购人：</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rPr>
        <w:t>。</w:t>
      </w:r>
    </w:p>
    <w:p w14:paraId="429A3EF6">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2.3采购代理机构：</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lang w:val="en-US" w:eastAsia="zh-CN"/>
        </w:rPr>
        <w:t>委托的采购代理机构</w:t>
      </w:r>
      <w:r>
        <w:rPr>
          <w:rFonts w:hint="eastAsia" w:ascii="宋体" w:hAnsi="宋体" w:eastAsia="宋体" w:cs="宋体"/>
          <w:color w:val="auto"/>
          <w:sz w:val="24"/>
          <w:szCs w:val="24"/>
          <w:highlight w:val="none"/>
        </w:rPr>
        <w:t>。</w:t>
      </w:r>
    </w:p>
    <w:p w14:paraId="26D5074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18E21DA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2.5核心产品见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须知前附表”</w:t>
      </w:r>
      <w:r>
        <w:rPr>
          <w:rFonts w:hint="eastAsia" w:ascii="宋体" w:hAnsi="宋体" w:eastAsia="宋体" w:cs="宋体"/>
          <w:color w:val="auto"/>
          <w:sz w:val="24"/>
          <w:szCs w:val="24"/>
          <w:highlight w:val="none"/>
          <w:lang w:val="en-US" w:eastAsia="zh-CN"/>
        </w:rPr>
        <w:t>。</w:t>
      </w:r>
    </w:p>
    <w:p w14:paraId="6557BF3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2.6是否属于</w:t>
      </w:r>
      <w:r>
        <w:rPr>
          <w:rFonts w:hint="eastAsia" w:ascii="宋体" w:hAnsi="宋体" w:eastAsia="宋体" w:cs="宋体"/>
          <w:color w:val="auto"/>
          <w:kern w:val="0"/>
          <w:sz w:val="24"/>
          <w:szCs w:val="24"/>
          <w:highlight w:val="none"/>
          <w:lang w:val="en-US" w:eastAsia="zh-CN" w:bidi="ar"/>
        </w:rPr>
        <w:t>科研仪器设备采购</w:t>
      </w:r>
      <w:r>
        <w:rPr>
          <w:rFonts w:hint="eastAsia" w:ascii="宋体" w:hAnsi="宋体" w:eastAsia="宋体" w:cs="宋体"/>
          <w:color w:val="auto"/>
          <w:sz w:val="24"/>
          <w:szCs w:val="24"/>
          <w:highlight w:val="none"/>
          <w:lang w:val="en-US" w:eastAsia="zh-CN"/>
        </w:rPr>
        <w:t>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须知前附表”</w:t>
      </w:r>
      <w:r>
        <w:rPr>
          <w:rFonts w:hint="eastAsia" w:ascii="宋体" w:hAnsi="宋体" w:eastAsia="宋体" w:cs="宋体"/>
          <w:color w:val="auto"/>
          <w:sz w:val="24"/>
          <w:szCs w:val="24"/>
          <w:highlight w:val="none"/>
          <w:lang w:val="en-US" w:eastAsia="zh-CN"/>
        </w:rPr>
        <w:t>。</w:t>
      </w:r>
    </w:p>
    <w:p w14:paraId="65E6A6B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2.7供应商（也称“申请人”）：指向采购人提供货物、工程或者服务的法人、其他组织或者自然人。</w:t>
      </w:r>
      <w:r>
        <w:rPr>
          <w:rFonts w:hint="eastAsia" w:ascii="宋体" w:hAnsi="宋体" w:eastAsia="宋体" w:cs="宋体"/>
          <w:color w:val="auto"/>
          <w:sz w:val="24"/>
          <w:szCs w:val="24"/>
          <w:highlight w:val="none"/>
        </w:rPr>
        <w:t>分支机构不得参加政府采购活动，但银行、保险、石油石化、电力、电信等</w:t>
      </w:r>
      <w:r>
        <w:rPr>
          <w:rFonts w:hint="eastAsia" w:ascii="宋体" w:hAnsi="宋体" w:eastAsia="宋体" w:cs="宋体"/>
          <w:color w:val="auto"/>
          <w:sz w:val="24"/>
          <w:szCs w:val="24"/>
          <w:highlight w:val="none"/>
          <w:lang w:val="en-US" w:eastAsia="zh-CN"/>
        </w:rPr>
        <w:t>有</w:t>
      </w:r>
      <w:r>
        <w:rPr>
          <w:rFonts w:hint="eastAsia" w:ascii="宋体" w:hAnsi="宋体" w:eastAsia="宋体" w:cs="宋体"/>
          <w:color w:val="auto"/>
          <w:sz w:val="24"/>
          <w:szCs w:val="24"/>
          <w:highlight w:val="none"/>
        </w:rPr>
        <w:t>行业特殊</w:t>
      </w:r>
      <w:r>
        <w:rPr>
          <w:rFonts w:hint="eastAsia" w:ascii="宋体" w:hAnsi="宋体" w:eastAsia="宋体" w:cs="宋体"/>
          <w:color w:val="auto"/>
          <w:sz w:val="24"/>
          <w:szCs w:val="24"/>
          <w:highlight w:val="none"/>
          <w:lang w:val="en-US" w:eastAsia="zh-CN"/>
        </w:rPr>
        <w:t>情况的</w:t>
      </w:r>
      <w:r>
        <w:rPr>
          <w:rFonts w:hint="eastAsia" w:ascii="宋体" w:hAnsi="宋体" w:eastAsia="宋体" w:cs="宋体"/>
          <w:color w:val="auto"/>
          <w:sz w:val="24"/>
          <w:szCs w:val="24"/>
          <w:highlight w:val="none"/>
        </w:rPr>
        <w:t>除外。本项目的</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须满足以下条件：</w:t>
      </w:r>
    </w:p>
    <w:p w14:paraId="211E915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具备《中华人民共和国政府采购法》第二十二条规定的</w:t>
      </w:r>
      <w:r>
        <w:rPr>
          <w:rFonts w:hint="eastAsia" w:ascii="宋体" w:hAnsi="宋体" w:eastAsia="宋体" w:cs="宋体"/>
          <w:color w:val="auto"/>
          <w:sz w:val="24"/>
          <w:szCs w:val="24"/>
          <w:highlight w:val="none"/>
          <w:lang w:val="en-US" w:eastAsia="zh-CN"/>
        </w:rPr>
        <w:t>条件</w:t>
      </w:r>
      <w:r>
        <w:rPr>
          <w:rFonts w:hint="eastAsia" w:ascii="宋体" w:hAnsi="宋体" w:eastAsia="宋体" w:cs="宋体"/>
          <w:color w:val="auto"/>
          <w:sz w:val="24"/>
          <w:szCs w:val="24"/>
          <w:highlight w:val="none"/>
        </w:rPr>
        <w:t>，遵守本项目采购人本级和上级财政部门政府采购的有关规定。</w:t>
      </w:r>
    </w:p>
    <w:p w14:paraId="323DC0B9">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以</w:t>
      </w:r>
      <w:r>
        <w:rPr>
          <w:rFonts w:hint="eastAsia" w:ascii="宋体" w:hAnsi="宋体" w:eastAsia="宋体" w:cs="宋体"/>
          <w:color w:val="auto"/>
          <w:sz w:val="24"/>
          <w:szCs w:val="24"/>
          <w:highlight w:val="none"/>
          <w:lang w:val="en-US" w:eastAsia="zh-CN"/>
        </w:rPr>
        <w:t>竞争性磋商公告中发布</w:t>
      </w:r>
      <w:r>
        <w:rPr>
          <w:rFonts w:hint="eastAsia" w:ascii="宋体" w:hAnsi="宋体" w:eastAsia="宋体" w:cs="宋体"/>
          <w:color w:val="auto"/>
          <w:sz w:val="24"/>
          <w:szCs w:val="24"/>
          <w:highlight w:val="none"/>
        </w:rPr>
        <w:t>的方式</w:t>
      </w:r>
      <w:r>
        <w:rPr>
          <w:rFonts w:hint="eastAsia" w:ascii="宋体" w:hAnsi="宋体" w:eastAsia="宋体" w:cs="宋体"/>
          <w:color w:val="auto"/>
          <w:sz w:val="24"/>
          <w:szCs w:val="24"/>
          <w:highlight w:val="none"/>
          <w:lang w:eastAsia="zh-CN"/>
        </w:rPr>
        <w:t>依法</w:t>
      </w:r>
      <w:r>
        <w:rPr>
          <w:rFonts w:hint="eastAsia" w:ascii="宋体" w:hAnsi="宋体" w:eastAsia="宋体" w:cs="宋体"/>
          <w:color w:val="auto"/>
          <w:sz w:val="24"/>
          <w:szCs w:val="24"/>
          <w:highlight w:val="none"/>
        </w:rPr>
        <w:t>获得了本项目的</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w:t>
      </w:r>
    </w:p>
    <w:p w14:paraId="07B83632">
      <w:pPr>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2.7.3符合本磋商文件规定并参加磋商的供应商。</w:t>
      </w:r>
    </w:p>
    <w:p w14:paraId="3098B7A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w:t>
      </w:r>
      <w:r>
        <w:rPr>
          <w:rFonts w:hint="eastAsia" w:ascii="宋体" w:hAnsi="宋体" w:eastAsia="宋体" w:cs="宋体"/>
          <w:iCs/>
          <w:color w:val="auto"/>
          <w:sz w:val="24"/>
          <w:szCs w:val="24"/>
          <w:highlight w:val="none"/>
          <w:shd w:val="clear" w:color="auto" w:fill="FFFFFF" w:themeFill="background1"/>
        </w:rPr>
        <w:t>潜在供应商</w:t>
      </w:r>
      <w:r>
        <w:rPr>
          <w:rFonts w:hint="eastAsia" w:ascii="宋体" w:hAnsi="宋体" w:eastAsia="宋体" w:cs="宋体"/>
          <w:iCs/>
          <w:color w:val="auto"/>
          <w:sz w:val="24"/>
          <w:szCs w:val="24"/>
          <w:highlight w:val="none"/>
          <w:shd w:val="clear" w:color="auto" w:fill="FFFFFF" w:themeFill="background1"/>
          <w:lang w:eastAsia="zh-CN"/>
        </w:rPr>
        <w:t>：</w:t>
      </w:r>
      <w:r>
        <w:rPr>
          <w:rFonts w:hint="eastAsia" w:ascii="宋体" w:hAnsi="宋体" w:eastAsia="宋体" w:cs="宋体"/>
          <w:iCs/>
          <w:color w:val="auto"/>
          <w:sz w:val="24"/>
          <w:szCs w:val="24"/>
          <w:highlight w:val="none"/>
          <w:shd w:val="clear" w:color="auto" w:fill="FFFFFF" w:themeFill="background1"/>
          <w:lang w:val="en-US" w:eastAsia="zh-CN"/>
        </w:rPr>
        <w:t>指</w:t>
      </w:r>
      <w:r>
        <w:rPr>
          <w:rFonts w:hint="eastAsia" w:ascii="宋体" w:hAnsi="宋体" w:eastAsia="宋体" w:cs="宋体"/>
          <w:color w:val="auto"/>
          <w:sz w:val="24"/>
          <w:szCs w:val="24"/>
          <w:highlight w:val="none"/>
          <w:lang w:val="en-US" w:eastAsia="zh-CN"/>
        </w:rPr>
        <w:t>符合本磋商文件规定的供应商</w:t>
      </w:r>
      <w:r>
        <w:rPr>
          <w:rFonts w:hint="eastAsia" w:ascii="宋体" w:hAnsi="宋体" w:eastAsia="宋体" w:cs="宋体"/>
          <w:color w:val="auto"/>
          <w:sz w:val="24"/>
          <w:szCs w:val="24"/>
          <w:highlight w:val="none"/>
        </w:rPr>
        <w:t>。</w:t>
      </w:r>
    </w:p>
    <w:p w14:paraId="4FFEB4B0">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22" w:name="_Toc109899955"/>
      <w:bookmarkStart w:id="123" w:name="_Toc470172667"/>
      <w:bookmarkStart w:id="124" w:name="_Toc52960555"/>
      <w:bookmarkStart w:id="125" w:name="_Toc109899536"/>
      <w:bookmarkStart w:id="126" w:name="_Toc48846111"/>
      <w:bookmarkStart w:id="127" w:name="_Toc51674213"/>
      <w:bookmarkStart w:id="128" w:name="_Toc109900374"/>
      <w:bookmarkStart w:id="129" w:name="_Toc9974"/>
      <w:bookmarkStart w:id="130" w:name="_Toc52962729"/>
      <w:bookmarkStart w:id="131" w:name="_Toc46772243"/>
      <w:bookmarkStart w:id="132" w:name="_Toc46771642"/>
      <w:bookmarkStart w:id="133" w:name="_Toc109897437"/>
      <w:bookmarkStart w:id="134" w:name="_Toc48688791"/>
      <w:r>
        <w:rPr>
          <w:rFonts w:hint="eastAsia" w:ascii="宋体" w:hAnsi="宋体" w:eastAsia="宋体" w:cs="宋体"/>
          <w:b/>
          <w:bCs/>
          <w:color w:val="auto"/>
          <w:kern w:val="2"/>
          <w:sz w:val="24"/>
          <w:szCs w:val="24"/>
          <w:highlight w:val="none"/>
          <w:lang w:val="en-US" w:eastAsia="zh-CN" w:bidi="ar-SA"/>
        </w:rPr>
        <w:t>3.资金来源</w:t>
      </w:r>
    </w:p>
    <w:p w14:paraId="7E10FE0B">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3.1资金来源：</w:t>
      </w:r>
      <w:r>
        <w:rPr>
          <w:rFonts w:hint="eastAsia" w:ascii="宋体" w:hAnsi="宋体" w:eastAsia="宋体" w:cs="宋体"/>
          <w:color w:val="auto"/>
          <w:sz w:val="24"/>
          <w:szCs w:val="24"/>
          <w:highlight w:val="none"/>
          <w:lang w:val="en-US" w:eastAsia="zh-CN"/>
        </w:rPr>
        <w:t>为财政性资金即</w:t>
      </w:r>
      <w:r>
        <w:rPr>
          <w:rFonts w:hint="eastAsia" w:ascii="宋体" w:hAnsi="宋体" w:eastAsia="宋体" w:cs="宋体"/>
          <w:color w:val="auto"/>
          <w:sz w:val="24"/>
          <w:szCs w:val="24"/>
          <w:highlight w:val="none"/>
        </w:rPr>
        <w:t>纳入预算管理的资金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以财政性资金作为还款来源的借贷资金，视同财政性资金。财政性资金与非财政性资金无法分割采购的，统一适用《中华人民共和国政府采购法》及其实施条例。</w:t>
      </w:r>
    </w:p>
    <w:p w14:paraId="5B4402E6">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4.供应商资格要求</w:t>
      </w:r>
    </w:p>
    <w:p w14:paraId="522AD9C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资格要求：见“</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color w:val="auto"/>
          <w:sz w:val="24"/>
          <w:szCs w:val="24"/>
          <w:highlight w:val="none"/>
        </w:rPr>
        <w:t>”；</w:t>
      </w:r>
    </w:p>
    <w:p w14:paraId="3B57853B">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color w:val="auto"/>
          <w:sz w:val="24"/>
          <w:szCs w:val="24"/>
          <w:highlight w:val="none"/>
          <w:lang w:val="zh-CN" w:eastAsia="zh-CN"/>
        </w:rPr>
        <w:t>”规定接受联合体</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的，还应遵守以下规定：</w:t>
      </w:r>
    </w:p>
    <w:p w14:paraId="512308F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1两个以上的自然人、法人或者其他组织可以组成一个联合体，以一个供应商的身份共同参加政府采购。</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以联合体形式进行政府采购的，参加联合体的供应商均应当具备《政府采购法》第二十二条规定的条件。</w:t>
      </w:r>
    </w:p>
    <w:p w14:paraId="7EFB49B3">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2.2</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联合体各方应按竞争性磋商文件提供的格式签订联合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作为</w:t>
      </w:r>
      <w:r>
        <w:rPr>
          <w:rFonts w:hint="eastAsia" w:ascii="宋体" w:hAnsi="宋体" w:eastAsia="宋体" w:cs="宋体"/>
          <w:iCs/>
          <w:color w:val="auto"/>
          <w:kern w:val="2"/>
          <w:sz w:val="24"/>
          <w:szCs w:val="24"/>
          <w:highlight w:val="none"/>
          <w:shd w:val="clear" w:color="auto" w:fill="FFFFFF" w:themeFill="background1"/>
          <w:lang w:val="en-US" w:eastAsia="zh-CN" w:bidi="ar-SA"/>
        </w:rPr>
        <w:t>响应</w:t>
      </w:r>
      <w:r>
        <w:rPr>
          <w:rFonts w:hint="eastAsia" w:ascii="宋体" w:hAnsi="宋体" w:eastAsia="宋体" w:cs="宋体"/>
          <w:iCs/>
          <w:color w:val="auto"/>
          <w:kern w:val="2"/>
          <w:sz w:val="24"/>
          <w:szCs w:val="24"/>
          <w:highlight w:val="none"/>
          <w:shd w:val="clear" w:color="auto" w:fill="FFFFFF" w:themeFill="background1"/>
          <w:lang w:val="zh-CN" w:eastAsia="zh-CN" w:bidi="ar-SA"/>
        </w:rPr>
        <w:t>文件的一部分提交，该协议书对联合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体所有成员</w:t>
      </w:r>
      <w:r>
        <w:rPr>
          <w:rFonts w:hint="eastAsia" w:ascii="宋体" w:hAnsi="宋体" w:eastAsia="宋体" w:cs="宋体"/>
          <w:iCs/>
          <w:color w:val="auto"/>
          <w:kern w:val="2"/>
          <w:sz w:val="24"/>
          <w:szCs w:val="24"/>
          <w:highlight w:val="none"/>
          <w:shd w:val="clear" w:color="auto" w:fill="FFFFFF" w:themeFill="background1"/>
          <w:lang w:val="zh-CN" w:eastAsia="zh-CN" w:bidi="ar-SA"/>
        </w:rPr>
        <w:t>均具有法律约束力。</w:t>
      </w:r>
    </w:p>
    <w:p w14:paraId="5343E5B5">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4.2.3</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21D444C4">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宋体"/>
          <w:iCs/>
          <w:color w:val="auto"/>
          <w:kern w:val="2"/>
          <w:sz w:val="24"/>
          <w:szCs w:val="24"/>
          <w:highlight w:val="none"/>
          <w:shd w:val="clear" w:color="auto" w:fill="FFFFFF" w:themeFill="background1"/>
          <w:lang w:val="en-US" w:eastAsia="zh-CN" w:bidi="ar-SA"/>
        </w:rPr>
        <w:t>同一合同项下的磋商</w:t>
      </w:r>
      <w:r>
        <w:rPr>
          <w:rFonts w:hint="eastAsia" w:ascii="宋体" w:hAnsi="宋体" w:eastAsia="宋体" w:cs="宋体"/>
          <w:iCs/>
          <w:color w:val="auto"/>
          <w:kern w:val="2"/>
          <w:sz w:val="24"/>
          <w:szCs w:val="24"/>
          <w:highlight w:val="none"/>
          <w:shd w:val="clear" w:color="auto" w:fill="FFFFFF" w:themeFill="background1"/>
          <w:lang w:val="zh-CN" w:eastAsia="zh-CN" w:bidi="ar-SA"/>
        </w:rPr>
        <w:t>，否则相关</w:t>
      </w:r>
      <w:r>
        <w:rPr>
          <w:rFonts w:hint="eastAsia" w:ascii="宋体" w:hAnsi="宋体" w:eastAsia="宋体" w:cs="宋体"/>
          <w:iCs/>
          <w:color w:val="auto"/>
          <w:kern w:val="2"/>
          <w:sz w:val="24"/>
          <w:szCs w:val="24"/>
          <w:highlight w:val="none"/>
          <w:shd w:val="clear" w:color="auto" w:fill="FFFFFF" w:themeFill="background1"/>
          <w:lang w:val="en-US" w:eastAsia="zh-CN" w:bidi="ar-SA"/>
        </w:rPr>
        <w:t>响应</w:t>
      </w:r>
      <w:r>
        <w:rPr>
          <w:rFonts w:hint="eastAsia" w:ascii="宋体" w:hAnsi="宋体" w:eastAsia="宋体" w:cs="宋体"/>
          <w:iCs/>
          <w:color w:val="auto"/>
          <w:kern w:val="2"/>
          <w:sz w:val="24"/>
          <w:szCs w:val="24"/>
          <w:highlight w:val="none"/>
          <w:shd w:val="clear" w:color="auto" w:fill="FFFFFF" w:themeFill="background1"/>
          <w:lang w:val="zh-CN" w:eastAsia="zh-CN" w:bidi="ar-SA"/>
        </w:rPr>
        <w:t>将被认定为</w:t>
      </w:r>
      <w:r>
        <w:rPr>
          <w:rFonts w:hint="eastAsia" w:ascii="宋体" w:hAnsi="宋体" w:eastAsia="宋体" w:cs="宋体"/>
          <w:b/>
          <w:bCs/>
          <w:iCs/>
          <w:color w:val="auto"/>
          <w:kern w:val="2"/>
          <w:sz w:val="24"/>
          <w:szCs w:val="24"/>
          <w:highlight w:val="none"/>
          <w:shd w:val="clear" w:color="auto" w:fill="FFFFFF" w:themeFill="background1"/>
          <w:lang w:val="en-US" w:eastAsia="zh-CN" w:bidi="ar-SA"/>
        </w:rPr>
        <w:t>响应</w:t>
      </w:r>
      <w:r>
        <w:rPr>
          <w:rFonts w:hint="eastAsia" w:ascii="宋体" w:hAnsi="宋体" w:eastAsia="宋体" w:cs="宋体"/>
          <w:b/>
          <w:bCs/>
          <w:iCs/>
          <w:color w:val="auto"/>
          <w:kern w:val="2"/>
          <w:sz w:val="24"/>
          <w:szCs w:val="24"/>
          <w:highlight w:val="none"/>
          <w:shd w:val="clear" w:color="auto" w:fill="FFFFFF" w:themeFill="background1"/>
          <w:lang w:val="zh-CN" w:eastAsia="zh-CN" w:bidi="ar-SA"/>
        </w:rPr>
        <w:t>无效</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2E60D00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.5大中型企业、其他自然人、法人或者非法人组织与小型、微型企业组成联合体共同参加</w:t>
      </w:r>
      <w:r>
        <w:rPr>
          <w:rFonts w:hint="eastAsia" w:ascii="宋体" w:hAnsi="宋体" w:eastAsia="宋体" w:cs="宋体"/>
          <w:iCs/>
          <w:color w:val="auto"/>
          <w:kern w:val="2"/>
          <w:sz w:val="24"/>
          <w:szCs w:val="24"/>
          <w:highlight w:val="none"/>
          <w:shd w:val="clear" w:color="auto" w:fill="FFFFFF" w:themeFill="background1"/>
          <w:lang w:val="en-US" w:eastAsia="zh-CN" w:bidi="ar-SA"/>
        </w:rPr>
        <w:t>磋商的</w:t>
      </w:r>
      <w:r>
        <w:rPr>
          <w:rFonts w:hint="eastAsia" w:ascii="宋体" w:hAnsi="宋体" w:eastAsia="宋体" w:cs="宋体"/>
          <w:iCs/>
          <w:color w:val="auto"/>
          <w:kern w:val="2"/>
          <w:sz w:val="24"/>
          <w:szCs w:val="24"/>
          <w:highlight w:val="none"/>
          <w:shd w:val="clear" w:color="auto" w:fill="FFFFFF" w:themeFill="background1"/>
          <w:lang w:val="zh-CN" w:eastAsia="zh-CN" w:bidi="ar-SA"/>
        </w:rPr>
        <w:t>，联合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中应写明小型、微型企业的合同金额占到联合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体磋商合同</w:t>
      </w:r>
      <w:r>
        <w:rPr>
          <w:rFonts w:hint="eastAsia" w:ascii="宋体" w:hAnsi="宋体" w:eastAsia="宋体" w:cs="宋体"/>
          <w:iCs/>
          <w:color w:val="auto"/>
          <w:kern w:val="2"/>
          <w:sz w:val="24"/>
          <w:szCs w:val="24"/>
          <w:highlight w:val="none"/>
          <w:shd w:val="clear" w:color="auto" w:fill="FFFFFF" w:themeFill="background1"/>
          <w:lang w:val="zh-CN" w:eastAsia="zh-CN" w:bidi="ar-SA"/>
        </w:rPr>
        <w:t>总金额的比例。</w:t>
      </w:r>
    </w:p>
    <w:p w14:paraId="7127D16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.6</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w:t>
      </w:r>
      <w:r>
        <w:rPr>
          <w:rFonts w:hint="eastAsia" w:ascii="宋体" w:hAnsi="宋体" w:eastAsia="宋体" w:cs="宋体"/>
          <w:iCs/>
          <w:color w:val="auto"/>
          <w:kern w:val="2"/>
          <w:sz w:val="24"/>
          <w:szCs w:val="24"/>
          <w:highlight w:val="none"/>
          <w:shd w:val="clear" w:color="auto" w:fill="FFFFFF" w:themeFill="background1"/>
          <w:lang w:val="en-US" w:eastAsia="zh-CN" w:bidi="ar-SA"/>
        </w:rPr>
        <w:t>成交的</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采购</w:t>
      </w:r>
      <w:r>
        <w:rPr>
          <w:rFonts w:hint="eastAsia" w:ascii="宋体" w:hAnsi="宋体" w:eastAsia="宋体" w:cs="宋体"/>
          <w:iCs/>
          <w:color w:val="auto"/>
          <w:kern w:val="2"/>
          <w:sz w:val="24"/>
          <w:szCs w:val="24"/>
          <w:highlight w:val="none"/>
          <w:shd w:val="clear" w:color="auto" w:fill="FFFFFF" w:themeFill="background1"/>
          <w:lang w:val="zh-CN" w:eastAsia="zh-CN" w:bidi="ar-SA"/>
        </w:rPr>
        <w:t>合同应由</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各成员的合法授权代表签字</w:t>
      </w:r>
      <w:r>
        <w:rPr>
          <w:rFonts w:hint="eastAsia" w:ascii="宋体" w:hAnsi="宋体" w:eastAsia="宋体" w:cs="宋体"/>
          <w:iCs/>
          <w:color w:val="auto"/>
          <w:kern w:val="2"/>
          <w:sz w:val="24"/>
          <w:szCs w:val="24"/>
          <w:highlight w:val="none"/>
          <w:shd w:val="clear" w:color="auto" w:fill="FFFFFF" w:themeFill="background1"/>
          <w:lang w:val="en-US" w:eastAsia="zh-CN" w:bidi="ar-SA"/>
        </w:rPr>
        <w:t>及</w:t>
      </w:r>
      <w:r>
        <w:rPr>
          <w:rFonts w:hint="eastAsia" w:ascii="宋体" w:hAnsi="宋体" w:eastAsia="宋体" w:cs="宋体"/>
          <w:iCs/>
          <w:color w:val="auto"/>
          <w:kern w:val="2"/>
          <w:sz w:val="24"/>
          <w:szCs w:val="24"/>
          <w:highlight w:val="none"/>
          <w:shd w:val="clear" w:color="auto" w:fill="FFFFFF" w:themeFill="background1"/>
          <w:lang w:val="zh-CN" w:eastAsia="zh-CN" w:bidi="ar-SA"/>
        </w:rPr>
        <w:t>加盖</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各成员公章，</w:t>
      </w:r>
      <w:r>
        <w:rPr>
          <w:rFonts w:hint="eastAsia" w:ascii="宋体" w:hAnsi="宋体" w:eastAsia="宋体" w:cs="宋体"/>
          <w:iCs/>
          <w:color w:val="auto"/>
          <w:kern w:val="2"/>
          <w:sz w:val="24"/>
          <w:szCs w:val="24"/>
          <w:highlight w:val="none"/>
          <w:shd w:val="clear" w:color="auto" w:fill="FFFFFF" w:themeFill="background1"/>
          <w:lang w:val="en-US" w:eastAsia="zh-CN" w:bidi="ar-SA"/>
        </w:rPr>
        <w:t>并</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72C3CFE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.7</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宋体"/>
          <w:iCs/>
          <w:color w:val="auto"/>
          <w:kern w:val="2"/>
          <w:sz w:val="24"/>
          <w:szCs w:val="24"/>
          <w:highlight w:val="none"/>
          <w:shd w:val="clear" w:color="auto" w:fill="FFFFFF" w:themeFill="background1"/>
          <w:lang w:val="en-US" w:eastAsia="zh-CN" w:bidi="ar-SA"/>
        </w:rPr>
        <w:t>人</w:t>
      </w:r>
      <w:r>
        <w:rPr>
          <w:rFonts w:hint="eastAsia" w:ascii="宋体" w:hAnsi="宋体" w:eastAsia="宋体" w:cs="宋体"/>
          <w:iCs/>
          <w:color w:val="auto"/>
          <w:kern w:val="2"/>
          <w:sz w:val="24"/>
          <w:szCs w:val="24"/>
          <w:highlight w:val="none"/>
          <w:shd w:val="clear" w:color="auto" w:fill="FFFFFF" w:themeFill="background1"/>
          <w:lang w:val="zh-CN" w:eastAsia="zh-CN" w:bidi="ar-SA"/>
        </w:rPr>
        <w:t>书面同意并且须遵守相关法律、法规、本次</w:t>
      </w:r>
      <w:r>
        <w:rPr>
          <w:rFonts w:hint="eastAsia" w:ascii="宋体" w:hAnsi="宋体" w:eastAsia="宋体" w:cs="宋体"/>
          <w:iCs/>
          <w:color w:val="auto"/>
          <w:kern w:val="2"/>
          <w:sz w:val="24"/>
          <w:szCs w:val="24"/>
          <w:highlight w:val="none"/>
          <w:shd w:val="clear" w:color="auto" w:fill="FFFFFF" w:themeFill="background1"/>
          <w:lang w:val="en-US" w:eastAsia="zh-CN" w:bidi="ar-SA"/>
        </w:rPr>
        <w:t>磋商</w:t>
      </w:r>
      <w:r>
        <w:rPr>
          <w:rFonts w:hint="eastAsia" w:ascii="宋体" w:hAnsi="宋体" w:eastAsia="宋体" w:cs="宋体"/>
          <w:iCs/>
          <w:color w:val="auto"/>
          <w:kern w:val="2"/>
          <w:sz w:val="24"/>
          <w:szCs w:val="24"/>
          <w:highlight w:val="none"/>
          <w:shd w:val="clear" w:color="auto" w:fill="FFFFFF" w:themeFill="background1"/>
          <w:lang w:val="zh-CN" w:eastAsia="zh-CN" w:bidi="ar-SA"/>
        </w:rPr>
        <w:t>的全部相关规定。</w:t>
      </w:r>
    </w:p>
    <w:p w14:paraId="1C0E489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8</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w:t>
      </w:r>
      <w:r>
        <w:rPr>
          <w:rFonts w:hint="eastAsia" w:ascii="宋体" w:hAnsi="宋体" w:eastAsia="宋体" w:cs="宋体"/>
          <w:iCs/>
          <w:color w:val="auto"/>
          <w:kern w:val="2"/>
          <w:sz w:val="24"/>
          <w:szCs w:val="24"/>
          <w:highlight w:val="none"/>
          <w:shd w:val="clear" w:color="auto" w:fill="FFFFFF" w:themeFill="background1"/>
          <w:lang w:val="en-US" w:eastAsia="zh-CN" w:bidi="ar-SA"/>
        </w:rPr>
        <w:t>磋商</w:t>
      </w:r>
      <w:r>
        <w:rPr>
          <w:rFonts w:hint="eastAsia" w:ascii="宋体" w:hAnsi="宋体" w:eastAsia="宋体" w:cs="宋体"/>
          <w:iCs/>
          <w:color w:val="auto"/>
          <w:kern w:val="2"/>
          <w:sz w:val="24"/>
          <w:szCs w:val="24"/>
          <w:highlight w:val="none"/>
          <w:shd w:val="clear" w:color="auto" w:fill="FFFFFF" w:themeFill="background1"/>
          <w:lang w:val="zh-CN" w:eastAsia="zh-CN" w:bidi="ar-SA"/>
        </w:rPr>
        <w:t>的其他资格要求见“</w:t>
      </w:r>
      <w:r>
        <w:rPr>
          <w:rFonts w:hint="eastAsia" w:ascii="宋体" w:hAnsi="宋体" w:eastAsia="宋体" w:cs="宋体"/>
          <w:iCs/>
          <w:color w:val="auto"/>
          <w:kern w:val="2"/>
          <w:sz w:val="24"/>
          <w:szCs w:val="24"/>
          <w:highlight w:val="none"/>
          <w:shd w:val="clear" w:color="auto" w:fill="FFFFFF" w:themeFill="background1"/>
          <w:lang w:val="en-US" w:eastAsia="zh-CN" w:bidi="ar-SA"/>
        </w:rPr>
        <w:t>第一章 竞争性磋商公告</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中的“二、供应商的</w:t>
      </w:r>
      <w:r>
        <w:rPr>
          <w:rFonts w:hint="eastAsia" w:ascii="宋体" w:hAnsi="宋体" w:eastAsia="宋体" w:cs="宋体"/>
          <w:iCs/>
          <w:color w:val="auto"/>
          <w:kern w:val="2"/>
          <w:sz w:val="24"/>
          <w:szCs w:val="24"/>
          <w:highlight w:val="none"/>
          <w:shd w:val="clear" w:color="auto" w:fill="FFFFFF" w:themeFill="background1"/>
          <w:lang w:val="zh-CN" w:eastAsia="zh-CN" w:bidi="ar-SA"/>
        </w:rPr>
        <w:t>资格</w:t>
      </w:r>
      <w:r>
        <w:rPr>
          <w:rFonts w:hint="eastAsia" w:ascii="宋体" w:hAnsi="宋体" w:eastAsia="宋体" w:cs="宋体"/>
          <w:iCs/>
          <w:color w:val="auto"/>
          <w:kern w:val="2"/>
          <w:sz w:val="24"/>
          <w:szCs w:val="24"/>
          <w:highlight w:val="none"/>
          <w:shd w:val="clear" w:color="auto" w:fill="FFFFFF" w:themeFill="background1"/>
          <w:lang w:val="en-US" w:eastAsia="zh-CN" w:bidi="ar-SA"/>
        </w:rPr>
        <w:t>要求”</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485F496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5.费用</w:t>
      </w:r>
      <w:bookmarkEnd w:id="122"/>
      <w:bookmarkEnd w:id="123"/>
      <w:bookmarkEnd w:id="124"/>
      <w:bookmarkEnd w:id="125"/>
      <w:bookmarkEnd w:id="126"/>
      <w:bookmarkEnd w:id="127"/>
      <w:bookmarkEnd w:id="128"/>
      <w:bookmarkEnd w:id="129"/>
      <w:bookmarkEnd w:id="130"/>
      <w:bookmarkEnd w:id="131"/>
      <w:bookmarkEnd w:id="132"/>
      <w:bookmarkEnd w:id="133"/>
      <w:bookmarkEnd w:id="134"/>
      <w:r>
        <w:rPr>
          <w:rFonts w:hint="eastAsia" w:ascii="宋体" w:hAnsi="宋体" w:eastAsia="宋体" w:cs="宋体"/>
          <w:b/>
          <w:bCs/>
          <w:color w:val="auto"/>
          <w:kern w:val="2"/>
          <w:sz w:val="24"/>
          <w:szCs w:val="24"/>
          <w:highlight w:val="none"/>
          <w:lang w:val="en-US" w:eastAsia="zh-CN" w:bidi="ar-SA"/>
        </w:rPr>
        <w:t>承担</w:t>
      </w:r>
    </w:p>
    <w:p w14:paraId="3C6741ED">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5.1</w:t>
      </w:r>
      <w:r>
        <w:rPr>
          <w:rFonts w:hint="eastAsia" w:ascii="宋体" w:hAnsi="宋体" w:eastAsia="宋体" w:cs="宋体"/>
          <w:snapToGrid w:val="0"/>
          <w:color w:val="auto"/>
          <w:sz w:val="24"/>
          <w:szCs w:val="24"/>
          <w:highlight w:val="none"/>
          <w:lang w:val="zh-CN" w:eastAsia="zh-CN"/>
        </w:rPr>
        <w:t>不论</w:t>
      </w:r>
      <w:r>
        <w:rPr>
          <w:rFonts w:hint="eastAsia" w:ascii="宋体" w:hAnsi="宋体" w:eastAsia="宋体" w:cs="宋体"/>
          <w:snapToGrid w:val="0"/>
          <w:color w:val="auto"/>
          <w:sz w:val="24"/>
          <w:szCs w:val="24"/>
          <w:highlight w:val="none"/>
          <w:lang w:val="en-US" w:eastAsia="zh-CN"/>
        </w:rPr>
        <w:t>磋商</w:t>
      </w:r>
      <w:r>
        <w:rPr>
          <w:rFonts w:hint="eastAsia" w:ascii="宋体" w:hAnsi="宋体" w:eastAsia="宋体" w:cs="宋体"/>
          <w:snapToGrid w:val="0"/>
          <w:color w:val="auto"/>
          <w:sz w:val="24"/>
          <w:szCs w:val="24"/>
          <w:highlight w:val="none"/>
          <w:lang w:val="zh-CN" w:eastAsia="zh-CN"/>
        </w:rPr>
        <w:t>的结果如何，</w:t>
      </w:r>
      <w:r>
        <w:rPr>
          <w:rFonts w:hint="eastAsia" w:ascii="宋体" w:hAnsi="宋体" w:eastAsia="宋体" w:cs="宋体"/>
          <w:snapToGrid w:val="0"/>
          <w:color w:val="auto"/>
          <w:sz w:val="24"/>
          <w:szCs w:val="24"/>
          <w:highlight w:val="none"/>
          <w:lang w:val="en-US" w:eastAsia="zh-CN"/>
        </w:rPr>
        <w:t>供应商</w:t>
      </w:r>
      <w:r>
        <w:rPr>
          <w:rFonts w:hint="eastAsia" w:ascii="宋体" w:hAnsi="宋体" w:eastAsia="宋体" w:cs="宋体"/>
          <w:snapToGrid w:val="0"/>
          <w:color w:val="auto"/>
          <w:sz w:val="24"/>
          <w:szCs w:val="24"/>
          <w:highlight w:val="none"/>
          <w:lang w:val="zh-CN" w:eastAsia="zh-CN"/>
        </w:rPr>
        <w:t>应承担所有与准备和参加</w:t>
      </w:r>
      <w:r>
        <w:rPr>
          <w:rFonts w:hint="eastAsia" w:ascii="宋体" w:hAnsi="宋体" w:eastAsia="宋体" w:cs="宋体"/>
          <w:snapToGrid w:val="0"/>
          <w:color w:val="auto"/>
          <w:sz w:val="24"/>
          <w:szCs w:val="24"/>
          <w:highlight w:val="none"/>
          <w:lang w:val="en-US" w:eastAsia="zh-CN"/>
        </w:rPr>
        <w:t>磋商</w:t>
      </w:r>
      <w:r>
        <w:rPr>
          <w:rFonts w:hint="eastAsia" w:ascii="宋体" w:hAnsi="宋体" w:eastAsia="宋体" w:cs="宋体"/>
          <w:snapToGrid w:val="0"/>
          <w:color w:val="auto"/>
          <w:sz w:val="24"/>
          <w:szCs w:val="24"/>
          <w:highlight w:val="none"/>
          <w:lang w:val="zh-CN" w:eastAsia="zh-CN"/>
        </w:rPr>
        <w:t>有关的费用。</w:t>
      </w:r>
    </w:p>
    <w:p w14:paraId="6DDD89B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5" w:name="_Toc140132761"/>
      <w:bookmarkStart w:id="136" w:name="_Toc161600293"/>
      <w:r>
        <w:rPr>
          <w:rFonts w:hint="eastAsia" w:ascii="宋体" w:hAnsi="宋体" w:eastAsia="宋体" w:cs="宋体"/>
          <w:b/>
          <w:bCs/>
          <w:color w:val="auto"/>
          <w:kern w:val="2"/>
          <w:sz w:val="24"/>
          <w:szCs w:val="24"/>
          <w:highlight w:val="none"/>
          <w:lang w:val="en-US" w:eastAsia="zh-CN" w:bidi="ar-SA"/>
        </w:rPr>
        <w:t>6.保密</w:t>
      </w:r>
      <w:bookmarkEnd w:id="135"/>
      <w:bookmarkEnd w:id="136"/>
    </w:p>
    <w:p w14:paraId="1361C439">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参与磋商活动的各方应对竞争</w:t>
      </w:r>
      <w:r>
        <w:rPr>
          <w:rFonts w:hint="eastAsia" w:ascii="宋体" w:hAnsi="宋体" w:eastAsia="宋体" w:cs="宋体"/>
          <w:color w:val="auto"/>
          <w:sz w:val="24"/>
          <w:szCs w:val="24"/>
          <w:highlight w:val="none"/>
          <w:lang w:val="en-US" w:eastAsia="zh-CN"/>
        </w:rPr>
        <w:t>性</w:t>
      </w:r>
      <w:r>
        <w:rPr>
          <w:rFonts w:hint="eastAsia" w:ascii="宋体" w:hAnsi="宋体" w:eastAsia="宋体" w:cs="宋体"/>
          <w:color w:val="auto"/>
          <w:sz w:val="24"/>
          <w:szCs w:val="24"/>
          <w:highlight w:val="none"/>
        </w:rPr>
        <w:t>磋商文件和响应文件中的商业和技术等秘密保密，否则应承担相应的法律责任。</w:t>
      </w:r>
    </w:p>
    <w:p w14:paraId="0F89755A">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2 供应商</w:t>
      </w:r>
      <w:r>
        <w:rPr>
          <w:rFonts w:hint="eastAsia" w:ascii="宋体" w:hAnsi="宋体" w:eastAsia="宋体" w:cs="宋体"/>
          <w:color w:val="auto"/>
          <w:kern w:val="2"/>
          <w:sz w:val="24"/>
          <w:szCs w:val="24"/>
          <w:highlight w:val="none"/>
        </w:rPr>
        <w:t>自领取竞争</w:t>
      </w:r>
      <w:r>
        <w:rPr>
          <w:rFonts w:hint="eastAsia" w:ascii="宋体" w:hAnsi="宋体" w:eastAsia="宋体" w:cs="宋体"/>
          <w:color w:val="auto"/>
          <w:kern w:val="2"/>
          <w:sz w:val="24"/>
          <w:szCs w:val="24"/>
          <w:highlight w:val="none"/>
          <w:lang w:val="en-US" w:eastAsia="zh-CN"/>
        </w:rPr>
        <w:t>性</w:t>
      </w:r>
      <w:r>
        <w:rPr>
          <w:rFonts w:hint="eastAsia" w:ascii="宋体" w:hAnsi="宋体" w:eastAsia="宋体" w:cs="宋体"/>
          <w:color w:val="auto"/>
          <w:kern w:val="2"/>
          <w:sz w:val="24"/>
          <w:szCs w:val="24"/>
          <w:highlight w:val="none"/>
        </w:rPr>
        <w:t>磋商文件之日起，须承担本竞争</w:t>
      </w:r>
      <w:r>
        <w:rPr>
          <w:rFonts w:hint="eastAsia" w:ascii="宋体" w:hAnsi="宋体" w:eastAsia="宋体" w:cs="宋体"/>
          <w:color w:val="auto"/>
          <w:kern w:val="2"/>
          <w:sz w:val="24"/>
          <w:szCs w:val="24"/>
          <w:highlight w:val="none"/>
          <w:lang w:val="en-US" w:eastAsia="zh-CN"/>
        </w:rPr>
        <w:t>性</w:t>
      </w:r>
      <w:r>
        <w:rPr>
          <w:rFonts w:hint="eastAsia" w:ascii="宋体" w:hAnsi="宋体" w:eastAsia="宋体" w:cs="宋体"/>
          <w:color w:val="auto"/>
          <w:kern w:val="2"/>
          <w:sz w:val="24"/>
          <w:szCs w:val="24"/>
          <w:highlight w:val="none"/>
        </w:rPr>
        <w:t>磋商项目保密义务，不得将因本次竞争</w:t>
      </w:r>
      <w:r>
        <w:rPr>
          <w:rFonts w:hint="eastAsia" w:ascii="宋体" w:hAnsi="宋体" w:eastAsia="宋体" w:cs="宋体"/>
          <w:color w:val="auto"/>
          <w:kern w:val="2"/>
          <w:sz w:val="24"/>
          <w:szCs w:val="24"/>
          <w:highlight w:val="none"/>
          <w:lang w:val="en-US" w:eastAsia="zh-CN"/>
        </w:rPr>
        <w:t>性</w:t>
      </w:r>
      <w:r>
        <w:rPr>
          <w:rFonts w:hint="eastAsia" w:ascii="宋体" w:hAnsi="宋体" w:eastAsia="宋体" w:cs="宋体"/>
          <w:color w:val="auto"/>
          <w:kern w:val="2"/>
          <w:sz w:val="24"/>
          <w:szCs w:val="24"/>
          <w:highlight w:val="none"/>
        </w:rPr>
        <w:t>磋商获得的信息向第三人外传。由采购人向</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提供的图纸、详细资料、样品、模型、模件和所有其它资料，被视为保密资料，仅被用于它所规定的用途。除非得到采购人的同意，不能向任何第三方透露。竞争</w:t>
      </w:r>
      <w:r>
        <w:rPr>
          <w:rFonts w:hint="eastAsia" w:ascii="宋体" w:hAnsi="宋体" w:eastAsia="宋体" w:cs="宋体"/>
          <w:color w:val="auto"/>
          <w:kern w:val="2"/>
          <w:sz w:val="24"/>
          <w:szCs w:val="24"/>
          <w:highlight w:val="none"/>
          <w:lang w:val="en-US" w:eastAsia="zh-CN"/>
        </w:rPr>
        <w:t>性</w:t>
      </w:r>
      <w:r>
        <w:rPr>
          <w:rFonts w:hint="eastAsia" w:ascii="宋体" w:hAnsi="宋体" w:eastAsia="宋体" w:cs="宋体"/>
          <w:color w:val="auto"/>
          <w:kern w:val="2"/>
          <w:sz w:val="24"/>
          <w:szCs w:val="24"/>
          <w:highlight w:val="none"/>
        </w:rPr>
        <w:t>磋商结束后，应采购人要求，</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应归还所有从采购人处获得的保密资料。</w:t>
      </w:r>
    </w:p>
    <w:p w14:paraId="67E49FDD">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3 </w:t>
      </w:r>
      <w:r>
        <w:rPr>
          <w:rFonts w:hint="eastAsia" w:ascii="宋体" w:hAnsi="宋体" w:eastAsia="宋体" w:cs="宋体"/>
          <w:color w:val="auto"/>
          <w:kern w:val="2"/>
          <w:sz w:val="24"/>
          <w:szCs w:val="24"/>
          <w:highlight w:val="none"/>
        </w:rPr>
        <w:t>采购代理机构有权将</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提供的所有资料向有关政府部门或竞争</w:t>
      </w:r>
      <w:r>
        <w:rPr>
          <w:rFonts w:hint="eastAsia" w:ascii="宋体" w:hAnsi="宋体" w:eastAsia="宋体" w:cs="宋体"/>
          <w:color w:val="auto"/>
          <w:kern w:val="2"/>
          <w:sz w:val="24"/>
          <w:szCs w:val="24"/>
          <w:highlight w:val="none"/>
          <w:lang w:val="en-US" w:eastAsia="zh-CN"/>
        </w:rPr>
        <w:t>性</w:t>
      </w:r>
      <w:r>
        <w:rPr>
          <w:rFonts w:hint="eastAsia" w:ascii="宋体" w:hAnsi="宋体" w:eastAsia="宋体" w:cs="宋体"/>
          <w:color w:val="auto"/>
          <w:kern w:val="2"/>
          <w:sz w:val="24"/>
          <w:szCs w:val="24"/>
          <w:highlight w:val="none"/>
        </w:rPr>
        <w:t>磋商的有关人员披露。</w:t>
      </w:r>
    </w:p>
    <w:p w14:paraId="232A1AD6">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color w:val="auto"/>
          <w:kern w:val="2"/>
          <w:sz w:val="24"/>
          <w:szCs w:val="24"/>
          <w:highlight w:val="none"/>
        </w:rPr>
        <w:t>。</w:t>
      </w:r>
      <w:r>
        <w:rPr>
          <w:rFonts w:hint="eastAsia" w:ascii="宋体" w:hAnsi="宋体" w:eastAsia="宋体" w:cs="宋体"/>
          <w:color w:val="auto"/>
          <w:sz w:val="24"/>
          <w:szCs w:val="24"/>
          <w:highlight w:val="none"/>
        </w:rPr>
        <w:t xml:space="preserve"> </w:t>
      </w:r>
    </w:p>
    <w:p w14:paraId="47EBAEFC">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7" w:name="_Toc140132762"/>
      <w:bookmarkStart w:id="138" w:name="_Toc161600294"/>
      <w:r>
        <w:rPr>
          <w:rFonts w:hint="eastAsia" w:ascii="宋体" w:hAnsi="宋体" w:eastAsia="宋体" w:cs="宋体"/>
          <w:b/>
          <w:bCs/>
          <w:color w:val="auto"/>
          <w:kern w:val="2"/>
          <w:sz w:val="24"/>
          <w:szCs w:val="24"/>
          <w:highlight w:val="none"/>
          <w:lang w:val="en-US" w:eastAsia="zh-CN" w:bidi="ar-SA"/>
        </w:rPr>
        <w:t>7.语言文字</w:t>
      </w:r>
      <w:bookmarkEnd w:id="137"/>
      <w:bookmarkEnd w:id="138"/>
    </w:p>
    <w:p w14:paraId="3121AAFC">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7.1竞争</w:t>
      </w:r>
      <w:r>
        <w:rPr>
          <w:rFonts w:hint="eastAsia" w:ascii="宋体" w:hAnsi="宋体" w:eastAsia="宋体" w:cs="宋体"/>
          <w:color w:val="auto"/>
          <w:sz w:val="24"/>
          <w:szCs w:val="24"/>
          <w:highlight w:val="none"/>
          <w:lang w:val="en-US" w:eastAsia="zh-CN"/>
        </w:rPr>
        <w:t>性</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en-US" w:eastAsia="zh-CN"/>
        </w:rPr>
        <w:t>文件及响应</w:t>
      </w:r>
      <w:r>
        <w:rPr>
          <w:rFonts w:hint="eastAsia" w:ascii="宋体" w:hAnsi="宋体" w:eastAsia="宋体" w:cs="宋体"/>
          <w:color w:val="auto"/>
          <w:sz w:val="24"/>
          <w:szCs w:val="24"/>
          <w:highlight w:val="none"/>
        </w:rPr>
        <w:t>文件使用的语言文字为中文。专用术语使用外文的，应附有中文注释。</w:t>
      </w:r>
      <w:r>
        <w:rPr>
          <w:rFonts w:hint="eastAsia" w:ascii="宋体" w:hAnsi="宋体" w:eastAsia="宋体" w:cs="宋体"/>
          <w:color w:val="auto"/>
          <w:sz w:val="24"/>
          <w:szCs w:val="24"/>
          <w:highlight w:val="none"/>
          <w:lang w:val="en-US" w:eastAsia="zh-CN"/>
        </w:rPr>
        <w:t>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5670762F">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9" w:name="_Toc161600295"/>
      <w:bookmarkStart w:id="140" w:name="_Toc140132763"/>
      <w:r>
        <w:rPr>
          <w:rFonts w:hint="eastAsia" w:ascii="宋体" w:hAnsi="宋体" w:eastAsia="宋体" w:cs="宋体"/>
          <w:b/>
          <w:bCs/>
          <w:color w:val="auto"/>
          <w:kern w:val="2"/>
          <w:sz w:val="24"/>
          <w:szCs w:val="24"/>
          <w:highlight w:val="none"/>
          <w:lang w:val="en-US" w:eastAsia="zh-CN" w:bidi="ar-SA"/>
        </w:rPr>
        <w:t>8.计量单位</w:t>
      </w:r>
      <w:bookmarkEnd w:id="139"/>
      <w:bookmarkEnd w:id="140"/>
    </w:p>
    <w:p w14:paraId="0DC441D4">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8.1所有计量均采用中华人民共和国法定计量单位。</w:t>
      </w:r>
    </w:p>
    <w:p w14:paraId="37E10A0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1" w:name="_Toc140132764"/>
      <w:bookmarkStart w:id="142" w:name="_Toc161600296"/>
      <w:r>
        <w:rPr>
          <w:rFonts w:hint="eastAsia" w:ascii="宋体" w:hAnsi="宋体" w:eastAsia="宋体" w:cs="宋体"/>
          <w:b/>
          <w:bCs/>
          <w:color w:val="auto"/>
          <w:kern w:val="2"/>
          <w:sz w:val="24"/>
          <w:szCs w:val="24"/>
          <w:highlight w:val="none"/>
          <w:lang w:val="en-US" w:eastAsia="zh-CN" w:bidi="ar-SA"/>
        </w:rPr>
        <w:t>9.现场考察和答疑会</w:t>
      </w:r>
      <w:bookmarkEnd w:id="141"/>
      <w:bookmarkEnd w:id="142"/>
    </w:p>
    <w:p w14:paraId="70E7733A">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bookmarkStart w:id="143" w:name="_Hlk143529198"/>
      <w:r>
        <w:rPr>
          <w:rFonts w:hint="eastAsia" w:ascii="宋体" w:hAnsi="宋体" w:eastAsia="宋体" w:cs="宋体"/>
          <w:color w:val="auto"/>
          <w:sz w:val="24"/>
          <w:szCs w:val="24"/>
          <w:highlight w:val="none"/>
        </w:rPr>
        <w:t xml:space="preserve">9.1 “供应商须知前附表”规定组织现场考察的，采购代理机构按“供应商须知前附表”规定的时间、地点组织供应商项目现场考察。 </w:t>
      </w:r>
    </w:p>
    <w:p w14:paraId="473C15DA">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供应商现场考察发生的费用自理。</w:t>
      </w:r>
    </w:p>
    <w:p w14:paraId="417B1E0B">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 在现场考察中，因供应商自身原因发生的人员伤亡和财产损失，由供应商自行负责。</w:t>
      </w:r>
    </w:p>
    <w:p w14:paraId="2BF7B5CD">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 采购人在现场考察中介绍的项目场地和相关的周边环境情况，仅供供应商在编制响应文件时参考，采购人和采购代理机构不对供应商据此作出的判断和决策负责。</w:t>
      </w:r>
    </w:p>
    <w:p w14:paraId="521951E4">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9.5 “供应商须知前附表”规定召开答疑会的，采购代理机构按“供应商须知前附表”规定的时间和地点召开答疑会，澄清供应商提出的问题。</w:t>
      </w:r>
    </w:p>
    <w:p w14:paraId="7BC8ED9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9.6 由于未参加现场考察或未参加答疑会而导致对项目实际情况不了解，影响响应文件编制、磋商报价准确性、综合因素响应不全面等问题的，由供应商自行承担不利评审后果。</w:t>
      </w:r>
    </w:p>
    <w:bookmarkEnd w:id="143"/>
    <w:p w14:paraId="020D8BF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4" w:name="_Toc161600298"/>
      <w:bookmarkStart w:id="145" w:name="_Toc155185858"/>
      <w:r>
        <w:rPr>
          <w:rFonts w:hint="eastAsia" w:ascii="宋体" w:hAnsi="宋体" w:eastAsia="宋体" w:cs="宋体"/>
          <w:b/>
          <w:bCs/>
          <w:color w:val="auto"/>
          <w:kern w:val="2"/>
          <w:sz w:val="24"/>
          <w:szCs w:val="24"/>
          <w:highlight w:val="none"/>
          <w:lang w:val="en-US" w:eastAsia="zh-CN" w:bidi="ar-SA"/>
        </w:rPr>
        <w:t>10.电子标说明</w:t>
      </w:r>
      <w:bookmarkEnd w:id="144"/>
      <w:bookmarkEnd w:id="145"/>
    </w:p>
    <w:p w14:paraId="111A1565">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10.1 本次采购采用电子交易方式，电子交易平台为兵团政府采购电子交易云平台（网址：https://www.zcygov.cn/）。供应商参与本项目电子交易活动前，</w:t>
      </w:r>
      <w:r>
        <w:rPr>
          <w:rFonts w:hint="eastAsia" w:ascii="宋体" w:hAnsi="宋体" w:eastAsia="宋体" w:cs="宋体"/>
          <w:color w:val="auto"/>
          <w:sz w:val="24"/>
          <w:szCs w:val="24"/>
          <w:highlight w:val="none"/>
        </w:rPr>
        <w:t>应</w:t>
      </w:r>
      <w:r>
        <w:rPr>
          <w:rFonts w:hint="eastAsia" w:ascii="宋体" w:hAnsi="宋体" w:eastAsia="宋体" w:cs="宋体"/>
          <w:color w:val="auto"/>
          <w:sz w:val="24"/>
          <w:szCs w:val="24"/>
          <w:highlight w:val="none"/>
          <w:lang w:val="en-US" w:eastAsia="zh-CN"/>
        </w:rPr>
        <w:t>在</w:t>
      </w:r>
      <w:r>
        <w:rPr>
          <w:rFonts w:hint="eastAsia" w:ascii="宋体" w:hAnsi="宋体" w:eastAsia="宋体" w:cs="宋体"/>
          <w:color w:val="auto"/>
          <w:sz w:val="24"/>
          <w:szCs w:val="24"/>
          <w:highlight w:val="none"/>
        </w:rPr>
        <w:t>政</w:t>
      </w:r>
      <w:r>
        <w:rPr>
          <w:rFonts w:hint="eastAsia" w:ascii="宋体" w:hAnsi="宋体" w:eastAsia="宋体" w:cs="宋体"/>
          <w:color w:val="auto"/>
          <w:sz w:val="24"/>
          <w:szCs w:val="24"/>
          <w:highlight w:val="none"/>
          <w:lang w:val="en-US" w:eastAsia="zh-CN"/>
        </w:rPr>
        <w:t>采</w:t>
      </w:r>
      <w:r>
        <w:rPr>
          <w:rFonts w:hint="eastAsia" w:ascii="宋体" w:hAnsi="宋体" w:eastAsia="宋体" w:cs="宋体"/>
          <w:color w:val="auto"/>
          <w:sz w:val="24"/>
          <w:szCs w:val="24"/>
          <w:highlight w:val="none"/>
          <w:lang w:val="en-US"/>
        </w:rPr>
        <w:t>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en-US" w:eastAsia="zh-CN"/>
        </w:rPr>
        <w:t>上</w:t>
      </w:r>
      <w:r>
        <w:rPr>
          <w:rFonts w:hint="eastAsia" w:ascii="宋体" w:hAnsi="宋体" w:eastAsia="宋体" w:cs="宋体"/>
          <w:color w:val="auto"/>
          <w:sz w:val="24"/>
          <w:szCs w:val="24"/>
          <w:highlight w:val="none"/>
        </w:rPr>
        <w:t>注册</w:t>
      </w:r>
      <w:r>
        <w:rPr>
          <w:rFonts w:hint="eastAsia" w:ascii="宋体" w:hAnsi="宋体" w:eastAsia="宋体" w:cs="宋体"/>
          <w:color w:val="auto"/>
          <w:sz w:val="24"/>
          <w:szCs w:val="24"/>
          <w:highlight w:val="none"/>
          <w:lang w:val="en-US" w:eastAsia="zh-CN"/>
        </w:rPr>
        <w:t>供应商账号</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编制电子响应文件前还需申领CA证书并绑定帐号。供应商应充分考虑完成平台注册、申领CA证书等所需的时间。潜在供应商领取文件须提前完成注册、CA证书和电子签章申领和绑定、下载投标客户端。因未办理CA数字证书、CA证书故障、操作不当等原因造成无法磋商或磋商失败等后果由供应商自行承担。供应商登录兵团政府采购网“供应商注册”—“新疆生产建设兵团政府采购供应商入驻登记”—“立即登记”进行自助注册绑定。</w:t>
      </w:r>
    </w:p>
    <w:p w14:paraId="18ECC266">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10.2 供应商将兵团政府采购电子交易云平台电子交易客户端下载、安装完成后，可通过账号密码或CA登录客户端进行响应文件制作。在使用政采云投标客户端时，建议使用WIN7及以上操作系统。供应商登录兵团政府采购网“下载专区”—“电子招投标客户端下载”下载相关客户端，如有问题可拨打政采云客户服务热线95763进行咨询。</w:t>
      </w:r>
    </w:p>
    <w:p w14:paraId="1E16A3EF">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10.3 加密的电子响应文件应在响应文件递交截止时间前通过政采云平台上传完成。逾期上传或者未上传指定地点的响应文件，不予受理。</w:t>
      </w:r>
    </w:p>
    <w:p w14:paraId="53B28965">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10.4 供应商在磋商前须提前配置好电脑及浏览器，磋商时请使用制作加密电子响应文件的CA锁进行解密及报价确认。本项目响应文件解密时间详“供应商须知前附表”，如因自身原因导致无法正常解密，后果由供应商自行承担。</w:t>
      </w:r>
    </w:p>
    <w:p w14:paraId="469768F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10.5 如遇“兵团政府采购电子交易云平台（网址：https://www.zcygov.cn/）”电子交易规则调整，以最新要求为准。</w:t>
      </w:r>
    </w:p>
    <w:p w14:paraId="08AA0ABB">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10.6 电子交易系统咨询：供应商应当充分考虑到电子响应可能会发生的各种问题和风险，特别是响应文件签署、提交等问题，可按照“第一章 竞争性磋商公告”的联系方式咨询相关人员。</w:t>
      </w:r>
    </w:p>
    <w:p w14:paraId="39CA1037">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10.7 由于本项目采用电子磋商方式，潜在供应商的名单将在递交响应文件截止时间后才会解密。因此，采购人或采购代理机构无法通过传统的传真或邮件方式，将竞争性磋商文件的澄清或修改内容逐一通知到每位已获取竞争性磋商文件的潜在供应商。为确保信息的及时性和准确性，澄清或修改的内容将仅在政采云平台以更正公告的形式发布。潜在供应商需密切关注该网站，及时查看并下载相关更正公告。若因潜在供应商未能及时查看或下载相关更正公告，而导致的一切后果，将由潜在供应商自行承担。</w:t>
      </w:r>
    </w:p>
    <w:p w14:paraId="17FBA29F">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6" w:name="_Toc15019"/>
      <w:bookmarkStart w:id="147" w:name="_Toc109899537"/>
      <w:bookmarkStart w:id="148" w:name="_Toc163493612"/>
      <w:bookmarkStart w:id="149" w:name="_Toc470172668"/>
      <w:bookmarkStart w:id="150" w:name="_Toc109900375"/>
      <w:bookmarkStart w:id="151" w:name="_Toc15836"/>
      <w:bookmarkStart w:id="152" w:name="_Toc46771643"/>
      <w:bookmarkStart w:id="153" w:name="_Toc109897438"/>
      <w:bookmarkStart w:id="154" w:name="_Toc109899956"/>
      <w:r>
        <w:rPr>
          <w:rFonts w:hint="eastAsia" w:ascii="宋体" w:hAnsi="宋体" w:eastAsia="宋体" w:cs="宋体"/>
          <w:b/>
          <w:bCs/>
          <w:color w:val="auto"/>
          <w:kern w:val="2"/>
          <w:sz w:val="24"/>
          <w:szCs w:val="24"/>
          <w:highlight w:val="none"/>
          <w:lang w:val="en-US" w:eastAsia="zh-CN" w:bidi="ar-SA"/>
        </w:rPr>
        <w:t>（二）磋商文件</w:t>
      </w:r>
      <w:bookmarkEnd w:id="146"/>
      <w:bookmarkEnd w:id="147"/>
      <w:bookmarkEnd w:id="148"/>
      <w:bookmarkEnd w:id="149"/>
      <w:bookmarkEnd w:id="150"/>
      <w:bookmarkEnd w:id="151"/>
      <w:bookmarkEnd w:id="152"/>
      <w:bookmarkEnd w:id="153"/>
      <w:bookmarkEnd w:id="154"/>
    </w:p>
    <w:p w14:paraId="02C7475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55" w:name="_Toc109899957"/>
      <w:bookmarkStart w:id="156" w:name="_Toc109897439"/>
      <w:bookmarkStart w:id="157" w:name="_Toc51674215"/>
      <w:bookmarkStart w:id="158" w:name="_Toc48688793"/>
      <w:bookmarkStart w:id="159" w:name="_Toc4547"/>
      <w:bookmarkStart w:id="160" w:name="_Toc46771644"/>
      <w:bookmarkStart w:id="161" w:name="_Toc48846113"/>
      <w:bookmarkStart w:id="162" w:name="_Toc109899538"/>
      <w:bookmarkStart w:id="163" w:name="_Toc52960557"/>
      <w:bookmarkStart w:id="164" w:name="_Toc52962731"/>
      <w:bookmarkStart w:id="165" w:name="_Toc109900376"/>
      <w:bookmarkStart w:id="166" w:name="_Toc46772245"/>
      <w:bookmarkStart w:id="167" w:name="_Toc470172669"/>
      <w:r>
        <w:rPr>
          <w:rFonts w:hint="eastAsia" w:ascii="宋体" w:hAnsi="宋体" w:eastAsia="宋体" w:cs="宋体"/>
          <w:b/>
          <w:bCs/>
          <w:color w:val="auto"/>
          <w:kern w:val="2"/>
          <w:sz w:val="24"/>
          <w:szCs w:val="24"/>
          <w:highlight w:val="none"/>
          <w:lang w:val="en-US" w:eastAsia="zh-CN" w:bidi="ar-SA"/>
        </w:rPr>
        <w:t>11.磋商文件的构成</w:t>
      </w:r>
      <w:bookmarkEnd w:id="155"/>
      <w:bookmarkEnd w:id="156"/>
      <w:bookmarkEnd w:id="157"/>
      <w:bookmarkEnd w:id="158"/>
      <w:bookmarkEnd w:id="159"/>
      <w:bookmarkEnd w:id="160"/>
      <w:bookmarkEnd w:id="161"/>
      <w:bookmarkEnd w:id="162"/>
      <w:bookmarkEnd w:id="163"/>
      <w:bookmarkEnd w:id="164"/>
      <w:bookmarkEnd w:id="165"/>
      <w:bookmarkEnd w:id="166"/>
      <w:bookmarkEnd w:id="167"/>
    </w:p>
    <w:p w14:paraId="54909DE4">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lang w:eastAsia="zh-CN"/>
        </w:rPr>
      </w:pPr>
      <w:bookmarkStart w:id="168" w:name="_Toc51674216"/>
      <w:bookmarkStart w:id="169" w:name="_Toc52962732"/>
      <w:bookmarkStart w:id="170" w:name="_Toc46772246"/>
      <w:bookmarkStart w:id="171" w:name="_Toc48688794"/>
      <w:bookmarkStart w:id="172" w:name="_Toc478415174"/>
      <w:bookmarkStart w:id="173" w:name="_Toc109900377"/>
      <w:bookmarkStart w:id="174" w:name="_Toc46771645"/>
      <w:bookmarkStart w:id="175" w:name="_Toc109899539"/>
      <w:bookmarkStart w:id="176" w:name="_Toc52960558"/>
      <w:bookmarkStart w:id="177" w:name="_Toc109899958"/>
      <w:bookmarkStart w:id="178" w:name="_Toc109897440"/>
      <w:bookmarkStart w:id="179" w:name="_Toc48846114"/>
      <w:r>
        <w:rPr>
          <w:rFonts w:hint="eastAsia" w:ascii="宋体" w:hAnsi="宋体" w:eastAsia="宋体" w:cs="宋体"/>
          <w:color w:val="auto"/>
          <w:sz w:val="24"/>
          <w:szCs w:val="24"/>
          <w:highlight w:val="none"/>
        </w:rPr>
        <w:t>第一章 竞争性磋商</w:t>
      </w:r>
      <w:r>
        <w:rPr>
          <w:rFonts w:hint="eastAsia" w:ascii="宋体" w:hAnsi="宋体" w:eastAsia="宋体" w:cs="宋体"/>
          <w:color w:val="auto"/>
          <w:sz w:val="24"/>
          <w:szCs w:val="24"/>
          <w:highlight w:val="none"/>
          <w:lang w:val="en-US" w:eastAsia="zh-CN"/>
        </w:rPr>
        <w:t>公告</w:t>
      </w:r>
    </w:p>
    <w:p w14:paraId="7147E8B4">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第二章 供应商须知</w:t>
      </w:r>
    </w:p>
    <w:p w14:paraId="61D89D76">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第三章 </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采购需求</w:t>
      </w:r>
    </w:p>
    <w:p w14:paraId="6D7BF4EF">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第四章 评审</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47AC85E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第五章 合同草案</w:t>
      </w:r>
    </w:p>
    <w:p w14:paraId="5706B4C2">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第六章 响应文件的格式</w:t>
      </w:r>
    </w:p>
    <w:p w14:paraId="2FA3C6F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12.磋商文件的澄清或修改</w:t>
      </w:r>
      <w:bookmarkEnd w:id="168"/>
      <w:bookmarkEnd w:id="169"/>
      <w:bookmarkEnd w:id="170"/>
      <w:bookmarkEnd w:id="171"/>
      <w:bookmarkEnd w:id="172"/>
      <w:bookmarkEnd w:id="173"/>
      <w:bookmarkEnd w:id="174"/>
      <w:bookmarkEnd w:id="175"/>
      <w:bookmarkEnd w:id="176"/>
      <w:bookmarkEnd w:id="177"/>
      <w:bookmarkEnd w:id="178"/>
      <w:bookmarkEnd w:id="179"/>
    </w:p>
    <w:p w14:paraId="2DDD06DE">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 供应商对采购项目有疑问的，可以按照“供应商须知前附表”中的规定提出询问。提出后，请供应商及时通过交易平台“答疑文件下载”栏目查看答疑文件或澄清文件。必要时，采购代理机构将组织相关专家召开答疑会，如召开，答疑会安排另行通知。采购人或采购代理机构将在收到询问后依法予以答复。对竞争性</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文件询问的答复，在必要时将以澄清形式推送给每个获取竞争性</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文件的潜在</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(答复中不包括问题的来源)。</w:t>
      </w:r>
    </w:p>
    <w:p w14:paraId="79F14C28">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供应商在规定的时间内未对竞争性</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文件提出疑问或要求澄清的，采购代理机构将视其为同意，对在“供应商须知前附表”中“</w:t>
      </w:r>
      <w:r>
        <w:rPr>
          <w:rFonts w:hint="eastAsia" w:ascii="宋体" w:hAnsi="宋体" w:eastAsia="宋体" w:cs="宋体"/>
          <w:color w:val="auto"/>
          <w:sz w:val="24"/>
          <w:szCs w:val="24"/>
          <w:highlight w:val="none"/>
          <w:lang w:val="en-US" w:eastAsia="zh-CN"/>
        </w:rPr>
        <w:t>提出询问的</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后就竞争性</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文件内容提出的疑问及澄清要求将不予受理。</w:t>
      </w:r>
    </w:p>
    <w:p w14:paraId="56DEAB23">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 采购人或者采购代理机构可以对已发出的竞争性</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文件进行必要的澄清或者修改。澄清或修改的内容为竞争性</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文件的组成部分，并对所有获取竞争性</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文件的潜在供应商具有约束力。</w:t>
      </w:r>
    </w:p>
    <w:p w14:paraId="2EE78435">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 竞争性磋商文件的澄清或者修</w:t>
      </w:r>
      <w:r>
        <w:rPr>
          <w:rFonts w:hint="eastAsia" w:ascii="宋体" w:hAnsi="宋体" w:eastAsia="宋体" w:cs="宋体"/>
          <w:snapToGrid w:val="0"/>
          <w:color w:val="auto"/>
          <w:sz w:val="24"/>
          <w:szCs w:val="24"/>
          <w:highlight w:val="none"/>
          <w:lang w:val="zh-CN"/>
        </w:rPr>
        <w:t>改以当面交接、邮寄、传真或电子邮件、网站披露等其中至少一种方式，发给所有领取竞争性磋商文件的供应商，但不包括问题的来源。对磋商文件澄清或者修改的内容可能影响响应文件编制的，采购人、采购代理机构或者磋商小组应当在提交首次响应文件截止之日5日前，以书面形式通知所有接收</w:t>
      </w:r>
      <w:r>
        <w:rPr>
          <w:rFonts w:hint="eastAsia" w:ascii="宋体" w:hAnsi="宋体" w:eastAsia="宋体" w:cs="宋体"/>
          <w:color w:val="auto"/>
          <w:sz w:val="24"/>
          <w:szCs w:val="24"/>
          <w:highlight w:val="none"/>
        </w:rPr>
        <w:t>竞争性</w:t>
      </w:r>
      <w:r>
        <w:rPr>
          <w:rFonts w:hint="eastAsia" w:ascii="宋体" w:hAnsi="宋体" w:eastAsia="宋体" w:cs="宋体"/>
          <w:snapToGrid w:val="0"/>
          <w:color w:val="auto"/>
          <w:sz w:val="24"/>
          <w:szCs w:val="24"/>
          <w:highlight w:val="none"/>
          <w:lang w:val="zh-CN"/>
        </w:rPr>
        <w:t>磋商文件的供应商，不足5日的，应当顺延提交首次响应文件</w:t>
      </w:r>
      <w:r>
        <w:rPr>
          <w:rFonts w:hint="eastAsia" w:ascii="宋体" w:hAnsi="宋体" w:eastAsia="宋体" w:cs="宋体"/>
          <w:snapToGrid w:val="0"/>
          <w:color w:val="auto"/>
          <w:sz w:val="24"/>
          <w:szCs w:val="24"/>
          <w:highlight w:val="none"/>
          <w:lang w:val="en-US" w:eastAsia="zh-CN"/>
        </w:rPr>
        <w:t>的</w:t>
      </w:r>
      <w:r>
        <w:rPr>
          <w:rFonts w:hint="eastAsia" w:ascii="宋体" w:hAnsi="宋体" w:eastAsia="宋体" w:cs="宋体"/>
          <w:snapToGrid w:val="0"/>
          <w:color w:val="auto"/>
          <w:sz w:val="24"/>
          <w:szCs w:val="24"/>
          <w:highlight w:val="none"/>
          <w:lang w:val="zh-CN"/>
        </w:rPr>
        <w:t>截止时间</w:t>
      </w:r>
      <w:r>
        <w:rPr>
          <w:rFonts w:hint="eastAsia" w:ascii="宋体" w:hAnsi="宋体" w:eastAsia="宋体" w:cs="宋体"/>
          <w:color w:val="auto"/>
          <w:sz w:val="24"/>
          <w:szCs w:val="24"/>
          <w:highlight w:val="none"/>
        </w:rPr>
        <w:t>。</w:t>
      </w:r>
    </w:p>
    <w:p w14:paraId="30FE311B">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.4 </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须知”所称“书面形式”包括系统消息、政府采购</w:t>
      </w:r>
      <w:r>
        <w:rPr>
          <w:rFonts w:hint="eastAsia" w:ascii="宋体" w:hAnsi="宋体" w:eastAsia="宋体" w:cs="宋体"/>
          <w:color w:val="auto"/>
          <w:sz w:val="24"/>
          <w:szCs w:val="24"/>
          <w:highlight w:val="none"/>
          <w:lang w:val="en-US" w:eastAsia="zh-CN"/>
        </w:rPr>
        <w:t>云平台</w:t>
      </w:r>
      <w:r>
        <w:rPr>
          <w:rFonts w:hint="eastAsia" w:ascii="宋体" w:hAnsi="宋体" w:eastAsia="宋体" w:cs="宋体"/>
          <w:color w:val="auto"/>
          <w:sz w:val="24"/>
          <w:szCs w:val="24"/>
          <w:highlight w:val="none"/>
        </w:rPr>
        <w:t>发布的公告。</w:t>
      </w:r>
    </w:p>
    <w:p w14:paraId="776157CF">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采购代理机构一旦对竞争性</w:t>
      </w:r>
      <w:r>
        <w:rPr>
          <w:rFonts w:hint="eastAsia" w:ascii="宋体" w:hAnsi="宋体" w:eastAsia="宋体" w:cs="宋体"/>
          <w:color w:val="auto"/>
          <w:kern w:val="2"/>
          <w:sz w:val="24"/>
          <w:szCs w:val="24"/>
          <w:highlight w:val="none"/>
          <w:lang w:val="zh-CN"/>
        </w:rPr>
        <w:t>磋商</w:t>
      </w:r>
      <w:r>
        <w:rPr>
          <w:rFonts w:hint="eastAsia" w:ascii="宋体" w:hAnsi="宋体" w:eastAsia="宋体" w:cs="宋体"/>
          <w:color w:val="auto"/>
          <w:kern w:val="2"/>
          <w:sz w:val="24"/>
          <w:szCs w:val="24"/>
          <w:highlight w:val="none"/>
        </w:rPr>
        <w:t>文件作出了澄清、修改，即刻发生效力，采购代理机构有关的澄清、修改文件，将作为竞争性</w:t>
      </w:r>
      <w:r>
        <w:rPr>
          <w:rFonts w:hint="eastAsia" w:ascii="宋体" w:hAnsi="宋体" w:eastAsia="宋体" w:cs="宋体"/>
          <w:color w:val="auto"/>
          <w:kern w:val="2"/>
          <w:sz w:val="24"/>
          <w:szCs w:val="24"/>
          <w:highlight w:val="none"/>
          <w:lang w:val="zh-CN"/>
        </w:rPr>
        <w:t>磋商</w:t>
      </w:r>
      <w:r>
        <w:rPr>
          <w:rFonts w:hint="eastAsia" w:ascii="宋体" w:hAnsi="宋体" w:eastAsia="宋体" w:cs="宋体"/>
          <w:color w:val="auto"/>
          <w:kern w:val="2"/>
          <w:sz w:val="24"/>
          <w:szCs w:val="24"/>
          <w:highlight w:val="none"/>
        </w:rPr>
        <w:t>文件的组成部分，对所有现实的或潜在的</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均具有约束力，而无论是否已经实际收到上述文件。同时，采购代理机构和</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的权利及义务将受到新的截止期的约束。</w:t>
      </w:r>
    </w:p>
    <w:p w14:paraId="6E542BA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采购代理机构对竞争性</w:t>
      </w:r>
      <w:r>
        <w:rPr>
          <w:rFonts w:hint="eastAsia" w:ascii="宋体" w:hAnsi="宋体" w:eastAsia="宋体" w:cs="宋体"/>
          <w:color w:val="auto"/>
          <w:kern w:val="2"/>
          <w:sz w:val="24"/>
          <w:szCs w:val="24"/>
          <w:highlight w:val="none"/>
          <w:lang w:val="zh-CN"/>
        </w:rPr>
        <w:t>磋商</w:t>
      </w:r>
      <w:r>
        <w:rPr>
          <w:rFonts w:hint="eastAsia" w:ascii="宋体" w:hAnsi="宋体" w:eastAsia="宋体" w:cs="宋体"/>
          <w:color w:val="auto"/>
          <w:kern w:val="2"/>
          <w:sz w:val="24"/>
          <w:szCs w:val="24"/>
          <w:highlight w:val="none"/>
        </w:rPr>
        <w:t>文件作出的澄清、修改在平台内进行披露，请</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及时关注并获取相关资料。因登记有误、线路故障或其它任何意外情形，导致</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未及时获取的，采购代理机构不因此承担任何责任，且有关的</w:t>
      </w:r>
      <w:r>
        <w:rPr>
          <w:rFonts w:hint="eastAsia" w:ascii="宋体" w:hAnsi="宋体" w:eastAsia="宋体" w:cs="宋体"/>
          <w:color w:val="auto"/>
          <w:kern w:val="2"/>
          <w:sz w:val="24"/>
          <w:szCs w:val="24"/>
          <w:highlight w:val="none"/>
          <w:lang w:val="en-US" w:eastAsia="zh-CN"/>
        </w:rPr>
        <w:t>磋商</w:t>
      </w:r>
      <w:r>
        <w:rPr>
          <w:rFonts w:hint="eastAsia" w:ascii="宋体" w:hAnsi="宋体" w:eastAsia="宋体" w:cs="宋体"/>
          <w:color w:val="auto"/>
          <w:kern w:val="2"/>
          <w:sz w:val="24"/>
          <w:szCs w:val="24"/>
          <w:highlight w:val="none"/>
        </w:rPr>
        <w:t>活动继续有效地进行。当竞争性</w:t>
      </w:r>
      <w:r>
        <w:rPr>
          <w:rFonts w:hint="eastAsia" w:ascii="宋体" w:hAnsi="宋体" w:eastAsia="宋体" w:cs="宋体"/>
          <w:color w:val="auto"/>
          <w:kern w:val="2"/>
          <w:sz w:val="24"/>
          <w:szCs w:val="24"/>
          <w:highlight w:val="none"/>
          <w:lang w:val="zh-CN"/>
        </w:rPr>
        <w:t>磋商</w:t>
      </w:r>
      <w:r>
        <w:rPr>
          <w:rFonts w:hint="eastAsia" w:ascii="宋体" w:hAnsi="宋体" w:eastAsia="宋体" w:cs="宋体"/>
          <w:color w:val="auto"/>
          <w:kern w:val="2"/>
          <w:sz w:val="24"/>
          <w:szCs w:val="24"/>
          <w:highlight w:val="none"/>
        </w:rPr>
        <w:t>文件的澄清、修改及进行其他答复等就同一内容的表述不一致时，以最后发布的内容为准。</w:t>
      </w:r>
    </w:p>
    <w:p w14:paraId="7D17D0F6">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80" w:name="_Toc109897442"/>
      <w:bookmarkStart w:id="181" w:name="_Toc470172672"/>
      <w:bookmarkStart w:id="182" w:name="_Toc15114"/>
      <w:bookmarkStart w:id="183" w:name="_Toc17824"/>
      <w:bookmarkStart w:id="184" w:name="_Toc46771647"/>
      <w:bookmarkStart w:id="185" w:name="_Toc109899541"/>
      <w:bookmarkStart w:id="186" w:name="_Toc109900379"/>
      <w:bookmarkStart w:id="187" w:name="_Toc109899960"/>
      <w:bookmarkStart w:id="188" w:name="_Toc163493613"/>
      <w:r>
        <w:rPr>
          <w:rFonts w:hint="eastAsia" w:ascii="宋体" w:hAnsi="宋体" w:eastAsia="宋体" w:cs="宋体"/>
          <w:b/>
          <w:bCs/>
          <w:color w:val="auto"/>
          <w:kern w:val="2"/>
          <w:sz w:val="24"/>
          <w:szCs w:val="24"/>
          <w:highlight w:val="none"/>
          <w:lang w:val="en-US" w:eastAsia="zh-CN" w:bidi="ar-SA"/>
        </w:rPr>
        <w:t>（三）响应文件</w:t>
      </w:r>
      <w:bookmarkEnd w:id="180"/>
      <w:bookmarkEnd w:id="181"/>
      <w:bookmarkEnd w:id="182"/>
      <w:bookmarkEnd w:id="183"/>
      <w:bookmarkEnd w:id="184"/>
      <w:bookmarkEnd w:id="185"/>
      <w:bookmarkEnd w:id="186"/>
      <w:bookmarkEnd w:id="187"/>
      <w:bookmarkEnd w:id="188"/>
    </w:p>
    <w:p w14:paraId="3A231C5B">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89" w:name="_Toc109899962"/>
      <w:bookmarkStart w:id="190" w:name="_Toc32272"/>
      <w:bookmarkStart w:id="191" w:name="_Toc109900381"/>
      <w:bookmarkStart w:id="192" w:name="_Toc470172674"/>
      <w:bookmarkStart w:id="193" w:name="_Toc48846118"/>
      <w:bookmarkStart w:id="194" w:name="_Toc46772250"/>
      <w:bookmarkStart w:id="195" w:name="_Toc46771649"/>
      <w:bookmarkStart w:id="196" w:name="_Toc48688798"/>
      <w:bookmarkStart w:id="197" w:name="_Toc52960562"/>
      <w:bookmarkStart w:id="198" w:name="_Toc51674220"/>
      <w:bookmarkStart w:id="199" w:name="_Toc109899543"/>
      <w:bookmarkStart w:id="200" w:name="_Toc52962736"/>
      <w:bookmarkStart w:id="201" w:name="_Toc109897444"/>
      <w:r>
        <w:rPr>
          <w:rFonts w:hint="eastAsia" w:ascii="宋体" w:hAnsi="宋体" w:eastAsia="宋体" w:cs="宋体"/>
          <w:b/>
          <w:bCs/>
          <w:color w:val="auto"/>
          <w:kern w:val="2"/>
          <w:sz w:val="24"/>
          <w:szCs w:val="24"/>
          <w:highlight w:val="none"/>
          <w:lang w:val="en-US" w:eastAsia="zh-CN" w:bidi="ar-SA"/>
        </w:rPr>
        <w:t>13.响应文件的</w:t>
      </w:r>
      <w:bookmarkEnd w:id="189"/>
      <w:bookmarkEnd w:id="190"/>
      <w:bookmarkEnd w:id="191"/>
      <w:bookmarkEnd w:id="192"/>
      <w:bookmarkEnd w:id="193"/>
      <w:bookmarkEnd w:id="194"/>
      <w:bookmarkEnd w:id="195"/>
      <w:bookmarkEnd w:id="196"/>
      <w:bookmarkEnd w:id="197"/>
      <w:bookmarkEnd w:id="198"/>
      <w:bookmarkEnd w:id="199"/>
      <w:bookmarkEnd w:id="200"/>
      <w:bookmarkEnd w:id="201"/>
      <w:r>
        <w:rPr>
          <w:rFonts w:hint="eastAsia" w:ascii="宋体" w:hAnsi="宋体" w:eastAsia="宋体" w:cs="宋体"/>
          <w:b/>
          <w:bCs/>
          <w:color w:val="auto"/>
          <w:kern w:val="2"/>
          <w:sz w:val="24"/>
          <w:szCs w:val="24"/>
          <w:highlight w:val="none"/>
          <w:lang w:val="en-US" w:eastAsia="zh-CN" w:bidi="ar-SA"/>
        </w:rPr>
        <w:t>组成</w:t>
      </w:r>
    </w:p>
    <w:p w14:paraId="174A0A3D">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13</w:t>
      </w: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应完整地按竞争性</w:t>
      </w:r>
      <w:r>
        <w:rPr>
          <w:rFonts w:hint="eastAsia" w:ascii="宋体" w:hAnsi="宋体" w:eastAsia="宋体" w:cs="宋体"/>
          <w:color w:val="auto"/>
          <w:kern w:val="2"/>
          <w:sz w:val="24"/>
          <w:szCs w:val="24"/>
          <w:highlight w:val="none"/>
          <w:lang w:val="zh-CN"/>
        </w:rPr>
        <w:t>磋商</w:t>
      </w:r>
      <w:r>
        <w:rPr>
          <w:rFonts w:hint="eastAsia" w:ascii="宋体" w:hAnsi="宋体" w:eastAsia="宋体" w:cs="宋体"/>
          <w:color w:val="auto"/>
          <w:kern w:val="2"/>
          <w:sz w:val="24"/>
          <w:szCs w:val="24"/>
          <w:highlight w:val="none"/>
        </w:rPr>
        <w:t>文件提供的</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文件格式及要求编写</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文件，具体内容详见</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第六章 响应</w:t>
      </w:r>
      <w:r>
        <w:rPr>
          <w:rFonts w:hint="eastAsia" w:ascii="宋体" w:hAnsi="宋体" w:eastAsia="宋体" w:cs="宋体"/>
          <w:color w:val="auto"/>
          <w:kern w:val="2"/>
          <w:sz w:val="24"/>
          <w:szCs w:val="24"/>
          <w:highlight w:val="none"/>
        </w:rPr>
        <w:t>文件</w:t>
      </w:r>
      <w:r>
        <w:rPr>
          <w:rFonts w:hint="eastAsia" w:ascii="宋体" w:hAnsi="宋体" w:eastAsia="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rPr>
        <w:t>格式</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的相关内容。</w:t>
      </w:r>
    </w:p>
    <w:p w14:paraId="3BB3A0B7">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13.2供应商</w:t>
      </w:r>
      <w:r>
        <w:rPr>
          <w:rFonts w:hint="eastAsia" w:ascii="宋体" w:hAnsi="宋体" w:eastAsia="宋体" w:cs="宋体"/>
          <w:color w:val="auto"/>
          <w:kern w:val="2"/>
          <w:sz w:val="24"/>
          <w:szCs w:val="24"/>
          <w:highlight w:val="none"/>
        </w:rPr>
        <w:t>应提交竞争性</w:t>
      </w:r>
      <w:r>
        <w:rPr>
          <w:rFonts w:hint="eastAsia" w:ascii="宋体" w:hAnsi="宋体" w:eastAsia="宋体" w:cs="宋体"/>
          <w:color w:val="auto"/>
          <w:kern w:val="2"/>
          <w:sz w:val="24"/>
          <w:szCs w:val="24"/>
          <w:highlight w:val="none"/>
          <w:lang w:val="zh-CN"/>
        </w:rPr>
        <w:t>磋商</w:t>
      </w:r>
      <w:r>
        <w:rPr>
          <w:rFonts w:hint="eastAsia" w:ascii="宋体" w:hAnsi="宋体" w:eastAsia="宋体" w:cs="宋体"/>
          <w:color w:val="auto"/>
          <w:kern w:val="2"/>
          <w:sz w:val="24"/>
          <w:szCs w:val="24"/>
          <w:highlight w:val="none"/>
        </w:rPr>
        <w:t>文件要求的证明文件，证明其</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内容符合竞争性</w:t>
      </w:r>
      <w:r>
        <w:rPr>
          <w:rFonts w:hint="eastAsia" w:ascii="宋体" w:hAnsi="宋体" w:eastAsia="宋体" w:cs="宋体"/>
          <w:color w:val="auto"/>
          <w:kern w:val="2"/>
          <w:sz w:val="24"/>
          <w:szCs w:val="24"/>
          <w:highlight w:val="none"/>
          <w:lang w:val="zh-CN"/>
        </w:rPr>
        <w:t>磋商</w:t>
      </w:r>
      <w:r>
        <w:rPr>
          <w:rFonts w:hint="eastAsia" w:ascii="宋体" w:hAnsi="宋体" w:eastAsia="宋体" w:cs="宋体"/>
          <w:color w:val="auto"/>
          <w:kern w:val="2"/>
          <w:sz w:val="24"/>
          <w:szCs w:val="24"/>
          <w:highlight w:val="none"/>
        </w:rPr>
        <w:t>文件规定</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该证明文件是</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文件的一部分</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证明文件</w:t>
      </w:r>
      <w:r>
        <w:rPr>
          <w:rFonts w:hint="eastAsia" w:ascii="宋体" w:hAnsi="宋体" w:eastAsia="宋体" w:cs="宋体"/>
          <w:color w:val="auto"/>
          <w:kern w:val="2"/>
          <w:sz w:val="24"/>
          <w:szCs w:val="24"/>
          <w:highlight w:val="none"/>
          <w:lang w:val="en-US" w:eastAsia="zh-CN"/>
        </w:rPr>
        <w:t>形式</w:t>
      </w:r>
      <w:r>
        <w:rPr>
          <w:rFonts w:hint="eastAsia" w:ascii="宋体" w:hAnsi="宋体" w:eastAsia="宋体" w:cs="宋体"/>
          <w:color w:val="auto"/>
          <w:kern w:val="2"/>
          <w:sz w:val="24"/>
          <w:szCs w:val="24"/>
          <w:highlight w:val="none"/>
        </w:rPr>
        <w:t>可以是文字资料、图纸和数据</w:t>
      </w:r>
      <w:bookmarkStart w:id="202" w:name="_Hlk11703583"/>
      <w:r>
        <w:rPr>
          <w:rFonts w:hint="eastAsia" w:ascii="宋体" w:hAnsi="宋体" w:eastAsia="宋体" w:cs="宋体"/>
          <w:color w:val="auto"/>
          <w:kern w:val="2"/>
          <w:sz w:val="24"/>
          <w:szCs w:val="24"/>
          <w:highlight w:val="none"/>
          <w:lang w:val="en-US" w:eastAsia="zh-CN"/>
        </w:rPr>
        <w:t>等。</w:t>
      </w:r>
    </w:p>
    <w:bookmarkEnd w:id="202"/>
    <w:p w14:paraId="781BBAEB">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13.3</w:t>
      </w:r>
      <w:r>
        <w:rPr>
          <w:rFonts w:hint="eastAsia" w:ascii="宋体" w:hAnsi="宋体" w:eastAsia="宋体" w:cs="宋体"/>
          <w:color w:val="auto"/>
          <w:kern w:val="2"/>
          <w:sz w:val="24"/>
          <w:szCs w:val="24"/>
          <w:highlight w:val="none"/>
        </w:rPr>
        <w:t>为保证公平公正，除非</w:t>
      </w:r>
      <w:r>
        <w:rPr>
          <w:rFonts w:hint="eastAsia" w:ascii="宋体" w:hAnsi="宋体" w:eastAsia="宋体" w:cs="宋体"/>
          <w:color w:val="auto"/>
          <w:kern w:val="2"/>
          <w:sz w:val="24"/>
          <w:szCs w:val="24"/>
          <w:highlight w:val="none"/>
          <w:lang w:val="en-US" w:eastAsia="zh-CN"/>
        </w:rPr>
        <w:t>本磋商文件</w:t>
      </w:r>
      <w:r>
        <w:rPr>
          <w:rFonts w:hint="eastAsia" w:ascii="宋体" w:hAnsi="宋体" w:eastAsia="宋体" w:cs="宋体"/>
          <w:color w:val="auto"/>
          <w:kern w:val="2"/>
          <w:sz w:val="24"/>
          <w:szCs w:val="24"/>
          <w:highlight w:val="none"/>
        </w:rPr>
        <w:t>另有规定或说明，</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对同一项目</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时，不得同时提供备选</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方案。</w:t>
      </w:r>
    </w:p>
    <w:p w14:paraId="5C8E7CA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03" w:name="_Toc109899545"/>
      <w:bookmarkStart w:id="204" w:name="_Toc470172676"/>
      <w:bookmarkStart w:id="205" w:name="_Toc48688800"/>
      <w:bookmarkStart w:id="206" w:name="_Toc109897446"/>
      <w:bookmarkStart w:id="207" w:name="_Toc51674222"/>
      <w:bookmarkStart w:id="208" w:name="_Toc52962738"/>
      <w:bookmarkStart w:id="209" w:name="_Toc46771651"/>
      <w:bookmarkStart w:id="210" w:name="_Toc46772252"/>
      <w:bookmarkStart w:id="211" w:name="_Toc52960564"/>
      <w:bookmarkStart w:id="212" w:name="_Toc48846120"/>
      <w:bookmarkStart w:id="213" w:name="_Toc109899964"/>
      <w:bookmarkStart w:id="214" w:name="_Toc24544"/>
      <w:bookmarkStart w:id="215" w:name="_Toc109900383"/>
      <w:bookmarkStart w:id="216" w:name="_Toc25217"/>
      <w:bookmarkStart w:id="217" w:name="_Toc52960563"/>
      <w:bookmarkStart w:id="218" w:name="_Toc109899963"/>
      <w:bookmarkStart w:id="219" w:name="_Toc46772251"/>
      <w:bookmarkStart w:id="220" w:name="_Toc470172675"/>
      <w:bookmarkStart w:id="221" w:name="_Toc109900382"/>
      <w:bookmarkStart w:id="222" w:name="_Toc109897445"/>
      <w:bookmarkStart w:id="223" w:name="_Toc51674221"/>
      <w:bookmarkStart w:id="224" w:name="_Toc109899544"/>
      <w:bookmarkStart w:id="225" w:name="_Toc48846119"/>
      <w:bookmarkStart w:id="226" w:name="_Toc46771650"/>
      <w:bookmarkStart w:id="227" w:name="_Toc48688799"/>
      <w:bookmarkStart w:id="228" w:name="_Toc52962737"/>
      <w:r>
        <w:rPr>
          <w:rFonts w:hint="eastAsia" w:ascii="宋体" w:hAnsi="宋体" w:eastAsia="宋体" w:cs="宋体"/>
          <w:b/>
          <w:bCs/>
          <w:color w:val="auto"/>
          <w:kern w:val="2"/>
          <w:sz w:val="24"/>
          <w:szCs w:val="24"/>
          <w:highlight w:val="none"/>
          <w:lang w:val="en-US" w:eastAsia="zh-CN" w:bidi="ar-SA"/>
        </w:rPr>
        <w:t>14.磋商报价</w:t>
      </w:r>
      <w:bookmarkEnd w:id="203"/>
      <w:bookmarkEnd w:id="204"/>
      <w:bookmarkEnd w:id="205"/>
      <w:bookmarkEnd w:id="206"/>
      <w:bookmarkEnd w:id="207"/>
      <w:bookmarkEnd w:id="208"/>
      <w:bookmarkEnd w:id="209"/>
      <w:bookmarkEnd w:id="210"/>
      <w:bookmarkEnd w:id="211"/>
      <w:bookmarkEnd w:id="212"/>
      <w:bookmarkEnd w:id="213"/>
      <w:bookmarkEnd w:id="214"/>
      <w:bookmarkEnd w:id="215"/>
    </w:p>
    <w:p w14:paraId="0640D6E7">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lang w:val="zh-CN"/>
        </w:rPr>
        <w:t>.1磋商供应商的报价均应以人民币报价。磋商报价包括磋商供应商在首次提交的响应文件中的报价、磋商过程中的报价和最后报价，</w:t>
      </w:r>
      <w:r>
        <w:rPr>
          <w:rFonts w:hint="eastAsia" w:ascii="宋体" w:hAnsi="宋体" w:eastAsia="宋体" w:cs="宋体"/>
          <w:snapToGrid w:val="0"/>
          <w:color w:val="auto"/>
          <w:sz w:val="24"/>
          <w:szCs w:val="24"/>
          <w:highlight w:val="none"/>
          <w:lang w:val="en-US" w:eastAsia="zh-CN"/>
        </w:rPr>
        <w:t>且均</w:t>
      </w:r>
      <w:r>
        <w:rPr>
          <w:rFonts w:hint="eastAsia" w:ascii="宋体" w:hAnsi="宋体" w:eastAsia="宋体" w:cs="宋体"/>
          <w:color w:val="auto"/>
          <w:sz w:val="24"/>
          <w:szCs w:val="24"/>
          <w:highlight w:val="none"/>
        </w:rPr>
        <w:t>不得超过</w:t>
      </w:r>
      <w:bookmarkStart w:id="229" w:name="_Hlk161703672"/>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color w:val="auto"/>
          <w:sz w:val="24"/>
          <w:szCs w:val="24"/>
          <w:highlight w:val="none"/>
        </w:rPr>
        <w:t>”中规定</w:t>
      </w:r>
      <w:bookmarkEnd w:id="229"/>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val="en-US" w:eastAsia="zh-CN"/>
        </w:rPr>
        <w:t>最高限价或者预算金额</w:t>
      </w:r>
      <w:r>
        <w:rPr>
          <w:rFonts w:hint="eastAsia" w:ascii="宋体" w:hAnsi="宋体" w:eastAsia="宋体" w:cs="宋体"/>
          <w:color w:val="auto"/>
          <w:sz w:val="24"/>
          <w:szCs w:val="24"/>
          <w:highlight w:val="none"/>
        </w:rPr>
        <w:t>，</w:t>
      </w:r>
      <w:r>
        <w:rPr>
          <w:rFonts w:hint="eastAsia" w:ascii="宋体" w:hAnsi="宋体" w:eastAsia="宋体" w:cs="宋体"/>
          <w:snapToGrid w:val="0"/>
          <w:color w:val="auto"/>
          <w:sz w:val="24"/>
          <w:szCs w:val="24"/>
          <w:highlight w:val="none"/>
          <w:lang w:val="zh-CN"/>
        </w:rPr>
        <w:t>否则其响应文件将被视为</w:t>
      </w:r>
      <w:r>
        <w:rPr>
          <w:rFonts w:hint="eastAsia" w:ascii="宋体" w:hAnsi="宋体" w:eastAsia="宋体" w:cs="宋体"/>
          <w:b/>
          <w:bCs/>
          <w:snapToGrid w:val="0"/>
          <w:color w:val="auto"/>
          <w:sz w:val="24"/>
          <w:szCs w:val="24"/>
          <w:highlight w:val="none"/>
          <w:lang w:val="zh-CN"/>
        </w:rPr>
        <w:t>无效文件</w:t>
      </w:r>
      <w:r>
        <w:rPr>
          <w:rFonts w:hint="eastAsia" w:ascii="宋体" w:hAnsi="宋体" w:eastAsia="宋体" w:cs="宋体"/>
          <w:snapToGrid w:val="0"/>
          <w:color w:val="auto"/>
          <w:sz w:val="24"/>
          <w:szCs w:val="24"/>
          <w:highlight w:val="none"/>
          <w:lang w:val="zh-CN"/>
        </w:rPr>
        <w:t>。</w:t>
      </w:r>
    </w:p>
    <w:p w14:paraId="300639DC">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lang w:val="zh-CN"/>
        </w:rPr>
        <w:t>.2供应商应按照本磋商文件规定的采购需求及合同条款进行报价，并按磋商文件确定的格式报出。报价中不得包含磋商文件要求以外的内容，否则，在评审时不予核减。报价中也不得缺漏磋商文件所要求的内容，否则，其响应文件将被视为</w:t>
      </w:r>
      <w:r>
        <w:rPr>
          <w:rFonts w:hint="eastAsia" w:ascii="宋体" w:hAnsi="宋体" w:eastAsia="宋体" w:cs="宋体"/>
          <w:b/>
          <w:bCs/>
          <w:snapToGrid w:val="0"/>
          <w:color w:val="auto"/>
          <w:sz w:val="24"/>
          <w:szCs w:val="24"/>
          <w:highlight w:val="none"/>
          <w:lang w:val="zh-CN"/>
        </w:rPr>
        <w:t>无效文件</w:t>
      </w:r>
      <w:r>
        <w:rPr>
          <w:rFonts w:hint="eastAsia" w:ascii="宋体" w:hAnsi="宋体" w:eastAsia="宋体" w:cs="宋体"/>
          <w:snapToGrid w:val="0"/>
          <w:color w:val="auto"/>
          <w:sz w:val="24"/>
          <w:szCs w:val="24"/>
          <w:highlight w:val="none"/>
          <w:lang w:val="zh-CN"/>
        </w:rPr>
        <w:t>。</w:t>
      </w:r>
    </w:p>
    <w:p w14:paraId="487FB398">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snapToGrid w:val="0"/>
          <w:color w:val="auto"/>
          <w:sz w:val="24"/>
          <w:szCs w:val="24"/>
          <w:highlight w:val="none"/>
          <w:lang w:val="zh-CN"/>
        </w:rPr>
        <w:t>供应商</w:t>
      </w:r>
      <w:r>
        <w:rPr>
          <w:rFonts w:hint="eastAsia" w:ascii="宋体" w:hAnsi="宋体" w:eastAsia="宋体" w:cs="宋体"/>
          <w:color w:val="auto"/>
          <w:kern w:val="2"/>
          <w:sz w:val="24"/>
          <w:szCs w:val="24"/>
          <w:highlight w:val="none"/>
          <w:lang w:val="en-US" w:eastAsia="zh-CN"/>
        </w:rPr>
        <w:t>的报价应包括为完成本项目所发生的一切费用和税费，采购人将不再支付报价以外的任何费用。</w:t>
      </w:r>
      <w:r>
        <w:rPr>
          <w:rFonts w:hint="eastAsia" w:ascii="宋体" w:hAnsi="宋体" w:eastAsia="宋体" w:cs="宋体"/>
          <w:color w:val="auto"/>
          <w:kern w:val="2"/>
          <w:sz w:val="24"/>
          <w:szCs w:val="24"/>
          <w:highlight w:val="none"/>
        </w:rPr>
        <w:t>只要投报了一个确定数额的总价，无论分项价格是否全部填报了相应的金额或免费字样，报价应被视为已经包含了但并不限于各项购买货物及其运送、安装、调试、验收、保险和相关服务等的费用和所需缴纳的所有价格、税、费。在其他情况下，由于分项报价填报不完整、不清楚或存在其他任何失误，所导致的任何不利后果均应当由</w:t>
      </w:r>
      <w:r>
        <w:rPr>
          <w:rFonts w:hint="eastAsia" w:ascii="宋体" w:hAnsi="宋体" w:eastAsia="宋体" w:cs="宋体"/>
          <w:snapToGrid w:val="0"/>
          <w:color w:val="auto"/>
          <w:sz w:val="24"/>
          <w:szCs w:val="24"/>
          <w:highlight w:val="none"/>
          <w:lang w:val="zh-CN"/>
        </w:rPr>
        <w:t>供应商</w:t>
      </w:r>
      <w:r>
        <w:rPr>
          <w:rFonts w:hint="eastAsia" w:ascii="宋体" w:hAnsi="宋体" w:eastAsia="宋体" w:cs="宋体"/>
          <w:color w:val="auto"/>
          <w:kern w:val="2"/>
          <w:sz w:val="24"/>
          <w:szCs w:val="24"/>
          <w:highlight w:val="none"/>
        </w:rPr>
        <w:t>自行承担。</w:t>
      </w:r>
    </w:p>
    <w:p w14:paraId="009FDB1D">
      <w:pPr>
        <w:pStyle w:val="7"/>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snapToGrid w:val="0"/>
          <w:color w:val="auto"/>
          <w:sz w:val="24"/>
          <w:szCs w:val="24"/>
          <w:highlight w:val="none"/>
          <w:lang w:val="zh-CN"/>
        </w:rPr>
        <w:t>供应商</w:t>
      </w:r>
      <w:r>
        <w:rPr>
          <w:rFonts w:hint="eastAsia" w:ascii="宋体" w:hAnsi="宋体" w:eastAsia="宋体" w:cs="宋体"/>
          <w:color w:val="auto"/>
          <w:kern w:val="2"/>
          <w:sz w:val="24"/>
          <w:szCs w:val="24"/>
          <w:highlight w:val="none"/>
          <w:lang w:val="en-US" w:eastAsia="zh-CN"/>
        </w:rPr>
        <w:t xml:space="preserve">的报价应包括但不限于下列内容： </w:t>
      </w:r>
    </w:p>
    <w:p w14:paraId="058AFCD3">
      <w:pPr>
        <w:pStyle w:val="7"/>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snapToGrid w:val="0"/>
          <w:color w:val="auto"/>
          <w:kern w:val="2"/>
          <w:sz w:val="24"/>
          <w:szCs w:val="24"/>
          <w:highlight w:val="none"/>
          <w:lang w:val="en-US" w:eastAsia="zh-CN" w:bidi="ar-SA"/>
        </w:rPr>
        <w:t>14.2.1 磋商货物及标准附件、备品备件、专用工具等的出厂价（包括已在中国国内的进口货物完税后的仓库交货价、展室交货价或货架交货价）和运至最终</w:t>
      </w:r>
      <w:r>
        <w:rPr>
          <w:rFonts w:hint="eastAsia" w:ascii="宋体" w:hAnsi="宋体" w:eastAsia="宋体" w:cs="宋体"/>
          <w:color w:val="auto"/>
          <w:kern w:val="2"/>
          <w:sz w:val="24"/>
          <w:szCs w:val="24"/>
          <w:highlight w:val="none"/>
          <w:lang w:val="en-US" w:eastAsia="zh-CN"/>
        </w:rPr>
        <w:t xml:space="preserve">目的地的运输费和保险费，安装调试、检验、技术服务、培训、质量保证、售后服务、税费等； </w:t>
      </w:r>
    </w:p>
    <w:p w14:paraId="2ACD190C">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color w:val="auto"/>
          <w:kern w:val="2"/>
          <w:sz w:val="24"/>
          <w:szCs w:val="24"/>
          <w:highlight w:val="none"/>
          <w:lang w:val="en-US" w:eastAsia="zh-CN"/>
        </w:rPr>
        <w:t>14.2.2 按照磋商文件要求完成本项目的全部相关费用。</w:t>
      </w:r>
    </w:p>
    <w:p w14:paraId="11C9B78F">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lang w:val="zh-CN"/>
        </w:rPr>
        <w:t>.3</w:t>
      </w:r>
      <w:r>
        <w:rPr>
          <w:rFonts w:hint="eastAsia" w:ascii="宋体" w:hAnsi="宋体" w:eastAsia="宋体" w:cs="宋体"/>
          <w:snapToGrid w:val="0"/>
          <w:color w:val="auto"/>
          <w:sz w:val="24"/>
          <w:szCs w:val="24"/>
          <w:highlight w:val="none"/>
          <w:lang w:val="en-US" w:eastAsia="zh-CN"/>
        </w:rPr>
        <w:t>供应商</w:t>
      </w:r>
      <w:r>
        <w:rPr>
          <w:rFonts w:hint="eastAsia" w:ascii="宋体" w:hAnsi="宋体" w:eastAsia="宋体" w:cs="宋体"/>
          <w:snapToGrid w:val="0"/>
          <w:color w:val="auto"/>
          <w:sz w:val="24"/>
          <w:szCs w:val="24"/>
          <w:highlight w:val="none"/>
          <w:lang w:val="zh-CN"/>
        </w:rPr>
        <w:t>须严格按照报价明细表规定的内容填写货物单价以及其他事项。供应商应根据本磋商文件的规定和要求、市场价格水平及其走势、磋商供应商的管理水平、磋商供应商的方案和由这些因素决定的磋商供应商之于本项目的成本水平等提出自己的报价。报价应合理，并包含完成本磋商文件</w:t>
      </w:r>
      <w:r>
        <w:rPr>
          <w:rFonts w:hint="eastAsia" w:ascii="宋体" w:hAnsi="宋体" w:eastAsia="宋体" w:cs="宋体"/>
          <w:snapToGrid w:val="0"/>
          <w:color w:val="auto"/>
          <w:sz w:val="24"/>
          <w:szCs w:val="24"/>
          <w:highlight w:val="none"/>
          <w:lang w:val="en-US" w:eastAsia="zh-CN"/>
        </w:rPr>
        <w:t>项目</w:t>
      </w:r>
      <w:r>
        <w:rPr>
          <w:rFonts w:hint="eastAsia" w:ascii="宋体" w:hAnsi="宋体" w:eastAsia="宋体" w:cs="宋体"/>
          <w:snapToGrid w:val="0"/>
          <w:color w:val="auto"/>
          <w:sz w:val="24"/>
          <w:szCs w:val="24"/>
          <w:highlight w:val="none"/>
          <w:lang w:val="zh-CN"/>
        </w:rPr>
        <w:t>采购需求全部内容的所有费用，所有根据本磋商文件或其它原因应由磋商供应商支付的税款和其他应交纳的费用都应包括在报价中。</w:t>
      </w:r>
    </w:p>
    <w:p w14:paraId="3DB7F190">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lang w:val="zh-CN"/>
        </w:rPr>
        <w:t>.4供应商在响应文件中注明免费的项目将视为包含在报价中。</w:t>
      </w:r>
    </w:p>
    <w:p w14:paraId="2D8474D4">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5 </w:t>
      </w:r>
      <w:r>
        <w:rPr>
          <w:rFonts w:hint="eastAsia" w:ascii="宋体" w:hAnsi="宋体" w:eastAsia="宋体" w:cs="宋体"/>
          <w:color w:val="auto"/>
          <w:kern w:val="2"/>
          <w:sz w:val="24"/>
          <w:szCs w:val="24"/>
          <w:highlight w:val="none"/>
          <w:lang w:val="zh-CN" w:eastAsia="zh-CN"/>
        </w:rPr>
        <w:t>供应商</w:t>
      </w:r>
      <w:r>
        <w:rPr>
          <w:rFonts w:hint="eastAsia" w:ascii="宋体" w:hAnsi="宋体" w:eastAsia="宋体" w:cs="宋体"/>
          <w:color w:val="auto"/>
          <w:kern w:val="2"/>
          <w:sz w:val="24"/>
          <w:szCs w:val="24"/>
          <w:highlight w:val="none"/>
          <w:lang w:val="en-US" w:eastAsia="zh-CN"/>
        </w:rPr>
        <w:t>对磋商</w:t>
      </w:r>
      <w:r>
        <w:rPr>
          <w:rFonts w:hint="eastAsia" w:ascii="宋体" w:hAnsi="宋体" w:eastAsia="宋体" w:cs="宋体"/>
          <w:color w:val="auto"/>
          <w:kern w:val="2"/>
          <w:sz w:val="24"/>
          <w:szCs w:val="24"/>
          <w:highlight w:val="none"/>
        </w:rPr>
        <w:t>报价若有说明应在</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文件中显著处注明。</w:t>
      </w:r>
    </w:p>
    <w:p w14:paraId="1719007D">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除政策性文件规定以外，</w:t>
      </w:r>
      <w:r>
        <w:rPr>
          <w:rFonts w:hint="eastAsia" w:ascii="宋体" w:hAnsi="宋体" w:eastAsia="宋体" w:cs="宋体"/>
          <w:color w:val="auto"/>
          <w:kern w:val="2"/>
          <w:sz w:val="24"/>
          <w:szCs w:val="24"/>
          <w:highlight w:val="none"/>
          <w:lang w:val="zh-CN"/>
        </w:rPr>
        <w:t>供应商</w:t>
      </w:r>
      <w:r>
        <w:rPr>
          <w:rFonts w:hint="eastAsia" w:ascii="宋体" w:hAnsi="宋体" w:eastAsia="宋体" w:cs="宋体"/>
          <w:color w:val="auto"/>
          <w:kern w:val="2"/>
          <w:sz w:val="24"/>
          <w:szCs w:val="24"/>
          <w:highlight w:val="none"/>
        </w:rPr>
        <w:t>所报价格在合同实施期间不因市场变化因素而变动。</w:t>
      </w:r>
    </w:p>
    <w:p w14:paraId="749D37C5">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6 </w:t>
      </w:r>
      <w:r>
        <w:rPr>
          <w:rFonts w:hint="eastAsia" w:ascii="宋体" w:hAnsi="宋体" w:eastAsia="宋体" w:cs="宋体"/>
          <w:color w:val="auto"/>
          <w:kern w:val="2"/>
          <w:sz w:val="24"/>
          <w:szCs w:val="24"/>
          <w:highlight w:val="none"/>
        </w:rPr>
        <w:t>对于有配件、耗材、选件、备件和特殊工具的货物，还应填报</w:t>
      </w:r>
      <w:r>
        <w:rPr>
          <w:rFonts w:hint="eastAsia" w:ascii="宋体" w:hAnsi="宋体" w:eastAsia="宋体" w:cs="宋体"/>
          <w:color w:val="auto"/>
          <w:kern w:val="2"/>
          <w:sz w:val="24"/>
          <w:szCs w:val="24"/>
          <w:highlight w:val="none"/>
          <w:lang w:val="en-US" w:eastAsia="zh-CN"/>
        </w:rPr>
        <w:t>磋商</w:t>
      </w:r>
      <w:r>
        <w:rPr>
          <w:rFonts w:hint="eastAsia" w:ascii="宋体" w:hAnsi="宋体" w:eastAsia="宋体" w:cs="宋体"/>
          <w:color w:val="auto"/>
          <w:kern w:val="2"/>
          <w:sz w:val="24"/>
          <w:szCs w:val="24"/>
          <w:highlight w:val="none"/>
        </w:rPr>
        <w:t>货物配件、耗材、选件表和备件及特殊工具清单，注明品牌、型号、产地、功能、单价、批量折扣等内容，该表格格式由</w:t>
      </w:r>
      <w:r>
        <w:rPr>
          <w:rFonts w:hint="eastAsia" w:ascii="宋体" w:hAnsi="宋体" w:eastAsia="宋体" w:cs="宋体"/>
          <w:color w:val="auto"/>
          <w:kern w:val="2"/>
          <w:sz w:val="24"/>
          <w:szCs w:val="24"/>
          <w:highlight w:val="none"/>
          <w:lang w:val="zh-CN"/>
        </w:rPr>
        <w:t>供应商</w:t>
      </w:r>
      <w:r>
        <w:rPr>
          <w:rFonts w:hint="eastAsia" w:ascii="宋体" w:hAnsi="宋体" w:eastAsia="宋体" w:cs="宋体"/>
          <w:color w:val="auto"/>
          <w:kern w:val="2"/>
          <w:sz w:val="24"/>
          <w:szCs w:val="24"/>
          <w:highlight w:val="none"/>
        </w:rPr>
        <w:t>自行设计。</w:t>
      </w:r>
      <w:r>
        <w:rPr>
          <w:rFonts w:hint="eastAsia" w:ascii="宋体" w:hAnsi="宋体" w:eastAsia="宋体" w:cs="宋体"/>
          <w:color w:val="auto"/>
          <w:kern w:val="2"/>
          <w:sz w:val="24"/>
          <w:szCs w:val="24"/>
          <w:highlight w:val="none"/>
          <w:lang w:val="zh-CN"/>
        </w:rPr>
        <w:t>供应商</w:t>
      </w:r>
      <w:r>
        <w:rPr>
          <w:rFonts w:hint="eastAsia" w:ascii="宋体" w:hAnsi="宋体" w:eastAsia="宋体" w:cs="宋体"/>
          <w:color w:val="auto"/>
          <w:kern w:val="2"/>
          <w:sz w:val="24"/>
          <w:szCs w:val="24"/>
          <w:highlight w:val="none"/>
        </w:rPr>
        <w:t>按照上述要求分类报价，其目的是便于评</w:t>
      </w:r>
      <w:r>
        <w:rPr>
          <w:rFonts w:hint="eastAsia" w:ascii="宋体" w:hAnsi="宋体" w:eastAsia="宋体" w:cs="宋体"/>
          <w:color w:val="auto"/>
          <w:kern w:val="2"/>
          <w:sz w:val="24"/>
          <w:szCs w:val="24"/>
          <w:highlight w:val="none"/>
          <w:lang w:val="en-US" w:eastAsia="zh-CN"/>
        </w:rPr>
        <w:t>审</w:t>
      </w:r>
      <w:r>
        <w:rPr>
          <w:rFonts w:hint="eastAsia" w:ascii="宋体" w:hAnsi="宋体" w:eastAsia="宋体" w:cs="宋体"/>
          <w:color w:val="auto"/>
          <w:kern w:val="2"/>
          <w:sz w:val="24"/>
          <w:szCs w:val="24"/>
          <w:highlight w:val="none"/>
        </w:rPr>
        <w:t>，但在任何情况下并不限制采购人以其他条款签订合同的权利。</w:t>
      </w:r>
    </w:p>
    <w:p w14:paraId="0B64FFBB">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7 </w:t>
      </w:r>
      <w:r>
        <w:rPr>
          <w:rFonts w:hint="eastAsia" w:ascii="宋体" w:hAnsi="宋体" w:eastAsia="宋体" w:cs="宋体"/>
          <w:color w:val="auto"/>
          <w:kern w:val="2"/>
          <w:sz w:val="24"/>
          <w:szCs w:val="24"/>
          <w:highlight w:val="none"/>
        </w:rPr>
        <w:t>最低报价不能作为</w:t>
      </w:r>
      <w:r>
        <w:rPr>
          <w:rFonts w:hint="eastAsia" w:ascii="宋体" w:hAnsi="宋体" w:eastAsia="宋体" w:cs="宋体"/>
          <w:color w:val="auto"/>
          <w:kern w:val="2"/>
          <w:sz w:val="24"/>
          <w:szCs w:val="24"/>
          <w:highlight w:val="none"/>
          <w:lang w:val="en-US" w:eastAsia="zh-CN"/>
        </w:rPr>
        <w:t>成交</w:t>
      </w:r>
      <w:r>
        <w:rPr>
          <w:rFonts w:hint="eastAsia" w:ascii="宋体" w:hAnsi="宋体" w:eastAsia="宋体" w:cs="宋体"/>
          <w:color w:val="auto"/>
          <w:kern w:val="2"/>
          <w:sz w:val="24"/>
          <w:szCs w:val="24"/>
          <w:highlight w:val="none"/>
        </w:rPr>
        <w:t>的保证。</w:t>
      </w:r>
    </w:p>
    <w:p w14:paraId="2AA144BC">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2"/>
          <w:sz w:val="24"/>
          <w:szCs w:val="24"/>
          <w:highlight w:val="none"/>
          <w:lang w:val="en-US" w:eastAsia="zh-CN"/>
        </w:rPr>
        <w:t>14.8</w:t>
      </w:r>
      <w:r>
        <w:rPr>
          <w:rFonts w:hint="eastAsia" w:ascii="宋体" w:hAnsi="宋体" w:eastAsia="宋体" w:cs="宋体"/>
          <w:color w:val="auto"/>
          <w:kern w:val="0"/>
          <w:sz w:val="24"/>
          <w:szCs w:val="24"/>
          <w:highlight w:val="none"/>
          <w:lang w:val="en-US" w:eastAsia="zh-CN" w:bidi="ar"/>
        </w:rPr>
        <w:t>采购人不得向供应商索要或者接受其给予的赠品、回扣或者与采购无关的其他商品、服务。</w:t>
      </w:r>
    </w:p>
    <w:p w14:paraId="4E58D7F7">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14.9供应商不能提供任何有选择性或可调整的报价（磋商文件另有规定的除外），否则其</w:t>
      </w:r>
      <w:r>
        <w:rPr>
          <w:rFonts w:hint="eastAsia" w:ascii="宋体" w:hAnsi="宋体" w:eastAsia="宋体" w:cs="宋体"/>
          <w:b/>
          <w:bCs/>
          <w:color w:val="auto"/>
          <w:kern w:val="0"/>
          <w:sz w:val="24"/>
          <w:szCs w:val="24"/>
          <w:highlight w:val="none"/>
          <w:lang w:val="en-US" w:eastAsia="zh-CN" w:bidi="ar"/>
        </w:rPr>
        <w:t>响应无效</w:t>
      </w:r>
      <w:r>
        <w:rPr>
          <w:rFonts w:hint="eastAsia" w:ascii="宋体" w:hAnsi="宋体" w:eastAsia="宋体" w:cs="宋体"/>
          <w:color w:val="auto"/>
          <w:kern w:val="0"/>
          <w:sz w:val="24"/>
          <w:szCs w:val="24"/>
          <w:highlight w:val="none"/>
          <w:lang w:val="en-US" w:eastAsia="zh-CN" w:bidi="ar"/>
        </w:rPr>
        <w:t>。</w:t>
      </w:r>
    </w:p>
    <w:p w14:paraId="0CD8AEF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30" w:name="_Toc52960570"/>
      <w:bookmarkStart w:id="231" w:name="_Toc470172682"/>
      <w:bookmarkStart w:id="232" w:name="_Toc46772258"/>
      <w:bookmarkStart w:id="233" w:name="_Toc109899550"/>
      <w:bookmarkStart w:id="234" w:name="_Toc48846126"/>
      <w:bookmarkStart w:id="235" w:name="_Toc52962744"/>
      <w:bookmarkStart w:id="236" w:name="_Toc109900388"/>
      <w:bookmarkStart w:id="237" w:name="_Toc48688806"/>
      <w:bookmarkStart w:id="238" w:name="_Toc51674228"/>
      <w:bookmarkStart w:id="239" w:name="_Toc46771657"/>
      <w:bookmarkStart w:id="240" w:name="_Toc109899969"/>
      <w:bookmarkStart w:id="241" w:name="_Toc109897451"/>
      <w:bookmarkStart w:id="242" w:name="_Toc5668"/>
      <w:bookmarkStart w:id="243" w:name="_Toc51674224"/>
      <w:bookmarkStart w:id="244" w:name="_Toc46771653"/>
      <w:bookmarkStart w:id="245" w:name="_Toc48846122"/>
      <w:bookmarkStart w:id="246" w:name="_Toc109900385"/>
      <w:bookmarkStart w:id="247" w:name="_Toc52962740"/>
      <w:bookmarkStart w:id="248" w:name="_Toc109899547"/>
      <w:bookmarkStart w:id="249" w:name="_Toc109897448"/>
      <w:bookmarkStart w:id="250" w:name="_Toc48688802"/>
      <w:bookmarkStart w:id="251" w:name="_Toc46772254"/>
      <w:bookmarkStart w:id="252" w:name="_Toc52960566"/>
      <w:bookmarkStart w:id="253" w:name="_Toc3324"/>
      <w:bookmarkStart w:id="254" w:name="_Toc109899966"/>
      <w:bookmarkStart w:id="255" w:name="_Toc470172678"/>
      <w:r>
        <w:rPr>
          <w:rFonts w:hint="eastAsia" w:ascii="宋体" w:hAnsi="宋体" w:eastAsia="宋体" w:cs="宋体"/>
          <w:b/>
          <w:bCs/>
          <w:color w:val="auto"/>
          <w:kern w:val="2"/>
          <w:sz w:val="24"/>
          <w:szCs w:val="24"/>
          <w:highlight w:val="none"/>
          <w:lang w:val="en-US" w:eastAsia="zh-CN" w:bidi="ar-SA"/>
        </w:rPr>
        <w:t>15.响应文件有效期</w:t>
      </w:r>
      <w:bookmarkEnd w:id="230"/>
      <w:bookmarkEnd w:id="231"/>
      <w:bookmarkEnd w:id="232"/>
      <w:bookmarkEnd w:id="233"/>
      <w:bookmarkEnd w:id="234"/>
      <w:bookmarkEnd w:id="235"/>
      <w:bookmarkEnd w:id="236"/>
      <w:bookmarkEnd w:id="237"/>
      <w:bookmarkEnd w:id="238"/>
      <w:bookmarkEnd w:id="239"/>
      <w:bookmarkEnd w:id="240"/>
      <w:bookmarkEnd w:id="241"/>
      <w:bookmarkEnd w:id="242"/>
    </w:p>
    <w:p w14:paraId="6C3E470C">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5</w:t>
      </w: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供应商提交的</w:t>
      </w:r>
      <w:r>
        <w:rPr>
          <w:rFonts w:hint="eastAsia" w:ascii="宋体" w:hAnsi="宋体" w:eastAsia="宋体" w:cs="宋体"/>
          <w:snapToGrid w:val="0"/>
          <w:color w:val="auto"/>
          <w:sz w:val="24"/>
          <w:szCs w:val="24"/>
          <w:highlight w:val="none"/>
          <w:lang w:val="zh-CN"/>
        </w:rPr>
        <w:t>响应文件有效期见“供应商须知前附表”，磋商供应商承诺的响应文件</w:t>
      </w:r>
      <w:r>
        <w:rPr>
          <w:rFonts w:hint="eastAsia" w:ascii="宋体" w:hAnsi="宋体" w:eastAsia="宋体" w:cs="宋体"/>
          <w:snapToGrid w:val="0"/>
          <w:color w:val="auto"/>
          <w:sz w:val="24"/>
          <w:szCs w:val="24"/>
          <w:highlight w:val="none"/>
          <w:lang w:val="zh-CN" w:eastAsia="zh-CN"/>
        </w:rPr>
        <w:t>有效期少于</w:t>
      </w:r>
      <w:r>
        <w:rPr>
          <w:rFonts w:hint="eastAsia" w:ascii="宋体" w:hAnsi="宋体" w:eastAsia="宋体" w:cs="宋体"/>
          <w:snapToGrid w:val="0"/>
          <w:color w:val="auto"/>
          <w:sz w:val="24"/>
          <w:szCs w:val="24"/>
          <w:highlight w:val="none"/>
          <w:lang w:val="en-US" w:eastAsia="zh-CN"/>
        </w:rPr>
        <w:t>磋商</w:t>
      </w:r>
      <w:r>
        <w:rPr>
          <w:rFonts w:hint="eastAsia" w:ascii="宋体" w:hAnsi="宋体" w:eastAsia="宋体" w:cs="宋体"/>
          <w:snapToGrid w:val="0"/>
          <w:color w:val="auto"/>
          <w:sz w:val="24"/>
          <w:szCs w:val="24"/>
          <w:highlight w:val="none"/>
          <w:lang w:val="zh-CN" w:eastAsia="zh-CN"/>
        </w:rPr>
        <w:t>文件规定期限的，其</w:t>
      </w:r>
      <w:r>
        <w:rPr>
          <w:rFonts w:hint="eastAsia" w:ascii="宋体" w:hAnsi="宋体" w:eastAsia="宋体" w:cs="宋体"/>
          <w:b/>
          <w:bCs/>
          <w:snapToGrid w:val="0"/>
          <w:color w:val="auto"/>
          <w:sz w:val="24"/>
          <w:szCs w:val="24"/>
          <w:highlight w:val="none"/>
          <w:lang w:val="en-US" w:eastAsia="zh-CN"/>
        </w:rPr>
        <w:t>响应</w:t>
      </w:r>
      <w:r>
        <w:rPr>
          <w:rFonts w:hint="eastAsia" w:ascii="宋体" w:hAnsi="宋体" w:eastAsia="宋体" w:cs="宋体"/>
          <w:b/>
          <w:bCs/>
          <w:snapToGrid w:val="0"/>
          <w:color w:val="auto"/>
          <w:sz w:val="24"/>
          <w:szCs w:val="24"/>
          <w:highlight w:val="none"/>
          <w:lang w:val="zh-CN" w:eastAsia="zh-CN"/>
        </w:rPr>
        <w:t>无效</w:t>
      </w:r>
      <w:r>
        <w:rPr>
          <w:rFonts w:hint="eastAsia" w:ascii="宋体" w:hAnsi="宋体" w:eastAsia="宋体" w:cs="宋体"/>
          <w:snapToGrid w:val="0"/>
          <w:color w:val="auto"/>
          <w:sz w:val="24"/>
          <w:szCs w:val="24"/>
          <w:highlight w:val="none"/>
          <w:lang w:val="zh-CN" w:eastAsia="zh-CN"/>
        </w:rPr>
        <w:t>。</w:t>
      </w:r>
    </w:p>
    <w:p w14:paraId="4DFC2505">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15.2 响应文件有效期从递交响应文件的截止之日起算。响应文件中承诺的有效期应当不少于竞争性磋商文件中载明的响应文件有效期。响应文件有效期内供应商撤销响应文件的，采购人或者采购代理机构可以不退还磋商保证金。</w:t>
      </w:r>
    </w:p>
    <w:p w14:paraId="414B33F5">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kern w:val="2"/>
          <w:sz w:val="24"/>
          <w:szCs w:val="24"/>
          <w:highlight w:val="none"/>
          <w:lang w:val="zh-CN" w:eastAsia="zh-CN" w:bidi="ar-SA"/>
        </w:rPr>
        <w:t>1</w:t>
      </w:r>
      <w:r>
        <w:rPr>
          <w:rFonts w:hint="eastAsia" w:ascii="宋体" w:hAnsi="宋体" w:eastAsia="宋体" w:cs="宋体"/>
          <w:snapToGrid w:val="0"/>
          <w:color w:val="auto"/>
          <w:kern w:val="2"/>
          <w:sz w:val="24"/>
          <w:szCs w:val="24"/>
          <w:highlight w:val="none"/>
          <w:lang w:val="en-US" w:eastAsia="zh-CN" w:bidi="ar-SA"/>
        </w:rPr>
        <w:t>5</w:t>
      </w:r>
      <w:r>
        <w:rPr>
          <w:rFonts w:hint="eastAsia" w:ascii="宋体" w:hAnsi="宋体" w:eastAsia="宋体" w:cs="宋体"/>
          <w:snapToGrid w:val="0"/>
          <w:color w:val="auto"/>
          <w:kern w:val="2"/>
          <w:sz w:val="24"/>
          <w:szCs w:val="24"/>
          <w:highlight w:val="none"/>
          <w:lang w:val="zh-CN" w:eastAsia="zh-CN" w:bidi="ar-SA"/>
        </w:rPr>
        <w:t>.</w:t>
      </w:r>
      <w:r>
        <w:rPr>
          <w:rFonts w:hint="eastAsia" w:ascii="宋体" w:hAnsi="宋体" w:eastAsia="宋体" w:cs="宋体"/>
          <w:snapToGrid w:val="0"/>
          <w:color w:val="auto"/>
          <w:kern w:val="2"/>
          <w:sz w:val="24"/>
          <w:szCs w:val="24"/>
          <w:highlight w:val="none"/>
          <w:lang w:val="en-US" w:eastAsia="zh-CN" w:bidi="ar-SA"/>
        </w:rPr>
        <w:t>3</w:t>
      </w:r>
      <w:r>
        <w:rPr>
          <w:rFonts w:hint="eastAsia" w:ascii="宋体" w:hAnsi="宋体" w:eastAsia="宋体" w:cs="宋体"/>
          <w:snapToGrid w:val="0"/>
          <w:color w:val="auto"/>
          <w:kern w:val="2"/>
          <w:sz w:val="24"/>
          <w:szCs w:val="24"/>
          <w:highlight w:val="none"/>
          <w:lang w:val="zh-CN" w:eastAsia="zh-CN" w:bidi="ar-SA"/>
        </w:rPr>
        <w:t>特殊情况下，在原响应文件有效期截止之前，采购代理机构或采购人</w:t>
      </w:r>
      <w:r>
        <w:rPr>
          <w:rFonts w:hint="eastAsia" w:ascii="宋体" w:hAnsi="宋体" w:eastAsia="宋体" w:cs="宋体"/>
          <w:snapToGrid w:val="0"/>
          <w:color w:val="auto"/>
          <w:sz w:val="24"/>
          <w:szCs w:val="24"/>
          <w:highlight w:val="none"/>
          <w:lang w:val="zh-CN"/>
        </w:rPr>
        <w:t>可要求供应商延长响应文件有效期。需要延长响应文件有效期时，采购代理机构或采购人将以书面形式通知所有磋商供应商，供应商应以书面形式答复是否同意延长响应文件有效期。</w:t>
      </w:r>
    </w:p>
    <w:p w14:paraId="3803927F">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5</w:t>
      </w:r>
      <w:r>
        <w:rPr>
          <w:rFonts w:hint="eastAsia" w:ascii="宋体" w:hAnsi="宋体" w:eastAsia="宋体" w:cs="宋体"/>
          <w:snapToGrid w:val="0"/>
          <w:color w:val="auto"/>
          <w:sz w:val="24"/>
          <w:szCs w:val="24"/>
          <w:highlight w:val="none"/>
          <w:lang w:val="zh-CN"/>
        </w:rPr>
        <w:t>.</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lang w:val="zh-CN"/>
        </w:rPr>
        <w:t>供应商同意延长的，</w:t>
      </w:r>
      <w:r>
        <w:rPr>
          <w:rFonts w:hint="eastAsia" w:ascii="宋体" w:hAnsi="宋体" w:eastAsia="宋体" w:cs="宋体"/>
          <w:snapToGrid w:val="0"/>
          <w:color w:val="auto"/>
          <w:sz w:val="24"/>
          <w:szCs w:val="24"/>
          <w:highlight w:val="none"/>
          <w:lang w:val="en-US" w:eastAsia="zh-CN"/>
        </w:rPr>
        <w:t>其磋商</w:t>
      </w:r>
      <w:r>
        <w:rPr>
          <w:rFonts w:hint="eastAsia" w:ascii="宋体" w:hAnsi="宋体" w:eastAsia="宋体" w:cs="宋体"/>
          <w:snapToGrid w:val="0"/>
          <w:color w:val="auto"/>
          <w:sz w:val="24"/>
          <w:szCs w:val="24"/>
          <w:highlight w:val="none"/>
          <w:lang w:val="zh-CN"/>
        </w:rPr>
        <w:t>保证金的有效期也相应延长</w:t>
      </w:r>
      <w:r>
        <w:rPr>
          <w:rFonts w:hint="eastAsia" w:ascii="宋体" w:hAnsi="宋体" w:eastAsia="宋体" w:cs="宋体"/>
          <w:snapToGrid w:val="0"/>
          <w:color w:val="auto"/>
          <w:sz w:val="24"/>
          <w:szCs w:val="24"/>
          <w:highlight w:val="none"/>
          <w:lang w:val="zh-CN" w:eastAsia="zh-CN"/>
        </w:rPr>
        <w:t>，</w:t>
      </w:r>
      <w:r>
        <w:rPr>
          <w:rFonts w:hint="eastAsia" w:ascii="宋体" w:hAnsi="宋体" w:eastAsia="宋体" w:cs="宋体"/>
          <w:snapToGrid w:val="0"/>
          <w:color w:val="auto"/>
          <w:sz w:val="24"/>
          <w:szCs w:val="24"/>
          <w:highlight w:val="none"/>
          <w:lang w:val="zh-CN"/>
        </w:rPr>
        <w:t>不得要求或被允许修改或撤销其响应文件；供应商拒绝延长的，其响应文件在原响应文件有效期满后将不再有效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但其提交的磋商保证金可予以退还</w:t>
      </w:r>
      <w:r>
        <w:rPr>
          <w:rFonts w:hint="eastAsia" w:ascii="宋体" w:hAnsi="宋体" w:eastAsia="宋体" w:cs="宋体"/>
          <w:snapToGrid w:val="0"/>
          <w:color w:val="auto"/>
          <w:sz w:val="24"/>
          <w:szCs w:val="24"/>
          <w:highlight w:val="none"/>
          <w:lang w:val="zh-CN"/>
        </w:rPr>
        <w:t>。</w:t>
      </w:r>
    </w:p>
    <w:bookmarkEnd w:id="243"/>
    <w:bookmarkEnd w:id="244"/>
    <w:bookmarkEnd w:id="245"/>
    <w:bookmarkEnd w:id="246"/>
    <w:bookmarkEnd w:id="247"/>
    <w:bookmarkEnd w:id="248"/>
    <w:bookmarkEnd w:id="249"/>
    <w:bookmarkEnd w:id="250"/>
    <w:bookmarkEnd w:id="251"/>
    <w:bookmarkEnd w:id="252"/>
    <w:bookmarkEnd w:id="253"/>
    <w:bookmarkEnd w:id="254"/>
    <w:bookmarkEnd w:id="255"/>
    <w:p w14:paraId="26D695E6">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16.响应文件的编制</w:t>
      </w:r>
      <w:bookmarkEnd w:id="216"/>
      <w:bookmarkEnd w:id="217"/>
      <w:bookmarkEnd w:id="218"/>
      <w:bookmarkEnd w:id="219"/>
      <w:bookmarkEnd w:id="220"/>
      <w:bookmarkEnd w:id="221"/>
      <w:bookmarkEnd w:id="222"/>
      <w:bookmarkEnd w:id="223"/>
      <w:bookmarkEnd w:id="224"/>
      <w:bookmarkEnd w:id="225"/>
      <w:bookmarkEnd w:id="226"/>
      <w:bookmarkEnd w:id="227"/>
      <w:bookmarkEnd w:id="228"/>
    </w:p>
    <w:p w14:paraId="710ABAB7">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文件应在供应商客户端中进行编制，在</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文件中要求加盖印章的，除有特殊说明之外，</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rPr>
        <w:t>使用电子签章签署。</w:t>
      </w:r>
    </w:p>
    <w:p w14:paraId="6FD5FFC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在供应商客户端中按照供应商客户端中的格式要求填写响应内容后，生成</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须按照</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文件的要求对要求加盖印章的部分逐一进行签章。</w:t>
      </w:r>
    </w:p>
    <w:p w14:paraId="4BB9824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3供应商</w:t>
      </w:r>
      <w:r>
        <w:rPr>
          <w:rFonts w:hint="eastAsia" w:ascii="宋体" w:hAnsi="宋体" w:eastAsia="宋体" w:cs="宋体"/>
          <w:color w:val="auto"/>
          <w:sz w:val="24"/>
          <w:szCs w:val="24"/>
          <w:highlight w:val="none"/>
        </w:rPr>
        <w:t>应详细阅读</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文件的全部内容。</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文件须对</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文件中的内容作出实质性和完整的响应，如果</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文件填报的内容不详，或没有提供</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文件中所要求的全部资料及数据，</w:t>
      </w:r>
      <w:r>
        <w:rPr>
          <w:rFonts w:hint="eastAsia" w:ascii="宋体" w:hAnsi="宋体" w:eastAsia="宋体" w:cs="宋体"/>
          <w:b w:val="0"/>
          <w:bCs w:val="0"/>
          <w:color w:val="auto"/>
          <w:sz w:val="24"/>
          <w:szCs w:val="24"/>
          <w:highlight w:val="none"/>
        </w:rPr>
        <w:t>将可能</w:t>
      </w:r>
      <w:r>
        <w:rPr>
          <w:rFonts w:hint="eastAsia" w:ascii="宋体" w:hAnsi="宋体" w:eastAsia="宋体" w:cs="宋体"/>
          <w:b/>
          <w:bCs/>
          <w:color w:val="auto"/>
          <w:sz w:val="24"/>
          <w:szCs w:val="24"/>
          <w:highlight w:val="none"/>
        </w:rPr>
        <w:t>导致</w:t>
      </w:r>
      <w:r>
        <w:rPr>
          <w:rFonts w:hint="eastAsia" w:ascii="宋体" w:hAnsi="宋体" w:eastAsia="宋体" w:cs="宋体"/>
          <w:b/>
          <w:bCs/>
          <w:color w:val="auto"/>
          <w:sz w:val="24"/>
          <w:szCs w:val="24"/>
          <w:highlight w:val="none"/>
          <w:lang w:val="en-US" w:eastAsia="zh-CN"/>
        </w:rPr>
        <w:t>其</w:t>
      </w:r>
      <w:r>
        <w:rPr>
          <w:rFonts w:hint="eastAsia" w:ascii="宋体" w:hAnsi="宋体" w:eastAsia="宋体" w:cs="宋体"/>
          <w:b/>
          <w:bCs/>
          <w:color w:val="auto"/>
          <w:sz w:val="24"/>
          <w:szCs w:val="24"/>
          <w:highlight w:val="none"/>
          <w:lang w:eastAsia="zh-CN"/>
        </w:rPr>
        <w:t>响应</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color w:val="auto"/>
          <w:sz w:val="24"/>
          <w:szCs w:val="24"/>
          <w:highlight w:val="none"/>
        </w:rPr>
        <w:t>。</w:t>
      </w:r>
    </w:p>
    <w:p w14:paraId="2D3AC26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4响应</w:t>
      </w:r>
      <w:r>
        <w:rPr>
          <w:rFonts w:hint="eastAsia" w:ascii="宋体" w:hAnsi="宋体" w:eastAsia="宋体" w:cs="宋体"/>
          <w:color w:val="auto"/>
          <w:sz w:val="24"/>
          <w:szCs w:val="24"/>
          <w:highlight w:val="none"/>
        </w:rPr>
        <w:t>文件须严格按照</w:t>
      </w:r>
      <w:r>
        <w:rPr>
          <w:rFonts w:hint="eastAsia" w:ascii="宋体" w:hAnsi="宋体" w:eastAsia="宋体" w:cs="宋体"/>
          <w:color w:val="auto"/>
          <w:sz w:val="24"/>
          <w:szCs w:val="24"/>
          <w:highlight w:val="none"/>
          <w:lang w:val="en-US" w:eastAsia="zh-CN"/>
        </w:rPr>
        <w:t>本竞争性磋商</w:t>
      </w:r>
      <w:r>
        <w:rPr>
          <w:rFonts w:hint="eastAsia" w:ascii="宋体" w:hAnsi="宋体" w:eastAsia="宋体" w:cs="宋体"/>
          <w:color w:val="auto"/>
          <w:sz w:val="24"/>
          <w:szCs w:val="24"/>
          <w:highlight w:val="none"/>
        </w:rPr>
        <w:t>文件第</w:t>
      </w:r>
      <w:r>
        <w:rPr>
          <w:rFonts w:hint="eastAsia" w:ascii="宋体" w:hAnsi="宋体" w:eastAsia="宋体" w:cs="宋体"/>
          <w:color w:val="auto"/>
          <w:sz w:val="24"/>
          <w:szCs w:val="24"/>
          <w:highlight w:val="none"/>
          <w:lang w:val="en-US" w:eastAsia="zh-CN"/>
        </w:rPr>
        <w:t>六章</w:t>
      </w:r>
      <w:r>
        <w:rPr>
          <w:rFonts w:hint="eastAsia" w:ascii="宋体" w:hAnsi="宋体" w:eastAsia="宋体" w:cs="宋体"/>
          <w:color w:val="auto"/>
          <w:sz w:val="24"/>
          <w:szCs w:val="24"/>
          <w:highlight w:val="none"/>
        </w:rPr>
        <w:t>规定的格式提交，并按规定的统一格式逐项填写，不准有空项；无相应内容可填</w:t>
      </w:r>
      <w:r>
        <w:rPr>
          <w:rFonts w:hint="eastAsia" w:ascii="宋体" w:hAnsi="宋体" w:eastAsia="宋体" w:cs="宋体"/>
          <w:color w:val="auto"/>
          <w:sz w:val="24"/>
          <w:szCs w:val="24"/>
          <w:highlight w:val="none"/>
          <w:lang w:eastAsia="zh-CN"/>
        </w:rPr>
        <w:t>写的部分</w:t>
      </w:r>
      <w:r>
        <w:rPr>
          <w:rFonts w:hint="eastAsia" w:ascii="宋体" w:hAnsi="宋体" w:eastAsia="宋体" w:cs="宋体"/>
          <w:color w:val="auto"/>
          <w:sz w:val="24"/>
          <w:szCs w:val="24"/>
          <w:highlight w:val="none"/>
        </w:rPr>
        <w:t>，应填写“无”、“未测试”、“没有相应指标”等明确的文字回答。由于编排混乱导致</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文件被误读或查找不到，其责任由</w:t>
      </w:r>
      <w:r>
        <w:rPr>
          <w:rFonts w:hint="eastAsia" w:ascii="宋体" w:hAnsi="宋体" w:eastAsia="宋体" w:cs="宋体"/>
          <w:color w:val="auto"/>
          <w:sz w:val="24"/>
          <w:szCs w:val="24"/>
          <w:highlight w:val="none"/>
          <w:lang w:val="en-US" w:eastAsia="zh-CN"/>
        </w:rPr>
        <w:t>供应商自行</w:t>
      </w:r>
      <w:r>
        <w:rPr>
          <w:rFonts w:hint="eastAsia" w:ascii="宋体" w:hAnsi="宋体" w:eastAsia="宋体" w:cs="宋体"/>
          <w:color w:val="auto"/>
          <w:sz w:val="24"/>
          <w:szCs w:val="24"/>
          <w:highlight w:val="none"/>
        </w:rPr>
        <w:t>承担。</w:t>
      </w:r>
    </w:p>
    <w:p w14:paraId="0AB47C84">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5供应商</w:t>
      </w:r>
      <w:r>
        <w:rPr>
          <w:rFonts w:hint="eastAsia" w:ascii="宋体" w:hAnsi="宋体" w:eastAsia="宋体" w:cs="宋体"/>
          <w:color w:val="auto"/>
          <w:sz w:val="24"/>
          <w:szCs w:val="24"/>
          <w:highlight w:val="none"/>
        </w:rPr>
        <w:t>须注意：为合理节约政府采购评审成本，提倡诚实信用的</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行为，特别要求</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应本着诚信精神，在本次</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文件的偏离表中，均以审慎的态度明确、清楚地披露各项偏离。若</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对某一事项是否存在或是否属于偏离不能确定，亦必须在偏离表中清楚地表明该偏离事项，并可以注明不能确定的字样。任何情况下，对于</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没有在偏离表中明确、清楚地披露的事项，包括可能属于被</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在偏离表中遗漏披露的事项，一旦在评审中被发现存在偏离或被认定为属于偏离，则评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委员会有权视具体情形评审时予以处理，</w:t>
      </w:r>
      <w:r>
        <w:rPr>
          <w:rFonts w:hint="eastAsia" w:ascii="宋体" w:hAnsi="宋体" w:eastAsia="宋体" w:cs="宋体"/>
          <w:b/>
          <w:bCs/>
          <w:color w:val="auto"/>
          <w:sz w:val="24"/>
          <w:szCs w:val="24"/>
          <w:highlight w:val="none"/>
        </w:rPr>
        <w:t>将可能导致</w:t>
      </w:r>
      <w:r>
        <w:rPr>
          <w:rFonts w:hint="eastAsia" w:ascii="宋体" w:hAnsi="宋体" w:eastAsia="宋体" w:cs="宋体"/>
          <w:b/>
          <w:bCs/>
          <w:color w:val="auto"/>
          <w:sz w:val="24"/>
          <w:szCs w:val="24"/>
          <w:highlight w:val="none"/>
          <w:lang w:eastAsia="zh-CN"/>
        </w:rPr>
        <w:t>响应</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color w:val="auto"/>
          <w:sz w:val="24"/>
          <w:szCs w:val="24"/>
          <w:highlight w:val="none"/>
        </w:rPr>
        <w:t>。</w:t>
      </w:r>
    </w:p>
    <w:p w14:paraId="54FCBEF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6供应商</w:t>
      </w:r>
      <w:r>
        <w:rPr>
          <w:rFonts w:hint="eastAsia" w:ascii="宋体" w:hAnsi="宋体" w:eastAsia="宋体" w:cs="宋体"/>
          <w:color w:val="auto"/>
          <w:sz w:val="24"/>
          <w:szCs w:val="24"/>
          <w:highlight w:val="none"/>
        </w:rPr>
        <w:t>必须保证</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文件所提供的全部资料</w:t>
      </w:r>
      <w:r>
        <w:rPr>
          <w:rFonts w:hint="eastAsia" w:ascii="宋体" w:hAnsi="宋体" w:eastAsia="宋体" w:cs="宋体"/>
          <w:color w:val="auto"/>
          <w:sz w:val="24"/>
          <w:szCs w:val="24"/>
          <w:highlight w:val="none"/>
          <w:lang w:eastAsia="zh-CN"/>
        </w:rPr>
        <w:t>合法、</w:t>
      </w:r>
      <w:r>
        <w:rPr>
          <w:rFonts w:hint="eastAsia" w:ascii="宋体" w:hAnsi="宋体" w:eastAsia="宋体" w:cs="宋体"/>
          <w:color w:val="auto"/>
          <w:sz w:val="24"/>
          <w:szCs w:val="24"/>
          <w:highlight w:val="none"/>
        </w:rPr>
        <w:t>真实可靠，并接受采购</w:t>
      </w:r>
      <w:r>
        <w:rPr>
          <w:rFonts w:hint="eastAsia" w:ascii="宋体" w:hAnsi="宋体" w:eastAsia="宋体" w:cs="宋体"/>
          <w:color w:val="auto"/>
          <w:sz w:val="24"/>
          <w:szCs w:val="24"/>
          <w:highlight w:val="none"/>
          <w:lang w:val="en-US" w:eastAsia="zh-CN"/>
        </w:rPr>
        <w:t>人、采购</w:t>
      </w:r>
      <w:r>
        <w:rPr>
          <w:rFonts w:hint="eastAsia" w:ascii="宋体" w:hAnsi="宋体" w:eastAsia="宋体" w:cs="宋体"/>
          <w:color w:val="auto"/>
          <w:sz w:val="24"/>
          <w:szCs w:val="24"/>
          <w:highlight w:val="none"/>
        </w:rPr>
        <w:t>代理机构或评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委员会对其中任何资料进一步审查的要求。</w:t>
      </w:r>
    </w:p>
    <w:p w14:paraId="7064EC3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7供应商</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cs="宋体"/>
          <w:b/>
          <w:bCs/>
          <w:color w:val="auto"/>
          <w:sz w:val="24"/>
          <w:szCs w:val="24"/>
          <w:highlight w:val="none"/>
        </w:rPr>
        <w:t>无效</w:t>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color w:val="auto"/>
          <w:sz w:val="24"/>
          <w:szCs w:val="24"/>
          <w:highlight w:val="none"/>
        </w:rPr>
        <w:t>处理。</w:t>
      </w:r>
    </w:p>
    <w:p w14:paraId="4071B617">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16.8电子响应文件的编制</w:t>
      </w:r>
    </w:p>
    <w:p w14:paraId="4A87E245">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16.8.1电子响应文件需按竞争性磋商文件要求进行制作编制。响应文件制作时，不同内容按标签提示制作导入，按照竞争性磋商文件中明确的响应文件目录和格式进行编制，保证目录清晰、内容完整。           </w:t>
      </w:r>
    </w:p>
    <w:p w14:paraId="1D4C561F">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16.8.2电子磋商文件及响应文件具有法律效力，与其他形式的磋商文件及响应文件在内容和格式上等同，若响应文件与竞争性磋商文件要求不一致，其内容影响成交结果时，责任由供应商自行承担。供应商递交的电子响应文件因供应商自身原因而导致无法导入电子辅助评标系统，该响应文件被视为无效响应文件，</w:t>
      </w:r>
      <w:r>
        <w:rPr>
          <w:rFonts w:hint="eastAsia" w:ascii="宋体" w:hAnsi="宋体" w:eastAsia="宋体" w:cs="宋体"/>
          <w:b/>
          <w:bCs/>
          <w:iCs/>
          <w:color w:val="auto"/>
          <w:kern w:val="2"/>
          <w:sz w:val="24"/>
          <w:szCs w:val="24"/>
          <w:highlight w:val="none"/>
          <w:shd w:val="clear" w:color="auto" w:fill="FFFFFF" w:themeFill="background1"/>
          <w:lang w:val="en-US" w:eastAsia="zh-CN" w:bidi="ar-SA"/>
        </w:rPr>
        <w:t>其响应无效</w:t>
      </w:r>
      <w:r>
        <w:rPr>
          <w:rFonts w:hint="eastAsia" w:ascii="宋体" w:hAnsi="宋体" w:eastAsia="宋体" w:cs="宋体"/>
          <w:b/>
          <w:bCs/>
          <w:color w:val="auto"/>
          <w:sz w:val="24"/>
          <w:szCs w:val="24"/>
          <w:highlight w:val="none"/>
        </w:rPr>
        <w:t>。</w:t>
      </w:r>
    </w:p>
    <w:p w14:paraId="72852751">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56" w:name="_Toc109900390"/>
      <w:bookmarkStart w:id="257" w:name="_Toc46771659"/>
      <w:bookmarkStart w:id="258" w:name="_Toc109899971"/>
      <w:bookmarkStart w:id="259" w:name="_Toc109897453"/>
      <w:bookmarkStart w:id="260" w:name="_Toc109899552"/>
      <w:bookmarkStart w:id="261" w:name="_Toc470172684"/>
      <w:bookmarkStart w:id="262" w:name="_Toc2625"/>
      <w:bookmarkStart w:id="263" w:name="_Toc163493614"/>
      <w:bookmarkStart w:id="264" w:name="_Toc31236"/>
      <w:r>
        <w:rPr>
          <w:rFonts w:hint="eastAsia" w:ascii="宋体" w:hAnsi="宋体" w:eastAsia="宋体" w:cs="宋体"/>
          <w:b/>
          <w:bCs/>
          <w:color w:val="auto"/>
          <w:kern w:val="2"/>
          <w:sz w:val="24"/>
          <w:szCs w:val="24"/>
          <w:highlight w:val="none"/>
          <w:lang w:val="en-US" w:eastAsia="zh-CN" w:bidi="ar-SA"/>
        </w:rPr>
        <w:t>（四）响应文件的</w:t>
      </w:r>
      <w:bookmarkEnd w:id="256"/>
      <w:bookmarkEnd w:id="257"/>
      <w:bookmarkEnd w:id="258"/>
      <w:bookmarkEnd w:id="259"/>
      <w:bookmarkEnd w:id="260"/>
      <w:bookmarkEnd w:id="261"/>
      <w:r>
        <w:rPr>
          <w:rFonts w:hint="eastAsia" w:ascii="宋体" w:hAnsi="宋体" w:eastAsia="宋体" w:cs="宋体"/>
          <w:b/>
          <w:bCs/>
          <w:color w:val="auto"/>
          <w:kern w:val="2"/>
          <w:sz w:val="24"/>
          <w:szCs w:val="24"/>
          <w:highlight w:val="none"/>
          <w:lang w:val="en-US" w:eastAsia="zh-CN" w:bidi="ar-SA"/>
        </w:rPr>
        <w:t>递交</w:t>
      </w:r>
      <w:bookmarkEnd w:id="262"/>
      <w:bookmarkEnd w:id="263"/>
      <w:bookmarkEnd w:id="264"/>
    </w:p>
    <w:p w14:paraId="0181012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65" w:name="_Toc109899651"/>
      <w:bookmarkStart w:id="266" w:name="_Toc109900489"/>
      <w:bookmarkStart w:id="267" w:name="_Toc109897552"/>
      <w:bookmarkStart w:id="268" w:name="_Toc109900070"/>
      <w:bookmarkStart w:id="269" w:name="_Toc156490296"/>
      <w:bookmarkStart w:id="270" w:name="_Toc155095707"/>
      <w:bookmarkStart w:id="271" w:name="_Toc109899652"/>
      <w:bookmarkStart w:id="272" w:name="_Toc109900490"/>
      <w:bookmarkStart w:id="273" w:name="_Toc109897553"/>
      <w:bookmarkStart w:id="274" w:name="_Toc109900071"/>
      <w:bookmarkStart w:id="275" w:name="_Toc155095708"/>
      <w:bookmarkStart w:id="276" w:name="_Toc156490297"/>
      <w:r>
        <w:rPr>
          <w:rFonts w:hint="eastAsia" w:ascii="宋体" w:hAnsi="宋体" w:eastAsia="宋体" w:cs="宋体"/>
          <w:b/>
          <w:bCs/>
          <w:color w:val="auto"/>
          <w:kern w:val="2"/>
          <w:sz w:val="24"/>
          <w:szCs w:val="24"/>
          <w:highlight w:val="none"/>
          <w:lang w:val="en-US" w:eastAsia="zh-CN" w:bidi="ar-SA"/>
        </w:rPr>
        <w:t>17.磋商保证金</w:t>
      </w:r>
    </w:p>
    <w:p w14:paraId="4DEF9463">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17.1供应商应按照竞争性磋商文件“供应商须知前附表”规定的金额及要求交纳磋商保证金。供应商自愿超额缴纳磋商保证金的，响应文件不做无效处理。</w:t>
      </w:r>
    </w:p>
    <w:p w14:paraId="77BF1621">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b/>
          <w:bCs/>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17.2交纳磋商保证金可采用的形式：政府采购法律法规接受的支票、汇票、本票、网上银行支付或者金融机构、担保机构出具的保函等非现金形式。未按磋商文件要求提交磋商保证金的，其</w:t>
      </w:r>
      <w:r>
        <w:rPr>
          <w:rFonts w:hint="eastAsia" w:ascii="宋体" w:hAnsi="宋体" w:eastAsia="宋体" w:cs="宋体"/>
          <w:b/>
          <w:bCs/>
          <w:iCs/>
          <w:color w:val="auto"/>
          <w:kern w:val="2"/>
          <w:sz w:val="24"/>
          <w:szCs w:val="24"/>
          <w:highlight w:val="none"/>
          <w:shd w:val="clear" w:color="auto" w:fill="FFFFFF" w:themeFill="background1"/>
          <w:lang w:val="en-US" w:eastAsia="zh-CN" w:bidi="ar-SA"/>
        </w:rPr>
        <w:t>响应无效。</w:t>
      </w:r>
      <w:r>
        <w:rPr>
          <w:rFonts w:hint="eastAsia" w:ascii="宋体" w:hAnsi="宋体" w:eastAsia="宋体" w:cs="宋体"/>
          <w:color w:val="auto"/>
          <w:sz w:val="24"/>
          <w:szCs w:val="24"/>
          <w:highlight w:val="none"/>
          <w:lang w:val="en-US" w:eastAsia="zh-CN"/>
        </w:rPr>
        <w:t>磋商保证金有效期同响应文件有效期。</w:t>
      </w:r>
    </w:p>
    <w:p w14:paraId="0C3CACC6">
      <w:pPr>
        <w:pStyle w:val="7"/>
        <w:keepNext w:val="0"/>
        <w:keepLines w:val="0"/>
        <w:pageBreakBefore w:val="0"/>
        <w:widowControl w:val="0"/>
        <w:kinsoku/>
        <w:overflowPunct/>
        <w:topLinePunct w:val="0"/>
        <w:autoSpaceDE/>
        <w:autoSpaceDN/>
        <w:bidi w:val="0"/>
        <w:adjustRightInd/>
        <w:textAlignment w:val="auto"/>
        <w:rPr>
          <w:rFonts w:hint="eastAsia" w:ascii="宋体" w:hAnsi="宋体" w:eastAsia="宋体" w:cs="宋体"/>
          <w:b/>
          <w:bCs/>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17.3磋商保证金到账（保函提交）截止时间同响应文件递交截止时间。以支票、汇票、本票、网上银行支付等形式提交磋商保证金的，应在响应文件递交截止时间前到账；以金融机构、担保机构出具的保函等形式提交磋商保证金的，应在响应文件递交截止时间前将磋商保证金支付件扫描后作为响应文件的组成部分与响应文件一起上传。由于到账时间晚于响应文件递交截止时间，或者票据错误、印鉴不清等原因导致不能到账的</w:t>
      </w:r>
      <w:r>
        <w:rPr>
          <w:rFonts w:hint="eastAsia" w:ascii="宋体" w:hAnsi="宋体" w:eastAsia="宋体" w:cs="宋体"/>
          <w:b w:val="0"/>
          <w:bCs w:val="0"/>
          <w:iCs/>
          <w:color w:val="auto"/>
          <w:kern w:val="2"/>
          <w:sz w:val="24"/>
          <w:szCs w:val="24"/>
          <w:highlight w:val="none"/>
          <w:shd w:val="clear" w:color="auto" w:fill="FFFFFF" w:themeFill="background1"/>
          <w:lang w:val="en-US" w:eastAsia="zh-CN" w:bidi="ar-SA"/>
        </w:rPr>
        <w:t>，</w:t>
      </w:r>
      <w:r>
        <w:rPr>
          <w:rFonts w:hint="eastAsia" w:ascii="宋体" w:hAnsi="宋体" w:eastAsia="宋体" w:cs="宋体"/>
          <w:b/>
          <w:bCs/>
          <w:iCs/>
          <w:color w:val="auto"/>
          <w:kern w:val="2"/>
          <w:sz w:val="24"/>
          <w:szCs w:val="24"/>
          <w:highlight w:val="none"/>
          <w:shd w:val="clear" w:color="auto" w:fill="FFFFFF" w:themeFill="background1"/>
          <w:lang w:val="en-US" w:eastAsia="zh-CN" w:bidi="ar-SA"/>
        </w:rPr>
        <w:t>其响应无效。</w:t>
      </w:r>
    </w:p>
    <w:p w14:paraId="4AA52D7E">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17.4 供应商为联合体的，可以由联合体中的一方或者多方共同交纳磋商保证金，其交纳的磋商保证金对联合体各方均具有约束力。</w:t>
      </w:r>
    </w:p>
    <w:p w14:paraId="1E93F923">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17.5采购人或者采购代理机构应当在采购活动结束后及时退还供应商的磋商保证金，采用银行保函、担保机构担保函等形式递交的磋商保证金，经供应商同意后采购人、采购代理机构可以不再退还，但因供应商自身原因导致无法及时退还的除外。未成交供应商的磋商保证金应当自成交通知书发出之日起 5 个工作日内退还，成交供应商的磋商保证金应当自采购合同签订之日起 5 个工作日内退还。 </w:t>
      </w:r>
    </w:p>
    <w:p w14:paraId="48C6EAF6">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17.6 供应商在响应文件递交截止时间前撤回已提交的响应文件的，自收到供应商书面撤回通知之日起 5 个工作日内，退还已收取的磋商保证金，但因供应商自身原因导致无法及时退还的除外。 </w:t>
      </w:r>
    </w:p>
    <w:p w14:paraId="6C0BF0B3">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17.7 终止磋商的项目已经收取磋商保证金的，自终止采购活动后5个工作日内退还已收取的磋商保证金及其在银行产生的孳息。</w:t>
      </w:r>
    </w:p>
    <w:p w14:paraId="59CC77A0">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17.8有下列情形之一的，磋商保证金不予退还,</w:t>
      </w:r>
      <w:r>
        <w:rPr>
          <w:rFonts w:hint="eastAsia" w:ascii="宋体" w:hAnsi="宋体" w:eastAsia="宋体" w:cs="宋体"/>
          <w:color w:val="auto"/>
          <w:kern w:val="2"/>
          <w:sz w:val="24"/>
          <w:szCs w:val="24"/>
          <w:highlight w:val="none"/>
        </w:rPr>
        <w:t>情节严重的将其列入不良记录名单</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55B83B70">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17.8.1供应商在提交响应文件截止时间后撤回响应文件的； </w:t>
      </w:r>
    </w:p>
    <w:p w14:paraId="0A09910A">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17.8.2供应商在响应文件中提供虚假材料的； </w:t>
      </w:r>
    </w:p>
    <w:p w14:paraId="41889810">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17.8.3除因不可抗力或磋商文件认可的情形以外，成交供应商不与采购人签订合同的； </w:t>
      </w:r>
    </w:p>
    <w:p w14:paraId="19A2B85A">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17.8.4供应商与采购人、其他供应商或者采购代理机构恶意串通的； </w:t>
      </w:r>
    </w:p>
    <w:p w14:paraId="40CCB19A">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17.8.5磋商文件规定的其他情形。</w:t>
      </w:r>
    </w:p>
    <w:p w14:paraId="2A9B7E65">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17.9如开启时供应商对本单位磋商保证金缴纳情况有疑义，供应商应在开启结束前向采购人提交书面申请核实保证金缴纳情况。由银行或保险公司核实后出具书面材料予以答复。</w:t>
      </w:r>
    </w:p>
    <w:p w14:paraId="7018BCE4">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17.10为支持和促进中小企业发展，进一步发挥政府采购政策功能，鼓励供应商使用电子保函代替现金缴纳磋商保证金，在线完成保函的申请、审核、开票、出函等环节，供应商企业注意区分办理保函类型，并确认响应文件有效期，如采用政采云电子保函，可登录“兵团政府采购网”—顶部通栏“信用融资”或者“兵团政府采购网”首页“政采贷｜电子保函”快捷模块查看：</w:t>
      </w:r>
    </w:p>
    <w:p w14:paraId="1F3A8C5E">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直达链接（电子保函）：</w:t>
      </w:r>
    </w:p>
    <w:p w14:paraId="15E30E92">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https://jinrong.zcygov.cn/luban/finance/xinjiang?utm=site.site-PC-4838.1473-pc-wsg-customFloatWindow-front.1.b9d627301e6311efb796b33a13fe0d0a</w:t>
      </w:r>
    </w:p>
    <w:p w14:paraId="071DFFA7">
      <w:pPr>
        <w:pStyle w:val="64"/>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金融服务支撑热线：0991-2661159     </w:t>
      </w:r>
    </w:p>
    <w:p w14:paraId="784B786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18.响应文件的</w:t>
      </w:r>
      <w:bookmarkEnd w:id="265"/>
      <w:bookmarkEnd w:id="266"/>
      <w:bookmarkEnd w:id="267"/>
      <w:bookmarkEnd w:id="268"/>
      <w:r>
        <w:rPr>
          <w:rFonts w:hint="eastAsia" w:ascii="宋体" w:hAnsi="宋体" w:eastAsia="宋体" w:cs="宋体"/>
          <w:b/>
          <w:bCs/>
          <w:color w:val="auto"/>
          <w:kern w:val="2"/>
          <w:sz w:val="24"/>
          <w:szCs w:val="24"/>
          <w:highlight w:val="none"/>
          <w:lang w:val="en-US" w:eastAsia="zh-CN" w:bidi="ar-SA"/>
        </w:rPr>
        <w:t>加密</w:t>
      </w:r>
      <w:bookmarkEnd w:id="269"/>
      <w:bookmarkEnd w:id="270"/>
    </w:p>
    <w:p w14:paraId="105C769D">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18.1 供应商在供应商客户端中生成响应文件并完成签章之后，使用CA证书在供应商客户端中对响应文件进行加密。</w:t>
      </w:r>
    </w:p>
    <w:p w14:paraId="0AE412D5">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18.2 供应商应在供应商客户端中对加密的响应文件进行解密验证，以防止响应文件加密异常，在开启时无法解密。</w:t>
      </w:r>
    </w:p>
    <w:p w14:paraId="79A877BA">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18.3 供应商应保证加密响应文件的CA证书有效期在开启时间之前。若CA证书有效期临近开启时间，建议供应商提前办理CA证书续期，以免开启时无法进行解密。</w:t>
      </w:r>
    </w:p>
    <w:p w14:paraId="1CDCC9E5">
      <w:pPr>
        <w:keepNext w:val="0"/>
        <w:keepLines w:val="0"/>
        <w:pageBreakBefore w:val="0"/>
        <w:widowControl w:val="0"/>
        <w:kinsoku/>
        <w:wordWrap w:val="0"/>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snapToGrid w:val="0"/>
          <w:color w:val="auto"/>
          <w:sz w:val="24"/>
          <w:szCs w:val="24"/>
          <w:highlight w:val="none"/>
          <w:lang w:val="zh-CN"/>
        </w:rPr>
        <w:t>供应商</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递交截</w:t>
      </w:r>
      <w:r>
        <w:rPr>
          <w:rFonts w:hint="eastAsia" w:ascii="宋体" w:hAnsi="宋体" w:eastAsia="宋体" w:cs="宋体"/>
          <w:color w:val="auto"/>
          <w:sz w:val="24"/>
          <w:szCs w:val="24"/>
          <w:highlight w:val="none"/>
          <w:lang w:val="en-US" w:eastAsia="zh-CN"/>
        </w:rPr>
        <w:t>止</w:t>
      </w:r>
      <w:r>
        <w:rPr>
          <w:rFonts w:hint="eastAsia" w:ascii="宋体" w:hAnsi="宋体" w:eastAsia="宋体" w:cs="宋体"/>
          <w:color w:val="auto"/>
          <w:sz w:val="24"/>
          <w:szCs w:val="24"/>
          <w:highlight w:val="none"/>
        </w:rPr>
        <w:t>时间前通过</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rPr>
        <w:t>政府采购网（http://ccgp-bingtuan.gov.cn/）的”政采云登录入口”登录后，将加密电子</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（为.jmbs后缀格式）上传到对应项目的指定位置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认为有必要提交的其他资料请于</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递交截止时间前一并提交。</w:t>
      </w:r>
    </w:p>
    <w:p w14:paraId="3896D475">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如果</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未按上述要求</w:t>
      </w:r>
      <w:r>
        <w:rPr>
          <w:rFonts w:hint="eastAsia" w:ascii="宋体" w:hAnsi="宋体" w:eastAsia="宋体" w:cs="宋体"/>
          <w:color w:val="auto"/>
          <w:sz w:val="24"/>
          <w:szCs w:val="24"/>
          <w:highlight w:val="none"/>
          <w:lang w:val="en-US" w:eastAsia="zh-CN"/>
        </w:rPr>
        <w:t>加密并上传</w:t>
      </w:r>
      <w:r>
        <w:rPr>
          <w:rFonts w:hint="eastAsia" w:ascii="宋体" w:hAnsi="宋体" w:eastAsia="宋体" w:cs="宋体"/>
          <w:color w:val="auto"/>
          <w:sz w:val="24"/>
          <w:szCs w:val="24"/>
          <w:highlight w:val="none"/>
        </w:rPr>
        <w:t>，采购代理机构对</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文件的误投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无法解密、传输错误等问题</w:t>
      </w:r>
      <w:r>
        <w:rPr>
          <w:rFonts w:hint="eastAsia" w:ascii="宋体" w:hAnsi="宋体" w:eastAsia="宋体" w:cs="宋体"/>
          <w:color w:val="auto"/>
          <w:sz w:val="24"/>
          <w:szCs w:val="24"/>
          <w:highlight w:val="none"/>
        </w:rPr>
        <w:t>概不负责。对由此造成</w:t>
      </w:r>
      <w:r>
        <w:rPr>
          <w:rFonts w:hint="eastAsia" w:ascii="宋体" w:hAnsi="宋体" w:eastAsia="宋体" w:cs="宋体"/>
          <w:color w:val="auto"/>
          <w:sz w:val="24"/>
          <w:szCs w:val="24"/>
          <w:highlight w:val="none"/>
          <w:lang w:val="en-US" w:eastAsia="zh-CN"/>
        </w:rPr>
        <w:t>无法正常开启</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文件，采购代理机构有权予以拒绝，并退回</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w:t>
      </w:r>
    </w:p>
    <w:p w14:paraId="54A49319">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本项目采用不见面开</w:t>
      </w:r>
      <w:r>
        <w:rPr>
          <w:rFonts w:hint="eastAsia" w:ascii="宋体" w:hAnsi="宋体" w:eastAsia="宋体" w:cs="宋体"/>
          <w:color w:val="auto"/>
          <w:sz w:val="24"/>
          <w:szCs w:val="24"/>
          <w:highlight w:val="none"/>
          <w:lang w:val="en-US" w:eastAsia="zh-CN"/>
        </w:rPr>
        <w:t>启</w:t>
      </w:r>
      <w:r>
        <w:rPr>
          <w:rFonts w:hint="eastAsia" w:ascii="宋体" w:hAnsi="宋体" w:eastAsia="宋体" w:cs="宋体"/>
          <w:color w:val="auto"/>
          <w:sz w:val="24"/>
          <w:szCs w:val="24"/>
          <w:highlight w:val="none"/>
        </w:rPr>
        <w:t>方式，无需提供电子</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文件U盘。</w:t>
      </w:r>
    </w:p>
    <w:p w14:paraId="0EEE0E8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19.响应文件的</w:t>
      </w:r>
      <w:bookmarkEnd w:id="271"/>
      <w:bookmarkEnd w:id="272"/>
      <w:bookmarkEnd w:id="273"/>
      <w:bookmarkEnd w:id="274"/>
      <w:r>
        <w:rPr>
          <w:rFonts w:hint="eastAsia" w:ascii="宋体" w:hAnsi="宋体" w:eastAsia="宋体" w:cs="宋体"/>
          <w:b/>
          <w:bCs/>
          <w:color w:val="auto"/>
          <w:kern w:val="2"/>
          <w:sz w:val="24"/>
          <w:szCs w:val="24"/>
          <w:highlight w:val="none"/>
          <w:lang w:val="en-US" w:eastAsia="zh-CN" w:bidi="ar-SA"/>
        </w:rPr>
        <w:t>递交</w:t>
      </w:r>
      <w:bookmarkEnd w:id="275"/>
      <w:bookmarkEnd w:id="276"/>
      <w:r>
        <w:rPr>
          <w:rFonts w:hint="eastAsia" w:ascii="宋体" w:hAnsi="宋体" w:eastAsia="宋体" w:cs="宋体"/>
          <w:b/>
          <w:bCs/>
          <w:color w:val="auto"/>
          <w:kern w:val="2"/>
          <w:sz w:val="24"/>
          <w:szCs w:val="24"/>
          <w:highlight w:val="none"/>
          <w:lang w:val="en-US" w:eastAsia="zh-CN" w:bidi="ar-SA"/>
        </w:rPr>
        <w:t>（上传）</w:t>
      </w:r>
    </w:p>
    <w:p w14:paraId="4BB721FA">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19.1 供应商应在“</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color w:val="auto"/>
          <w:sz w:val="24"/>
          <w:szCs w:val="24"/>
          <w:highlight w:val="none"/>
        </w:rPr>
        <w:t>”规定的响应文件递交截止时间前递交（上传）响应文件。</w:t>
      </w:r>
    </w:p>
    <w:p w14:paraId="1788DDFE">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供应商递交（上传）响应文件的地点见“</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color w:val="auto"/>
          <w:sz w:val="24"/>
          <w:szCs w:val="24"/>
          <w:highlight w:val="none"/>
        </w:rPr>
        <w:t>”。</w:t>
      </w:r>
    </w:p>
    <w:p w14:paraId="74B3F1A5">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19.3供应商应充分评估集中同时递交响应文件带来的网络影响，尽量避开递交响应文件高峰时间，错峰进行递交。供应商递交全部的响应文件后可在政采云平台（项目采购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投标文件上传）中获取响应文件递交回执单。</w:t>
      </w:r>
    </w:p>
    <w:p w14:paraId="5634F60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19.4 供应商应在供应商客户端中下载未加密且完成签章的响应文件妥善保存，以便启动应急开启程序时使用。</w:t>
      </w:r>
    </w:p>
    <w:p w14:paraId="6F8BD19B">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19.5供应商所递交的响应文件不予退还。</w:t>
      </w:r>
    </w:p>
    <w:p w14:paraId="03DDA0A8">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77" w:name="_Toc155095709"/>
      <w:bookmarkStart w:id="278" w:name="_Toc156490298"/>
      <w:r>
        <w:rPr>
          <w:rFonts w:hint="eastAsia" w:ascii="宋体" w:hAnsi="宋体" w:eastAsia="宋体" w:cs="宋体"/>
          <w:b/>
          <w:bCs/>
          <w:color w:val="auto"/>
          <w:kern w:val="2"/>
          <w:sz w:val="24"/>
          <w:szCs w:val="24"/>
          <w:highlight w:val="none"/>
          <w:lang w:val="en-US" w:eastAsia="zh-CN" w:bidi="ar-SA"/>
        </w:rPr>
        <w:t>20.拒收</w:t>
      </w:r>
      <w:bookmarkEnd w:id="277"/>
      <w:bookmarkEnd w:id="278"/>
    </w:p>
    <w:p w14:paraId="6764A5C0">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20.1超过递交响应文件的截止时间或者不按照本章要求加密的响应文件，交易系统应当拒收。</w:t>
      </w:r>
    </w:p>
    <w:p w14:paraId="03C096F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79" w:name="_Toc109897555"/>
      <w:bookmarkStart w:id="280" w:name="_Toc109899654"/>
      <w:bookmarkStart w:id="281" w:name="_Toc156490299"/>
      <w:bookmarkStart w:id="282" w:name="_Toc155095710"/>
      <w:bookmarkStart w:id="283" w:name="_Toc109900492"/>
      <w:bookmarkStart w:id="284" w:name="_Toc109900073"/>
      <w:r>
        <w:rPr>
          <w:rFonts w:hint="eastAsia" w:ascii="宋体" w:hAnsi="宋体" w:eastAsia="宋体" w:cs="宋体"/>
          <w:b/>
          <w:bCs/>
          <w:color w:val="auto"/>
          <w:kern w:val="2"/>
          <w:sz w:val="24"/>
          <w:szCs w:val="24"/>
          <w:highlight w:val="none"/>
          <w:lang w:val="en-US" w:eastAsia="zh-CN" w:bidi="ar-SA"/>
        </w:rPr>
        <w:t>21.响应文件的修改与撤回</w:t>
      </w:r>
      <w:bookmarkEnd w:id="279"/>
      <w:bookmarkEnd w:id="280"/>
      <w:bookmarkEnd w:id="281"/>
      <w:bookmarkEnd w:id="282"/>
      <w:bookmarkEnd w:id="283"/>
      <w:bookmarkEnd w:id="284"/>
    </w:p>
    <w:p w14:paraId="059E1BF2">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2</w:t>
      </w:r>
      <w:r>
        <w:rPr>
          <w:rFonts w:hint="eastAsia" w:ascii="宋体" w:hAnsi="宋体" w:eastAsia="宋体" w:cs="宋体"/>
          <w:snapToGrid w:val="0"/>
          <w:color w:val="auto"/>
          <w:sz w:val="24"/>
          <w:szCs w:val="24"/>
          <w:highlight w:val="none"/>
          <w:lang w:val="zh-CN" w:eastAsia="zh-CN"/>
        </w:rPr>
        <w:t>1</w:t>
      </w:r>
      <w:r>
        <w:rPr>
          <w:rFonts w:hint="eastAsia" w:ascii="宋体" w:hAnsi="宋体" w:eastAsia="宋体" w:cs="宋体"/>
          <w:snapToGrid w:val="0"/>
          <w:color w:val="auto"/>
          <w:sz w:val="24"/>
          <w:szCs w:val="24"/>
          <w:highlight w:val="none"/>
          <w:lang w:val="zh-CN"/>
        </w:rPr>
        <w:t>.1</w:t>
      </w:r>
      <w:bookmarkStart w:id="285" w:name="_Hlk143532466"/>
      <w:r>
        <w:rPr>
          <w:rFonts w:hint="eastAsia" w:ascii="宋体" w:hAnsi="宋体" w:eastAsia="宋体" w:cs="宋体"/>
          <w:snapToGrid w:val="0"/>
          <w:color w:val="auto"/>
          <w:sz w:val="24"/>
          <w:szCs w:val="24"/>
          <w:highlight w:val="none"/>
          <w:lang w:val="zh-CN" w:eastAsia="zh-CN"/>
        </w:rPr>
        <w:t>供应商</w:t>
      </w:r>
      <w:r>
        <w:rPr>
          <w:rFonts w:hint="eastAsia" w:ascii="宋体" w:hAnsi="宋体" w:eastAsia="宋体" w:cs="宋体"/>
          <w:snapToGrid w:val="0"/>
          <w:color w:val="auto"/>
          <w:sz w:val="24"/>
          <w:szCs w:val="24"/>
          <w:highlight w:val="none"/>
          <w:lang w:val="zh-CN"/>
        </w:rPr>
        <w:t>在</w:t>
      </w:r>
      <w:r>
        <w:rPr>
          <w:rFonts w:hint="eastAsia" w:ascii="宋体" w:hAnsi="宋体" w:eastAsia="宋体" w:cs="宋体"/>
          <w:snapToGrid w:val="0"/>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snapToGrid w:val="0"/>
          <w:color w:val="auto"/>
          <w:sz w:val="24"/>
          <w:szCs w:val="24"/>
          <w:highlight w:val="none"/>
          <w:lang w:val="zh-CN" w:eastAsia="zh-CN"/>
        </w:rPr>
        <w:t>”</w:t>
      </w:r>
      <w:r>
        <w:rPr>
          <w:rFonts w:hint="eastAsia" w:ascii="宋体" w:hAnsi="宋体" w:eastAsia="宋体" w:cs="宋体"/>
          <w:snapToGrid w:val="0"/>
          <w:color w:val="auto"/>
          <w:sz w:val="24"/>
          <w:szCs w:val="24"/>
          <w:highlight w:val="none"/>
          <w:lang w:val="zh-CN"/>
        </w:rPr>
        <w:t>规定的</w:t>
      </w:r>
      <w:r>
        <w:rPr>
          <w:rFonts w:hint="eastAsia" w:ascii="宋体" w:hAnsi="宋体" w:eastAsia="宋体" w:cs="宋体"/>
          <w:snapToGrid w:val="0"/>
          <w:color w:val="auto"/>
          <w:sz w:val="24"/>
          <w:szCs w:val="24"/>
          <w:highlight w:val="none"/>
          <w:lang w:val="en-US" w:eastAsia="zh-CN"/>
        </w:rPr>
        <w:t>响应</w:t>
      </w:r>
      <w:r>
        <w:rPr>
          <w:rFonts w:hint="eastAsia" w:ascii="宋体" w:hAnsi="宋体" w:eastAsia="宋体" w:cs="宋体"/>
          <w:snapToGrid w:val="0"/>
          <w:color w:val="auto"/>
          <w:sz w:val="24"/>
          <w:szCs w:val="24"/>
          <w:highlight w:val="none"/>
          <w:lang w:val="zh-CN" w:eastAsia="zh-CN"/>
        </w:rPr>
        <w:t>文件</w:t>
      </w:r>
      <w:r>
        <w:rPr>
          <w:rFonts w:hint="eastAsia" w:ascii="宋体" w:hAnsi="宋体" w:eastAsia="宋体" w:cs="宋体"/>
          <w:snapToGrid w:val="0"/>
          <w:color w:val="auto"/>
          <w:sz w:val="24"/>
          <w:szCs w:val="24"/>
          <w:highlight w:val="none"/>
          <w:lang w:val="zh-CN"/>
        </w:rPr>
        <w:t>递交截止时间之前，可在兵团政府采购电子交易云平台上随时撤回已上传的电子</w:t>
      </w:r>
      <w:r>
        <w:rPr>
          <w:rFonts w:hint="eastAsia" w:ascii="宋体" w:hAnsi="宋体" w:eastAsia="宋体" w:cs="宋体"/>
          <w:snapToGrid w:val="0"/>
          <w:color w:val="auto"/>
          <w:sz w:val="24"/>
          <w:szCs w:val="24"/>
          <w:highlight w:val="none"/>
          <w:lang w:val="en-US" w:eastAsia="zh-CN"/>
        </w:rPr>
        <w:t>响应</w:t>
      </w:r>
      <w:r>
        <w:rPr>
          <w:rFonts w:hint="eastAsia" w:ascii="宋体" w:hAnsi="宋体" w:eastAsia="宋体" w:cs="宋体"/>
          <w:snapToGrid w:val="0"/>
          <w:color w:val="auto"/>
          <w:sz w:val="24"/>
          <w:szCs w:val="24"/>
          <w:highlight w:val="none"/>
          <w:lang w:val="zh-CN" w:eastAsia="zh-CN"/>
        </w:rPr>
        <w:t>文件</w:t>
      </w:r>
      <w:r>
        <w:rPr>
          <w:rFonts w:hint="eastAsia" w:ascii="宋体" w:hAnsi="宋体" w:eastAsia="宋体" w:cs="宋体"/>
          <w:snapToGrid w:val="0"/>
          <w:color w:val="auto"/>
          <w:sz w:val="24"/>
          <w:szCs w:val="24"/>
          <w:highlight w:val="none"/>
          <w:lang w:val="zh-CN"/>
        </w:rPr>
        <w:t>，将修改好的电子</w:t>
      </w:r>
      <w:r>
        <w:rPr>
          <w:rFonts w:hint="eastAsia" w:ascii="宋体" w:hAnsi="宋体" w:eastAsia="宋体" w:cs="宋体"/>
          <w:snapToGrid w:val="0"/>
          <w:color w:val="auto"/>
          <w:sz w:val="24"/>
          <w:szCs w:val="24"/>
          <w:highlight w:val="none"/>
          <w:lang w:val="en-US" w:eastAsia="zh-CN"/>
        </w:rPr>
        <w:t>响应</w:t>
      </w:r>
      <w:r>
        <w:rPr>
          <w:rFonts w:hint="eastAsia" w:ascii="宋体" w:hAnsi="宋体" w:eastAsia="宋体" w:cs="宋体"/>
          <w:snapToGrid w:val="0"/>
          <w:color w:val="auto"/>
          <w:sz w:val="24"/>
          <w:szCs w:val="24"/>
          <w:highlight w:val="none"/>
          <w:lang w:val="zh-CN" w:eastAsia="zh-CN"/>
        </w:rPr>
        <w:t>文件</w:t>
      </w:r>
      <w:r>
        <w:rPr>
          <w:rFonts w:hint="eastAsia" w:ascii="宋体" w:hAnsi="宋体" w:eastAsia="宋体" w:cs="宋体"/>
          <w:snapToGrid w:val="0"/>
          <w:color w:val="auto"/>
          <w:sz w:val="24"/>
          <w:szCs w:val="24"/>
          <w:highlight w:val="none"/>
          <w:lang w:val="zh-CN"/>
        </w:rPr>
        <w:t>在</w:t>
      </w:r>
      <w:r>
        <w:rPr>
          <w:rFonts w:hint="eastAsia" w:ascii="宋体" w:hAnsi="宋体" w:eastAsia="宋体" w:cs="宋体"/>
          <w:snapToGrid w:val="0"/>
          <w:color w:val="auto"/>
          <w:sz w:val="24"/>
          <w:szCs w:val="24"/>
          <w:highlight w:val="none"/>
          <w:lang w:val="en-US" w:eastAsia="zh-CN"/>
        </w:rPr>
        <w:t>响应</w:t>
      </w:r>
      <w:r>
        <w:rPr>
          <w:rFonts w:hint="eastAsia" w:ascii="宋体" w:hAnsi="宋体" w:eastAsia="宋体" w:cs="宋体"/>
          <w:snapToGrid w:val="0"/>
          <w:color w:val="auto"/>
          <w:sz w:val="24"/>
          <w:szCs w:val="24"/>
          <w:highlight w:val="none"/>
          <w:lang w:val="zh-CN" w:eastAsia="zh-CN"/>
        </w:rPr>
        <w:t>文件</w:t>
      </w:r>
      <w:r>
        <w:rPr>
          <w:rFonts w:hint="eastAsia" w:ascii="宋体" w:hAnsi="宋体" w:eastAsia="宋体" w:cs="宋体"/>
          <w:snapToGrid w:val="0"/>
          <w:color w:val="auto"/>
          <w:sz w:val="24"/>
          <w:szCs w:val="24"/>
          <w:highlight w:val="none"/>
          <w:lang w:val="zh-CN"/>
        </w:rPr>
        <w:t>递交截止时间前重新上传到兵团政府采购电子交易云平台的</w:t>
      </w:r>
      <w:r>
        <w:rPr>
          <w:rFonts w:hint="eastAsia" w:ascii="宋体" w:hAnsi="宋体" w:eastAsia="宋体" w:cs="宋体"/>
          <w:snapToGrid w:val="0"/>
          <w:color w:val="auto"/>
          <w:sz w:val="24"/>
          <w:szCs w:val="24"/>
          <w:highlight w:val="none"/>
          <w:lang w:val="zh-CN" w:eastAsia="zh-CN"/>
        </w:rPr>
        <w:t>指</w:t>
      </w:r>
      <w:r>
        <w:rPr>
          <w:rFonts w:hint="eastAsia" w:ascii="宋体" w:hAnsi="宋体" w:eastAsia="宋体" w:cs="宋体"/>
          <w:snapToGrid w:val="0"/>
          <w:color w:val="auto"/>
          <w:sz w:val="24"/>
          <w:szCs w:val="24"/>
          <w:highlight w:val="none"/>
          <w:lang w:val="zh-CN"/>
        </w:rPr>
        <w:t>定位置。</w:t>
      </w:r>
    </w:p>
    <w:bookmarkEnd w:id="285"/>
    <w:p w14:paraId="4F9C167F">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86" w:name="_Toc155185973"/>
      <w:bookmarkStart w:id="287" w:name="_Toc158888664"/>
      <w:bookmarkStart w:id="288" w:name="_Toc155185874"/>
      <w:r>
        <w:rPr>
          <w:rFonts w:hint="eastAsia" w:ascii="宋体" w:hAnsi="宋体" w:eastAsia="宋体" w:cs="宋体"/>
          <w:b/>
          <w:bCs/>
          <w:color w:val="auto"/>
          <w:kern w:val="2"/>
          <w:sz w:val="24"/>
          <w:szCs w:val="24"/>
          <w:highlight w:val="none"/>
          <w:lang w:val="en-US" w:eastAsia="zh-CN" w:bidi="ar-SA"/>
        </w:rPr>
        <w:t>22.实物样品</w:t>
      </w:r>
      <w:bookmarkEnd w:id="286"/>
      <w:bookmarkEnd w:id="287"/>
      <w:bookmarkEnd w:id="288"/>
    </w:p>
    <w:p w14:paraId="3015EA96">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22.1“供应商须知前附表”要求提供样品的，样品的具体要求及评审详见“第三章 </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采购需求”和“第</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章 评审</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3F3F84A5">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22.2样品退还：未成交的供应商应</w:t>
      </w:r>
      <w:r>
        <w:rPr>
          <w:rFonts w:hint="eastAsia" w:ascii="宋体" w:hAnsi="宋体" w:eastAsia="宋体" w:cs="宋体"/>
          <w:color w:val="auto"/>
          <w:sz w:val="24"/>
          <w:szCs w:val="24"/>
          <w:highlight w:val="none"/>
          <w:lang w:val="en-US" w:eastAsia="zh-CN"/>
        </w:rPr>
        <w:t>按照</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须知前附表”</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自行联系采购人取回递交样品；成交供应商的样品由采购人进行保管、封存，并作为履约验收的参考（竞争性磋商文件另有规定的从其规定）。</w:t>
      </w:r>
    </w:p>
    <w:p w14:paraId="56366B46">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89" w:name="_Toc155185875"/>
      <w:bookmarkStart w:id="290" w:name="_Toc158888665"/>
      <w:bookmarkStart w:id="291" w:name="_Toc155185974"/>
      <w:r>
        <w:rPr>
          <w:rFonts w:hint="eastAsia" w:ascii="宋体" w:hAnsi="宋体" w:eastAsia="宋体" w:cs="宋体"/>
          <w:b/>
          <w:bCs/>
          <w:color w:val="auto"/>
          <w:kern w:val="2"/>
          <w:sz w:val="24"/>
          <w:szCs w:val="24"/>
          <w:highlight w:val="none"/>
          <w:lang w:val="en-US" w:eastAsia="zh-CN" w:bidi="ar-SA"/>
        </w:rPr>
        <w:t>23.项目演示</w:t>
      </w:r>
      <w:bookmarkEnd w:id="289"/>
      <w:bookmarkEnd w:id="290"/>
      <w:bookmarkEnd w:id="291"/>
    </w:p>
    <w:p w14:paraId="3C48391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23.1要求供应商进行演示的，演示要求详见“供应商须知前附表”。</w:t>
      </w:r>
    </w:p>
    <w:p w14:paraId="22102C81">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23.2演示的评审详见“第三章 </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采购需求”和“第四章 评审</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6B46A24D">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92" w:name="_Toc163493615"/>
      <w:bookmarkStart w:id="293" w:name="_Toc5181"/>
      <w:bookmarkStart w:id="294" w:name="_Toc2503"/>
      <w:bookmarkStart w:id="295" w:name="_Toc470172689"/>
      <w:bookmarkStart w:id="296" w:name="_Toc46771664"/>
      <w:bookmarkStart w:id="297" w:name="_Toc109900395"/>
      <w:bookmarkStart w:id="298" w:name="_Toc109899976"/>
      <w:bookmarkStart w:id="299" w:name="_Toc109899557"/>
      <w:bookmarkStart w:id="300" w:name="_Toc109897458"/>
      <w:r>
        <w:rPr>
          <w:rFonts w:hint="eastAsia" w:ascii="宋体" w:hAnsi="宋体" w:eastAsia="宋体" w:cs="宋体"/>
          <w:b/>
          <w:bCs/>
          <w:color w:val="auto"/>
          <w:kern w:val="2"/>
          <w:sz w:val="24"/>
          <w:szCs w:val="24"/>
          <w:highlight w:val="none"/>
          <w:lang w:val="en-US" w:eastAsia="zh-CN" w:bidi="ar-SA"/>
        </w:rPr>
        <w:t>（五）</w:t>
      </w:r>
      <w:bookmarkEnd w:id="292"/>
      <w:r>
        <w:rPr>
          <w:rFonts w:hint="eastAsia" w:ascii="宋体" w:hAnsi="宋体" w:eastAsia="宋体" w:cs="宋体"/>
          <w:b/>
          <w:bCs/>
          <w:color w:val="auto"/>
          <w:kern w:val="2"/>
          <w:sz w:val="24"/>
          <w:szCs w:val="24"/>
          <w:highlight w:val="none"/>
          <w:lang w:val="en-US" w:eastAsia="zh-CN" w:bidi="ar-SA"/>
        </w:rPr>
        <w:t>响应文件开启</w:t>
      </w:r>
      <w:bookmarkEnd w:id="293"/>
      <w:bookmarkEnd w:id="294"/>
    </w:p>
    <w:p w14:paraId="750D725B">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01" w:name="_Hlk161704700"/>
      <w:r>
        <w:rPr>
          <w:rFonts w:hint="eastAsia" w:ascii="宋体" w:hAnsi="宋体" w:eastAsia="宋体" w:cs="宋体"/>
          <w:b/>
          <w:bCs/>
          <w:color w:val="auto"/>
          <w:kern w:val="2"/>
          <w:sz w:val="24"/>
          <w:szCs w:val="24"/>
          <w:highlight w:val="none"/>
          <w:lang w:val="en-US" w:eastAsia="zh-CN" w:bidi="ar-SA"/>
        </w:rPr>
        <w:t>24.响应文件开启</w:t>
      </w:r>
    </w:p>
    <w:p w14:paraId="30320CCC">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bCs/>
          <w:color w:val="auto"/>
          <w:sz w:val="24"/>
          <w:szCs w:val="24"/>
          <w:highlight w:val="none"/>
        </w:rPr>
      </w:pPr>
      <w:bookmarkStart w:id="302" w:name="_Toc140132781"/>
      <w:r>
        <w:rPr>
          <w:rFonts w:hint="eastAsia" w:ascii="宋体" w:hAnsi="宋体" w:eastAsia="宋体" w:cs="宋体"/>
          <w:color w:val="auto"/>
          <w:sz w:val="24"/>
          <w:szCs w:val="24"/>
          <w:highlight w:val="none"/>
        </w:rPr>
        <w:t>24.1供应商应按照“</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color w:val="auto"/>
          <w:sz w:val="24"/>
          <w:szCs w:val="24"/>
          <w:highlight w:val="none"/>
        </w:rPr>
        <w:t>”中的要求参与开启。</w:t>
      </w:r>
      <w:bookmarkEnd w:id="302"/>
    </w:p>
    <w:p w14:paraId="44C062A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03" w:name="_Toc161600316"/>
      <w:bookmarkStart w:id="304" w:name="_Toc140132782"/>
      <w:r>
        <w:rPr>
          <w:rFonts w:hint="eastAsia" w:ascii="宋体" w:hAnsi="宋体" w:eastAsia="宋体" w:cs="宋体"/>
          <w:b/>
          <w:bCs/>
          <w:color w:val="auto"/>
          <w:kern w:val="2"/>
          <w:sz w:val="24"/>
          <w:szCs w:val="24"/>
          <w:highlight w:val="none"/>
          <w:lang w:val="en-US" w:eastAsia="zh-CN" w:bidi="ar-SA"/>
        </w:rPr>
        <w:t>25.开启时间和地点</w:t>
      </w:r>
      <w:bookmarkEnd w:id="303"/>
      <w:bookmarkEnd w:id="304"/>
    </w:p>
    <w:p w14:paraId="19FC62D6">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25.1开启时间和地点</w:t>
      </w:r>
    </w:p>
    <w:p w14:paraId="74263C6D">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响应文件截止时间前，供应商登录供应商客户端，</w:t>
      </w:r>
      <w:r>
        <w:rPr>
          <w:rFonts w:hint="eastAsia" w:ascii="宋体" w:hAnsi="宋体" w:eastAsia="宋体" w:cs="宋体"/>
          <w:snapToGrid w:val="0"/>
          <w:color w:val="auto"/>
          <w:sz w:val="24"/>
          <w:szCs w:val="24"/>
          <w:highlight w:val="none"/>
          <w:lang w:val="zh-CN"/>
        </w:rPr>
        <w:t>通过供应商客户端进入交易系统</w:t>
      </w:r>
      <w:r>
        <w:rPr>
          <w:rFonts w:hint="eastAsia" w:ascii="宋体" w:hAnsi="宋体" w:eastAsia="宋体" w:cs="宋体"/>
          <w:color w:val="auto"/>
          <w:sz w:val="24"/>
          <w:szCs w:val="24"/>
          <w:highlight w:val="none"/>
        </w:rPr>
        <w:t>“开标大厅”选择所投项目（或采购包）完成项目签到工作。</w:t>
      </w:r>
    </w:p>
    <w:p w14:paraId="485DC31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（2）在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第一章 竞争性磋商公告</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规</w:t>
      </w:r>
      <w:r>
        <w:rPr>
          <w:rFonts w:hint="eastAsia" w:ascii="宋体" w:hAnsi="宋体" w:eastAsia="宋体" w:cs="宋体"/>
          <w:color w:val="auto"/>
          <w:sz w:val="24"/>
          <w:szCs w:val="24"/>
          <w:highlight w:val="none"/>
          <w:lang w:val="zh-CN"/>
        </w:rPr>
        <w:t>定的</w:t>
      </w: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lang w:val="zh-CN"/>
        </w:rPr>
        <w:t>响应文件截止时间、开启时间及地点，采购代理机构通过</w:t>
      </w:r>
      <w:r>
        <w:rPr>
          <w:rFonts w:hint="eastAsia" w:ascii="宋体" w:hAnsi="宋体" w:eastAsia="宋体" w:cs="宋体"/>
          <w:color w:val="auto"/>
          <w:sz w:val="24"/>
          <w:szCs w:val="24"/>
          <w:highlight w:val="none"/>
          <w:lang w:val="zh-CN" w:eastAsia="zh-CN"/>
        </w:rPr>
        <w:t>兵团政府采购电子交易云平台</w:t>
      </w:r>
      <w:r>
        <w:rPr>
          <w:rFonts w:hint="eastAsia" w:ascii="宋体" w:hAnsi="宋体" w:eastAsia="宋体" w:cs="宋体"/>
          <w:color w:val="auto"/>
          <w:kern w:val="2"/>
          <w:sz w:val="24"/>
          <w:szCs w:val="24"/>
          <w:highlight w:val="none"/>
        </w:rPr>
        <w:t>的“政采云远程开标大厅”</w:t>
      </w:r>
      <w:r>
        <w:rPr>
          <w:rFonts w:hint="eastAsia" w:ascii="宋体" w:hAnsi="宋体" w:eastAsia="宋体" w:cs="宋体"/>
          <w:color w:val="auto"/>
          <w:sz w:val="24"/>
          <w:szCs w:val="24"/>
          <w:highlight w:val="none"/>
          <w:lang w:val="zh-CN"/>
        </w:rPr>
        <w:t>组织响应文件开启工作。</w:t>
      </w:r>
    </w:p>
    <w:p w14:paraId="66534CB4">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25.2响应文件开启：</w:t>
      </w: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响应文件截止时间到后，工作人员启动开始解密指令，供应商应当按照“供应商须知前附表”规定及时进行响应文件解密，完成响应文件开启工作。</w:t>
      </w:r>
    </w:p>
    <w:p w14:paraId="77684B06">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25.3规定的时间内，非因</w:t>
      </w:r>
      <w:r>
        <w:rPr>
          <w:rFonts w:hint="eastAsia" w:ascii="宋体" w:hAnsi="宋体" w:eastAsia="宋体" w:cs="宋体"/>
          <w:color w:val="auto"/>
          <w:sz w:val="24"/>
          <w:szCs w:val="24"/>
          <w:highlight w:val="none"/>
          <w:lang w:val="zh-CN" w:eastAsia="zh-CN"/>
        </w:rPr>
        <w:t>兵团政府采购电子交易云平台</w:t>
      </w:r>
      <w:r>
        <w:rPr>
          <w:rFonts w:hint="eastAsia" w:ascii="宋体" w:hAnsi="宋体" w:eastAsia="宋体" w:cs="宋体"/>
          <w:color w:val="auto"/>
          <w:sz w:val="24"/>
          <w:szCs w:val="24"/>
          <w:highlight w:val="none"/>
        </w:rPr>
        <w:t>原因造成响应文件未解密的，视为供应商撤回响应文件。停止解密后，已解密开启的响应文件不足3家的，应当终止采购活动。</w:t>
      </w:r>
    </w:p>
    <w:p w14:paraId="46075363">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25.4供应商或其授权代表对响应文件开启过程有疑义的，以及认为采购人、采购代理机构相关工作人员有需要回避的情形的，应在开</w:t>
      </w:r>
      <w:r>
        <w:rPr>
          <w:rFonts w:hint="eastAsia" w:ascii="宋体" w:hAnsi="宋体" w:eastAsia="宋体" w:cs="宋体"/>
          <w:color w:val="auto"/>
          <w:sz w:val="24"/>
          <w:szCs w:val="24"/>
          <w:highlight w:val="none"/>
          <w:lang w:val="en-US" w:eastAsia="zh-CN"/>
        </w:rPr>
        <w:t>启</w:t>
      </w:r>
      <w:r>
        <w:rPr>
          <w:rFonts w:hint="eastAsia" w:ascii="宋体" w:hAnsi="宋体" w:eastAsia="宋体" w:cs="宋体"/>
          <w:color w:val="auto"/>
          <w:sz w:val="24"/>
          <w:szCs w:val="24"/>
          <w:highlight w:val="none"/>
        </w:rPr>
        <w:t>会议中提出询问或者回避申请。采购人、采购代理机构对</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授权代表提出的询问或者回避申请应当及时处理。</w:t>
      </w:r>
    </w:p>
    <w:p w14:paraId="0486AA5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lang w:val="en-US" w:eastAsia="zh-CN"/>
        </w:rPr>
        <w:t>5供应商</w:t>
      </w:r>
      <w:r>
        <w:rPr>
          <w:rFonts w:hint="eastAsia" w:ascii="宋体" w:hAnsi="宋体" w:eastAsia="宋体" w:cs="宋体"/>
          <w:color w:val="auto"/>
          <w:sz w:val="24"/>
          <w:szCs w:val="24"/>
          <w:highlight w:val="none"/>
        </w:rPr>
        <w:t>未参加开</w:t>
      </w:r>
      <w:r>
        <w:rPr>
          <w:rFonts w:hint="eastAsia" w:ascii="宋体" w:hAnsi="宋体" w:eastAsia="宋体" w:cs="宋体"/>
          <w:color w:val="auto"/>
          <w:sz w:val="24"/>
          <w:szCs w:val="24"/>
          <w:highlight w:val="none"/>
          <w:lang w:val="en-US" w:eastAsia="zh-CN"/>
        </w:rPr>
        <w:t>启</w:t>
      </w:r>
      <w:r>
        <w:rPr>
          <w:rFonts w:hint="eastAsia" w:ascii="宋体" w:hAnsi="宋体" w:eastAsia="宋体" w:cs="宋体"/>
          <w:color w:val="auto"/>
          <w:sz w:val="24"/>
          <w:szCs w:val="24"/>
          <w:highlight w:val="none"/>
        </w:rPr>
        <w:t>的，视同认可开</w:t>
      </w:r>
      <w:r>
        <w:rPr>
          <w:rFonts w:hint="eastAsia" w:ascii="宋体" w:hAnsi="宋体" w:eastAsia="宋体" w:cs="宋体"/>
          <w:color w:val="auto"/>
          <w:sz w:val="24"/>
          <w:szCs w:val="24"/>
          <w:highlight w:val="none"/>
          <w:lang w:val="en-US" w:eastAsia="zh-CN"/>
        </w:rPr>
        <w:t>启</w:t>
      </w:r>
      <w:r>
        <w:rPr>
          <w:rFonts w:hint="eastAsia" w:ascii="宋体" w:hAnsi="宋体" w:eastAsia="宋体" w:cs="宋体"/>
          <w:color w:val="auto"/>
          <w:sz w:val="24"/>
          <w:szCs w:val="24"/>
          <w:highlight w:val="none"/>
        </w:rPr>
        <w:t>结果。</w:t>
      </w:r>
    </w:p>
    <w:bookmarkEnd w:id="295"/>
    <w:bookmarkEnd w:id="296"/>
    <w:bookmarkEnd w:id="297"/>
    <w:bookmarkEnd w:id="298"/>
    <w:bookmarkEnd w:id="299"/>
    <w:bookmarkEnd w:id="300"/>
    <w:bookmarkEnd w:id="301"/>
    <w:p w14:paraId="55D243EF">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05" w:name="_Toc155185877"/>
      <w:bookmarkStart w:id="306" w:name="_Toc163492854"/>
      <w:bookmarkStart w:id="307" w:name="_Toc140132785"/>
      <w:bookmarkStart w:id="308" w:name="_Toc16228"/>
      <w:bookmarkStart w:id="309" w:name="_Toc14805"/>
      <w:r>
        <w:rPr>
          <w:rFonts w:hint="eastAsia" w:ascii="宋体" w:hAnsi="宋体" w:eastAsia="宋体" w:cs="宋体"/>
          <w:b/>
          <w:bCs/>
          <w:color w:val="auto"/>
          <w:kern w:val="2"/>
          <w:sz w:val="24"/>
          <w:szCs w:val="24"/>
          <w:highlight w:val="none"/>
          <w:lang w:val="en-US" w:eastAsia="zh-CN" w:bidi="ar-SA"/>
        </w:rPr>
        <w:t>（六）资格审查</w:t>
      </w:r>
      <w:bookmarkEnd w:id="305"/>
      <w:bookmarkEnd w:id="306"/>
      <w:bookmarkEnd w:id="307"/>
      <w:bookmarkEnd w:id="308"/>
      <w:bookmarkEnd w:id="309"/>
    </w:p>
    <w:p w14:paraId="2C1B5FD6">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0" w:name="_Toc163492855"/>
      <w:r>
        <w:rPr>
          <w:rFonts w:hint="eastAsia" w:ascii="宋体" w:hAnsi="宋体" w:eastAsia="宋体" w:cs="宋体"/>
          <w:b/>
          <w:bCs/>
          <w:color w:val="auto"/>
          <w:kern w:val="2"/>
          <w:sz w:val="24"/>
          <w:szCs w:val="24"/>
          <w:highlight w:val="none"/>
          <w:lang w:val="en-US" w:eastAsia="zh-CN" w:bidi="ar-SA"/>
        </w:rPr>
        <w:t>26.资格审查及审查主体</w:t>
      </w:r>
      <w:bookmarkEnd w:id="310"/>
    </w:p>
    <w:p w14:paraId="3F6E8AD4">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bookmarkStart w:id="311" w:name="_Toc140132786"/>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.1开</w:t>
      </w:r>
      <w:r>
        <w:rPr>
          <w:rFonts w:hint="eastAsia" w:ascii="宋体" w:hAnsi="宋体" w:eastAsia="宋体" w:cs="宋体"/>
          <w:color w:val="auto"/>
          <w:sz w:val="24"/>
          <w:szCs w:val="24"/>
          <w:highlight w:val="none"/>
          <w:lang w:val="en-US" w:eastAsia="zh-CN"/>
        </w:rPr>
        <w:t>启</w:t>
      </w:r>
      <w:r>
        <w:rPr>
          <w:rFonts w:hint="eastAsia" w:ascii="宋体" w:hAnsi="宋体" w:eastAsia="宋体" w:cs="宋体"/>
          <w:color w:val="auto"/>
          <w:sz w:val="24"/>
          <w:szCs w:val="24"/>
          <w:highlight w:val="none"/>
        </w:rPr>
        <w:t>结束后，</w:t>
      </w:r>
      <w:r>
        <w:rPr>
          <w:rFonts w:hint="eastAsia" w:ascii="宋体" w:hAnsi="宋体" w:eastAsia="宋体" w:cs="宋体"/>
          <w:color w:val="auto"/>
          <w:sz w:val="24"/>
          <w:szCs w:val="24"/>
          <w:highlight w:val="none"/>
          <w:lang w:val="en-US" w:eastAsia="zh-CN"/>
        </w:rPr>
        <w:t>磋商小组</w:t>
      </w:r>
      <w:r>
        <w:rPr>
          <w:rFonts w:hint="eastAsia" w:ascii="宋体" w:hAnsi="宋体" w:eastAsia="宋体" w:cs="宋体"/>
          <w:color w:val="auto"/>
          <w:sz w:val="24"/>
          <w:szCs w:val="24"/>
          <w:highlight w:val="none"/>
        </w:rPr>
        <w:t>依据法律法规和本</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文件的规定，依法对</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资格进行审查，以确定</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是否具备</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资格。</w:t>
      </w:r>
      <w:bookmarkEnd w:id="311"/>
    </w:p>
    <w:p w14:paraId="6F7626D3">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bookmarkStart w:id="312" w:name="_Toc140132787"/>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.2资格审查按“第四章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snapToGrid w:val="0"/>
          <w:color w:val="auto"/>
          <w:sz w:val="24"/>
          <w:szCs w:val="24"/>
          <w:highlight w:val="none"/>
          <w:lang w:val="zh-CN"/>
        </w:rPr>
        <w:t>评审</w:t>
      </w:r>
      <w:r>
        <w:rPr>
          <w:rFonts w:hint="eastAsia" w:ascii="宋体" w:hAnsi="宋体" w:eastAsia="宋体" w:cs="宋体"/>
          <w:snapToGrid w:val="0"/>
          <w:color w:val="auto"/>
          <w:sz w:val="24"/>
          <w:szCs w:val="24"/>
          <w:highlight w:val="none"/>
          <w:lang w:val="en-US" w:eastAsia="zh-CN"/>
        </w:rPr>
        <w:t>方</w:t>
      </w:r>
      <w:r>
        <w:rPr>
          <w:rFonts w:hint="eastAsia" w:ascii="宋体" w:hAnsi="宋体" w:eastAsia="宋体" w:cs="宋体"/>
          <w:snapToGrid w:val="0"/>
          <w:color w:val="auto"/>
          <w:sz w:val="24"/>
          <w:szCs w:val="24"/>
          <w:highlight w:val="none"/>
          <w:lang w:val="zh-CN"/>
        </w:rPr>
        <w:t>法及标准</w:t>
      </w:r>
      <w:r>
        <w:rPr>
          <w:rFonts w:hint="eastAsia" w:ascii="宋体" w:hAnsi="宋体" w:eastAsia="宋体" w:cs="宋体"/>
          <w:color w:val="auto"/>
          <w:sz w:val="24"/>
          <w:szCs w:val="24"/>
          <w:highlight w:val="none"/>
        </w:rPr>
        <w:t>”的规定进行。</w:t>
      </w:r>
      <w:bookmarkEnd w:id="312"/>
    </w:p>
    <w:p w14:paraId="44D43B82">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bookmarkStart w:id="313" w:name="_Toc140132788"/>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.3资格审查结束后，应及时对资格审查结果进行复核，对资格审查错误进行及时纠正并记录。</w:t>
      </w:r>
      <w:bookmarkEnd w:id="313"/>
    </w:p>
    <w:p w14:paraId="272F167A">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26.4</w:t>
      </w:r>
      <w:r>
        <w:rPr>
          <w:rFonts w:hint="eastAsia" w:ascii="宋体" w:hAnsi="宋体" w:eastAsia="宋体" w:cs="宋体"/>
          <w:color w:val="auto"/>
          <w:sz w:val="24"/>
          <w:szCs w:val="24"/>
          <w:highlight w:val="none"/>
        </w:rPr>
        <w:t>资格审查合格</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不足3家的，不得评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w:t>
      </w:r>
    </w:p>
    <w:p w14:paraId="7A1F7D21">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4" w:name="_Toc163492856"/>
      <w:bookmarkStart w:id="315" w:name="_Toc140132789"/>
      <w:bookmarkStart w:id="316" w:name="_Toc155185878"/>
      <w:bookmarkStart w:id="317" w:name="_Toc23793"/>
      <w:bookmarkStart w:id="318" w:name="_Toc20210"/>
      <w:r>
        <w:rPr>
          <w:rFonts w:hint="eastAsia" w:ascii="宋体" w:hAnsi="宋体" w:eastAsia="宋体" w:cs="宋体"/>
          <w:b/>
          <w:bCs/>
          <w:color w:val="auto"/>
          <w:kern w:val="2"/>
          <w:sz w:val="24"/>
          <w:szCs w:val="24"/>
          <w:highlight w:val="none"/>
          <w:lang w:val="en-US" w:eastAsia="zh-CN" w:bidi="ar-SA"/>
        </w:rPr>
        <w:t>（七）项目评</w:t>
      </w:r>
      <w:bookmarkEnd w:id="314"/>
      <w:bookmarkEnd w:id="315"/>
      <w:bookmarkEnd w:id="316"/>
      <w:r>
        <w:rPr>
          <w:rFonts w:hint="eastAsia" w:ascii="宋体" w:hAnsi="宋体" w:eastAsia="宋体" w:cs="宋体"/>
          <w:b/>
          <w:bCs/>
          <w:color w:val="auto"/>
          <w:kern w:val="2"/>
          <w:sz w:val="24"/>
          <w:szCs w:val="24"/>
          <w:highlight w:val="none"/>
          <w:lang w:val="en-US" w:eastAsia="zh-CN" w:bidi="ar-SA"/>
        </w:rPr>
        <w:t>审</w:t>
      </w:r>
      <w:bookmarkEnd w:id="317"/>
      <w:bookmarkEnd w:id="318"/>
    </w:p>
    <w:p w14:paraId="4C04DF4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27.评审方法、程序及标准</w:t>
      </w:r>
    </w:p>
    <w:p w14:paraId="0B5D7D8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zh-CN"/>
        </w:rPr>
        <w:t>2</w:t>
      </w:r>
      <w:r>
        <w:rPr>
          <w:rFonts w:hint="eastAsia" w:ascii="宋体" w:hAnsi="宋体" w:eastAsia="宋体" w:cs="宋体"/>
          <w:snapToGrid w:val="0"/>
          <w:color w:val="auto"/>
          <w:sz w:val="24"/>
          <w:szCs w:val="24"/>
          <w:highlight w:val="none"/>
          <w:lang w:val="en-US" w:eastAsia="zh-CN"/>
        </w:rPr>
        <w:t>7</w:t>
      </w:r>
      <w:r>
        <w:rPr>
          <w:rFonts w:hint="eastAsia" w:ascii="宋体" w:hAnsi="宋体" w:eastAsia="宋体" w:cs="宋体"/>
          <w:snapToGrid w:val="0"/>
          <w:color w:val="auto"/>
          <w:sz w:val="24"/>
          <w:szCs w:val="24"/>
          <w:highlight w:val="none"/>
          <w:lang w:val="zh-CN"/>
        </w:rPr>
        <w:t>.1</w:t>
      </w:r>
      <w:r>
        <w:rPr>
          <w:rFonts w:hint="eastAsia" w:ascii="宋体" w:hAnsi="宋体" w:eastAsia="宋体" w:cs="宋体"/>
          <w:snapToGrid w:val="0"/>
          <w:color w:val="auto"/>
          <w:sz w:val="24"/>
          <w:szCs w:val="24"/>
          <w:highlight w:val="none"/>
          <w:lang w:val="en-US" w:eastAsia="zh-CN"/>
        </w:rPr>
        <w:t>评审方法：综合评分法。</w:t>
      </w:r>
    </w:p>
    <w:p w14:paraId="1D78CC98">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eastAsia="zh-CN"/>
        </w:rPr>
        <w:t>综合评分法，是指响应文件满足磋商文件全部实质性要求且按评审因素的量化指标评审得分最高的供应商为成交候选供应商的评审方法。</w:t>
      </w:r>
    </w:p>
    <w:p w14:paraId="51EDFC5F">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en-US" w:eastAsia="zh-CN"/>
        </w:rPr>
        <w:t>本</w:t>
      </w:r>
      <w:r>
        <w:rPr>
          <w:rFonts w:hint="eastAsia" w:ascii="宋体" w:hAnsi="宋体" w:eastAsia="宋体" w:cs="宋体"/>
          <w:snapToGrid w:val="0"/>
          <w:color w:val="auto"/>
          <w:sz w:val="24"/>
          <w:szCs w:val="24"/>
          <w:highlight w:val="none"/>
          <w:lang w:val="zh-CN"/>
        </w:rPr>
        <w:t>项目评审方法、程序及标准详见“第</w:t>
      </w:r>
      <w:r>
        <w:rPr>
          <w:rFonts w:hint="eastAsia" w:ascii="宋体" w:hAnsi="宋体" w:eastAsia="宋体" w:cs="宋体"/>
          <w:snapToGrid w:val="0"/>
          <w:color w:val="auto"/>
          <w:sz w:val="24"/>
          <w:szCs w:val="24"/>
          <w:highlight w:val="none"/>
          <w:lang w:val="en-US" w:eastAsia="zh-CN"/>
        </w:rPr>
        <w:t>四</w:t>
      </w:r>
      <w:r>
        <w:rPr>
          <w:rFonts w:hint="eastAsia" w:ascii="宋体" w:hAnsi="宋体" w:eastAsia="宋体" w:cs="宋体"/>
          <w:snapToGrid w:val="0"/>
          <w:color w:val="auto"/>
          <w:sz w:val="24"/>
          <w:szCs w:val="24"/>
          <w:highlight w:val="none"/>
          <w:lang w:val="zh-CN"/>
        </w:rPr>
        <w:t>章 评审</w:t>
      </w:r>
      <w:r>
        <w:rPr>
          <w:rFonts w:hint="eastAsia" w:ascii="宋体" w:hAnsi="宋体" w:eastAsia="宋体" w:cs="宋体"/>
          <w:snapToGrid w:val="0"/>
          <w:color w:val="auto"/>
          <w:sz w:val="24"/>
          <w:szCs w:val="24"/>
          <w:highlight w:val="none"/>
          <w:lang w:val="en-US" w:eastAsia="zh-CN"/>
        </w:rPr>
        <w:t>方</w:t>
      </w:r>
      <w:r>
        <w:rPr>
          <w:rFonts w:hint="eastAsia" w:ascii="宋体" w:hAnsi="宋体" w:eastAsia="宋体" w:cs="宋体"/>
          <w:snapToGrid w:val="0"/>
          <w:color w:val="auto"/>
          <w:sz w:val="24"/>
          <w:szCs w:val="24"/>
          <w:highlight w:val="none"/>
          <w:lang w:val="zh-CN"/>
        </w:rPr>
        <w:t>法及标准”。</w:t>
      </w:r>
    </w:p>
    <w:p w14:paraId="42E7A75C">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2</w:t>
      </w:r>
      <w:r>
        <w:rPr>
          <w:rFonts w:hint="eastAsia" w:ascii="宋体" w:hAnsi="宋体" w:eastAsia="宋体" w:cs="宋体"/>
          <w:snapToGrid w:val="0"/>
          <w:color w:val="auto"/>
          <w:sz w:val="24"/>
          <w:szCs w:val="24"/>
          <w:highlight w:val="none"/>
          <w:lang w:val="en-US" w:eastAsia="zh-CN"/>
        </w:rPr>
        <w:t>7</w:t>
      </w:r>
      <w:r>
        <w:rPr>
          <w:rFonts w:hint="eastAsia" w:ascii="宋体" w:hAnsi="宋体" w:eastAsia="宋体" w:cs="宋体"/>
          <w:snapToGrid w:val="0"/>
          <w:color w:val="auto"/>
          <w:sz w:val="24"/>
          <w:szCs w:val="24"/>
          <w:highlight w:val="none"/>
          <w:lang w:val="zh-CN"/>
        </w:rPr>
        <w:t>.2磋商准备：供应商应当按照“</w:t>
      </w:r>
      <w:r>
        <w:rPr>
          <w:rFonts w:hint="eastAsia" w:ascii="宋体" w:hAnsi="宋体" w:eastAsia="宋体" w:cs="宋体"/>
          <w:snapToGrid w:val="0"/>
          <w:color w:val="auto"/>
          <w:sz w:val="24"/>
          <w:szCs w:val="24"/>
          <w:highlight w:val="none"/>
          <w:lang w:val="zh-CN" w:eastAsia="zh-CN"/>
        </w:rPr>
        <w:t>第</w:t>
      </w:r>
      <w:r>
        <w:rPr>
          <w:rFonts w:hint="eastAsia" w:ascii="宋体" w:hAnsi="宋体" w:eastAsia="宋体" w:cs="宋体"/>
          <w:snapToGrid w:val="0"/>
          <w:color w:val="auto"/>
          <w:sz w:val="24"/>
          <w:szCs w:val="24"/>
          <w:highlight w:val="none"/>
          <w:lang w:val="en-US" w:eastAsia="zh-CN"/>
        </w:rPr>
        <w:t>二</w:t>
      </w:r>
      <w:r>
        <w:rPr>
          <w:rFonts w:hint="eastAsia" w:ascii="宋体" w:hAnsi="宋体" w:eastAsia="宋体" w:cs="宋体"/>
          <w:snapToGrid w:val="0"/>
          <w:color w:val="auto"/>
          <w:sz w:val="24"/>
          <w:szCs w:val="24"/>
          <w:highlight w:val="none"/>
          <w:lang w:val="zh-CN" w:eastAsia="zh-CN"/>
        </w:rPr>
        <w:t xml:space="preserve">章 </w:t>
      </w:r>
      <w:r>
        <w:rPr>
          <w:rFonts w:hint="eastAsia" w:ascii="宋体" w:hAnsi="宋体" w:eastAsia="宋体" w:cs="宋体"/>
          <w:snapToGrid w:val="0"/>
          <w:color w:val="auto"/>
          <w:sz w:val="24"/>
          <w:szCs w:val="24"/>
          <w:highlight w:val="none"/>
          <w:lang w:val="en-US" w:eastAsia="zh-CN"/>
        </w:rPr>
        <w:t>供应商须知</w:t>
      </w:r>
      <w:r>
        <w:rPr>
          <w:rFonts w:hint="eastAsia" w:ascii="宋体" w:hAnsi="宋体" w:eastAsia="宋体" w:cs="宋体"/>
          <w:snapToGrid w:val="0"/>
          <w:color w:val="auto"/>
          <w:sz w:val="24"/>
          <w:szCs w:val="24"/>
          <w:highlight w:val="none"/>
          <w:lang w:val="zh-CN"/>
        </w:rPr>
        <w:t>”</w:t>
      </w:r>
      <w:r>
        <w:rPr>
          <w:rFonts w:hint="eastAsia" w:ascii="宋体" w:hAnsi="宋体" w:eastAsia="宋体" w:cs="宋体"/>
          <w:snapToGrid w:val="0"/>
          <w:color w:val="auto"/>
          <w:sz w:val="24"/>
          <w:szCs w:val="24"/>
          <w:highlight w:val="none"/>
          <w:lang w:val="en-US" w:eastAsia="zh-CN"/>
        </w:rPr>
        <w:t>的</w:t>
      </w:r>
      <w:r>
        <w:rPr>
          <w:rFonts w:hint="eastAsia" w:ascii="宋体" w:hAnsi="宋体" w:eastAsia="宋体" w:cs="宋体"/>
          <w:snapToGrid w:val="0"/>
          <w:color w:val="auto"/>
          <w:sz w:val="24"/>
          <w:szCs w:val="24"/>
          <w:highlight w:val="none"/>
          <w:lang w:val="zh-CN"/>
        </w:rPr>
        <w:t>要求提前准备好磋商所需的设备，确保设备稳定可靠、互联网畅通。</w:t>
      </w:r>
      <w:r>
        <w:rPr>
          <w:rFonts w:hint="eastAsia" w:ascii="宋体" w:hAnsi="宋体" w:eastAsia="宋体" w:cs="宋体"/>
          <w:color w:val="auto"/>
          <w:sz w:val="24"/>
          <w:szCs w:val="24"/>
          <w:highlight w:val="none"/>
        </w:rPr>
        <w:t>供应商登录供应商客户端，</w:t>
      </w:r>
      <w:r>
        <w:rPr>
          <w:rFonts w:hint="eastAsia" w:ascii="宋体" w:hAnsi="宋体" w:eastAsia="宋体" w:cs="宋体"/>
          <w:snapToGrid w:val="0"/>
          <w:color w:val="auto"/>
          <w:sz w:val="24"/>
          <w:szCs w:val="24"/>
          <w:highlight w:val="none"/>
          <w:lang w:val="zh-CN"/>
        </w:rPr>
        <w:t>通过供应商客户端进入交易系统“</w:t>
      </w:r>
      <w:r>
        <w:rPr>
          <w:rFonts w:hint="eastAsia" w:ascii="宋体" w:hAnsi="宋体" w:eastAsia="宋体" w:cs="宋体"/>
          <w:snapToGrid w:val="0"/>
          <w:color w:val="auto"/>
          <w:sz w:val="24"/>
          <w:szCs w:val="24"/>
          <w:highlight w:val="none"/>
          <w:lang w:val="en-US" w:eastAsia="zh-CN"/>
        </w:rPr>
        <w:t>开</w:t>
      </w:r>
      <w:r>
        <w:rPr>
          <w:rFonts w:hint="eastAsia" w:ascii="宋体" w:hAnsi="宋体" w:eastAsia="宋体" w:cs="宋体"/>
          <w:snapToGrid w:val="0"/>
          <w:color w:val="auto"/>
          <w:sz w:val="24"/>
          <w:szCs w:val="24"/>
          <w:highlight w:val="none"/>
          <w:lang w:val="zh-CN"/>
        </w:rPr>
        <w:t>标大厅”，准时参加在线磋商，按照工作人员提示进行相关操作。未按上述要求进行的，导致的后果由供应商自行承担。</w:t>
      </w:r>
    </w:p>
    <w:p w14:paraId="21D93F4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9" w:name="_Toc140132790"/>
      <w:bookmarkStart w:id="320" w:name="_Toc163492857"/>
      <w:r>
        <w:rPr>
          <w:rFonts w:hint="eastAsia" w:ascii="宋体" w:hAnsi="宋体" w:eastAsia="宋体" w:cs="宋体"/>
          <w:b/>
          <w:bCs/>
          <w:color w:val="auto"/>
          <w:kern w:val="2"/>
          <w:sz w:val="24"/>
          <w:szCs w:val="24"/>
          <w:highlight w:val="none"/>
          <w:lang w:val="en-US" w:eastAsia="zh-CN" w:bidi="ar-SA"/>
        </w:rPr>
        <w:t>28.</w:t>
      </w:r>
      <w:bookmarkEnd w:id="319"/>
      <w:bookmarkEnd w:id="320"/>
      <w:r>
        <w:rPr>
          <w:rFonts w:hint="eastAsia" w:ascii="宋体" w:hAnsi="宋体" w:eastAsia="宋体" w:cs="宋体"/>
          <w:b/>
          <w:bCs/>
          <w:color w:val="auto"/>
          <w:kern w:val="2"/>
          <w:sz w:val="24"/>
          <w:szCs w:val="24"/>
          <w:highlight w:val="none"/>
          <w:lang w:val="en-US" w:eastAsia="zh-CN" w:bidi="ar-SA"/>
        </w:rPr>
        <w:t>磋商小组</w:t>
      </w:r>
    </w:p>
    <w:p w14:paraId="6C1089B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 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301CAD8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 磋商小组成员有下列情形之一的，应当回避：</w:t>
      </w:r>
    </w:p>
    <w:p w14:paraId="0656ACE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（1）参加采购活动前3年内与</w:t>
      </w:r>
      <w:r>
        <w:rPr>
          <w:rFonts w:hint="eastAsia" w:ascii="宋体" w:hAnsi="宋体" w:eastAsia="宋体" w:cs="宋体"/>
          <w:color w:val="auto"/>
          <w:sz w:val="24"/>
          <w:szCs w:val="24"/>
          <w:highlight w:val="none"/>
          <w:lang w:val="en-US" w:eastAsia="zh-CN"/>
        </w:rPr>
        <w:t>磋商供应商</w:t>
      </w:r>
      <w:r>
        <w:rPr>
          <w:rFonts w:hint="eastAsia" w:ascii="宋体" w:hAnsi="宋体" w:eastAsia="宋体" w:cs="宋体"/>
          <w:color w:val="auto"/>
          <w:sz w:val="24"/>
          <w:szCs w:val="24"/>
          <w:highlight w:val="none"/>
        </w:rPr>
        <w:t>存在劳动关系；</w:t>
      </w:r>
    </w:p>
    <w:p w14:paraId="55B6A1B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（2）参加采购活动前3年内担任</w:t>
      </w:r>
      <w:r>
        <w:rPr>
          <w:rFonts w:hint="eastAsia" w:ascii="宋体" w:hAnsi="宋体" w:eastAsia="宋体" w:cs="宋体"/>
          <w:color w:val="auto"/>
          <w:sz w:val="24"/>
          <w:szCs w:val="24"/>
          <w:highlight w:val="none"/>
          <w:lang w:val="en-US" w:eastAsia="zh-CN"/>
        </w:rPr>
        <w:t>磋商供应商</w:t>
      </w:r>
      <w:r>
        <w:rPr>
          <w:rFonts w:hint="eastAsia" w:ascii="宋体" w:hAnsi="宋体" w:eastAsia="宋体" w:cs="宋体"/>
          <w:color w:val="auto"/>
          <w:sz w:val="24"/>
          <w:szCs w:val="24"/>
          <w:highlight w:val="none"/>
        </w:rPr>
        <w:t>的董事、监事；</w:t>
      </w:r>
    </w:p>
    <w:p w14:paraId="61A1D2B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（3）参加采购活动前3年内是</w:t>
      </w:r>
      <w:r>
        <w:rPr>
          <w:rFonts w:hint="eastAsia" w:ascii="宋体" w:hAnsi="宋体" w:eastAsia="宋体" w:cs="宋体"/>
          <w:color w:val="auto"/>
          <w:sz w:val="24"/>
          <w:szCs w:val="24"/>
          <w:highlight w:val="none"/>
          <w:lang w:val="en-US" w:eastAsia="zh-CN"/>
        </w:rPr>
        <w:t>磋商供应商</w:t>
      </w:r>
      <w:r>
        <w:rPr>
          <w:rFonts w:hint="eastAsia" w:ascii="宋体" w:hAnsi="宋体" w:eastAsia="宋体" w:cs="宋体"/>
          <w:color w:val="auto"/>
          <w:sz w:val="24"/>
          <w:szCs w:val="24"/>
          <w:highlight w:val="none"/>
        </w:rPr>
        <w:t>的控股股东或者实际控制人；</w:t>
      </w:r>
    </w:p>
    <w:p w14:paraId="2961D58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（4）与</w:t>
      </w:r>
      <w:r>
        <w:rPr>
          <w:rFonts w:hint="eastAsia" w:ascii="宋体" w:hAnsi="宋体" w:eastAsia="宋体" w:cs="宋体"/>
          <w:color w:val="auto"/>
          <w:sz w:val="24"/>
          <w:szCs w:val="24"/>
          <w:highlight w:val="none"/>
          <w:lang w:val="en-US" w:eastAsia="zh-CN"/>
        </w:rPr>
        <w:t>磋商供应商</w:t>
      </w:r>
      <w:r>
        <w:rPr>
          <w:rFonts w:hint="eastAsia" w:ascii="宋体" w:hAnsi="宋体" w:eastAsia="宋体" w:cs="宋体"/>
          <w:color w:val="auto"/>
          <w:sz w:val="24"/>
          <w:szCs w:val="24"/>
          <w:highlight w:val="none"/>
        </w:rPr>
        <w:t>的法定代表人或者负责人有夫妻、直系血亲、三代以内旁系血亲或者近姻亲关系；</w:t>
      </w:r>
    </w:p>
    <w:p w14:paraId="20FB9B7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（5）与</w:t>
      </w:r>
      <w:r>
        <w:rPr>
          <w:rFonts w:hint="eastAsia" w:ascii="宋体" w:hAnsi="宋体" w:eastAsia="宋体" w:cs="宋体"/>
          <w:color w:val="auto"/>
          <w:sz w:val="24"/>
          <w:szCs w:val="24"/>
          <w:highlight w:val="none"/>
          <w:lang w:val="en-US" w:eastAsia="zh-CN"/>
        </w:rPr>
        <w:t>磋商供应商</w:t>
      </w:r>
      <w:r>
        <w:rPr>
          <w:rFonts w:hint="eastAsia" w:ascii="宋体" w:hAnsi="宋体" w:eastAsia="宋体" w:cs="宋体"/>
          <w:color w:val="auto"/>
          <w:sz w:val="24"/>
          <w:szCs w:val="24"/>
          <w:highlight w:val="none"/>
        </w:rPr>
        <w:t>有其他可能影响采购活动公平、公正进行的关系。</w:t>
      </w:r>
    </w:p>
    <w:p w14:paraId="25BEA5A7">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21" w:name="_Toc163492858"/>
      <w:bookmarkStart w:id="322" w:name="_Toc140132791"/>
      <w:r>
        <w:rPr>
          <w:rFonts w:hint="eastAsia" w:ascii="宋体" w:hAnsi="宋体" w:eastAsia="宋体" w:cs="宋体"/>
          <w:b/>
          <w:bCs/>
          <w:color w:val="auto"/>
          <w:kern w:val="2"/>
          <w:sz w:val="24"/>
          <w:szCs w:val="24"/>
          <w:highlight w:val="none"/>
          <w:lang w:val="en-US" w:eastAsia="zh-CN" w:bidi="ar-SA"/>
        </w:rPr>
        <w:t>29.</w:t>
      </w:r>
      <w:bookmarkEnd w:id="321"/>
      <w:bookmarkEnd w:id="322"/>
      <w:r>
        <w:rPr>
          <w:rFonts w:hint="eastAsia" w:ascii="宋体" w:hAnsi="宋体" w:eastAsia="宋体" w:cs="宋体"/>
          <w:b/>
          <w:bCs/>
          <w:color w:val="auto"/>
          <w:kern w:val="2"/>
          <w:sz w:val="24"/>
          <w:szCs w:val="24"/>
          <w:highlight w:val="none"/>
          <w:lang w:val="en-US" w:eastAsia="zh-CN" w:bidi="ar-SA"/>
        </w:rPr>
        <w:t>评审</w:t>
      </w:r>
    </w:p>
    <w:p w14:paraId="418DE4C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1 </w:t>
      </w:r>
      <w:r>
        <w:rPr>
          <w:rFonts w:hint="eastAsia" w:ascii="宋体" w:hAnsi="宋体" w:eastAsia="宋体" w:cs="宋体"/>
          <w:color w:val="auto"/>
          <w:sz w:val="24"/>
          <w:szCs w:val="24"/>
          <w:highlight w:val="none"/>
        </w:rPr>
        <w:t>磋商小组按照“第</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方法及标准”</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规定对</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文件进行评审。“第</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方法及标准”没有规定的方法、评审因素和标准，不作为评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依据。</w:t>
      </w:r>
    </w:p>
    <w:p w14:paraId="1A9007D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2 </w:t>
      </w:r>
      <w:r>
        <w:rPr>
          <w:rFonts w:hint="eastAsia" w:ascii="宋体" w:hAnsi="宋体" w:eastAsia="宋体" w:cs="宋体"/>
          <w:color w:val="auto"/>
          <w:sz w:val="24"/>
          <w:szCs w:val="24"/>
          <w:highlight w:val="none"/>
        </w:rPr>
        <w:t>磋商小组按“</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须知前附表”规定的</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候选人数量在评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报告中向采购人推荐</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候选人。</w:t>
      </w:r>
    </w:p>
    <w:p w14:paraId="1E63454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29.3 开启之后，直到签订合同止，凡是属于审查、澄清、评价和比较磋商的有关资料以及确定成交意向等，均不得向供应商或者其他与评审无关的人员透露。</w:t>
      </w:r>
    </w:p>
    <w:p w14:paraId="57927CBE">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29.4 在确定成交人之前，供应商试图在响应文件审查、澄清、比较和评审时对</w:t>
      </w:r>
      <w:r>
        <w:rPr>
          <w:rFonts w:hint="eastAsia" w:ascii="宋体" w:hAnsi="宋体" w:eastAsia="宋体" w:cs="宋体"/>
          <w:color w:val="auto"/>
          <w:sz w:val="24"/>
          <w:szCs w:val="24"/>
          <w:highlight w:val="none"/>
        </w:rPr>
        <w:t>磋商小组</w:t>
      </w:r>
      <w:r>
        <w:rPr>
          <w:rFonts w:hint="eastAsia" w:ascii="宋体" w:hAnsi="宋体" w:eastAsia="宋体" w:cs="宋体"/>
          <w:color w:val="auto"/>
          <w:sz w:val="24"/>
          <w:szCs w:val="24"/>
          <w:highlight w:val="none"/>
          <w:lang w:val="en-US" w:eastAsia="zh-CN"/>
        </w:rPr>
        <w:t>、采购人和采购代理机构施加任何影响都可能导致其</w:t>
      </w:r>
      <w:r>
        <w:rPr>
          <w:rFonts w:hint="eastAsia" w:ascii="宋体" w:hAnsi="宋体" w:eastAsia="宋体" w:cs="宋体"/>
          <w:b/>
          <w:bCs/>
          <w:color w:val="auto"/>
          <w:sz w:val="24"/>
          <w:szCs w:val="24"/>
          <w:highlight w:val="none"/>
          <w:lang w:val="en-US" w:eastAsia="zh-CN"/>
        </w:rPr>
        <w:t>响应无效</w:t>
      </w:r>
      <w:r>
        <w:rPr>
          <w:rFonts w:hint="eastAsia" w:ascii="宋体" w:hAnsi="宋体" w:eastAsia="宋体" w:cs="宋体"/>
          <w:color w:val="auto"/>
          <w:sz w:val="24"/>
          <w:szCs w:val="24"/>
          <w:highlight w:val="none"/>
          <w:lang w:val="en-US" w:eastAsia="zh-CN"/>
        </w:rPr>
        <w:t>。</w:t>
      </w:r>
    </w:p>
    <w:p w14:paraId="32A32003">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29.5 电子招投标的应急措施</w:t>
      </w:r>
    </w:p>
    <w:p w14:paraId="52525CD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29.5.1电子开启、评审如出现下列原因，导致系统无法正常运行或无法正常评审时，应采取应急措施。</w:t>
      </w:r>
    </w:p>
    <w:p w14:paraId="3D99F56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（1）系统服务器发生故障，无法访问或无法使用系统；</w:t>
      </w:r>
    </w:p>
    <w:p w14:paraId="518B308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（2）系统的软件或数据库出现错误，不能进行正常操作；</w:t>
      </w:r>
    </w:p>
    <w:p w14:paraId="657BA7B3">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（3）系统发现有安全漏洞，有潜在的泄密危险；</w:t>
      </w:r>
    </w:p>
    <w:p w14:paraId="26B1539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（4）病毒发作或受到外来病毒的攻击；</w:t>
      </w:r>
    </w:p>
    <w:p w14:paraId="6BCA43D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（5）出现其他不可抗拒的客观原因造成开评标系统无法正常使用。</w:t>
      </w:r>
    </w:p>
    <w:p w14:paraId="2BA3CE0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出现上述情况时，应对未开启的暂停开启。已在系统内开启、评审的立即停止。采取应急措施时，必须对原有资料及信息作出妥善保密处理。</w:t>
      </w:r>
    </w:p>
    <w:p w14:paraId="791CC4F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29.5.2因系统原因导致供应商均无法解密电子响应文件时，采购代理机构可在开启现场直接导入供应商在递交响应文件截止时间前递交的未加密的电子响应文件进行开启、评审。</w:t>
      </w:r>
    </w:p>
    <w:p w14:paraId="28CD45E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 供应商瑕疵滞后发现的处理规则</w:t>
      </w:r>
    </w:p>
    <w:p w14:paraId="11E85EA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承担。</w:t>
      </w:r>
    </w:p>
    <w:p w14:paraId="5000462B">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23" w:name="_Toc109899982"/>
      <w:bookmarkStart w:id="324" w:name="_Toc109897464"/>
      <w:bookmarkStart w:id="325" w:name="_Toc9702"/>
      <w:bookmarkStart w:id="326" w:name="_Toc163493616"/>
      <w:bookmarkStart w:id="327" w:name="_Toc109899563"/>
      <w:bookmarkStart w:id="328" w:name="_Toc46771670"/>
      <w:bookmarkStart w:id="329" w:name="_Toc470172692"/>
      <w:bookmarkStart w:id="330" w:name="_Toc26698"/>
      <w:bookmarkStart w:id="331" w:name="_Toc109900401"/>
      <w:r>
        <w:rPr>
          <w:rFonts w:hint="eastAsia" w:ascii="宋体" w:hAnsi="宋体" w:eastAsia="宋体" w:cs="宋体"/>
          <w:b/>
          <w:bCs/>
          <w:color w:val="auto"/>
          <w:kern w:val="2"/>
          <w:sz w:val="24"/>
          <w:szCs w:val="24"/>
          <w:highlight w:val="none"/>
          <w:lang w:val="en-US" w:eastAsia="zh-CN" w:bidi="ar-SA"/>
        </w:rPr>
        <w:t>（八）成交</w:t>
      </w:r>
      <w:bookmarkEnd w:id="323"/>
      <w:bookmarkEnd w:id="324"/>
      <w:bookmarkEnd w:id="325"/>
      <w:bookmarkEnd w:id="326"/>
      <w:bookmarkEnd w:id="327"/>
      <w:bookmarkEnd w:id="328"/>
      <w:bookmarkEnd w:id="329"/>
      <w:bookmarkEnd w:id="330"/>
      <w:bookmarkEnd w:id="331"/>
    </w:p>
    <w:p w14:paraId="59C81E92">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32" w:name="_Toc52960584"/>
      <w:bookmarkStart w:id="333" w:name="_Toc52962758"/>
      <w:bookmarkStart w:id="334" w:name="_Toc109897465"/>
      <w:bookmarkStart w:id="335" w:name="_Toc48846140"/>
      <w:bookmarkStart w:id="336" w:name="_Toc109899564"/>
      <w:bookmarkStart w:id="337" w:name="_Toc46771671"/>
      <w:bookmarkStart w:id="338" w:name="_Toc46772272"/>
      <w:bookmarkStart w:id="339" w:name="_Toc48688820"/>
      <w:bookmarkStart w:id="340" w:name="_Toc109899983"/>
      <w:bookmarkStart w:id="341" w:name="_Toc51674242"/>
      <w:bookmarkStart w:id="342" w:name="_Toc109900402"/>
      <w:bookmarkStart w:id="343" w:name="_Hlk143533953"/>
      <w:r>
        <w:rPr>
          <w:rFonts w:hint="eastAsia" w:ascii="宋体" w:hAnsi="宋体" w:eastAsia="宋体" w:cs="宋体"/>
          <w:b/>
          <w:bCs/>
          <w:color w:val="auto"/>
          <w:kern w:val="2"/>
          <w:sz w:val="24"/>
          <w:szCs w:val="24"/>
          <w:highlight w:val="none"/>
          <w:lang w:val="en-US" w:eastAsia="zh-CN" w:bidi="ar-SA"/>
        </w:rPr>
        <w:t>30.确定成交供应商</w:t>
      </w:r>
      <w:bookmarkEnd w:id="332"/>
      <w:bookmarkEnd w:id="333"/>
      <w:bookmarkEnd w:id="334"/>
      <w:bookmarkEnd w:id="335"/>
      <w:bookmarkEnd w:id="336"/>
      <w:bookmarkEnd w:id="337"/>
      <w:bookmarkEnd w:id="338"/>
      <w:bookmarkEnd w:id="339"/>
      <w:bookmarkEnd w:id="340"/>
      <w:bookmarkEnd w:id="341"/>
      <w:bookmarkEnd w:id="342"/>
    </w:p>
    <w:p w14:paraId="2A96CF8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en-US" w:eastAsia="zh-CN"/>
        </w:rPr>
        <w:t>30</w:t>
      </w:r>
      <w:r>
        <w:rPr>
          <w:rFonts w:hint="eastAsia" w:ascii="宋体" w:hAnsi="宋体" w:eastAsia="宋体" w:cs="宋体"/>
          <w:snapToGrid w:val="0"/>
          <w:color w:val="auto"/>
          <w:sz w:val="24"/>
          <w:szCs w:val="24"/>
          <w:highlight w:val="none"/>
          <w:lang w:val="zh-CN"/>
        </w:rPr>
        <w:t>.1确定成交供应商详见“供应商须知前附表”。</w:t>
      </w:r>
    </w:p>
    <w:p w14:paraId="4B64349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31.成交结果公告</w:t>
      </w:r>
    </w:p>
    <w:p w14:paraId="32E98E3A">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bidi="ar"/>
        </w:rPr>
      </w:pPr>
      <w:r>
        <w:rPr>
          <w:rFonts w:hint="eastAsia" w:ascii="宋体" w:hAnsi="宋体" w:eastAsia="宋体" w:cs="宋体"/>
          <w:snapToGrid w:val="0"/>
          <w:color w:val="auto"/>
          <w:sz w:val="24"/>
          <w:szCs w:val="24"/>
          <w:highlight w:val="none"/>
          <w:lang w:val="en-US" w:eastAsia="zh-CN"/>
        </w:rPr>
        <w:t>31</w:t>
      </w:r>
      <w:r>
        <w:rPr>
          <w:rFonts w:hint="eastAsia" w:ascii="宋体" w:hAnsi="宋体" w:eastAsia="宋体" w:cs="宋体"/>
          <w:snapToGrid w:val="0"/>
          <w:color w:val="auto"/>
          <w:sz w:val="24"/>
          <w:szCs w:val="24"/>
          <w:highlight w:val="none"/>
          <w:lang w:val="zh-CN"/>
        </w:rPr>
        <w:t>.1</w:t>
      </w:r>
      <w:r>
        <w:rPr>
          <w:rFonts w:hint="eastAsia" w:ascii="宋体" w:hAnsi="宋体" w:eastAsia="宋体" w:cs="宋体"/>
          <w:color w:val="auto"/>
          <w:sz w:val="24"/>
          <w:szCs w:val="24"/>
          <w:highlight w:val="none"/>
          <w:lang w:bidi="ar"/>
        </w:rPr>
        <w:t>采购人或者采购代理机构应当在成交供应商确定后2个工作日内，在省级以上财政部门指定的政府采购信息发布媒体上公告成交结果，磋商文件</w:t>
      </w:r>
      <w:r>
        <w:rPr>
          <w:rFonts w:hint="eastAsia" w:ascii="宋体" w:hAnsi="宋体" w:eastAsia="宋体" w:cs="宋体"/>
          <w:color w:val="auto"/>
          <w:sz w:val="24"/>
          <w:szCs w:val="24"/>
          <w:highlight w:val="none"/>
          <w:lang w:eastAsia="zh-CN" w:bidi="ar"/>
        </w:rPr>
        <w:t>、</w:t>
      </w:r>
      <w:r>
        <w:rPr>
          <w:rFonts w:hint="eastAsia" w:ascii="宋体" w:hAnsi="宋体" w:eastAsia="宋体" w:cs="宋体"/>
          <w:bCs/>
          <w:color w:val="auto"/>
          <w:sz w:val="24"/>
          <w:szCs w:val="24"/>
          <w:highlight w:val="none"/>
          <w:lang w:eastAsia="zh-CN"/>
        </w:rPr>
        <w:t>成交</w:t>
      </w:r>
      <w:r>
        <w:rPr>
          <w:rFonts w:hint="eastAsia" w:ascii="宋体" w:hAnsi="宋体" w:eastAsia="宋体" w:cs="宋体"/>
          <w:bCs/>
          <w:color w:val="auto"/>
          <w:sz w:val="24"/>
          <w:szCs w:val="24"/>
          <w:highlight w:val="none"/>
          <w:lang w:val="en-US" w:eastAsia="zh-CN"/>
        </w:rPr>
        <w:t>供应商的评审总得分</w:t>
      </w:r>
      <w:r>
        <w:rPr>
          <w:rFonts w:hint="eastAsia" w:ascii="宋体" w:hAnsi="宋体" w:eastAsia="宋体" w:cs="宋体"/>
          <w:color w:val="auto"/>
          <w:sz w:val="24"/>
          <w:szCs w:val="24"/>
          <w:highlight w:val="none"/>
          <w:lang w:bidi="ar"/>
        </w:rPr>
        <w:t>随成交结果同时公告。</w:t>
      </w:r>
    </w:p>
    <w:p w14:paraId="5352A1F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成交</w:t>
      </w:r>
      <w:r>
        <w:rPr>
          <w:rFonts w:hint="eastAsia" w:ascii="宋体" w:hAnsi="宋体" w:eastAsia="宋体" w:cs="宋体"/>
          <w:bCs/>
          <w:color w:val="auto"/>
          <w:sz w:val="24"/>
          <w:szCs w:val="24"/>
          <w:highlight w:val="none"/>
          <w:lang w:val="en-US" w:eastAsia="zh-CN"/>
        </w:rPr>
        <w:t>人</w:t>
      </w:r>
      <w:r>
        <w:rPr>
          <w:rFonts w:hint="eastAsia" w:ascii="宋体" w:hAnsi="宋体" w:eastAsia="宋体" w:cs="宋体"/>
          <w:bCs/>
          <w:color w:val="auto"/>
          <w:sz w:val="24"/>
          <w:szCs w:val="24"/>
          <w:highlight w:val="none"/>
          <w:lang w:eastAsia="zh-CN"/>
        </w:rPr>
        <w:t>为中小企业</w:t>
      </w:r>
      <w:r>
        <w:rPr>
          <w:rFonts w:hint="eastAsia" w:ascii="宋体" w:hAnsi="宋体" w:eastAsia="宋体" w:cs="宋体"/>
          <w:bCs/>
          <w:color w:val="auto"/>
          <w:sz w:val="24"/>
          <w:szCs w:val="24"/>
          <w:highlight w:val="none"/>
          <w:lang w:val="en-US" w:eastAsia="zh-CN"/>
        </w:rPr>
        <w:t>享受中小企业扶持政策的</w:t>
      </w:r>
      <w:r>
        <w:rPr>
          <w:rFonts w:hint="eastAsia" w:ascii="宋体" w:hAnsi="宋体" w:eastAsia="宋体" w:cs="宋体"/>
          <w:bCs/>
          <w:color w:val="auto"/>
          <w:sz w:val="24"/>
          <w:szCs w:val="24"/>
          <w:highlight w:val="none"/>
          <w:lang w:eastAsia="zh-CN"/>
        </w:rPr>
        <w:t>，其“中小企业声明函”随成交结果同时公告。成交</w:t>
      </w:r>
      <w:r>
        <w:rPr>
          <w:rFonts w:hint="eastAsia" w:ascii="宋体" w:hAnsi="宋体" w:eastAsia="宋体" w:cs="宋体"/>
          <w:bCs/>
          <w:color w:val="auto"/>
          <w:sz w:val="24"/>
          <w:szCs w:val="24"/>
          <w:highlight w:val="none"/>
          <w:lang w:val="en-US" w:eastAsia="zh-CN"/>
        </w:rPr>
        <w:t>人</w:t>
      </w:r>
      <w:r>
        <w:rPr>
          <w:rFonts w:hint="eastAsia" w:ascii="宋体" w:hAnsi="宋体" w:eastAsia="宋体" w:cs="宋体"/>
          <w:bCs/>
          <w:color w:val="auto"/>
          <w:sz w:val="24"/>
          <w:szCs w:val="24"/>
          <w:highlight w:val="none"/>
          <w:lang w:eastAsia="zh-CN"/>
        </w:rPr>
        <w:t>为残疾人福利性单位的，其“残疾人福利性单位声明函”随成交结果同时公告。</w:t>
      </w:r>
    </w:p>
    <w:p w14:paraId="4CB6B367">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32.成交通知书</w:t>
      </w:r>
    </w:p>
    <w:p w14:paraId="3F3AC502">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en-US" w:eastAsia="zh-CN"/>
        </w:rPr>
        <w:t>32</w:t>
      </w:r>
      <w:r>
        <w:rPr>
          <w:rFonts w:hint="eastAsia" w:ascii="宋体" w:hAnsi="宋体" w:eastAsia="宋体" w:cs="宋体"/>
          <w:snapToGrid w:val="0"/>
          <w:color w:val="auto"/>
          <w:sz w:val="24"/>
          <w:szCs w:val="24"/>
          <w:highlight w:val="none"/>
          <w:lang w:val="zh-CN"/>
        </w:rPr>
        <w:t>.1发布成交结果公告同时向成交供应商发出成交通知书。成交通知书是合同的组成部分,对成交供应商和采购人具有同等法律效力。</w:t>
      </w:r>
    </w:p>
    <w:p w14:paraId="3E2C2D81">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44" w:name="_Toc30890"/>
      <w:bookmarkStart w:id="345" w:name="_Toc10846"/>
      <w:bookmarkStart w:id="346" w:name="_Toc163493617"/>
      <w:r>
        <w:rPr>
          <w:rFonts w:hint="eastAsia" w:ascii="宋体" w:hAnsi="宋体" w:eastAsia="宋体" w:cs="宋体"/>
          <w:b/>
          <w:bCs/>
          <w:color w:val="auto"/>
          <w:kern w:val="2"/>
          <w:sz w:val="24"/>
          <w:szCs w:val="24"/>
          <w:highlight w:val="none"/>
          <w:lang w:val="en-US" w:eastAsia="zh-CN" w:bidi="ar-SA"/>
        </w:rPr>
        <w:t>（九）签订合同</w:t>
      </w:r>
      <w:bookmarkEnd w:id="344"/>
      <w:bookmarkEnd w:id="345"/>
      <w:bookmarkEnd w:id="346"/>
    </w:p>
    <w:p w14:paraId="6F871425">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47" w:name="_Toc46771672"/>
      <w:bookmarkStart w:id="348" w:name="_Toc51674243"/>
      <w:bookmarkStart w:id="349" w:name="_Toc109899565"/>
      <w:bookmarkStart w:id="350" w:name="_Toc52962759"/>
      <w:bookmarkStart w:id="351" w:name="_Toc109897466"/>
      <w:bookmarkStart w:id="352" w:name="_Toc48688821"/>
      <w:bookmarkStart w:id="353" w:name="_Toc109899984"/>
      <w:bookmarkStart w:id="354" w:name="_Toc46772273"/>
      <w:bookmarkStart w:id="355" w:name="_Toc48846141"/>
      <w:bookmarkStart w:id="356" w:name="_Toc109900403"/>
      <w:bookmarkStart w:id="357" w:name="_Toc52960585"/>
      <w:r>
        <w:rPr>
          <w:rFonts w:hint="eastAsia" w:ascii="宋体" w:hAnsi="宋体" w:eastAsia="宋体" w:cs="宋体"/>
          <w:b/>
          <w:bCs/>
          <w:color w:val="auto"/>
          <w:kern w:val="2"/>
          <w:sz w:val="24"/>
          <w:szCs w:val="24"/>
          <w:highlight w:val="none"/>
          <w:lang w:val="en-US" w:eastAsia="zh-CN" w:bidi="ar-SA"/>
        </w:rPr>
        <w:t>33.履约保证金</w:t>
      </w:r>
    </w:p>
    <w:p w14:paraId="2934878C">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.1在签订合同前，成交供应商应按“供应商须知前附表”规定的金额、担保形式和采购人认可的履约担保格式向采购人提交履约保证金。</w:t>
      </w:r>
    </w:p>
    <w:p w14:paraId="429BB4A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.2成交供应商不能按本章第3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.1项要求提交履约担保的，视为放弃成交，给采购人造成损失的，成交供应商还应当承担民事责任。</w:t>
      </w:r>
    </w:p>
    <w:p w14:paraId="2B0382DC">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34.签订合同</w:t>
      </w:r>
      <w:bookmarkEnd w:id="347"/>
      <w:bookmarkEnd w:id="348"/>
      <w:bookmarkEnd w:id="349"/>
      <w:bookmarkEnd w:id="350"/>
      <w:bookmarkEnd w:id="351"/>
      <w:bookmarkEnd w:id="352"/>
      <w:bookmarkEnd w:id="353"/>
      <w:bookmarkEnd w:id="354"/>
      <w:bookmarkEnd w:id="355"/>
      <w:bookmarkEnd w:id="356"/>
      <w:bookmarkEnd w:id="357"/>
    </w:p>
    <w:p w14:paraId="343B0C17">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zh-CN"/>
        </w:rPr>
        <w:t>3</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lang w:val="zh-CN"/>
        </w:rPr>
        <w:t>.1采购人与成交供应商应当在成交通知书发出之日起</w:t>
      </w:r>
      <w:r>
        <w:rPr>
          <w:rFonts w:hint="eastAsia" w:ascii="宋体" w:hAnsi="宋体" w:eastAsia="宋体" w:cs="宋体"/>
          <w:snapToGrid w:val="0"/>
          <w:color w:val="auto"/>
          <w:sz w:val="24"/>
          <w:szCs w:val="24"/>
          <w:highlight w:val="none"/>
          <w:lang w:val="en-US" w:eastAsia="zh-CN"/>
        </w:rPr>
        <w:t>25</w:t>
      </w:r>
      <w:r>
        <w:rPr>
          <w:rFonts w:hint="eastAsia" w:ascii="宋体" w:hAnsi="宋体" w:eastAsia="宋体" w:cs="宋体"/>
          <w:snapToGrid w:val="0"/>
          <w:color w:val="auto"/>
          <w:sz w:val="24"/>
          <w:szCs w:val="24"/>
          <w:highlight w:val="none"/>
          <w:lang w:val="zh-CN"/>
        </w:rPr>
        <w:t>日内，按照磋商文件确定的合同文本以及采购标的、规格型号、采购金额、采购数量、技术和服务要求等事项签订政府采购合同。</w:t>
      </w:r>
      <w:r>
        <w:rPr>
          <w:rFonts w:hint="eastAsia" w:ascii="宋体" w:hAnsi="宋体" w:eastAsia="宋体" w:cs="宋体"/>
          <w:color w:val="auto"/>
          <w:sz w:val="24"/>
          <w:szCs w:val="24"/>
          <w:highlight w:val="none"/>
        </w:rPr>
        <w:t>采购人因不可抗力原因迟延签订合同的，应当自不可抗力事由消除之日起7日内完成合同签订事宜。所签订的合同不得对</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文件和</w:t>
      </w:r>
      <w:r>
        <w:rPr>
          <w:rFonts w:hint="eastAsia" w:ascii="宋体" w:hAnsi="宋体" w:eastAsia="宋体" w:cs="宋体"/>
          <w:color w:val="auto"/>
          <w:sz w:val="24"/>
          <w:szCs w:val="24"/>
          <w:highlight w:val="none"/>
          <w:lang w:val="en-US" w:eastAsia="zh-CN"/>
        </w:rPr>
        <w:t>成交供应商响应</w:t>
      </w:r>
      <w:r>
        <w:rPr>
          <w:rFonts w:hint="eastAsia" w:ascii="宋体" w:hAnsi="宋体" w:eastAsia="宋体" w:cs="宋体"/>
          <w:color w:val="auto"/>
          <w:sz w:val="24"/>
          <w:szCs w:val="24"/>
          <w:highlight w:val="none"/>
        </w:rPr>
        <w:t>文件作实质性修改。</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人无正当理由拒签合同，给采购人造成损失的，</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人还应当承担民事责任。</w:t>
      </w:r>
    </w:p>
    <w:p w14:paraId="1C3196D6">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成交供应商拒绝签订政府采购合同的，采购人可以</w:t>
      </w:r>
      <w:r>
        <w:rPr>
          <w:rFonts w:hint="eastAsia" w:ascii="宋体" w:hAnsi="宋体" w:eastAsia="宋体" w:cs="宋体"/>
          <w:color w:val="auto"/>
          <w:sz w:val="24"/>
          <w:szCs w:val="24"/>
          <w:highlight w:val="none"/>
          <w:lang w:val="en-US" w:eastAsia="zh-CN"/>
        </w:rPr>
        <w:t>按照</w:t>
      </w:r>
      <w:r>
        <w:rPr>
          <w:rFonts w:hint="eastAsia" w:ascii="宋体" w:hAnsi="宋体" w:eastAsia="宋体" w:cs="宋体"/>
          <w:color w:val="auto"/>
          <w:sz w:val="24"/>
          <w:szCs w:val="24"/>
          <w:highlight w:val="none"/>
          <w:lang w:val="zh-CN"/>
        </w:rPr>
        <w:t>《政府采购竞争性磋商采购方式管理暂行办法》（财库〔2014〕214号）第二十八条第二款的规定确定其他供应商作为成交供应商并签订政府采购合同，也可以重新开展采购活动。拒绝签订政府采购合同的成交供应商不得参加对该项目重新开展的采购活动。</w:t>
      </w:r>
    </w:p>
    <w:p w14:paraId="28320F96">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.3</w:t>
      </w:r>
      <w:r>
        <w:rPr>
          <w:rFonts w:hint="eastAsia" w:ascii="宋体" w:hAnsi="宋体" w:eastAsia="宋体" w:cs="宋体"/>
          <w:color w:val="auto"/>
          <w:sz w:val="24"/>
          <w:szCs w:val="24"/>
          <w:highlight w:val="none"/>
        </w:rPr>
        <w:t>采购人和</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供应商不得向对方提出任何不合理的要求，作为签订合同的条件，双方不得私下订立背离合同实质性内容的协议。</w:t>
      </w:r>
    </w:p>
    <w:p w14:paraId="26D222D9">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34.4联合体成交的，联合体各方应当共同与采购人签订合同，就采购合同约定的事项向采购人承担连带责任。</w:t>
      </w:r>
    </w:p>
    <w:p w14:paraId="7F760399">
      <w:pPr>
        <w:pStyle w:val="33"/>
        <w:keepNext w:val="0"/>
        <w:keepLines w:val="0"/>
        <w:pageBreakBefore w:val="0"/>
        <w:widowControl w:val="0"/>
        <w:kinsoku/>
        <w:overflowPunct/>
        <w:topLinePunct w:val="0"/>
        <w:bidi w:val="0"/>
        <w:ind w:firstLine="48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34.5本项目的非主体、非关键性工作是否允许分包，见“供应商须知前附表”。</w:t>
      </w:r>
      <w:r>
        <w:rPr>
          <w:rFonts w:hint="eastAsia" w:ascii="宋体" w:hAnsi="宋体" w:eastAsia="宋体" w:cs="宋体"/>
          <w:color w:val="auto"/>
          <w:sz w:val="24"/>
          <w:szCs w:val="24"/>
          <w:highlight w:val="none"/>
        </w:rPr>
        <w:t>供应商未遵守竞争性磋商文件分包规定的，其</w:t>
      </w:r>
      <w:r>
        <w:rPr>
          <w:rFonts w:hint="eastAsia" w:ascii="宋体" w:hAnsi="宋体" w:eastAsia="宋体" w:cs="宋体"/>
          <w:b/>
          <w:bCs/>
          <w:color w:val="auto"/>
          <w:sz w:val="24"/>
          <w:szCs w:val="24"/>
          <w:highlight w:val="none"/>
        </w:rPr>
        <w:t>响应无效</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采购人允许采用分包方式履行合同的，成交供应商可以依法在成交后将成交项目的非主体、非关键性工作采取分包方式履行合同。政府采购合同分包履行的，应当在响应文件中载明分包承担主体，分包承担主体应当具备相应资质条件且不得再次分包，否则</w:t>
      </w:r>
      <w:r>
        <w:rPr>
          <w:rFonts w:hint="eastAsia" w:ascii="宋体" w:hAnsi="宋体" w:eastAsia="宋体" w:cs="宋体"/>
          <w:b/>
          <w:bCs/>
          <w:color w:val="auto"/>
          <w:sz w:val="24"/>
          <w:szCs w:val="24"/>
          <w:highlight w:val="none"/>
          <w:lang w:val="en-US" w:eastAsia="zh-CN"/>
        </w:rPr>
        <w:t>成交无效</w:t>
      </w:r>
      <w:r>
        <w:rPr>
          <w:rFonts w:hint="eastAsia" w:ascii="宋体" w:hAnsi="宋体" w:eastAsia="宋体" w:cs="宋体"/>
          <w:color w:val="auto"/>
          <w:sz w:val="24"/>
          <w:szCs w:val="24"/>
          <w:highlight w:val="none"/>
          <w:lang w:val="en-US" w:eastAsia="zh-CN"/>
        </w:rPr>
        <w:t>。成交供应商就采购项目和分包项目向采购人负责，分包供应商就分包项目承担责任。</w:t>
      </w:r>
      <w:r>
        <w:rPr>
          <w:rFonts w:hint="eastAsia" w:ascii="宋体" w:hAnsi="宋体" w:eastAsia="宋体" w:cs="宋体"/>
          <w:b/>
          <w:bCs/>
          <w:color w:val="auto"/>
          <w:sz w:val="24"/>
          <w:szCs w:val="24"/>
          <w:highlight w:val="none"/>
          <w:lang w:val="en-US" w:eastAsia="zh-CN"/>
        </w:rPr>
        <w:t>政府采购合同不能转包。</w:t>
      </w:r>
    </w:p>
    <w:p w14:paraId="0ABFD586">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采购合同履行中，采购人需追加与合同标的相同的</w:t>
      </w:r>
      <w:r>
        <w:rPr>
          <w:rFonts w:hint="eastAsia" w:ascii="宋体" w:hAnsi="宋体" w:eastAsia="宋体" w:cs="宋体"/>
          <w:color w:val="auto"/>
          <w:sz w:val="24"/>
          <w:szCs w:val="24"/>
          <w:highlight w:val="none"/>
          <w:lang w:val="en-US" w:eastAsia="zh-CN"/>
        </w:rPr>
        <w:t>货物、工程或者服务</w:t>
      </w:r>
      <w:r>
        <w:rPr>
          <w:rFonts w:hint="eastAsia" w:ascii="宋体" w:hAnsi="宋体" w:eastAsia="宋体" w:cs="宋体"/>
          <w:color w:val="auto"/>
          <w:sz w:val="24"/>
          <w:szCs w:val="24"/>
          <w:highlight w:val="none"/>
        </w:rPr>
        <w:t>的，在不改变合同其他条款的前提下，可以与成交供应商协商签订补充合同，但所有补充合同的采购金额不得超过原合同采购金额的百分之十。</w:t>
      </w:r>
    </w:p>
    <w:p w14:paraId="43E904D8">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34.7采购人应于签订合同之日起2个工作日内在政采云平台备案公示。</w:t>
      </w:r>
    </w:p>
    <w:bookmarkEnd w:id="343"/>
    <w:p w14:paraId="4252B45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58" w:name="_Toc109897467"/>
      <w:bookmarkStart w:id="359" w:name="_Toc46771673"/>
      <w:bookmarkStart w:id="360" w:name="_Toc21759"/>
      <w:bookmarkStart w:id="361" w:name="_Toc163493618"/>
      <w:bookmarkStart w:id="362" w:name="_Toc109900404"/>
      <w:bookmarkStart w:id="363" w:name="_Toc23643"/>
      <w:bookmarkStart w:id="364" w:name="_Toc109899566"/>
      <w:bookmarkStart w:id="365" w:name="_Toc109899985"/>
      <w:bookmarkStart w:id="366" w:name="_Toc470172693"/>
      <w:r>
        <w:rPr>
          <w:rFonts w:hint="eastAsia" w:ascii="宋体" w:hAnsi="宋体" w:eastAsia="宋体" w:cs="宋体"/>
          <w:b/>
          <w:bCs/>
          <w:color w:val="auto"/>
          <w:kern w:val="2"/>
          <w:sz w:val="24"/>
          <w:szCs w:val="24"/>
          <w:highlight w:val="none"/>
          <w:lang w:val="en-US" w:eastAsia="zh-CN" w:bidi="ar-SA"/>
        </w:rPr>
        <w:t>（十）质疑和投诉</w:t>
      </w:r>
      <w:bookmarkEnd w:id="358"/>
      <w:bookmarkEnd w:id="359"/>
      <w:bookmarkEnd w:id="360"/>
      <w:bookmarkEnd w:id="361"/>
      <w:bookmarkEnd w:id="362"/>
      <w:bookmarkEnd w:id="363"/>
      <w:bookmarkEnd w:id="364"/>
      <w:bookmarkEnd w:id="365"/>
    </w:p>
    <w:p w14:paraId="000ACFE7">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67" w:name="_Toc51674245"/>
      <w:bookmarkStart w:id="368" w:name="_Toc48688823"/>
      <w:bookmarkStart w:id="369" w:name="_Toc48846143"/>
      <w:bookmarkStart w:id="370" w:name="_Toc46772275"/>
      <w:bookmarkStart w:id="371" w:name="_Toc109897468"/>
      <w:bookmarkStart w:id="372" w:name="_Toc109900405"/>
      <w:bookmarkStart w:id="373" w:name="_Toc109899567"/>
      <w:bookmarkStart w:id="374" w:name="_Toc109899986"/>
      <w:bookmarkStart w:id="375" w:name="_Toc52960587"/>
      <w:bookmarkStart w:id="376" w:name="_Toc46771674"/>
      <w:bookmarkStart w:id="377" w:name="_Toc52962761"/>
      <w:r>
        <w:rPr>
          <w:rFonts w:hint="eastAsia" w:ascii="宋体" w:hAnsi="宋体" w:eastAsia="宋体" w:cs="宋体"/>
          <w:b/>
          <w:bCs/>
          <w:color w:val="auto"/>
          <w:kern w:val="2"/>
          <w:sz w:val="24"/>
          <w:szCs w:val="24"/>
          <w:highlight w:val="none"/>
          <w:lang w:val="en-US" w:eastAsia="zh-CN" w:bidi="ar-SA"/>
        </w:rPr>
        <w:t>35.质疑</w:t>
      </w:r>
      <w:bookmarkEnd w:id="367"/>
      <w:bookmarkEnd w:id="368"/>
      <w:bookmarkEnd w:id="369"/>
      <w:bookmarkEnd w:id="370"/>
      <w:bookmarkEnd w:id="371"/>
      <w:bookmarkEnd w:id="372"/>
      <w:bookmarkEnd w:id="373"/>
      <w:bookmarkEnd w:id="374"/>
      <w:bookmarkEnd w:id="375"/>
      <w:bookmarkEnd w:id="376"/>
      <w:bookmarkEnd w:id="377"/>
    </w:p>
    <w:p w14:paraId="097AA16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bookmarkStart w:id="378" w:name="_Toc48846144"/>
      <w:bookmarkStart w:id="379" w:name="_Toc48688824"/>
      <w:bookmarkStart w:id="380" w:name="_Toc109897469"/>
      <w:bookmarkStart w:id="381" w:name="_Toc46771675"/>
      <w:bookmarkStart w:id="382" w:name="_Toc109900406"/>
      <w:bookmarkStart w:id="383" w:name="_Toc109899568"/>
      <w:bookmarkStart w:id="384" w:name="_Toc52960588"/>
      <w:bookmarkStart w:id="385" w:name="_Toc46772276"/>
      <w:bookmarkStart w:id="386" w:name="_Toc109899987"/>
      <w:bookmarkStart w:id="387" w:name="_Toc52962762"/>
      <w:bookmarkStart w:id="388" w:name="_Toc51674246"/>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5</w:t>
      </w:r>
      <w:r>
        <w:rPr>
          <w:rFonts w:hint="eastAsia" w:ascii="宋体" w:hAnsi="宋体" w:eastAsia="宋体" w:cs="宋体"/>
          <w:color w:val="auto"/>
          <w:sz w:val="24"/>
          <w:szCs w:val="24"/>
          <w:highlight w:val="none"/>
        </w:rPr>
        <w:t>.1供应商认为</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w:t>
      </w:r>
      <w:r>
        <w:rPr>
          <w:rFonts w:hint="eastAsia" w:ascii="宋体" w:hAnsi="宋体" w:eastAsia="宋体" w:cs="宋体"/>
          <w:color w:val="auto"/>
          <w:sz w:val="24"/>
          <w:szCs w:val="24"/>
          <w:highlight w:val="none"/>
          <w:lang w:eastAsia="zh-CN"/>
        </w:rPr>
        <w:t>评审</w:t>
      </w:r>
      <w:r>
        <w:rPr>
          <w:rFonts w:hint="eastAsia" w:ascii="宋体" w:hAnsi="宋体" w:eastAsia="宋体" w:cs="宋体"/>
          <w:color w:val="auto"/>
          <w:sz w:val="24"/>
          <w:szCs w:val="24"/>
          <w:highlight w:val="none"/>
        </w:rPr>
        <w:t>过程、成交结果使自己的权益受到损害的，可以在知道或者应知其权益受到损害之日起7个工作日内，以书面形式向采购人、采购代理机构提出质疑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详见“供应商须知前附表”</w:t>
      </w:r>
      <w:r>
        <w:rPr>
          <w:rFonts w:hint="eastAsia" w:ascii="宋体" w:hAnsi="宋体" w:eastAsia="宋体" w:cs="宋体"/>
          <w:color w:val="auto"/>
          <w:sz w:val="24"/>
          <w:szCs w:val="24"/>
          <w:highlight w:val="none"/>
        </w:rPr>
        <w:t>。供应商在法定质疑期内一次性提出针对同一采购程序环节的质疑。</w:t>
      </w:r>
    </w:p>
    <w:p w14:paraId="35972B93">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5</w:t>
      </w:r>
      <w:r>
        <w:rPr>
          <w:rFonts w:hint="eastAsia" w:ascii="宋体" w:hAnsi="宋体" w:eastAsia="宋体" w:cs="宋体"/>
          <w:color w:val="auto"/>
          <w:sz w:val="24"/>
          <w:szCs w:val="24"/>
          <w:highlight w:val="none"/>
        </w:rPr>
        <w:t>.2提出质疑的供应商（以下简称质疑供应商）应当是参与所质疑项目采购活动的供应商。</w:t>
      </w:r>
    </w:p>
    <w:p w14:paraId="6503DC74">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35.3</w:t>
      </w:r>
      <w:r>
        <w:rPr>
          <w:rFonts w:hint="eastAsia" w:ascii="宋体" w:hAnsi="宋体" w:eastAsia="宋体" w:cs="宋体"/>
          <w:color w:val="auto"/>
          <w:sz w:val="24"/>
          <w:szCs w:val="24"/>
          <w:highlight w:val="none"/>
        </w:rPr>
        <w:t>潜在供应商已依法获取其可质疑的</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文件的，可以对该文件提出质疑。对</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文件提出质疑的，应当在获取</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文件或者</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文件公告期限届满之日起7个工作日内提出。</w:t>
      </w:r>
    </w:p>
    <w:p w14:paraId="7A916D6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35.4</w:t>
      </w:r>
      <w:r>
        <w:rPr>
          <w:rFonts w:hint="eastAsia" w:ascii="宋体" w:hAnsi="宋体" w:eastAsia="宋体" w:cs="宋体"/>
          <w:color w:val="auto"/>
          <w:sz w:val="24"/>
          <w:szCs w:val="24"/>
          <w:highlight w:val="none"/>
        </w:rPr>
        <w:t>供应商提出质疑应当提交质疑函和必要的证明材料。质疑函应当包括下列内容：</w:t>
      </w:r>
    </w:p>
    <w:p w14:paraId="57C1F48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）供应商的姓名或者名称、地址、邮编、联系人及联系电话；</w:t>
      </w:r>
    </w:p>
    <w:p w14:paraId="2B1F4E6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编号</w:t>
      </w:r>
      <w:r>
        <w:rPr>
          <w:rFonts w:hint="eastAsia" w:ascii="宋体" w:hAnsi="宋体" w:eastAsia="宋体" w:cs="宋体"/>
          <w:color w:val="auto"/>
          <w:sz w:val="24"/>
          <w:szCs w:val="24"/>
          <w:highlight w:val="none"/>
          <w:lang w:val="en-US" w:eastAsia="zh-CN"/>
        </w:rPr>
        <w:t>/包号</w:t>
      </w:r>
      <w:r>
        <w:rPr>
          <w:rFonts w:hint="eastAsia" w:ascii="宋体" w:hAnsi="宋体" w:eastAsia="宋体" w:cs="宋体"/>
          <w:color w:val="auto"/>
          <w:sz w:val="24"/>
          <w:szCs w:val="24"/>
          <w:highlight w:val="none"/>
        </w:rPr>
        <w:t>；</w:t>
      </w:r>
    </w:p>
    <w:p w14:paraId="1AA8BB74">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）具体、明确的质疑事项和与质疑事项相关的请求；</w:t>
      </w:r>
    </w:p>
    <w:p w14:paraId="6456E8B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4D032ABB">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）必要的法律依据；</w:t>
      </w:r>
    </w:p>
    <w:p w14:paraId="2E14DE4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）提出质疑的日期。</w:t>
      </w:r>
    </w:p>
    <w:p w14:paraId="553B627B">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供应商为自然人的，应当由本人签字；供应商为法人或者其他组织的，应当由法定代表人、主要负责人，或者其授权代表签字或者盖章，并加盖公章。</w:t>
      </w:r>
    </w:p>
    <w:p w14:paraId="5F1352A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.5质疑函不符合上述要求的，采购人或代理机构应书面告知具体事项，质疑人应当按要求进行修改或补充，并在质疑有效期限内提交。</w:t>
      </w:r>
    </w:p>
    <w:p w14:paraId="76BD2AC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3</w:t>
      </w:r>
      <w:r>
        <w:rPr>
          <w:rFonts w:hint="eastAsia" w:ascii="宋体" w:hAnsi="宋体" w:eastAsia="宋体" w:cs="宋体"/>
          <w:snapToGrid w:val="0"/>
          <w:color w:val="auto"/>
          <w:sz w:val="24"/>
          <w:szCs w:val="24"/>
          <w:highlight w:val="none"/>
          <w:lang w:val="en-US" w:eastAsia="zh-CN"/>
        </w:rPr>
        <w:t>5</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6供应商</w:t>
      </w:r>
      <w:r>
        <w:rPr>
          <w:rFonts w:hint="eastAsia" w:ascii="宋体" w:hAnsi="宋体" w:eastAsia="宋体" w:cs="宋体"/>
          <w:snapToGrid w:val="0"/>
          <w:color w:val="auto"/>
          <w:sz w:val="24"/>
          <w:szCs w:val="24"/>
          <w:highlight w:val="none"/>
        </w:rPr>
        <w:t>进行虚假和恶意</w:t>
      </w:r>
      <w:r>
        <w:rPr>
          <w:rFonts w:hint="eastAsia" w:ascii="宋体" w:hAnsi="宋体" w:eastAsia="宋体" w:cs="宋体"/>
          <w:snapToGrid w:val="0"/>
          <w:color w:val="auto"/>
          <w:sz w:val="24"/>
          <w:szCs w:val="24"/>
          <w:highlight w:val="none"/>
          <w:lang w:val="en-US" w:eastAsia="zh-CN"/>
        </w:rPr>
        <w:t>质疑投诉</w:t>
      </w:r>
      <w:r>
        <w:rPr>
          <w:rFonts w:hint="eastAsia" w:ascii="宋体" w:hAnsi="宋体" w:eastAsia="宋体" w:cs="宋体"/>
          <w:snapToGrid w:val="0"/>
          <w:color w:val="auto"/>
          <w:sz w:val="24"/>
          <w:szCs w:val="24"/>
          <w:highlight w:val="none"/>
        </w:rPr>
        <w:t>的，采购代理机构将提请有关部门将其列入不良记录名单，在一至三年内禁止参加政府采购活动，并将处理决定在相关政府采购媒体上公布。</w:t>
      </w:r>
    </w:p>
    <w:p w14:paraId="06C8AD2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35.7</w:t>
      </w:r>
      <w:r>
        <w:rPr>
          <w:rFonts w:hint="eastAsia" w:ascii="宋体" w:hAnsi="宋体" w:eastAsia="宋体" w:cs="宋体"/>
          <w:color w:val="auto"/>
          <w:sz w:val="24"/>
          <w:szCs w:val="24"/>
          <w:highlight w:val="none"/>
        </w:rPr>
        <w:t>质疑函</w:t>
      </w:r>
      <w:r>
        <w:rPr>
          <w:rFonts w:hint="eastAsia" w:ascii="宋体" w:hAnsi="宋体" w:eastAsia="宋体" w:cs="宋体"/>
          <w:color w:val="auto"/>
          <w:sz w:val="24"/>
          <w:szCs w:val="24"/>
          <w:highlight w:val="none"/>
          <w:lang w:val="en-US" w:eastAsia="zh-CN"/>
        </w:rPr>
        <w:t>应当使用中文，并采用财政部门制定的范本。</w:t>
      </w:r>
    </w:p>
    <w:p w14:paraId="007DBE4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36.质疑答复</w:t>
      </w:r>
      <w:bookmarkEnd w:id="378"/>
      <w:bookmarkEnd w:id="379"/>
      <w:bookmarkEnd w:id="380"/>
      <w:bookmarkEnd w:id="381"/>
      <w:bookmarkEnd w:id="382"/>
      <w:bookmarkEnd w:id="383"/>
      <w:bookmarkEnd w:id="384"/>
      <w:bookmarkEnd w:id="385"/>
      <w:bookmarkEnd w:id="386"/>
      <w:bookmarkEnd w:id="387"/>
      <w:bookmarkEnd w:id="388"/>
    </w:p>
    <w:p w14:paraId="43D7F91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bookmarkStart w:id="389" w:name="_Toc109899988"/>
      <w:bookmarkStart w:id="390" w:name="_Toc109900407"/>
      <w:bookmarkStart w:id="391" w:name="_Toc46771676"/>
      <w:bookmarkStart w:id="392" w:name="_Toc52960589"/>
      <w:bookmarkStart w:id="393" w:name="_Toc48688825"/>
      <w:bookmarkStart w:id="394" w:name="_Toc109899569"/>
      <w:bookmarkStart w:id="395" w:name="_Toc51674247"/>
      <w:bookmarkStart w:id="396" w:name="_Toc109897470"/>
      <w:bookmarkStart w:id="397" w:name="_Toc52962763"/>
      <w:bookmarkStart w:id="398" w:name="_Toc46772277"/>
      <w:bookmarkStart w:id="399" w:name="_Toc48846145"/>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.1采购人、采购代理机构不得拒收质疑供应商在法定质疑期内发出的质疑函，应当在收到质疑函后7个工作日内作出答复，并以书面形式通知质疑供应商和其他有关供应商。</w:t>
      </w:r>
    </w:p>
    <w:p w14:paraId="6776834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36.2供应商对评审过程、成交结果提出质疑的，采购人、采购代理机构可以组织原竞争性磋商小组协助答复质疑。</w:t>
      </w:r>
    </w:p>
    <w:p w14:paraId="14E02AA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质疑答复应当包括下列内容：</w:t>
      </w:r>
    </w:p>
    <w:p w14:paraId="457CAA6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）质疑供应商的姓名或者名称；</w:t>
      </w:r>
    </w:p>
    <w:p w14:paraId="462FCFC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）收到质疑函的日期、质疑项目名称及</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lang w:val="zh-CN" w:eastAsia="zh-CN"/>
        </w:rPr>
        <w:t>编号/包号；</w:t>
      </w:r>
    </w:p>
    <w:p w14:paraId="18D7215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）质疑事项、质疑答复的具体内容、事实依据和法律依据；</w:t>
      </w:r>
    </w:p>
    <w:p w14:paraId="416368F5">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）告知质疑供应商依法投诉的权利；</w:t>
      </w:r>
    </w:p>
    <w:p w14:paraId="36EE796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eastAsia="zh-CN"/>
        </w:rPr>
        <w:t>）质疑答复人名称；</w:t>
      </w:r>
    </w:p>
    <w:p w14:paraId="7E632C0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eastAsia="zh-CN"/>
        </w:rPr>
        <w:t>）答复质疑的日期。</w:t>
      </w:r>
    </w:p>
    <w:p w14:paraId="56A5E1E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36.3</w:t>
      </w:r>
      <w:r>
        <w:rPr>
          <w:rFonts w:hint="eastAsia" w:ascii="宋体" w:hAnsi="宋体" w:eastAsia="宋体" w:cs="宋体"/>
          <w:color w:val="auto"/>
          <w:sz w:val="24"/>
          <w:szCs w:val="24"/>
          <w:highlight w:val="none"/>
          <w:lang w:val="zh-CN" w:eastAsia="zh-CN"/>
        </w:rPr>
        <w:t>质疑答复的内容不得涉及商业秘密。</w:t>
      </w:r>
    </w:p>
    <w:p w14:paraId="61006068">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37.投诉</w:t>
      </w:r>
      <w:bookmarkEnd w:id="389"/>
      <w:bookmarkEnd w:id="390"/>
      <w:bookmarkEnd w:id="391"/>
      <w:bookmarkEnd w:id="392"/>
      <w:bookmarkEnd w:id="393"/>
      <w:bookmarkEnd w:id="394"/>
      <w:bookmarkEnd w:id="395"/>
      <w:bookmarkEnd w:id="396"/>
      <w:bookmarkEnd w:id="397"/>
      <w:bookmarkEnd w:id="398"/>
      <w:bookmarkEnd w:id="399"/>
    </w:p>
    <w:bookmarkEnd w:id="107"/>
    <w:bookmarkEnd w:id="366"/>
    <w:p w14:paraId="34C5EAA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bookmarkStart w:id="400" w:name="_Toc163493619"/>
      <w:bookmarkStart w:id="401" w:name="_Toc109900408"/>
      <w:bookmarkStart w:id="402" w:name="_Hlk60570485"/>
      <w:bookmarkStart w:id="403" w:name="_Toc109899989"/>
      <w:bookmarkStart w:id="404" w:name="_Toc109899570"/>
      <w:bookmarkStart w:id="405" w:name="_Toc109897471"/>
      <w:r>
        <w:rPr>
          <w:rFonts w:hint="eastAsia" w:ascii="宋体" w:hAnsi="宋体" w:eastAsia="宋体" w:cs="宋体"/>
          <w:color w:val="auto"/>
          <w:sz w:val="24"/>
          <w:szCs w:val="24"/>
          <w:highlight w:val="none"/>
          <w:lang w:val="en-US" w:eastAsia="zh-CN"/>
        </w:rPr>
        <w:t>37.1</w:t>
      </w:r>
      <w:r>
        <w:rPr>
          <w:rFonts w:hint="eastAsia" w:ascii="宋体" w:hAnsi="宋体" w:eastAsia="宋体" w:cs="宋体"/>
          <w:color w:val="auto"/>
          <w:sz w:val="24"/>
          <w:szCs w:val="24"/>
          <w:highlight w:val="none"/>
        </w:rPr>
        <w:t>质疑供应商对采购人、采购代理机构的答复不满意，或者采购人、采购代理机构未在规定时间内作出答复的，可以在答复期满后15个工作日内向</w:t>
      </w:r>
      <w:r>
        <w:rPr>
          <w:rFonts w:hint="eastAsia" w:ascii="宋体" w:hAnsi="宋体" w:eastAsia="宋体" w:cs="宋体"/>
          <w:color w:val="auto"/>
          <w:sz w:val="24"/>
          <w:szCs w:val="24"/>
          <w:highlight w:val="none"/>
          <w:lang w:val="en-US" w:eastAsia="zh-CN"/>
        </w:rPr>
        <w:t>同级政府采购监督管理部门</w:t>
      </w:r>
      <w:r>
        <w:rPr>
          <w:rFonts w:hint="eastAsia" w:ascii="宋体" w:hAnsi="宋体" w:eastAsia="宋体" w:cs="宋体"/>
          <w:color w:val="auto"/>
          <w:sz w:val="24"/>
          <w:szCs w:val="24"/>
          <w:highlight w:val="none"/>
        </w:rPr>
        <w:t>提起投诉。</w:t>
      </w:r>
    </w:p>
    <w:p w14:paraId="7AE3C0F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37.2</w:t>
      </w:r>
      <w:r>
        <w:rPr>
          <w:rFonts w:hint="eastAsia" w:ascii="宋体" w:hAnsi="宋体" w:eastAsia="宋体" w:cs="宋体"/>
          <w:color w:val="auto"/>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4954654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）投诉人和被投诉人的姓名或者名称、通讯地址、邮编、联系人及联系电话；</w:t>
      </w:r>
    </w:p>
    <w:p w14:paraId="1A65A103">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）质疑和质疑答复情况说明及相关证明材料；</w:t>
      </w:r>
    </w:p>
    <w:p w14:paraId="675A6D9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）具体、明确的投诉事项和与投诉事项相关的投诉请求；</w:t>
      </w:r>
    </w:p>
    <w:p w14:paraId="4A0C159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4CFD3E0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）法律依据；</w:t>
      </w:r>
    </w:p>
    <w:p w14:paraId="35FA6A4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）提起投诉的日期。</w:t>
      </w:r>
    </w:p>
    <w:p w14:paraId="4FC7C3AB">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投诉人为自然人的，应当由本人签字；投诉人为法人或者其他组织的，应当由法定代表人、主要负责人，或者其授权代表签字或者盖章，并加盖公章。</w:t>
      </w:r>
    </w:p>
    <w:p w14:paraId="4DF335B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37.3</w:t>
      </w: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val="en-US" w:eastAsia="zh-CN"/>
        </w:rPr>
        <w:t>质疑、</w:t>
      </w:r>
      <w:r>
        <w:rPr>
          <w:rFonts w:hint="eastAsia" w:ascii="宋体" w:hAnsi="宋体" w:eastAsia="宋体" w:cs="宋体"/>
          <w:color w:val="auto"/>
          <w:sz w:val="24"/>
          <w:szCs w:val="24"/>
          <w:highlight w:val="none"/>
        </w:rPr>
        <w:t>投诉</w:t>
      </w:r>
      <w:r>
        <w:rPr>
          <w:rFonts w:hint="eastAsia" w:ascii="宋体" w:hAnsi="宋体" w:eastAsia="宋体" w:cs="宋体"/>
          <w:color w:val="auto"/>
          <w:sz w:val="24"/>
          <w:szCs w:val="24"/>
          <w:highlight w:val="none"/>
          <w:lang w:val="en-US" w:eastAsia="zh-CN"/>
        </w:rPr>
        <w:t>应当有明确的请求和必要的证明材料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供应商投诉的事项不得超出</w:t>
      </w:r>
      <w:r>
        <w:rPr>
          <w:rFonts w:hint="eastAsia" w:ascii="宋体" w:hAnsi="宋体" w:eastAsia="宋体" w:cs="宋体"/>
          <w:color w:val="auto"/>
          <w:sz w:val="24"/>
          <w:szCs w:val="24"/>
          <w:highlight w:val="none"/>
          <w:lang w:val="en-US" w:eastAsia="zh-CN"/>
        </w:rPr>
        <w:t>已</w:t>
      </w:r>
      <w:r>
        <w:rPr>
          <w:rFonts w:hint="eastAsia" w:ascii="宋体" w:hAnsi="宋体" w:eastAsia="宋体" w:cs="宋体"/>
          <w:color w:val="auto"/>
          <w:sz w:val="24"/>
          <w:szCs w:val="24"/>
          <w:highlight w:val="none"/>
        </w:rPr>
        <w:t>质疑事项的范围，但基于质疑答复内容提出的投诉事项除外</w:t>
      </w:r>
      <w:r>
        <w:rPr>
          <w:rFonts w:hint="eastAsia" w:ascii="宋体" w:hAnsi="宋体" w:eastAsia="宋体" w:cs="宋体"/>
          <w:bCs/>
          <w:color w:val="auto"/>
          <w:sz w:val="24"/>
          <w:szCs w:val="24"/>
          <w:highlight w:val="none"/>
        </w:rPr>
        <w:t>。</w:t>
      </w:r>
    </w:p>
    <w:p w14:paraId="4A2CC2E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37.4</w:t>
      </w:r>
      <w:r>
        <w:rPr>
          <w:rFonts w:hint="eastAsia" w:ascii="宋体" w:hAnsi="宋体" w:eastAsia="宋体" w:cs="宋体"/>
          <w:color w:val="auto"/>
          <w:sz w:val="24"/>
          <w:szCs w:val="24"/>
          <w:highlight w:val="none"/>
          <w:lang w:val="en-US" w:eastAsia="zh-CN"/>
        </w:rPr>
        <w:t>投诉书应当使用中文，并采用财政部门制定的范本。</w:t>
      </w:r>
    </w:p>
    <w:p w14:paraId="072EB102">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6" w:name="_Toc12258"/>
      <w:bookmarkStart w:id="407" w:name="_Toc28560"/>
      <w:r>
        <w:rPr>
          <w:rFonts w:hint="eastAsia" w:ascii="宋体" w:hAnsi="宋体" w:eastAsia="宋体" w:cs="宋体"/>
          <w:b/>
          <w:bCs/>
          <w:color w:val="auto"/>
          <w:kern w:val="2"/>
          <w:sz w:val="24"/>
          <w:szCs w:val="24"/>
          <w:highlight w:val="none"/>
          <w:lang w:val="en-US" w:eastAsia="zh-CN" w:bidi="ar-SA"/>
        </w:rPr>
        <w:t>（十一）采购代理服务费</w:t>
      </w:r>
      <w:bookmarkEnd w:id="400"/>
      <w:bookmarkEnd w:id="406"/>
      <w:bookmarkEnd w:id="407"/>
    </w:p>
    <w:p w14:paraId="32832303">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38.收取方式和标准</w:t>
      </w:r>
    </w:p>
    <w:p w14:paraId="0F0CA96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8</w:t>
      </w:r>
      <w:r>
        <w:rPr>
          <w:rFonts w:hint="eastAsia" w:ascii="宋体" w:hAnsi="宋体" w:eastAsia="宋体" w:cs="宋体"/>
          <w:color w:val="auto"/>
          <w:sz w:val="24"/>
          <w:szCs w:val="24"/>
          <w:highlight w:val="none"/>
        </w:rPr>
        <w:t>.1采购代理机构按“供应商须知前附表”规定的方式和标准收取采购代理服务费。</w:t>
      </w:r>
    </w:p>
    <w:p w14:paraId="5E6F961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8" w:name="_Toc16837"/>
      <w:bookmarkStart w:id="409" w:name="_Toc163493620"/>
      <w:bookmarkStart w:id="410" w:name="_Toc18781"/>
      <w:r>
        <w:rPr>
          <w:rFonts w:hint="eastAsia" w:ascii="宋体" w:hAnsi="宋体" w:eastAsia="宋体" w:cs="宋体"/>
          <w:b/>
          <w:bCs/>
          <w:color w:val="auto"/>
          <w:kern w:val="2"/>
          <w:sz w:val="24"/>
          <w:szCs w:val="24"/>
          <w:highlight w:val="none"/>
          <w:lang w:val="en-US" w:eastAsia="zh-CN" w:bidi="ar-SA"/>
        </w:rPr>
        <w:t>（十二）无效响应和终止采购活动</w:t>
      </w:r>
      <w:bookmarkEnd w:id="408"/>
      <w:bookmarkEnd w:id="409"/>
      <w:bookmarkEnd w:id="410"/>
    </w:p>
    <w:p w14:paraId="02780A3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1" w:name="_Toc140132806"/>
      <w:bookmarkStart w:id="412" w:name="_Toc161600338"/>
      <w:r>
        <w:rPr>
          <w:rFonts w:hint="eastAsia" w:ascii="宋体" w:hAnsi="宋体" w:eastAsia="宋体" w:cs="宋体"/>
          <w:b/>
          <w:bCs/>
          <w:color w:val="auto"/>
          <w:kern w:val="2"/>
          <w:sz w:val="24"/>
          <w:szCs w:val="24"/>
          <w:highlight w:val="none"/>
          <w:lang w:val="en-US" w:eastAsia="zh-CN" w:bidi="ar-SA"/>
        </w:rPr>
        <w:t>39.无效</w:t>
      </w:r>
      <w:bookmarkEnd w:id="411"/>
      <w:bookmarkEnd w:id="412"/>
      <w:r>
        <w:rPr>
          <w:rFonts w:hint="eastAsia" w:ascii="宋体" w:hAnsi="宋体" w:eastAsia="宋体" w:cs="宋体"/>
          <w:b/>
          <w:bCs/>
          <w:color w:val="auto"/>
          <w:kern w:val="2"/>
          <w:sz w:val="24"/>
          <w:szCs w:val="24"/>
          <w:highlight w:val="none"/>
          <w:lang w:val="en-US" w:eastAsia="zh-CN" w:bidi="ar-SA"/>
        </w:rPr>
        <w:t>响应</w:t>
      </w:r>
    </w:p>
    <w:p w14:paraId="132D1B41">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.1响应文件存在“第四章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评审方法及标准”规定的</w:t>
      </w:r>
      <w:r>
        <w:rPr>
          <w:rFonts w:hint="eastAsia" w:ascii="宋体" w:hAnsi="宋体" w:eastAsia="宋体" w:cs="宋体"/>
          <w:b/>
          <w:bCs/>
          <w:color w:val="auto"/>
          <w:sz w:val="24"/>
          <w:szCs w:val="24"/>
          <w:highlight w:val="none"/>
        </w:rPr>
        <w:t>响应无效</w:t>
      </w:r>
      <w:r>
        <w:rPr>
          <w:rFonts w:hint="eastAsia" w:ascii="宋体" w:hAnsi="宋体" w:eastAsia="宋体" w:cs="宋体"/>
          <w:color w:val="auto"/>
          <w:sz w:val="24"/>
          <w:szCs w:val="24"/>
          <w:highlight w:val="none"/>
        </w:rPr>
        <w:t>情形的，做</w:t>
      </w:r>
      <w:r>
        <w:rPr>
          <w:rFonts w:hint="eastAsia" w:ascii="宋体" w:hAnsi="宋体" w:eastAsia="宋体" w:cs="宋体"/>
          <w:b/>
          <w:bCs/>
          <w:color w:val="auto"/>
          <w:sz w:val="24"/>
          <w:szCs w:val="24"/>
          <w:highlight w:val="none"/>
        </w:rPr>
        <w:t>无效响应</w:t>
      </w:r>
      <w:r>
        <w:rPr>
          <w:rFonts w:hint="eastAsia" w:ascii="宋体" w:hAnsi="宋体" w:eastAsia="宋体" w:cs="宋体"/>
          <w:color w:val="auto"/>
          <w:sz w:val="24"/>
          <w:szCs w:val="24"/>
          <w:highlight w:val="none"/>
        </w:rPr>
        <w:t>处理。</w:t>
      </w:r>
    </w:p>
    <w:p w14:paraId="631C56D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40.终止采购活动</w:t>
      </w:r>
    </w:p>
    <w:p w14:paraId="65CAB1F7">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rPr>
        <w:t>.1出现下列情形之一的，应当终止竞争性磋商采购活动，发布项目终止公告并说明原因，重新开展采购活动：</w:t>
      </w:r>
    </w:p>
    <w:p w14:paraId="3F03AB9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（1）因情况变化，不再符合规定的竞争性磋商采购方式适用情形的；</w:t>
      </w:r>
    </w:p>
    <w:p w14:paraId="34F0BDE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（2）出现影响采购公正的违法、违规行为的；</w:t>
      </w:r>
    </w:p>
    <w:p w14:paraId="3EDE2978">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采购过程中符合要求的供应商或者报价未超过采购预算的供应商不足3家的（市场竞争不充分的科研项目、需要扶持的科技成果转化项目以及政府购买服务项目&lt;含政府和社会资本合作项目&gt;）的提交最后报价的供应商可以为2家）。</w:t>
      </w:r>
    </w:p>
    <w:p w14:paraId="18EA97F2">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40.2在采购活动中因重大变故，采购任务取消的，采购人或者采购代理机构应当终止采购活动，通知所有参加采购活动的供应商，并将项目实施情况和采购任务取消原因报送本级财政部门。</w:t>
      </w:r>
    </w:p>
    <w:p w14:paraId="56C7680B">
      <w:pPr>
        <w:keepNext w:val="0"/>
        <w:keepLines w:val="0"/>
        <w:widowControl/>
        <w:suppressLineNumbers w:val="0"/>
        <w:jc w:val="left"/>
        <w:rPr>
          <w:rFonts w:hint="eastAsia" w:ascii="宋体" w:hAnsi="宋体" w:eastAsia="宋体" w:cs="宋体"/>
          <w:color w:val="auto"/>
          <w:sz w:val="24"/>
          <w:szCs w:val="24"/>
          <w:highlight w:val="none"/>
        </w:rPr>
      </w:pPr>
      <w:bookmarkStart w:id="413" w:name="_Toc140132766"/>
      <w:bookmarkStart w:id="414" w:name="_Toc161600340"/>
      <w:bookmarkStart w:id="415" w:name="_Toc163493621"/>
      <w:r>
        <w:rPr>
          <w:rFonts w:hint="eastAsia" w:ascii="宋体" w:hAnsi="宋体" w:eastAsia="宋体" w:cs="宋体"/>
          <w:b/>
          <w:bCs/>
          <w:color w:val="auto"/>
          <w:kern w:val="2"/>
          <w:sz w:val="24"/>
          <w:szCs w:val="24"/>
          <w:highlight w:val="none"/>
          <w:lang w:val="en-US" w:eastAsia="zh-CN" w:bidi="ar-SA"/>
        </w:rPr>
        <w:t>（十三）落实政府采购政策</w:t>
      </w:r>
      <w:bookmarkEnd w:id="413"/>
      <w:bookmarkEnd w:id="414"/>
      <w:bookmarkEnd w:id="415"/>
      <w:r>
        <w:rPr>
          <w:rFonts w:hint="eastAsia" w:ascii="宋体" w:hAnsi="宋体" w:eastAsia="宋体" w:cs="宋体"/>
          <w:b/>
          <w:bCs/>
          <w:color w:val="auto"/>
          <w:kern w:val="2"/>
          <w:sz w:val="24"/>
          <w:szCs w:val="24"/>
          <w:highlight w:val="none"/>
          <w:lang w:val="en-US" w:eastAsia="zh-CN" w:bidi="ar-SA"/>
        </w:rPr>
        <w:t>（包括但不限于下列具体政策要求）</w:t>
      </w:r>
    </w:p>
    <w:p w14:paraId="1D377CD1">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6" w:name="_Toc161600341"/>
      <w:r>
        <w:rPr>
          <w:rFonts w:hint="eastAsia" w:ascii="宋体" w:hAnsi="宋体" w:eastAsia="宋体" w:cs="宋体"/>
          <w:b/>
          <w:bCs/>
          <w:color w:val="auto"/>
          <w:kern w:val="2"/>
          <w:sz w:val="24"/>
          <w:szCs w:val="24"/>
          <w:highlight w:val="none"/>
          <w:lang w:val="en-US" w:eastAsia="zh-CN" w:bidi="ar-SA"/>
        </w:rPr>
        <w:t>41.支持国产和进口产品审批</w:t>
      </w:r>
      <w:bookmarkEnd w:id="416"/>
    </w:p>
    <w:p w14:paraId="34DE22C5">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41.1除“供应商须知前附表”另有规定外，政府采购应当采购本国货物、工程和服务，确需采购进口产品的，采购人应当按照《政府采购进口产品管理办法》（财库〔2007〕119 号文）、《关于政府采购进口产品管理有关问题的通知》（财办库〔2008〕248号）规定执行进口产品审批制，科研院所监管部门另有规定的从其规定。项目若涉及采购进口产品的，具体要求详见“第三章 项目采购需求”。</w:t>
      </w:r>
    </w:p>
    <w:p w14:paraId="135B393E">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41.2进口产品指通过中国海关报关验放进入中国境内且产自关境外的产品，包括已经进入中国境内的进口产品。</w:t>
      </w:r>
    </w:p>
    <w:p w14:paraId="0C404CE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41.3若采购需求中写明允许采购进口产品，供应商应保证所响应产品可履行合法报通关手续进入中国关境内。</w:t>
      </w:r>
    </w:p>
    <w:p w14:paraId="25B118D0">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41.4若采购需求中未写明允许采购进口产品，如供应商所响应产品为进口产品，其响应将被认定为</w:t>
      </w:r>
      <w:r>
        <w:rPr>
          <w:rFonts w:hint="eastAsia" w:ascii="宋体" w:hAnsi="宋体" w:eastAsia="宋体" w:cs="宋体"/>
          <w:b/>
          <w:bCs/>
          <w:snapToGrid w:val="0"/>
          <w:color w:val="auto"/>
          <w:sz w:val="24"/>
          <w:szCs w:val="24"/>
          <w:highlight w:val="none"/>
          <w:lang w:val="en-US" w:eastAsia="zh-CN"/>
        </w:rPr>
        <w:t>响应无效</w:t>
      </w:r>
      <w:r>
        <w:rPr>
          <w:rFonts w:hint="eastAsia" w:ascii="宋体" w:hAnsi="宋体" w:eastAsia="宋体" w:cs="宋体"/>
          <w:snapToGrid w:val="0"/>
          <w:color w:val="auto"/>
          <w:sz w:val="24"/>
          <w:szCs w:val="24"/>
          <w:highlight w:val="none"/>
          <w:lang w:val="en-US" w:eastAsia="zh-CN"/>
        </w:rPr>
        <w:t>。</w:t>
      </w:r>
    </w:p>
    <w:p w14:paraId="1F7E8604">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7" w:name="_Toc161600342"/>
      <w:r>
        <w:rPr>
          <w:rFonts w:hint="eastAsia" w:ascii="宋体" w:hAnsi="宋体" w:eastAsia="宋体" w:cs="宋体"/>
          <w:b/>
          <w:bCs/>
          <w:color w:val="auto"/>
          <w:kern w:val="2"/>
          <w:sz w:val="24"/>
          <w:szCs w:val="24"/>
          <w:highlight w:val="none"/>
          <w:lang w:val="en-US" w:eastAsia="zh-CN" w:bidi="ar-SA"/>
        </w:rPr>
        <w:t>42.中小企业、监狱企业及残疾人福利性单位</w:t>
      </w:r>
      <w:bookmarkEnd w:id="417"/>
    </w:p>
    <w:p w14:paraId="6CF3C244">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 xml:space="preserve">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14:paraId="6EB577E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eastAsia="zh-CN"/>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2</w:t>
      </w:r>
      <w:r>
        <w:rPr>
          <w:rFonts w:hint="eastAsia" w:ascii="宋体" w:hAnsi="宋体" w:eastAsia="宋体" w:cs="宋体"/>
          <w:snapToGrid w:val="0"/>
          <w:color w:val="auto"/>
          <w:sz w:val="24"/>
          <w:szCs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ascii="宋体" w:hAnsi="宋体" w:eastAsia="宋体" w:cs="宋体"/>
          <w:snapToGrid w:val="0"/>
          <w:color w:val="auto"/>
          <w:sz w:val="24"/>
          <w:szCs w:val="24"/>
          <w:highlight w:val="none"/>
          <w:lang w:eastAsia="zh-CN"/>
        </w:rPr>
        <w:t>需享受中小企业相关政策的，且</w:t>
      </w:r>
      <w:r>
        <w:rPr>
          <w:rFonts w:hint="eastAsia" w:ascii="宋体" w:hAnsi="宋体" w:eastAsia="宋体" w:cs="宋体"/>
          <w:snapToGrid w:val="0"/>
          <w:color w:val="auto"/>
          <w:sz w:val="24"/>
          <w:szCs w:val="24"/>
          <w:highlight w:val="none"/>
        </w:rPr>
        <w:t>符合上述文件规定的，</w:t>
      </w:r>
      <w:r>
        <w:rPr>
          <w:rFonts w:hint="eastAsia" w:ascii="宋体" w:hAnsi="宋体" w:eastAsia="宋体" w:cs="宋体"/>
          <w:snapToGrid w:val="0"/>
          <w:color w:val="auto"/>
          <w:sz w:val="24"/>
          <w:szCs w:val="24"/>
          <w:highlight w:val="none"/>
          <w:lang w:eastAsia="zh-CN"/>
        </w:rPr>
        <w:t>应按本磋商文件规定格式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，评审时，磋商小组将依据</w:t>
      </w:r>
      <w:r>
        <w:rPr>
          <w:rFonts w:hint="eastAsia" w:ascii="宋体" w:hAnsi="宋体" w:eastAsia="宋体" w:cs="宋体"/>
          <w:snapToGrid w:val="0"/>
          <w:color w:val="auto"/>
          <w:sz w:val="24"/>
          <w:szCs w:val="24"/>
          <w:highlight w:val="none"/>
          <w:lang w:eastAsia="zh-CN"/>
        </w:rPr>
        <w:t>本磋商文件</w:t>
      </w:r>
      <w:r>
        <w:rPr>
          <w:rFonts w:hint="eastAsia" w:ascii="宋体" w:hAnsi="宋体" w:eastAsia="宋体" w:cs="宋体"/>
          <w:snapToGrid w:val="0"/>
          <w:color w:val="auto"/>
          <w:sz w:val="24"/>
          <w:szCs w:val="24"/>
          <w:highlight w:val="none"/>
        </w:rPr>
        <w:t>“供应商须知前附表”规定的报价扣除比例，对供应商报价进行价格扣除，用扣除后的价格参与评审</w:t>
      </w:r>
      <w:r>
        <w:rPr>
          <w:rFonts w:hint="eastAsia" w:ascii="宋体" w:hAnsi="宋体" w:eastAsia="宋体" w:cs="宋体"/>
          <w:snapToGrid w:val="0"/>
          <w:color w:val="auto"/>
          <w:sz w:val="24"/>
          <w:szCs w:val="24"/>
          <w:highlight w:val="none"/>
          <w:lang w:eastAsia="zh-CN"/>
        </w:rPr>
        <w:t>；磋商公告中明确项目专门面向中小企业采购的，“</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”为资格要求文件，</w:t>
      </w:r>
      <w:r>
        <w:rPr>
          <w:rFonts w:hint="eastAsia" w:ascii="宋体" w:hAnsi="宋体" w:eastAsia="宋体" w:cs="宋体"/>
          <w:snapToGrid w:val="0"/>
          <w:color w:val="auto"/>
          <w:sz w:val="24"/>
          <w:szCs w:val="24"/>
          <w:highlight w:val="none"/>
        </w:rPr>
        <w:t>供应商</w:t>
      </w:r>
      <w:r>
        <w:rPr>
          <w:rFonts w:hint="eastAsia" w:ascii="宋体" w:hAnsi="宋体" w:eastAsia="宋体" w:cs="宋体"/>
          <w:snapToGrid w:val="0"/>
          <w:color w:val="auto"/>
          <w:sz w:val="24"/>
          <w:szCs w:val="24"/>
          <w:highlight w:val="none"/>
          <w:lang w:eastAsia="zh-CN"/>
        </w:rPr>
        <w:t>参与磋商须按本磋商文件规定格式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”等作为资格证明文件。</w:t>
      </w:r>
    </w:p>
    <w:p w14:paraId="5BE3F99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42.3供应商提供的货物、工程或者服务符合下列情形的，享受中小企业扶持政策： </w:t>
      </w:r>
    </w:p>
    <w:p w14:paraId="7C4E60D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42.3.1在货物采购项目中，货物由中小企业制造，即货物由中小企业生产且使用该中小企业商号或者注册商标； </w:t>
      </w:r>
    </w:p>
    <w:p w14:paraId="49BB740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42.3.2在工程采购项目中，工程由中小企业承建，即工程施工单位为中小企业； </w:t>
      </w:r>
    </w:p>
    <w:p w14:paraId="194B49D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42.3.3在服务采购项目中，服务由中小企业承接，即提供服务的人员为中小企业依照《中华人民共和国劳动合同法》订立劳动合同的从业人员。</w:t>
      </w:r>
    </w:p>
    <w:p w14:paraId="209AD49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42.4 在货物采购项目中，供应商提供的货物既有中小企业制造货物，也有大型企业制造货物的，不享受中小企业扶持政策。 </w:t>
      </w:r>
    </w:p>
    <w:p w14:paraId="6B88E28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42.5 以联合体形式参加政府采购活动，联合体各方均为中小企业的，联合体视同中小企业。其中，联合体各方均为小微企业的，联合体视同小微企业。      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023C32E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34DA9DC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42.7.1 安置的残疾人占本单位在职职工人数的比例不低于 25% （含 25%），并且安置的残疾人人数不少于 10 人（含 10人）； </w:t>
      </w:r>
    </w:p>
    <w:p w14:paraId="7828A465">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42.7.2 依法与安置的每位残疾人签订了1年以上（含1年）的劳动合同或服务协议； </w:t>
      </w:r>
    </w:p>
    <w:p w14:paraId="33AEDD4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42.7.3 为安置的每位残疾人按月足额缴纳了基本养老保险、基本医疗保险、失业保险、工伤保险和生育保险等社会保险费； </w:t>
      </w:r>
    </w:p>
    <w:p w14:paraId="07E8110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42.7.4 通过银行等金融机构向安置的每位残疾人，按月支付了不低于单位所在区县适用的经省级人民政府批准的月最低工资标准的工资； </w:t>
      </w:r>
    </w:p>
    <w:p w14:paraId="50FF7002">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42.7.5 提供本单位制造的货物、承担的工程或者服务（以下简称产品），或者提供其他残疾人福利性单位制造的货物（不包括使用非残疾人福利性单位注册商标的货物）； </w:t>
      </w:r>
    </w:p>
    <w:p w14:paraId="715268A0">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14:paraId="36313DD1">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42.8 本项目是否专门面向中小企业预留采购份额见“第一章 竞争性磋商邀请”。</w:t>
      </w:r>
    </w:p>
    <w:p w14:paraId="5A70CB6C">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42.9 采购标的对应的中小企业划分标准所属行业见“供应商须知前附表”。    42.10小微企业价格评审优惠的政策调整：见“第四章 评审方法及标准”。</w:t>
      </w:r>
    </w:p>
    <w:p w14:paraId="76C0345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8" w:name="_Toc161600343"/>
      <w:r>
        <w:rPr>
          <w:rFonts w:hint="eastAsia" w:ascii="宋体" w:hAnsi="宋体" w:eastAsia="宋体" w:cs="宋体"/>
          <w:b/>
          <w:bCs/>
          <w:color w:val="auto"/>
          <w:kern w:val="2"/>
          <w:sz w:val="24"/>
          <w:szCs w:val="24"/>
          <w:highlight w:val="none"/>
          <w:lang w:val="en-US" w:eastAsia="zh-CN" w:bidi="ar-SA"/>
        </w:rPr>
        <w:t>43.政府采购节能产品、环境标志产品</w:t>
      </w:r>
      <w:bookmarkEnd w:id="418"/>
    </w:p>
    <w:p w14:paraId="0A420FD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14:paraId="017FF1A4">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43.2 采购人拟采购的产品属于品目清单范围的，采购人及其委托的采购代理机构依据国家确定的认证机构出具的、处于有效期之内的节能产品、环境标志产品认证证书，对获得证书的产品实施政府强制采购或优先采购。 </w:t>
      </w:r>
    </w:p>
    <w:p w14:paraId="1379730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43.3 如本项目采购产品属于实施政府强制采购品目清单范围的节能产品，则供应商所报产品必须获得国家确定的认证机构出具的、处于有效期之内的节能产品认证证书，否则</w:t>
      </w:r>
      <w:r>
        <w:rPr>
          <w:rFonts w:hint="eastAsia" w:ascii="宋体" w:hAnsi="宋体" w:eastAsia="宋体" w:cs="宋体"/>
          <w:b/>
          <w:bCs/>
          <w:snapToGrid w:val="0"/>
          <w:color w:val="auto"/>
          <w:sz w:val="24"/>
          <w:szCs w:val="24"/>
          <w:highlight w:val="none"/>
          <w:lang w:val="en-US" w:eastAsia="zh-CN"/>
        </w:rPr>
        <w:t>响应无效。</w:t>
      </w:r>
      <w:r>
        <w:rPr>
          <w:rFonts w:hint="eastAsia" w:ascii="宋体" w:hAnsi="宋体" w:eastAsia="宋体" w:cs="宋体"/>
          <w:snapToGrid w:val="0"/>
          <w:color w:val="auto"/>
          <w:sz w:val="24"/>
          <w:szCs w:val="24"/>
          <w:highlight w:val="none"/>
          <w:lang w:val="en-US" w:eastAsia="zh-CN"/>
        </w:rPr>
        <w:t xml:space="preserve"> </w:t>
      </w:r>
    </w:p>
    <w:p w14:paraId="57389A7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43.4 非政府强制采购的节能产品或环境标志产品，依据品目清单和认证证书实施政府优先采购。优先采购的具体规定见“第四章 评审方法及标准”（如涉及）。</w:t>
      </w:r>
    </w:p>
    <w:p w14:paraId="1E54CD45">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43.5 供应商</w:t>
      </w:r>
      <w:r>
        <w:rPr>
          <w:rFonts w:hint="eastAsia" w:ascii="宋体" w:hAnsi="宋体" w:eastAsia="宋体" w:cs="宋体"/>
          <w:snapToGrid w:val="0"/>
          <w:color w:val="auto"/>
          <w:sz w:val="24"/>
          <w:szCs w:val="24"/>
          <w:highlight w:val="none"/>
        </w:rPr>
        <w:t>所</w:t>
      </w:r>
      <w:r>
        <w:rPr>
          <w:rFonts w:hint="eastAsia" w:ascii="宋体" w:hAnsi="宋体" w:eastAsia="宋体" w:cs="宋体"/>
          <w:snapToGrid w:val="0"/>
          <w:color w:val="auto"/>
          <w:sz w:val="24"/>
          <w:szCs w:val="24"/>
          <w:highlight w:val="none"/>
          <w:lang w:val="en-US" w:eastAsia="zh-CN"/>
        </w:rPr>
        <w:t>报</w:t>
      </w:r>
      <w:r>
        <w:rPr>
          <w:rFonts w:hint="eastAsia" w:ascii="宋体" w:hAnsi="宋体" w:eastAsia="宋体" w:cs="宋体"/>
          <w:snapToGrid w:val="0"/>
          <w:color w:val="auto"/>
          <w:sz w:val="24"/>
          <w:szCs w:val="24"/>
          <w:highlight w:val="none"/>
        </w:rPr>
        <w:t>产品如属于节能产品政府采购品目清单、环境标志产品政府采购品目清单范围的，须提供国家确定的认证机构出具的、处于有效期内的产品认证证书，认证证书的产品型号与所</w:t>
      </w:r>
      <w:r>
        <w:rPr>
          <w:rFonts w:hint="eastAsia" w:ascii="宋体" w:hAnsi="宋体" w:eastAsia="宋体" w:cs="宋体"/>
          <w:snapToGrid w:val="0"/>
          <w:color w:val="auto"/>
          <w:sz w:val="24"/>
          <w:szCs w:val="24"/>
          <w:highlight w:val="none"/>
          <w:lang w:val="en-US" w:eastAsia="zh-CN"/>
        </w:rPr>
        <w:t>报</w:t>
      </w:r>
      <w:r>
        <w:rPr>
          <w:rFonts w:hint="eastAsia" w:ascii="宋体" w:hAnsi="宋体" w:eastAsia="宋体" w:cs="宋体"/>
          <w:snapToGrid w:val="0"/>
          <w:color w:val="auto"/>
          <w:sz w:val="24"/>
          <w:szCs w:val="24"/>
          <w:highlight w:val="none"/>
        </w:rPr>
        <w:t>产品不一致的，视为未提供。属于政府强制采购产品的，已作为</w:t>
      </w:r>
      <w:r>
        <w:rPr>
          <w:rFonts w:hint="eastAsia" w:ascii="宋体" w:hAnsi="宋体" w:eastAsia="宋体" w:cs="宋体"/>
          <w:snapToGrid w:val="0"/>
          <w:color w:val="auto"/>
          <w:sz w:val="24"/>
          <w:szCs w:val="24"/>
          <w:highlight w:val="none"/>
          <w:lang w:val="en-US" w:eastAsia="zh-CN"/>
        </w:rPr>
        <w:t>响应</w:t>
      </w:r>
      <w:r>
        <w:rPr>
          <w:rFonts w:hint="eastAsia" w:ascii="宋体" w:hAnsi="宋体" w:eastAsia="宋体" w:cs="宋体"/>
          <w:snapToGrid w:val="0"/>
          <w:color w:val="auto"/>
          <w:sz w:val="24"/>
          <w:szCs w:val="24"/>
          <w:highlight w:val="none"/>
        </w:rPr>
        <w:t>时强制性要求不再给予</w:t>
      </w:r>
      <w:r>
        <w:rPr>
          <w:rFonts w:hint="eastAsia" w:ascii="宋体" w:hAnsi="宋体" w:eastAsia="宋体" w:cs="宋体"/>
          <w:snapToGrid w:val="0"/>
          <w:color w:val="auto"/>
          <w:sz w:val="24"/>
          <w:szCs w:val="24"/>
          <w:highlight w:val="none"/>
          <w:lang w:val="en-US" w:eastAsia="zh-CN"/>
        </w:rPr>
        <w:t>价格评审优惠</w:t>
      </w:r>
      <w:r>
        <w:rPr>
          <w:rFonts w:hint="eastAsia" w:ascii="宋体" w:hAnsi="宋体" w:eastAsia="宋体" w:cs="宋体"/>
          <w:snapToGrid w:val="0"/>
          <w:color w:val="auto"/>
          <w:sz w:val="24"/>
          <w:szCs w:val="24"/>
          <w:highlight w:val="none"/>
        </w:rPr>
        <w:t>，未提供认证证书的视为</w:t>
      </w:r>
      <w:r>
        <w:rPr>
          <w:rFonts w:hint="eastAsia" w:ascii="宋体" w:hAnsi="宋体" w:eastAsia="宋体" w:cs="宋体"/>
          <w:b/>
          <w:bCs/>
          <w:snapToGrid w:val="0"/>
          <w:color w:val="auto"/>
          <w:sz w:val="24"/>
          <w:szCs w:val="24"/>
          <w:highlight w:val="none"/>
        </w:rPr>
        <w:t>无效响应</w:t>
      </w:r>
      <w:r>
        <w:rPr>
          <w:rFonts w:hint="eastAsia" w:ascii="宋体" w:hAnsi="宋体" w:eastAsia="宋体" w:cs="宋体"/>
          <w:snapToGrid w:val="0"/>
          <w:color w:val="auto"/>
          <w:sz w:val="24"/>
          <w:szCs w:val="24"/>
          <w:highlight w:val="none"/>
        </w:rPr>
        <w:t>。属于</w:t>
      </w:r>
      <w:r>
        <w:rPr>
          <w:rFonts w:hint="eastAsia" w:ascii="宋体" w:hAnsi="宋体" w:eastAsia="宋体" w:cs="宋体"/>
          <w:snapToGrid w:val="0"/>
          <w:color w:val="auto"/>
          <w:sz w:val="24"/>
          <w:szCs w:val="24"/>
          <w:highlight w:val="none"/>
          <w:lang w:val="en-US" w:eastAsia="zh-CN"/>
        </w:rPr>
        <w:t>优先采购</w:t>
      </w:r>
      <w:r>
        <w:rPr>
          <w:rFonts w:hint="eastAsia" w:ascii="宋体" w:hAnsi="宋体" w:eastAsia="宋体" w:cs="宋体"/>
          <w:snapToGrid w:val="0"/>
          <w:color w:val="auto"/>
          <w:sz w:val="24"/>
          <w:szCs w:val="24"/>
          <w:highlight w:val="none"/>
        </w:rPr>
        <w:t>节能产品政府采购品目清单、环境标志产品政府采购品目清单</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创新产品</w:t>
      </w:r>
      <w:r>
        <w:rPr>
          <w:rFonts w:hint="eastAsia" w:ascii="宋体" w:hAnsi="宋体" w:eastAsia="宋体" w:cs="宋体"/>
          <w:snapToGrid w:val="0"/>
          <w:color w:val="auto"/>
          <w:sz w:val="24"/>
          <w:szCs w:val="24"/>
          <w:highlight w:val="none"/>
        </w:rPr>
        <w:t>范围的，按照“</w:t>
      </w:r>
      <w:r>
        <w:rPr>
          <w:rFonts w:hint="eastAsia" w:ascii="宋体" w:hAnsi="宋体" w:eastAsia="宋体" w:cs="宋体"/>
          <w:snapToGrid w:val="0"/>
          <w:color w:val="auto"/>
          <w:sz w:val="24"/>
          <w:szCs w:val="24"/>
          <w:highlight w:val="none"/>
          <w:lang w:val="en-US" w:eastAsia="zh-CN"/>
        </w:rPr>
        <w:t>第四章 评审方法及标准</w:t>
      </w:r>
      <w:r>
        <w:rPr>
          <w:rFonts w:hint="eastAsia" w:ascii="宋体" w:hAnsi="宋体" w:eastAsia="宋体" w:cs="宋体"/>
          <w:snapToGrid w:val="0"/>
          <w:color w:val="auto"/>
          <w:sz w:val="24"/>
          <w:szCs w:val="24"/>
          <w:highlight w:val="none"/>
        </w:rPr>
        <w:t>”中相关规定</w:t>
      </w:r>
      <w:r>
        <w:rPr>
          <w:rFonts w:hint="eastAsia" w:ascii="宋体" w:hAnsi="宋体" w:eastAsia="宋体" w:cs="宋体"/>
          <w:color w:val="auto"/>
          <w:sz w:val="24"/>
          <w:szCs w:val="24"/>
          <w:highlight w:val="none"/>
          <w:lang w:val="en-US" w:eastAsia="zh-CN"/>
        </w:rPr>
        <w:t>在评审时给予价格评审优惠，具体详见</w:t>
      </w:r>
      <w:r>
        <w:rPr>
          <w:rFonts w:hint="eastAsia" w:ascii="宋体" w:hAnsi="宋体" w:eastAsia="宋体" w:cs="宋体"/>
          <w:snapToGrid w:val="0"/>
          <w:color w:val="auto"/>
          <w:sz w:val="24"/>
          <w:szCs w:val="24"/>
          <w:highlight w:val="none"/>
          <w:lang w:val="en-US" w:eastAsia="zh-CN"/>
        </w:rPr>
        <w:t>“供应商须知前附表”及</w:t>
      </w:r>
      <w:r>
        <w:rPr>
          <w:rFonts w:hint="eastAsia" w:ascii="宋体" w:hAnsi="宋体" w:eastAsia="宋体" w:cs="宋体"/>
          <w:color w:val="auto"/>
          <w:sz w:val="24"/>
          <w:szCs w:val="24"/>
          <w:highlight w:val="none"/>
          <w:lang w:val="en-US" w:eastAsia="zh-CN"/>
        </w:rPr>
        <w:t>“第四章 评审方法及标准”</w:t>
      </w:r>
      <w:r>
        <w:rPr>
          <w:rFonts w:hint="eastAsia" w:ascii="宋体" w:hAnsi="宋体" w:eastAsia="宋体" w:cs="宋体"/>
          <w:color w:val="auto"/>
          <w:sz w:val="24"/>
          <w:szCs w:val="24"/>
          <w:highlight w:val="none"/>
        </w:rPr>
        <w:t>。</w:t>
      </w:r>
    </w:p>
    <w:p w14:paraId="17C511E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44.正版软件</w:t>
      </w:r>
    </w:p>
    <w:p w14:paraId="1F0E8307">
      <w:pPr>
        <w:pStyle w:val="33"/>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snapToGrid w:val="0"/>
          <w:color w:val="auto"/>
          <w:sz w:val="24"/>
          <w:szCs w:val="24"/>
          <w:highlight w:val="none"/>
          <w:lang w:val="en-US" w:eastAsia="zh-CN"/>
        </w:rPr>
        <w:t>响应无效</w:t>
      </w:r>
      <w:r>
        <w:rPr>
          <w:rFonts w:hint="eastAsia" w:ascii="宋体" w:hAnsi="宋体" w:eastAsia="宋体" w:cs="宋体"/>
          <w:snapToGrid w:val="0"/>
          <w:color w:val="auto"/>
          <w:sz w:val="24"/>
          <w:szCs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3480636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65060989">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 xml:space="preserve">45.网络安全专用产品 </w:t>
      </w:r>
    </w:p>
    <w:p w14:paraId="13C08773">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4911AC78">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w:t>
      </w:r>
    </w:p>
    <w:p w14:paraId="05D0648E">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 xml:space="preserve">46.采购需求标准 </w:t>
      </w:r>
    </w:p>
    <w:bookmarkEnd w:id="401"/>
    <w:bookmarkEnd w:id="402"/>
    <w:bookmarkEnd w:id="403"/>
    <w:bookmarkEnd w:id="404"/>
    <w:bookmarkEnd w:id="405"/>
    <w:p w14:paraId="1251808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bookmarkStart w:id="419" w:name="_Toc109899993"/>
      <w:bookmarkStart w:id="420" w:name="_Toc109899574"/>
      <w:bookmarkStart w:id="421" w:name="_Toc109897475"/>
      <w:bookmarkStart w:id="422" w:name="_Toc109900412"/>
      <w:bookmarkStart w:id="423" w:name="_Toc163493622"/>
      <w:r>
        <w:rPr>
          <w:rFonts w:hint="eastAsia" w:ascii="宋体" w:hAnsi="宋体" w:eastAsia="宋体" w:cs="宋体"/>
          <w:snapToGrid w:val="0"/>
          <w:color w:val="auto"/>
          <w:sz w:val="24"/>
          <w:szCs w:val="24"/>
          <w:highlight w:val="none"/>
          <w:lang w:val="en-US" w:eastAsia="zh-CN"/>
        </w:rPr>
        <w:t xml:space="preserve">46.1 商品包装、快递包装政府采购需求标准（试行） </w:t>
      </w:r>
    </w:p>
    <w:p w14:paraId="527BC2D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为助力打好污染防治攻坚战，推广使用绿色包装，根据财政部关于印发《商品包装政府采购需求标准（试行）》、《快递包装政府采购需求标准（试行）》的通知（财办库〔2020〕123 号），本项目如涉及商品包装和快递包装的，则其具体要求见“第三章 项目采购需求”。 </w:t>
      </w:r>
    </w:p>
    <w:p w14:paraId="088B5DEF">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46.2 绿色数据中心政府采购需求标准（试行） </w:t>
      </w:r>
    </w:p>
    <w:p w14:paraId="2BAD2545">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为加快数据中心绿色转型，根据财政部 生态环境部 工业和信息化部关于印发《绿色数据中心政府采购需求标准（试行）》的通知（财库〔2023〕7 号），本项目如涉及绿色数据中心，则具体要求见“第三章 项目采购需求”。 </w:t>
      </w:r>
    </w:p>
    <w:p w14:paraId="33C6F27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46.3台式计算机政府采购需求标准</w:t>
      </w:r>
    </w:p>
    <w:p w14:paraId="7FE94F3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工业和信息化部关于印发《台式计算机政府采购需求标准（2023年版）》的通知（财库〔2023〕29号），本项目如涉及台式计算机采购，则具体要求见“第三章 项目采购需求”。</w:t>
      </w:r>
    </w:p>
    <w:p w14:paraId="683C9A6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46.4便携式计算机政府采购需求标准</w:t>
      </w:r>
    </w:p>
    <w:p w14:paraId="56D621A3">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工业和信息化部关于印发《便携式计算机政府采购需求标准（2023年版）》的通知（财库〔2023〕30号），本项目如涉及便携式计算机采购，则具体要求见“第三章 项目采购需求”。</w:t>
      </w:r>
    </w:p>
    <w:p w14:paraId="48ED666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46.5一体式计算机政府采购需求标准</w:t>
      </w:r>
    </w:p>
    <w:p w14:paraId="7A06F60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工业和信息化部关于印发《一体式计算机政府采购需求标准（2023年版）》的通知（财库〔2023〕31号），本项目如涉及一体式计算机采购，则具体要求见“第三章 项目采购需求”。</w:t>
      </w:r>
    </w:p>
    <w:p w14:paraId="6AA36A4C">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46.6工作站政府采购需求标准</w:t>
      </w:r>
    </w:p>
    <w:p w14:paraId="401E4836">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工业和信息化部关于印发《工作站政府采购需求标准（2023年版）》的通知（财库〔2023〕32号），本项目如涉及工作站采购，则具体要求见“第三章 项目采购需求”。</w:t>
      </w:r>
    </w:p>
    <w:p w14:paraId="6AA55F4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46.7通用服务器政府采购需求标准</w:t>
      </w:r>
    </w:p>
    <w:p w14:paraId="6FE6FE7A">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工业和信息化部关于印发《通用服务器政府采购需求标准（2023年版）》的通知（财库〔2023〕33号），本项目如涉及通用服务器采购，则具体要求见“第三章 项目采购需求”。</w:t>
      </w:r>
    </w:p>
    <w:p w14:paraId="5E799E3E">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46.8操作系统政府采购需求标准</w:t>
      </w:r>
    </w:p>
    <w:p w14:paraId="71E70859">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工业和信息化部关于印发《操作系统政府采购需求标准（2023年版）》的通知（财库〔2023〕34号），本项目如涉及操作系统采购，则具体要求见“第三章 项目采购需求”。</w:t>
      </w:r>
    </w:p>
    <w:p w14:paraId="757FBE3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46.9数据库政府采购需求标准</w:t>
      </w:r>
    </w:p>
    <w:p w14:paraId="4096E2F1">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工业和信息化部关于印发《数据库政府采购需求标准（2023年版）》的通知（财库〔2023〕35号），本项目如涉及数据库采购，则具体要求见“第三章 项目采购需求”。</w:t>
      </w:r>
    </w:p>
    <w:p w14:paraId="0F23144D">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46.10物业管理服务政府采购需求标准（办公场所类）（试行）</w:t>
      </w:r>
    </w:p>
    <w:p w14:paraId="0169F247">
      <w:pPr>
        <w:pStyle w:val="3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第三章 项目采购需求”。</w:t>
      </w:r>
    </w:p>
    <w:p w14:paraId="38AF6858">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4" w:name="_Toc19429"/>
      <w:bookmarkStart w:id="425" w:name="_Toc22249"/>
      <w:r>
        <w:rPr>
          <w:rFonts w:hint="eastAsia" w:ascii="宋体" w:hAnsi="宋体" w:eastAsia="宋体" w:cs="宋体"/>
          <w:b/>
          <w:bCs/>
          <w:color w:val="auto"/>
          <w:kern w:val="2"/>
          <w:sz w:val="24"/>
          <w:szCs w:val="24"/>
          <w:highlight w:val="none"/>
          <w:lang w:val="en-US" w:eastAsia="zh-CN" w:bidi="ar-SA"/>
        </w:rPr>
        <w:t>（十四）政府采购合同融资政策</w:t>
      </w:r>
      <w:bookmarkEnd w:id="419"/>
      <w:bookmarkEnd w:id="420"/>
      <w:bookmarkEnd w:id="421"/>
      <w:bookmarkEnd w:id="422"/>
      <w:bookmarkEnd w:id="423"/>
      <w:bookmarkEnd w:id="424"/>
      <w:bookmarkEnd w:id="425"/>
    </w:p>
    <w:p w14:paraId="78CE466D">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6" w:name="_Toc161600345"/>
      <w:bookmarkStart w:id="427" w:name="_Toc109897476"/>
      <w:r>
        <w:rPr>
          <w:rFonts w:hint="eastAsia" w:ascii="宋体" w:hAnsi="宋体" w:eastAsia="宋体" w:cs="宋体"/>
          <w:b/>
          <w:bCs/>
          <w:color w:val="auto"/>
          <w:kern w:val="2"/>
          <w:sz w:val="24"/>
          <w:szCs w:val="24"/>
          <w:highlight w:val="none"/>
          <w:lang w:val="en-US" w:eastAsia="zh-CN" w:bidi="ar-SA"/>
        </w:rPr>
        <w:t>47.政府采购合同融资政策</w:t>
      </w:r>
      <w:bookmarkEnd w:id="426"/>
    </w:p>
    <w:p w14:paraId="59269D30">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.1政府采购合同融资政策：见供应商须知前附表。</w:t>
      </w:r>
    </w:p>
    <w:p w14:paraId="032E5A3C">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8" w:name="_Toc163493623"/>
      <w:bookmarkStart w:id="429" w:name="_Toc32410"/>
      <w:bookmarkStart w:id="430" w:name="_Toc109900413"/>
      <w:bookmarkStart w:id="431" w:name="_Toc22301"/>
      <w:bookmarkStart w:id="432" w:name="_Toc109899575"/>
      <w:bookmarkStart w:id="433" w:name="_Toc109899994"/>
      <w:r>
        <w:rPr>
          <w:rFonts w:hint="eastAsia" w:ascii="宋体" w:hAnsi="宋体" w:eastAsia="宋体" w:cs="宋体"/>
          <w:b/>
          <w:bCs/>
          <w:color w:val="auto"/>
          <w:kern w:val="2"/>
          <w:sz w:val="24"/>
          <w:szCs w:val="24"/>
          <w:highlight w:val="none"/>
          <w:lang w:val="en-US" w:eastAsia="zh-CN" w:bidi="ar-SA"/>
        </w:rPr>
        <w:t>（十五）其他</w:t>
      </w:r>
      <w:bookmarkEnd w:id="427"/>
      <w:bookmarkEnd w:id="428"/>
      <w:bookmarkEnd w:id="429"/>
      <w:bookmarkEnd w:id="430"/>
      <w:bookmarkEnd w:id="431"/>
      <w:bookmarkEnd w:id="432"/>
      <w:bookmarkEnd w:id="433"/>
    </w:p>
    <w:p w14:paraId="0C2C4C1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34" w:name="_Toc161600347"/>
      <w:r>
        <w:rPr>
          <w:rFonts w:hint="eastAsia" w:ascii="宋体" w:hAnsi="宋体" w:eastAsia="宋体" w:cs="宋体"/>
          <w:b/>
          <w:bCs/>
          <w:color w:val="auto"/>
          <w:kern w:val="2"/>
          <w:sz w:val="24"/>
          <w:szCs w:val="24"/>
          <w:highlight w:val="none"/>
          <w:lang w:val="en-US" w:eastAsia="zh-CN" w:bidi="ar-SA"/>
        </w:rPr>
        <w:t>48.需要补充的其他内容</w:t>
      </w:r>
      <w:bookmarkEnd w:id="434"/>
    </w:p>
    <w:p w14:paraId="3957C993">
      <w:pPr>
        <w:pStyle w:val="33"/>
        <w:keepNext w:val="0"/>
        <w:keepLines w:val="0"/>
        <w:pageBreakBefore w:val="0"/>
        <w:widowControl w:val="0"/>
        <w:kinsoku/>
        <w:overflowPunct/>
        <w:topLinePunct w:val="0"/>
        <w:bidi w:val="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.1需要补充的其他内容：见供应商须知前附表。</w:t>
      </w:r>
    </w:p>
    <w:p w14:paraId="740594BA">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35" w:name="_Toc109900414"/>
      <w:bookmarkStart w:id="436" w:name="_Toc109897477"/>
      <w:bookmarkStart w:id="437" w:name="_Toc109899995"/>
      <w:bookmarkStart w:id="438" w:name="_Toc109899576"/>
      <w:r>
        <w:rPr>
          <w:rFonts w:hint="eastAsia" w:ascii="宋体" w:hAnsi="宋体" w:eastAsia="宋体" w:cs="宋体"/>
          <w:b/>
          <w:bCs/>
          <w:color w:val="auto"/>
          <w:kern w:val="2"/>
          <w:sz w:val="24"/>
          <w:szCs w:val="24"/>
          <w:highlight w:val="none"/>
          <w:lang w:val="en-US" w:eastAsia="zh-CN" w:bidi="ar-SA"/>
        </w:rPr>
        <w:t>49.适用法律</w:t>
      </w:r>
      <w:bookmarkEnd w:id="435"/>
      <w:bookmarkEnd w:id="436"/>
      <w:bookmarkEnd w:id="437"/>
      <w:bookmarkEnd w:id="438"/>
    </w:p>
    <w:p w14:paraId="48B6B3FD">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4</w:t>
      </w:r>
      <w:r>
        <w:rPr>
          <w:rFonts w:hint="eastAsia" w:ascii="宋体" w:hAnsi="宋体" w:eastAsia="宋体" w:cs="宋体"/>
          <w:snapToGrid w:val="0"/>
          <w:color w:val="auto"/>
          <w:sz w:val="24"/>
          <w:szCs w:val="24"/>
          <w:highlight w:val="none"/>
          <w:lang w:val="en-US" w:eastAsia="zh-CN"/>
        </w:rPr>
        <w:t>9</w:t>
      </w:r>
      <w:r>
        <w:rPr>
          <w:rFonts w:hint="eastAsia" w:ascii="宋体" w:hAnsi="宋体" w:eastAsia="宋体" w:cs="宋体"/>
          <w:snapToGrid w:val="0"/>
          <w:color w:val="auto"/>
          <w:sz w:val="24"/>
          <w:szCs w:val="24"/>
          <w:highlight w:val="none"/>
          <w:lang w:val="zh-CN"/>
        </w:rPr>
        <w:t>.1采购人、采购代理机构及供应商的一切采购活动均适用《</w:t>
      </w:r>
      <w:r>
        <w:rPr>
          <w:rFonts w:hint="eastAsia" w:ascii="宋体" w:hAnsi="宋体" w:eastAsia="宋体" w:cs="宋体"/>
          <w:snapToGrid w:val="0"/>
          <w:color w:val="auto"/>
          <w:sz w:val="24"/>
          <w:szCs w:val="24"/>
          <w:highlight w:val="none"/>
        </w:rPr>
        <w:t>中华人民共和国</w:t>
      </w:r>
      <w:r>
        <w:rPr>
          <w:rFonts w:hint="eastAsia" w:ascii="宋体" w:hAnsi="宋体" w:eastAsia="宋体" w:cs="宋体"/>
          <w:snapToGrid w:val="0"/>
          <w:color w:val="auto"/>
          <w:sz w:val="24"/>
          <w:szCs w:val="24"/>
          <w:highlight w:val="none"/>
          <w:lang w:val="zh-CN"/>
        </w:rPr>
        <w:t>政府采购法》、《</w:t>
      </w:r>
      <w:r>
        <w:rPr>
          <w:rFonts w:hint="eastAsia" w:ascii="宋体" w:hAnsi="宋体" w:eastAsia="宋体" w:cs="宋体"/>
          <w:snapToGrid w:val="0"/>
          <w:color w:val="auto"/>
          <w:sz w:val="24"/>
          <w:szCs w:val="24"/>
          <w:highlight w:val="none"/>
        </w:rPr>
        <w:t>中华人民共和国</w:t>
      </w:r>
      <w:r>
        <w:rPr>
          <w:rFonts w:hint="eastAsia" w:ascii="宋体" w:hAnsi="宋体" w:eastAsia="宋体" w:cs="宋体"/>
          <w:snapToGrid w:val="0"/>
          <w:color w:val="auto"/>
          <w:sz w:val="24"/>
          <w:szCs w:val="24"/>
          <w:highlight w:val="none"/>
          <w:lang w:val="zh-CN"/>
        </w:rPr>
        <w:t>政府采购法实施条例》、</w:t>
      </w:r>
      <w:r>
        <w:rPr>
          <w:rFonts w:hint="eastAsia" w:ascii="宋体" w:hAnsi="宋体" w:eastAsia="宋体" w:cs="宋体"/>
          <w:color w:val="auto"/>
          <w:sz w:val="24"/>
          <w:szCs w:val="24"/>
          <w:highlight w:val="none"/>
        </w:rPr>
        <w:t>《政府采购竞争性磋商采购方式管理暂行办法》（财库〔2014〕214号）</w:t>
      </w:r>
      <w:r>
        <w:rPr>
          <w:rFonts w:hint="eastAsia" w:ascii="宋体" w:hAnsi="宋体" w:eastAsia="宋体" w:cs="宋体"/>
          <w:snapToGrid w:val="0"/>
          <w:color w:val="auto"/>
          <w:sz w:val="24"/>
          <w:szCs w:val="24"/>
          <w:highlight w:val="none"/>
          <w:lang w:val="zh-CN"/>
        </w:rPr>
        <w:t>及相关法律法规。</w:t>
      </w:r>
    </w:p>
    <w:p w14:paraId="7EF83039">
      <w:pPr>
        <w:pStyle w:val="33"/>
        <w:keepNext w:val="0"/>
        <w:keepLines w:val="0"/>
        <w:pageBreakBefore w:val="0"/>
        <w:widowControl w:val="0"/>
        <w:kinsoku/>
        <w:overflowPunct/>
        <w:topLinePunct w:val="0"/>
        <w:bidi w:val="0"/>
        <w:ind w:firstLine="48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lang w:val="zh-CN"/>
        </w:rPr>
        <w:t>4</w:t>
      </w:r>
      <w:r>
        <w:rPr>
          <w:rFonts w:hint="eastAsia" w:ascii="宋体" w:hAnsi="宋体" w:eastAsia="宋体" w:cs="宋体"/>
          <w:snapToGrid w:val="0"/>
          <w:color w:val="auto"/>
          <w:sz w:val="24"/>
          <w:szCs w:val="24"/>
          <w:highlight w:val="none"/>
          <w:lang w:val="en-US" w:eastAsia="zh-CN"/>
        </w:rPr>
        <w:t>9</w:t>
      </w:r>
      <w:r>
        <w:rPr>
          <w:rFonts w:hint="eastAsia" w:ascii="宋体" w:hAnsi="宋体" w:eastAsia="宋体" w:cs="宋体"/>
          <w:snapToGrid w:val="0"/>
          <w:color w:val="auto"/>
          <w:sz w:val="24"/>
          <w:szCs w:val="24"/>
          <w:highlight w:val="none"/>
          <w:lang w:val="zh-CN"/>
        </w:rPr>
        <w:t>.2政府采购合同的履行、违约责任和解决争议的方法等适用《</w:t>
      </w:r>
      <w:r>
        <w:rPr>
          <w:rFonts w:hint="eastAsia" w:ascii="宋体" w:hAnsi="宋体" w:eastAsia="宋体" w:cs="宋体"/>
          <w:snapToGrid w:val="0"/>
          <w:color w:val="auto"/>
          <w:sz w:val="24"/>
          <w:szCs w:val="24"/>
          <w:highlight w:val="none"/>
        </w:rPr>
        <w:t>中华人民共和国</w:t>
      </w:r>
      <w:r>
        <w:rPr>
          <w:rFonts w:hint="eastAsia" w:ascii="宋体" w:hAnsi="宋体" w:eastAsia="宋体" w:cs="宋体"/>
          <w:snapToGrid w:val="0"/>
          <w:color w:val="auto"/>
          <w:sz w:val="24"/>
          <w:szCs w:val="24"/>
          <w:highlight w:val="none"/>
          <w:lang w:val="zh-CN"/>
        </w:rPr>
        <w:t>民法典》。</w:t>
      </w:r>
    </w:p>
    <w:p w14:paraId="5A914310">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6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39" w:name="_Toc155185887"/>
      <w:bookmarkStart w:id="440" w:name="_Toc161600349"/>
      <w:r>
        <w:rPr>
          <w:rFonts w:hint="eastAsia" w:ascii="宋体" w:hAnsi="宋体" w:eastAsia="宋体" w:cs="宋体"/>
          <w:b/>
          <w:bCs/>
          <w:color w:val="auto"/>
          <w:kern w:val="2"/>
          <w:sz w:val="24"/>
          <w:szCs w:val="24"/>
          <w:highlight w:val="none"/>
          <w:lang w:val="en-US" w:eastAsia="zh-CN" w:bidi="ar-SA"/>
        </w:rPr>
        <w:t>50.解释权</w:t>
      </w:r>
      <w:bookmarkEnd w:id="439"/>
      <w:bookmarkEnd w:id="440"/>
    </w:p>
    <w:p w14:paraId="5C6D27F8">
      <w:pPr>
        <w:pStyle w:val="33"/>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rPr>
      </w:pPr>
      <w:r>
        <w:rPr>
          <w:rFonts w:hint="eastAsia" w:ascii="宋体" w:hAnsi="宋体" w:eastAsia="宋体" w:cs="宋体"/>
          <w:snapToGrid w:val="0"/>
          <w:color w:val="auto"/>
          <w:sz w:val="24"/>
          <w:szCs w:val="24"/>
          <w:highlight w:val="none"/>
          <w:lang w:val="en-US" w:eastAsia="zh-CN"/>
        </w:rPr>
        <w:t>50</w:t>
      </w:r>
      <w:r>
        <w:rPr>
          <w:rFonts w:hint="eastAsia" w:ascii="宋体" w:hAnsi="宋体" w:eastAsia="宋体" w:cs="宋体"/>
          <w:snapToGrid w:val="0"/>
          <w:color w:val="auto"/>
          <w:sz w:val="24"/>
          <w:szCs w:val="24"/>
          <w:highlight w:val="none"/>
        </w:rPr>
        <w:t>.1本竞争性磋商文件最终解释权归采购人</w:t>
      </w:r>
      <w:r>
        <w:rPr>
          <w:rFonts w:hint="eastAsia" w:eastAsia="宋体"/>
          <w:snapToGrid w:val="0"/>
          <w:color w:val="auto"/>
          <w:sz w:val="24"/>
          <w:highlight w:val="none"/>
        </w:rPr>
        <w:t>或采购代理机构所有。</w:t>
      </w:r>
    </w:p>
    <w:p w14:paraId="0F169FC7">
      <w:pPr>
        <w:pStyle w:val="33"/>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rPr>
      </w:pPr>
    </w:p>
    <w:p w14:paraId="39B2275E">
      <w:pPr>
        <w:pStyle w:val="2"/>
        <w:keepNext w:val="0"/>
        <w:keepLines w:val="0"/>
        <w:pageBreakBefore/>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441" w:name="_Toc494"/>
      <w:r>
        <w:rPr>
          <w:rFonts w:hint="eastAsia" w:ascii="宋体" w:hAnsi="宋体" w:eastAsia="宋体" w:cs="宋体"/>
          <w:b/>
          <w:bCs/>
          <w:color w:val="auto"/>
          <w:kern w:val="44"/>
          <w:sz w:val="36"/>
          <w:szCs w:val="36"/>
          <w:highlight w:val="none"/>
          <w:lang w:val="en-US" w:eastAsia="zh-CN" w:bidi="ar-SA"/>
        </w:rPr>
        <w:t>第三章 项目采购需求</w:t>
      </w:r>
      <w:bookmarkEnd w:id="441"/>
    </w:p>
    <w:p w14:paraId="74BCECBF">
      <w:pPr>
        <w:pStyle w:val="3"/>
        <w:pageBreakBefore w:val="0"/>
        <w:kinsoku/>
        <w:overflowPunct/>
        <w:bidi w:val="0"/>
        <w:spacing w:before="0" w:beforeAutospacing="0" w:after="0" w:afterAutospacing="0" w:line="560" w:lineRule="exact"/>
        <w:ind w:left="0" w:leftChars="0" w:right="0" w:rightChars="0" w:firstLine="562" w:firstLineChars="200"/>
        <w:rPr>
          <w:rFonts w:hint="eastAsia"/>
          <w:sz w:val="28"/>
          <w:szCs w:val="28"/>
          <w:highlight w:val="none"/>
          <w:lang w:val="en-US" w:eastAsia="zh-CN"/>
        </w:rPr>
      </w:pPr>
      <w:bookmarkStart w:id="442" w:name="_Toc24725"/>
      <w:bookmarkStart w:id="443" w:name="_Toc163492886"/>
      <w:bookmarkStart w:id="444" w:name="_Toc140132812"/>
      <w:bookmarkStart w:id="445" w:name="_Toc155185889"/>
      <w:r>
        <w:rPr>
          <w:rFonts w:hint="eastAsia"/>
          <w:sz w:val="28"/>
          <w:szCs w:val="28"/>
          <w:highlight w:val="none"/>
          <w:lang w:val="en-US" w:eastAsia="zh-CN"/>
        </w:rPr>
        <w:t>一、采购标的</w:t>
      </w:r>
      <w:bookmarkEnd w:id="442"/>
      <w:r>
        <w:rPr>
          <w:rFonts w:hint="eastAsia"/>
          <w:sz w:val="28"/>
          <w:szCs w:val="28"/>
          <w:highlight w:val="none"/>
          <w:lang w:val="en-US" w:eastAsia="zh-CN"/>
        </w:rPr>
        <w:t xml:space="preserve"> </w:t>
      </w:r>
    </w:p>
    <w:tbl>
      <w:tblPr>
        <w:tblStyle w:val="27"/>
        <w:tblW w:w="8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2155"/>
        <w:gridCol w:w="821"/>
        <w:gridCol w:w="842"/>
        <w:gridCol w:w="796"/>
        <w:gridCol w:w="1826"/>
        <w:gridCol w:w="1386"/>
      </w:tblGrid>
      <w:tr w14:paraId="6C62C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756" w:type="dxa"/>
            <w:vMerge w:val="restart"/>
            <w:noWrap w:val="0"/>
            <w:vAlign w:val="center"/>
          </w:tcPr>
          <w:p w14:paraId="106EF20C">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序号</w:t>
            </w:r>
          </w:p>
        </w:tc>
        <w:tc>
          <w:tcPr>
            <w:tcW w:w="2155" w:type="dxa"/>
            <w:vMerge w:val="restart"/>
            <w:tcBorders>
              <w:bottom w:val="single" w:color="auto" w:sz="4" w:space="0"/>
            </w:tcBorders>
            <w:noWrap w:val="0"/>
            <w:vAlign w:val="center"/>
          </w:tcPr>
          <w:p w14:paraId="53F74750">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标的名称</w:t>
            </w:r>
          </w:p>
        </w:tc>
        <w:tc>
          <w:tcPr>
            <w:tcW w:w="821" w:type="dxa"/>
            <w:noWrap w:val="0"/>
            <w:vAlign w:val="center"/>
          </w:tcPr>
          <w:p w14:paraId="08FCEB60">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计量</w:t>
            </w:r>
          </w:p>
        </w:tc>
        <w:tc>
          <w:tcPr>
            <w:tcW w:w="842" w:type="dxa"/>
            <w:vMerge w:val="restart"/>
            <w:noWrap w:val="0"/>
            <w:vAlign w:val="center"/>
          </w:tcPr>
          <w:p w14:paraId="591442FA">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数量</w:t>
            </w:r>
          </w:p>
        </w:tc>
        <w:tc>
          <w:tcPr>
            <w:tcW w:w="796" w:type="dxa"/>
            <w:noWrap w:val="0"/>
            <w:vAlign w:val="center"/>
          </w:tcPr>
          <w:p w14:paraId="5B9B5A3C">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是否</w:t>
            </w:r>
          </w:p>
        </w:tc>
        <w:tc>
          <w:tcPr>
            <w:tcW w:w="1826" w:type="dxa"/>
            <w:vMerge w:val="restart"/>
            <w:noWrap w:val="0"/>
            <w:vAlign w:val="center"/>
          </w:tcPr>
          <w:p w14:paraId="7A856014">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政府采购品目分类</w:t>
            </w:r>
          </w:p>
        </w:tc>
        <w:tc>
          <w:tcPr>
            <w:tcW w:w="1386" w:type="dxa"/>
            <w:noWrap w:val="0"/>
            <w:vAlign w:val="center"/>
          </w:tcPr>
          <w:p w14:paraId="7D216613">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品目</w:t>
            </w:r>
          </w:p>
        </w:tc>
      </w:tr>
      <w:tr w14:paraId="5BD3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vMerge w:val="continue"/>
            <w:tcBorders>
              <w:right w:val="single" w:color="auto" w:sz="4" w:space="0"/>
            </w:tcBorders>
            <w:noWrap w:val="0"/>
            <w:vAlign w:val="center"/>
          </w:tcPr>
          <w:p w14:paraId="57E23A1F">
            <w:pPr>
              <w:jc w:val="center"/>
              <w:rPr>
                <w:rFonts w:hint="eastAsia" w:ascii="仿宋" w:hAnsi="仿宋" w:eastAsia="仿宋" w:cs="仿宋"/>
                <w:color w:val="auto"/>
                <w:kern w:val="0"/>
                <w:sz w:val="24"/>
                <w:szCs w:val="24"/>
                <w:highlight w:val="none"/>
                <w:u w:val="none"/>
                <w:shd w:val="clear" w:color="auto" w:fill="auto"/>
                <w:lang w:val="en-US" w:eastAsia="zh-CN" w:bidi="ar-SA"/>
              </w:rPr>
            </w:pP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4D115064">
            <w:pPr>
              <w:jc w:val="center"/>
              <w:rPr>
                <w:rFonts w:hint="default" w:ascii="仿宋" w:hAnsi="仿宋" w:eastAsia="仿宋" w:cs="仿宋"/>
                <w:color w:val="auto"/>
                <w:kern w:val="0"/>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452FF412">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单位</w:t>
            </w:r>
          </w:p>
        </w:tc>
        <w:tc>
          <w:tcPr>
            <w:tcW w:w="842" w:type="dxa"/>
            <w:vMerge w:val="continue"/>
            <w:noWrap w:val="0"/>
            <w:vAlign w:val="center"/>
          </w:tcPr>
          <w:p w14:paraId="26421583">
            <w:pPr>
              <w:jc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p>
        </w:tc>
        <w:tc>
          <w:tcPr>
            <w:tcW w:w="796" w:type="dxa"/>
            <w:noWrap w:val="0"/>
            <w:vAlign w:val="center"/>
          </w:tcPr>
          <w:p w14:paraId="2E23EFFC">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进口</w:t>
            </w:r>
          </w:p>
        </w:tc>
        <w:tc>
          <w:tcPr>
            <w:tcW w:w="1826" w:type="dxa"/>
            <w:vMerge w:val="continue"/>
            <w:noWrap w:val="0"/>
            <w:vAlign w:val="center"/>
          </w:tcPr>
          <w:p w14:paraId="5E7B6602">
            <w:pPr>
              <w:jc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p>
        </w:tc>
        <w:tc>
          <w:tcPr>
            <w:tcW w:w="1386" w:type="dxa"/>
            <w:noWrap w:val="0"/>
            <w:vAlign w:val="center"/>
          </w:tcPr>
          <w:p w14:paraId="1AD4ECB5">
            <w:pPr>
              <w:keepNext w:val="0"/>
              <w:keepLines w:val="0"/>
              <w:widowControl/>
              <w:suppressLineNumbers w:val="0"/>
              <w:jc w:val="center"/>
              <w:textAlignment w:val="center"/>
              <w:rPr>
                <w:rFonts w:hint="default" w:ascii="仿宋" w:hAnsi="仿宋" w:eastAsia="仿宋" w:cs="仿宋"/>
                <w:color w:val="auto"/>
                <w:kern w:val="0"/>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分类编码</w:t>
            </w:r>
          </w:p>
        </w:tc>
      </w:tr>
      <w:tr w14:paraId="2FF40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64CD9E46">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2155" w:type="dxa"/>
            <w:vMerge w:val="restart"/>
            <w:tcBorders>
              <w:top w:val="single" w:color="auto" w:sz="4" w:space="0"/>
              <w:left w:val="single" w:color="auto" w:sz="4" w:space="0"/>
              <w:bottom w:val="single" w:color="auto" w:sz="4" w:space="0"/>
              <w:right w:val="single" w:color="auto" w:sz="4" w:space="0"/>
            </w:tcBorders>
            <w:noWrap w:val="0"/>
            <w:vAlign w:val="center"/>
          </w:tcPr>
          <w:p w14:paraId="57779810">
            <w:pPr>
              <w:keepNext w:val="0"/>
              <w:keepLines w:val="0"/>
              <w:widowControl/>
              <w:suppressLineNumbers w:val="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昆仑人民医院2025年办公家具采购项目</w:t>
            </w:r>
          </w:p>
        </w:tc>
        <w:tc>
          <w:tcPr>
            <w:tcW w:w="821" w:type="dxa"/>
            <w:tcBorders>
              <w:left w:val="single" w:color="auto" w:sz="4" w:space="0"/>
            </w:tcBorders>
            <w:noWrap w:val="0"/>
            <w:vAlign w:val="center"/>
          </w:tcPr>
          <w:p w14:paraId="2CFC5BDD">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张</w:t>
            </w:r>
          </w:p>
        </w:tc>
        <w:tc>
          <w:tcPr>
            <w:tcW w:w="842" w:type="dxa"/>
            <w:noWrap w:val="0"/>
            <w:vAlign w:val="center"/>
          </w:tcPr>
          <w:p w14:paraId="06C98A9D">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150</w:t>
            </w:r>
          </w:p>
        </w:tc>
        <w:tc>
          <w:tcPr>
            <w:tcW w:w="796" w:type="dxa"/>
            <w:noWrap w:val="0"/>
            <w:vAlign w:val="center"/>
          </w:tcPr>
          <w:p w14:paraId="4DD474C3">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02431AA3">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办公桌</w:t>
            </w:r>
          </w:p>
        </w:tc>
        <w:tc>
          <w:tcPr>
            <w:tcW w:w="1386" w:type="dxa"/>
            <w:noWrap w:val="0"/>
            <w:vAlign w:val="center"/>
          </w:tcPr>
          <w:p w14:paraId="30E45968">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A05010200</w:t>
            </w:r>
          </w:p>
        </w:tc>
      </w:tr>
      <w:tr w14:paraId="1D292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46D03CA3">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7E485C93">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7E9C5A28">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把</w:t>
            </w:r>
          </w:p>
        </w:tc>
        <w:tc>
          <w:tcPr>
            <w:tcW w:w="842" w:type="dxa"/>
            <w:noWrap w:val="0"/>
            <w:vAlign w:val="center"/>
          </w:tcPr>
          <w:p w14:paraId="59C7CD68">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150</w:t>
            </w:r>
          </w:p>
        </w:tc>
        <w:tc>
          <w:tcPr>
            <w:tcW w:w="796" w:type="dxa"/>
            <w:noWrap w:val="0"/>
            <w:vAlign w:val="center"/>
          </w:tcPr>
          <w:p w14:paraId="09CC4B02">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44EC11AD">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办公椅</w:t>
            </w:r>
          </w:p>
        </w:tc>
        <w:tc>
          <w:tcPr>
            <w:tcW w:w="1386" w:type="dxa"/>
            <w:noWrap w:val="0"/>
            <w:vAlign w:val="center"/>
          </w:tcPr>
          <w:p w14:paraId="374FFCA1">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A05010300</w:t>
            </w:r>
          </w:p>
        </w:tc>
      </w:tr>
      <w:tr w14:paraId="43BE9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24A5E36A">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77DF0E70">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3B4BF18E">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组</w:t>
            </w:r>
          </w:p>
        </w:tc>
        <w:tc>
          <w:tcPr>
            <w:tcW w:w="842" w:type="dxa"/>
            <w:noWrap w:val="0"/>
            <w:vAlign w:val="center"/>
          </w:tcPr>
          <w:p w14:paraId="46B8C17F">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35</w:t>
            </w:r>
          </w:p>
        </w:tc>
        <w:tc>
          <w:tcPr>
            <w:tcW w:w="796" w:type="dxa"/>
            <w:noWrap w:val="0"/>
            <w:vAlign w:val="center"/>
          </w:tcPr>
          <w:p w14:paraId="5CEF90C6">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10E74C65">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文件柜</w:t>
            </w:r>
          </w:p>
        </w:tc>
        <w:tc>
          <w:tcPr>
            <w:tcW w:w="1386" w:type="dxa"/>
            <w:noWrap w:val="0"/>
            <w:vAlign w:val="center"/>
          </w:tcPr>
          <w:p w14:paraId="30E59BD6">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A05010500</w:t>
            </w:r>
          </w:p>
        </w:tc>
      </w:tr>
      <w:tr w14:paraId="084AC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1B259CA9">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4</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142E3D4E">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0197929A">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组</w:t>
            </w:r>
          </w:p>
        </w:tc>
        <w:tc>
          <w:tcPr>
            <w:tcW w:w="842" w:type="dxa"/>
            <w:noWrap w:val="0"/>
            <w:vAlign w:val="center"/>
          </w:tcPr>
          <w:p w14:paraId="16427506">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60</w:t>
            </w:r>
          </w:p>
        </w:tc>
        <w:tc>
          <w:tcPr>
            <w:tcW w:w="796" w:type="dxa"/>
            <w:noWrap w:val="0"/>
            <w:vAlign w:val="center"/>
          </w:tcPr>
          <w:p w14:paraId="1B1539E7">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3194C96B">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钢制文件柜</w:t>
            </w:r>
          </w:p>
        </w:tc>
        <w:tc>
          <w:tcPr>
            <w:tcW w:w="1386" w:type="dxa"/>
            <w:noWrap w:val="0"/>
            <w:vAlign w:val="center"/>
          </w:tcPr>
          <w:p w14:paraId="3DEB3AF7">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A05010500</w:t>
            </w:r>
          </w:p>
        </w:tc>
      </w:tr>
      <w:tr w14:paraId="354C8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73E05164">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75CA489E">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17E322F7">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组</w:t>
            </w:r>
          </w:p>
        </w:tc>
        <w:tc>
          <w:tcPr>
            <w:tcW w:w="842" w:type="dxa"/>
            <w:noWrap w:val="0"/>
            <w:vAlign w:val="center"/>
          </w:tcPr>
          <w:p w14:paraId="40684CAA">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75</w:t>
            </w:r>
          </w:p>
        </w:tc>
        <w:tc>
          <w:tcPr>
            <w:tcW w:w="796" w:type="dxa"/>
            <w:noWrap w:val="0"/>
            <w:vAlign w:val="center"/>
          </w:tcPr>
          <w:p w14:paraId="51B6F43B">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27F4DCA1">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更衣柜</w:t>
            </w:r>
          </w:p>
        </w:tc>
        <w:tc>
          <w:tcPr>
            <w:tcW w:w="1386" w:type="dxa"/>
            <w:noWrap w:val="0"/>
            <w:vAlign w:val="center"/>
          </w:tcPr>
          <w:p w14:paraId="51B648F8">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A05010500</w:t>
            </w:r>
          </w:p>
        </w:tc>
      </w:tr>
      <w:tr w14:paraId="26D14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2B60BB0E">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1B32F2B1">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73BAC3E4">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个</w:t>
            </w:r>
          </w:p>
        </w:tc>
        <w:tc>
          <w:tcPr>
            <w:tcW w:w="842" w:type="dxa"/>
            <w:noWrap w:val="0"/>
            <w:vAlign w:val="center"/>
          </w:tcPr>
          <w:p w14:paraId="05FBEF6A">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29</w:t>
            </w:r>
          </w:p>
        </w:tc>
        <w:tc>
          <w:tcPr>
            <w:tcW w:w="796" w:type="dxa"/>
            <w:noWrap w:val="0"/>
            <w:vAlign w:val="center"/>
          </w:tcPr>
          <w:p w14:paraId="17E16105">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12DFADEC">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沙发</w:t>
            </w:r>
          </w:p>
        </w:tc>
        <w:tc>
          <w:tcPr>
            <w:tcW w:w="1386" w:type="dxa"/>
            <w:noWrap w:val="0"/>
            <w:vAlign w:val="center"/>
          </w:tcPr>
          <w:p w14:paraId="6C5D6DCA">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A05010400</w:t>
            </w:r>
          </w:p>
        </w:tc>
      </w:tr>
      <w:tr w14:paraId="6BCA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4FF92840">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7</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73306C9B">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19EAB984">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个</w:t>
            </w:r>
          </w:p>
        </w:tc>
        <w:tc>
          <w:tcPr>
            <w:tcW w:w="842" w:type="dxa"/>
            <w:noWrap w:val="0"/>
            <w:vAlign w:val="center"/>
          </w:tcPr>
          <w:p w14:paraId="029E112E">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29</w:t>
            </w:r>
          </w:p>
        </w:tc>
        <w:tc>
          <w:tcPr>
            <w:tcW w:w="796" w:type="dxa"/>
            <w:noWrap w:val="0"/>
            <w:vAlign w:val="center"/>
          </w:tcPr>
          <w:p w14:paraId="4F75D9E2">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61346E9B">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茶几</w:t>
            </w:r>
          </w:p>
        </w:tc>
        <w:tc>
          <w:tcPr>
            <w:tcW w:w="1386" w:type="dxa"/>
            <w:noWrap w:val="0"/>
            <w:vAlign w:val="center"/>
          </w:tcPr>
          <w:p w14:paraId="5FBB2165">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A05010200</w:t>
            </w:r>
          </w:p>
        </w:tc>
      </w:tr>
      <w:tr w14:paraId="5AC05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02095593">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8</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3CAAA941">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06A0B1D1">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个</w:t>
            </w:r>
          </w:p>
        </w:tc>
        <w:tc>
          <w:tcPr>
            <w:tcW w:w="842" w:type="dxa"/>
            <w:noWrap w:val="0"/>
            <w:vAlign w:val="center"/>
          </w:tcPr>
          <w:p w14:paraId="63EBCEDA">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7</w:t>
            </w:r>
          </w:p>
        </w:tc>
        <w:tc>
          <w:tcPr>
            <w:tcW w:w="796" w:type="dxa"/>
            <w:noWrap w:val="0"/>
            <w:vAlign w:val="center"/>
          </w:tcPr>
          <w:p w14:paraId="4575FB98">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21B86B80">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保密柜</w:t>
            </w:r>
          </w:p>
        </w:tc>
        <w:tc>
          <w:tcPr>
            <w:tcW w:w="1386" w:type="dxa"/>
            <w:noWrap w:val="0"/>
            <w:vAlign w:val="center"/>
          </w:tcPr>
          <w:p w14:paraId="7E92A44C">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A05010500</w:t>
            </w:r>
          </w:p>
        </w:tc>
      </w:tr>
      <w:tr w14:paraId="03071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756" w:type="dxa"/>
            <w:tcBorders>
              <w:right w:val="single" w:color="auto" w:sz="4" w:space="0"/>
            </w:tcBorders>
            <w:noWrap w:val="0"/>
            <w:vAlign w:val="center"/>
          </w:tcPr>
          <w:p w14:paraId="62A37445">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9</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11A07DDB">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2C062339">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张</w:t>
            </w:r>
          </w:p>
        </w:tc>
        <w:tc>
          <w:tcPr>
            <w:tcW w:w="842" w:type="dxa"/>
            <w:noWrap w:val="0"/>
            <w:vAlign w:val="center"/>
          </w:tcPr>
          <w:p w14:paraId="13EF901C">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30</w:t>
            </w:r>
          </w:p>
        </w:tc>
        <w:tc>
          <w:tcPr>
            <w:tcW w:w="796" w:type="dxa"/>
            <w:noWrap w:val="0"/>
            <w:vAlign w:val="center"/>
          </w:tcPr>
          <w:p w14:paraId="6FAE9C83">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33806417">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条桌</w:t>
            </w:r>
          </w:p>
        </w:tc>
        <w:tc>
          <w:tcPr>
            <w:tcW w:w="1386" w:type="dxa"/>
            <w:noWrap w:val="0"/>
            <w:vAlign w:val="center"/>
          </w:tcPr>
          <w:p w14:paraId="42E405C9">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A05010200</w:t>
            </w:r>
          </w:p>
        </w:tc>
      </w:tr>
      <w:tr w14:paraId="69285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5D0385CC">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10</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5CFC4CD5">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0222FB11">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把</w:t>
            </w:r>
          </w:p>
        </w:tc>
        <w:tc>
          <w:tcPr>
            <w:tcW w:w="842" w:type="dxa"/>
            <w:noWrap w:val="0"/>
            <w:vAlign w:val="center"/>
          </w:tcPr>
          <w:p w14:paraId="296D4701">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60</w:t>
            </w:r>
          </w:p>
        </w:tc>
        <w:tc>
          <w:tcPr>
            <w:tcW w:w="796" w:type="dxa"/>
            <w:noWrap w:val="0"/>
            <w:vAlign w:val="center"/>
          </w:tcPr>
          <w:p w14:paraId="1F55E033">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1D070827">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会议椅</w:t>
            </w:r>
          </w:p>
        </w:tc>
        <w:tc>
          <w:tcPr>
            <w:tcW w:w="1386" w:type="dxa"/>
            <w:noWrap w:val="0"/>
            <w:vAlign w:val="center"/>
          </w:tcPr>
          <w:p w14:paraId="455B027D">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A05010300</w:t>
            </w:r>
          </w:p>
        </w:tc>
      </w:tr>
      <w:tr w14:paraId="40B62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51CD3391">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11</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0A16E479">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79E36E09">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把</w:t>
            </w:r>
          </w:p>
        </w:tc>
        <w:tc>
          <w:tcPr>
            <w:tcW w:w="842" w:type="dxa"/>
            <w:noWrap w:val="0"/>
            <w:vAlign w:val="center"/>
          </w:tcPr>
          <w:p w14:paraId="7AB911A9">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100</w:t>
            </w:r>
          </w:p>
        </w:tc>
        <w:tc>
          <w:tcPr>
            <w:tcW w:w="796" w:type="dxa"/>
            <w:noWrap w:val="0"/>
            <w:vAlign w:val="center"/>
          </w:tcPr>
          <w:p w14:paraId="7EFFE514">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540DBDB9">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接诊椅</w:t>
            </w:r>
          </w:p>
        </w:tc>
        <w:tc>
          <w:tcPr>
            <w:tcW w:w="1386" w:type="dxa"/>
            <w:noWrap w:val="0"/>
            <w:vAlign w:val="center"/>
          </w:tcPr>
          <w:p w14:paraId="4964E360">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A05010300</w:t>
            </w:r>
          </w:p>
        </w:tc>
      </w:tr>
      <w:tr w14:paraId="54343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41CC13A4">
            <w:pPr>
              <w:keepNext w:val="0"/>
              <w:keepLines w:val="0"/>
              <w:widowControl/>
              <w:suppressLineNumbers w:val="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12</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0F69A227">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7055A17E">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把</w:t>
            </w:r>
          </w:p>
        </w:tc>
        <w:tc>
          <w:tcPr>
            <w:tcW w:w="842" w:type="dxa"/>
            <w:noWrap w:val="0"/>
            <w:vAlign w:val="center"/>
          </w:tcPr>
          <w:p w14:paraId="367DC3C6">
            <w:pPr>
              <w:keepNext w:val="0"/>
              <w:keepLines w:val="0"/>
              <w:widowControl/>
              <w:suppressLineNumbers w:val="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100</w:t>
            </w:r>
          </w:p>
        </w:tc>
        <w:tc>
          <w:tcPr>
            <w:tcW w:w="796" w:type="dxa"/>
            <w:noWrap w:val="0"/>
            <w:vAlign w:val="center"/>
          </w:tcPr>
          <w:p w14:paraId="41EF0A7C">
            <w:pPr>
              <w:keepNext w:val="0"/>
              <w:keepLines w:val="0"/>
              <w:widowControl/>
              <w:suppressLineNumbers w:val="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4357D26F">
            <w:pPr>
              <w:keepNext w:val="0"/>
              <w:keepLines w:val="0"/>
              <w:widowControl/>
              <w:suppressLineNumbers w:val="0"/>
              <w:jc w:val="center"/>
              <w:textAlignment w:val="center"/>
              <w:rPr>
                <w:rFonts w:hint="default"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方凳</w:t>
            </w:r>
          </w:p>
        </w:tc>
        <w:tc>
          <w:tcPr>
            <w:tcW w:w="1386" w:type="dxa"/>
            <w:noWrap w:val="0"/>
            <w:vAlign w:val="center"/>
          </w:tcPr>
          <w:p w14:paraId="72A94108">
            <w:pPr>
              <w:keepNext w:val="0"/>
              <w:keepLines w:val="0"/>
              <w:widowControl/>
              <w:suppressLineNumbers w:val="0"/>
              <w:jc w:val="left"/>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A05010300</w:t>
            </w:r>
          </w:p>
        </w:tc>
      </w:tr>
      <w:tr w14:paraId="1CDA9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tcBorders>
              <w:right w:val="single" w:color="auto" w:sz="4" w:space="0"/>
            </w:tcBorders>
            <w:noWrap w:val="0"/>
            <w:vAlign w:val="center"/>
          </w:tcPr>
          <w:p w14:paraId="59A70955">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13</w:t>
            </w:r>
          </w:p>
        </w:tc>
        <w:tc>
          <w:tcPr>
            <w:tcW w:w="2155" w:type="dxa"/>
            <w:vMerge w:val="continue"/>
            <w:tcBorders>
              <w:top w:val="single" w:color="auto" w:sz="4" w:space="0"/>
              <w:left w:val="single" w:color="auto" w:sz="4" w:space="0"/>
              <w:bottom w:val="single" w:color="auto" w:sz="4" w:space="0"/>
              <w:right w:val="single" w:color="auto" w:sz="4" w:space="0"/>
            </w:tcBorders>
            <w:noWrap w:val="0"/>
            <w:vAlign w:val="center"/>
          </w:tcPr>
          <w:p w14:paraId="7E1ABA83">
            <w:pPr>
              <w:jc w:val="center"/>
              <w:rPr>
                <w:rFonts w:hint="eastAsia" w:cstheme="minorBidi"/>
                <w:i w:val="0"/>
                <w:iCs w:val="0"/>
                <w:snapToGrid w:val="0"/>
                <w:color w:val="auto"/>
                <w:kern w:val="2"/>
                <w:sz w:val="24"/>
                <w:szCs w:val="24"/>
                <w:highlight w:val="none"/>
                <w:u w:val="none"/>
                <w:shd w:val="clear" w:color="auto" w:fill="auto"/>
                <w:lang w:val="en-US" w:eastAsia="zh-CN" w:bidi="ar-SA"/>
              </w:rPr>
            </w:pPr>
          </w:p>
        </w:tc>
        <w:tc>
          <w:tcPr>
            <w:tcW w:w="821" w:type="dxa"/>
            <w:tcBorders>
              <w:left w:val="single" w:color="auto" w:sz="4" w:space="0"/>
            </w:tcBorders>
            <w:noWrap w:val="0"/>
            <w:vAlign w:val="center"/>
          </w:tcPr>
          <w:p w14:paraId="2AA89ABB">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米</w:t>
            </w:r>
          </w:p>
        </w:tc>
        <w:tc>
          <w:tcPr>
            <w:tcW w:w="842" w:type="dxa"/>
            <w:noWrap w:val="0"/>
            <w:vAlign w:val="center"/>
          </w:tcPr>
          <w:p w14:paraId="7261166B">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约215</w:t>
            </w:r>
          </w:p>
        </w:tc>
        <w:tc>
          <w:tcPr>
            <w:tcW w:w="796" w:type="dxa"/>
            <w:noWrap w:val="0"/>
            <w:vAlign w:val="center"/>
          </w:tcPr>
          <w:p w14:paraId="1C3EDC0B">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否</w:t>
            </w:r>
          </w:p>
        </w:tc>
        <w:tc>
          <w:tcPr>
            <w:tcW w:w="1826" w:type="dxa"/>
            <w:noWrap w:val="0"/>
            <w:vAlign w:val="center"/>
          </w:tcPr>
          <w:p w14:paraId="2EE00A0C">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操作台（定制）</w:t>
            </w:r>
          </w:p>
        </w:tc>
        <w:tc>
          <w:tcPr>
            <w:tcW w:w="1386" w:type="dxa"/>
            <w:noWrap w:val="0"/>
            <w:vAlign w:val="center"/>
          </w:tcPr>
          <w:p w14:paraId="575D5540">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A05010200</w:t>
            </w:r>
          </w:p>
        </w:tc>
      </w:tr>
    </w:tbl>
    <w:p w14:paraId="3CA3B1C5">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二、商务需求</w:t>
      </w:r>
    </w:p>
    <w:p w14:paraId="31CED940">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sz w:val="28"/>
          <w:szCs w:val="28"/>
          <w:highlight w:val="none"/>
          <w:lang w:val="en-US" w:eastAsia="zh-CN"/>
        </w:rPr>
        <w:t>★</w:t>
      </w:r>
      <w:r>
        <w:rPr>
          <w:rFonts w:hint="eastAsia" w:ascii="仿宋_GB2312" w:hAnsi="仿宋_GB2312" w:eastAsia="仿宋_GB2312" w:cs="仿宋_GB2312"/>
          <w:sz w:val="28"/>
          <w:szCs w:val="28"/>
          <w:highlight w:val="none"/>
          <w:lang w:val="en-US" w:eastAsia="zh-CN"/>
        </w:rPr>
        <w:t>1.质保期：8年</w:t>
      </w:r>
    </w:p>
    <w:p w14:paraId="0093E04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sz w:val="28"/>
          <w:szCs w:val="28"/>
          <w:highlight w:val="none"/>
          <w:lang w:val="en-US" w:eastAsia="zh-CN"/>
        </w:rPr>
        <w:t>★</w:t>
      </w:r>
      <w:r>
        <w:rPr>
          <w:rFonts w:hint="eastAsia" w:ascii="仿宋_GB2312" w:hAnsi="仿宋_GB2312" w:eastAsia="仿宋_GB2312" w:cs="仿宋_GB2312"/>
          <w:sz w:val="28"/>
          <w:szCs w:val="28"/>
          <w:highlight w:val="none"/>
          <w:lang w:val="en-US" w:eastAsia="zh-CN"/>
        </w:rPr>
        <w:t>2.交货期：合同签订后30天内交货</w:t>
      </w:r>
    </w:p>
    <w:p w14:paraId="4F023CD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sz w:val="28"/>
          <w:szCs w:val="28"/>
          <w:highlight w:val="none"/>
          <w:lang w:val="en-US" w:eastAsia="zh-CN"/>
        </w:rPr>
        <w:t>★</w:t>
      </w:r>
      <w:r>
        <w:rPr>
          <w:rFonts w:hint="eastAsia" w:ascii="仿宋_GB2312" w:hAnsi="仿宋_GB2312" w:eastAsia="仿宋_GB2312" w:cs="仿宋_GB2312"/>
          <w:sz w:val="28"/>
          <w:szCs w:val="28"/>
          <w:highlight w:val="none"/>
          <w:lang w:val="en-US" w:eastAsia="zh-CN"/>
        </w:rPr>
        <w:t>3.交货地点：昆仑人民医院指定地点</w:t>
      </w:r>
    </w:p>
    <w:p w14:paraId="7FBF7501">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sz w:val="28"/>
          <w:szCs w:val="28"/>
          <w:highlight w:val="none"/>
          <w:lang w:val="en-US" w:eastAsia="zh-CN"/>
        </w:rPr>
        <w:t>★</w:t>
      </w:r>
      <w:r>
        <w:rPr>
          <w:rFonts w:hint="eastAsia" w:ascii="仿宋_GB2312" w:hAnsi="仿宋_GB2312" w:eastAsia="仿宋_GB2312" w:cs="仿宋_GB2312"/>
          <w:sz w:val="28"/>
          <w:szCs w:val="28"/>
          <w:highlight w:val="none"/>
          <w:lang w:val="en-US" w:eastAsia="zh-CN"/>
        </w:rPr>
        <w:t>4.付款方式及付款条件：验收合格后，凭验收单及发票一次性支付。</w:t>
      </w:r>
    </w:p>
    <w:p w14:paraId="1444FEA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sz w:val="28"/>
          <w:szCs w:val="28"/>
          <w:highlight w:val="none"/>
          <w:lang w:val="en-US" w:eastAsia="zh-CN"/>
        </w:rPr>
        <w:t>★</w:t>
      </w:r>
      <w:r>
        <w:rPr>
          <w:rFonts w:hint="eastAsia" w:ascii="仿宋_GB2312" w:hAnsi="仿宋_GB2312" w:eastAsia="仿宋_GB2312" w:cs="仿宋_GB2312"/>
          <w:sz w:val="28"/>
          <w:szCs w:val="28"/>
          <w:highlight w:val="none"/>
          <w:lang w:val="en-US" w:eastAsia="zh-CN"/>
        </w:rPr>
        <w:t>5.包装和运输：包运输和安装。</w:t>
      </w:r>
    </w:p>
    <w:p w14:paraId="68CF0EE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 xml:space="preserve">6.售后服务（除质保期外）：无。  </w:t>
      </w:r>
    </w:p>
    <w:p w14:paraId="0660A89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7.履约保证金/保函等要求：无。</w:t>
      </w:r>
    </w:p>
    <w:p w14:paraId="5EBCF58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8.其他要求：无。</w:t>
      </w:r>
    </w:p>
    <w:p w14:paraId="3F90EB44">
      <w:pPr>
        <w:pStyle w:val="33"/>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rightChars="0" w:firstLine="562" w:firstLineChars="200"/>
        <w:textAlignment w:val="auto"/>
        <w:rPr>
          <w:rFonts w:hint="eastAsia"/>
          <w:b/>
          <w:bCs/>
          <w:snapToGrid w:val="0"/>
          <w:color w:val="auto"/>
          <w:sz w:val="24"/>
          <w:szCs w:val="24"/>
          <w:highlight w:val="none"/>
          <w:lang w:val="en-US" w:eastAsia="zh-CN"/>
        </w:rPr>
      </w:pPr>
      <w:r>
        <w:rPr>
          <w:rStyle w:val="38"/>
          <w:rFonts w:hint="eastAsia"/>
          <w:sz w:val="28"/>
          <w:szCs w:val="28"/>
          <w:highlight w:val="none"/>
          <w:lang w:val="en-US" w:eastAsia="zh-CN"/>
        </w:rPr>
        <w:t>三、技术要求</w:t>
      </w:r>
    </w:p>
    <w:p w14:paraId="5507E98D">
      <w:pPr>
        <w:pStyle w:val="65"/>
        <w:pageBreakBefore w:val="0"/>
        <w:shd w:val="clear" w:color="auto" w:fill="auto"/>
        <w:kinsoku/>
        <w:wordWrap/>
        <w:overflowPunct/>
        <w:topLinePunct w:val="0"/>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（一）</w:t>
      </w:r>
      <w:r>
        <w:rPr>
          <w:rFonts w:hint="eastAsia" w:ascii="宋体" w:hAnsi="宋体" w:eastAsia="宋体" w:cs="宋体"/>
          <w:color w:val="auto"/>
          <w:sz w:val="24"/>
          <w:highlight w:val="none"/>
          <w:lang w:val="en-US" w:eastAsia="zh-CN"/>
        </w:rPr>
        <w:t xml:space="preserve">采购标的 </w:t>
      </w:r>
    </w:p>
    <w:p w14:paraId="16D52D96">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 xml:space="preserve">1.采购标的 </w:t>
      </w:r>
    </w:p>
    <w:tbl>
      <w:tblPr>
        <w:tblStyle w:val="27"/>
        <w:tblW w:w="963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04"/>
        <w:gridCol w:w="536"/>
        <w:gridCol w:w="761"/>
        <w:gridCol w:w="2206"/>
        <w:gridCol w:w="2324"/>
        <w:gridCol w:w="615"/>
        <w:gridCol w:w="1245"/>
        <w:gridCol w:w="675"/>
        <w:gridCol w:w="870"/>
      </w:tblGrid>
      <w:tr w14:paraId="32E4D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8" w:hRule="atLeast"/>
          <w:tblHeader/>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DB447">
            <w:pPr>
              <w:keepNext w:val="0"/>
              <w:keepLines w:val="0"/>
              <w:widowControl/>
              <w:suppressLineNumbers w:val="0"/>
              <w:jc w:val="center"/>
              <w:textAlignment w:val="center"/>
              <w:rPr>
                <w:rFonts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序号</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FE8A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采购名称</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1245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规格</w:t>
            </w:r>
          </w:p>
        </w:tc>
        <w:tc>
          <w:tcPr>
            <w:tcW w:w="22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AA52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参考图片</w:t>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8ED2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参   数</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3FE5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单位</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C053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计划采购数量</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0093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单价</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11841">
            <w:pPr>
              <w:keepNext w:val="0"/>
              <w:keepLines w:val="0"/>
              <w:widowControl/>
              <w:suppressLineNumbers w:val="0"/>
              <w:jc w:val="center"/>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金额</w:t>
            </w:r>
          </w:p>
        </w:tc>
      </w:tr>
      <w:tr w14:paraId="64B9A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6486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FCBA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办公桌</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1A08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1400*700*750mm</w:t>
            </w:r>
          </w:p>
        </w:tc>
        <w:tc>
          <w:tcPr>
            <w:tcW w:w="22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349F1">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lang w:val="en-US" w:eastAsia="zh-CN" w:bidi="ar"/>
              </w:rPr>
              <w:drawing>
                <wp:inline distT="0" distB="0" distL="114300" distR="114300">
                  <wp:extent cx="1303655" cy="2315210"/>
                  <wp:effectExtent l="0" t="0" r="10795" b="8890"/>
                  <wp:docPr id="41" name="图片_4"/>
                  <wp:cNvGraphicFramePr/>
                  <a:graphic xmlns:a="http://schemas.openxmlformats.org/drawingml/2006/main">
                    <a:graphicData uri="http://schemas.openxmlformats.org/drawingml/2006/picture">
                      <pic:pic xmlns:pic="http://schemas.openxmlformats.org/drawingml/2006/picture">
                        <pic:nvPicPr>
                          <pic:cNvPr id="41" name="图片_4"/>
                          <pic:cNvPicPr/>
                        </pic:nvPicPr>
                        <pic:blipFill>
                          <a:blip r:embed="rId11"/>
                          <a:stretch>
                            <a:fillRect/>
                          </a:stretch>
                        </pic:blipFill>
                        <pic:spPr>
                          <a:xfrm>
                            <a:off x="0" y="0"/>
                            <a:ext cx="1303655" cy="231521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8E61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B8F1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张</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B62B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150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98DC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750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F0798">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112500</w:t>
            </w:r>
          </w:p>
        </w:tc>
      </w:tr>
      <w:tr w14:paraId="6EE8F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6"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3FA5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2</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C620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办公椅</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4106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标准</w:t>
            </w:r>
          </w:p>
        </w:tc>
        <w:tc>
          <w:tcPr>
            <w:tcW w:w="22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E148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shd w:val="clear" w:fill="FFFFFF"/>
                <w:lang w:val="en-US" w:eastAsia="zh-CN" w:bidi="ar"/>
              </w:rPr>
              <w:drawing>
                <wp:inline distT="0" distB="0" distL="114300" distR="114300">
                  <wp:extent cx="1347470" cy="1561465"/>
                  <wp:effectExtent l="0" t="0" r="5080" b="635"/>
                  <wp:docPr id="42" name="图片_7"/>
                  <wp:cNvGraphicFramePr/>
                  <a:graphic xmlns:a="http://schemas.openxmlformats.org/drawingml/2006/main">
                    <a:graphicData uri="http://schemas.openxmlformats.org/drawingml/2006/picture">
                      <pic:pic xmlns:pic="http://schemas.openxmlformats.org/drawingml/2006/picture">
                        <pic:nvPicPr>
                          <pic:cNvPr id="42" name="图片_7"/>
                          <pic:cNvPicPr/>
                        </pic:nvPicPr>
                        <pic:blipFill>
                          <a:blip r:embed="rId12"/>
                          <a:stretch>
                            <a:fillRect/>
                          </a:stretch>
                        </pic:blipFill>
                        <pic:spPr>
                          <a:xfrm>
                            <a:off x="0" y="0"/>
                            <a:ext cx="1347470" cy="1561465"/>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5F87B">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86392">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把</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10EF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150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32C1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350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5B5AE">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52500</w:t>
            </w:r>
          </w:p>
        </w:tc>
      </w:tr>
      <w:tr w14:paraId="719E9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6F1B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3</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B12D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文件柜</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0E76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1200*400*2000mm</w:t>
            </w:r>
          </w:p>
        </w:tc>
        <w:tc>
          <w:tcPr>
            <w:tcW w:w="22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A5BF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lang w:val="en-US" w:eastAsia="zh-CN" w:bidi="ar"/>
              </w:rPr>
              <w:drawing>
                <wp:inline distT="0" distB="0" distL="114300" distR="114300">
                  <wp:extent cx="1253490" cy="1824990"/>
                  <wp:effectExtent l="0" t="0" r="3810" b="3810"/>
                  <wp:docPr id="43" name="图片_36"/>
                  <wp:cNvGraphicFramePr/>
                  <a:graphic xmlns:a="http://schemas.openxmlformats.org/drawingml/2006/main">
                    <a:graphicData uri="http://schemas.openxmlformats.org/drawingml/2006/picture">
                      <pic:pic xmlns:pic="http://schemas.openxmlformats.org/drawingml/2006/picture">
                        <pic:nvPicPr>
                          <pic:cNvPr id="43" name="图片_36"/>
                          <pic:cNvPicPr/>
                        </pic:nvPicPr>
                        <pic:blipFill>
                          <a:blip r:embed="rId13"/>
                          <a:stretch>
                            <a:fillRect/>
                          </a:stretch>
                        </pic:blipFill>
                        <pic:spPr>
                          <a:xfrm>
                            <a:off x="0" y="0"/>
                            <a:ext cx="1253490" cy="182499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7FCDE">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DE268">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组</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349B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35</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EF11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850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FC171">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29750</w:t>
            </w:r>
          </w:p>
        </w:tc>
      </w:tr>
      <w:tr w14:paraId="3F2E1E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5"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3C8C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4</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D0AFB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钢制文件柜</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B858BE">
            <w:pPr>
              <w:keepNext w:val="0"/>
              <w:keepLines w:val="0"/>
              <w:widowControl/>
              <w:suppressLineNumbers w:val="0"/>
              <w:jc w:val="center"/>
              <w:textAlignment w:val="center"/>
              <w:rPr>
                <w:rFonts w:hint="default" w:ascii="微软雅黑" w:hAnsi="微软雅黑" w:eastAsia="微软雅黑" w:cs="微软雅黑"/>
                <w:i w:val="0"/>
                <w:iCs w:val="0"/>
                <w:color w:val="000000"/>
                <w:sz w:val="16"/>
                <w:szCs w:val="16"/>
                <w:highlight w:val="none"/>
                <w:u w:val="none"/>
                <w:lang w:val="en-US"/>
              </w:rPr>
            </w:pPr>
            <w:r>
              <w:rPr>
                <w:rFonts w:hint="eastAsia" w:ascii="微软雅黑" w:hAnsi="微软雅黑" w:eastAsia="微软雅黑" w:cs="微软雅黑"/>
                <w:i w:val="0"/>
                <w:iCs w:val="0"/>
                <w:color w:val="000000"/>
                <w:kern w:val="0"/>
                <w:sz w:val="16"/>
                <w:szCs w:val="16"/>
                <w:highlight w:val="none"/>
                <w:u w:val="none"/>
                <w:lang w:val="en-US" w:eastAsia="zh-CN" w:bidi="ar"/>
              </w:rPr>
              <w:t>850*350*1800mm</w:t>
            </w:r>
          </w:p>
        </w:tc>
        <w:tc>
          <w:tcPr>
            <w:tcW w:w="22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AFEA1">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lang w:val="en-US" w:eastAsia="zh-CN" w:bidi="ar"/>
              </w:rPr>
              <w:drawing>
                <wp:inline distT="0" distB="0" distL="114300" distR="114300">
                  <wp:extent cx="1254760" cy="1442720"/>
                  <wp:effectExtent l="0" t="0" r="2540" b="5080"/>
                  <wp:docPr id="44" name="Picture_8"/>
                  <wp:cNvGraphicFramePr/>
                  <a:graphic xmlns:a="http://schemas.openxmlformats.org/drawingml/2006/main">
                    <a:graphicData uri="http://schemas.openxmlformats.org/drawingml/2006/picture">
                      <pic:pic xmlns:pic="http://schemas.openxmlformats.org/drawingml/2006/picture">
                        <pic:nvPicPr>
                          <pic:cNvPr id="44" name="Picture_8"/>
                          <pic:cNvPicPr/>
                        </pic:nvPicPr>
                        <pic:blipFill>
                          <a:blip r:embed="rId14"/>
                          <a:stretch>
                            <a:fillRect/>
                          </a:stretch>
                        </pic:blipFill>
                        <pic:spPr>
                          <a:xfrm>
                            <a:off x="0" y="0"/>
                            <a:ext cx="1254760" cy="144272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B068A">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D596E">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组</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54F8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60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5813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650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6902C">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39000</w:t>
            </w:r>
          </w:p>
        </w:tc>
      </w:tr>
      <w:tr w14:paraId="5C0BF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61"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18BC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5</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2462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更衣柜</w:t>
            </w:r>
          </w:p>
        </w:tc>
        <w:tc>
          <w:tcPr>
            <w:tcW w:w="7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31929">
            <w:pPr>
              <w:keepNext w:val="0"/>
              <w:keepLines w:val="0"/>
              <w:widowControl/>
              <w:suppressLineNumbers w:val="0"/>
              <w:jc w:val="center"/>
              <w:textAlignment w:val="center"/>
              <w:rPr>
                <w:rFonts w:hint="default" w:ascii="微软雅黑" w:hAnsi="微软雅黑" w:eastAsia="微软雅黑" w:cs="微软雅黑"/>
                <w:i w:val="0"/>
                <w:iCs w:val="0"/>
                <w:color w:val="000000"/>
                <w:sz w:val="16"/>
                <w:szCs w:val="16"/>
                <w:highlight w:val="none"/>
                <w:u w:val="none"/>
                <w:lang w:val="en-US"/>
              </w:rPr>
            </w:pPr>
            <w:r>
              <w:rPr>
                <w:rFonts w:hint="eastAsia" w:ascii="微软雅黑" w:hAnsi="微软雅黑" w:eastAsia="微软雅黑" w:cs="微软雅黑"/>
                <w:i w:val="0"/>
                <w:iCs w:val="0"/>
                <w:color w:val="000000"/>
                <w:kern w:val="0"/>
                <w:sz w:val="16"/>
                <w:szCs w:val="16"/>
                <w:highlight w:val="none"/>
                <w:u w:val="none"/>
                <w:lang w:val="en-US" w:eastAsia="zh-CN" w:bidi="ar"/>
              </w:rPr>
              <w:t>1800*850*420mm，六门</w:t>
            </w:r>
          </w:p>
        </w:tc>
        <w:tc>
          <w:tcPr>
            <w:tcW w:w="22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27A66">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lang w:val="en-US" w:eastAsia="zh-CN" w:bidi="ar"/>
              </w:rPr>
              <w:drawing>
                <wp:inline distT="0" distB="0" distL="114300" distR="114300">
                  <wp:extent cx="1399540" cy="1235710"/>
                  <wp:effectExtent l="0" t="0" r="10160" b="2540"/>
                  <wp:docPr id="45" name="图片_5"/>
                  <wp:cNvGraphicFramePr/>
                  <a:graphic xmlns:a="http://schemas.openxmlformats.org/drawingml/2006/main">
                    <a:graphicData uri="http://schemas.openxmlformats.org/drawingml/2006/picture">
                      <pic:pic xmlns:pic="http://schemas.openxmlformats.org/drawingml/2006/picture">
                        <pic:nvPicPr>
                          <pic:cNvPr id="45" name="图片_5"/>
                          <pic:cNvPicPr/>
                        </pic:nvPicPr>
                        <pic:blipFill>
                          <a:blip r:embed="rId15"/>
                          <a:srcRect b="9740"/>
                          <a:stretch>
                            <a:fillRect/>
                          </a:stretch>
                        </pic:blipFill>
                        <pic:spPr>
                          <a:xfrm>
                            <a:off x="0" y="0"/>
                            <a:ext cx="1399540" cy="123571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D7A5E">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650DD">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组</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A150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75</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1188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450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96498">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33750</w:t>
            </w:r>
          </w:p>
        </w:tc>
      </w:tr>
      <w:tr w14:paraId="0F1203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3E4B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6</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D1AE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沙发+茶几</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5A89A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3+1+1</w:t>
            </w:r>
          </w:p>
        </w:tc>
        <w:tc>
          <w:tcPr>
            <w:tcW w:w="22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8D3BB">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shd w:val="clear" w:fill="FFFFFF"/>
                <w:lang w:val="en-US" w:eastAsia="zh-CN" w:bidi="ar"/>
              </w:rPr>
              <w:drawing>
                <wp:inline distT="0" distB="0" distL="114300" distR="114300">
                  <wp:extent cx="1252855" cy="986155"/>
                  <wp:effectExtent l="0" t="0" r="0" b="0"/>
                  <wp:docPr id="40" name="图片_1"/>
                  <wp:cNvGraphicFramePr/>
                  <a:graphic xmlns:a="http://schemas.openxmlformats.org/drawingml/2006/main">
                    <a:graphicData uri="http://schemas.openxmlformats.org/drawingml/2006/picture">
                      <pic:pic xmlns:pic="http://schemas.openxmlformats.org/drawingml/2006/picture">
                        <pic:nvPicPr>
                          <pic:cNvPr id="40" name="图片_1"/>
                          <pic:cNvPicPr/>
                        </pic:nvPicPr>
                        <pic:blipFill>
                          <a:blip r:embed="rId16"/>
                          <a:srcRect t="12328" b="5503"/>
                          <a:stretch>
                            <a:fillRect/>
                          </a:stretch>
                        </pic:blipFill>
                        <pic:spPr>
                          <a:xfrm>
                            <a:off x="0" y="0"/>
                            <a:ext cx="1252855" cy="986155"/>
                          </a:xfrm>
                          <a:prstGeom prst="rect">
                            <a:avLst/>
                          </a:prstGeom>
                          <a:noFill/>
                          <a:ln>
                            <a:noFill/>
                          </a:ln>
                        </pic:spPr>
                      </pic:pic>
                    </a:graphicData>
                  </a:graphic>
                </wp:inline>
              </w:drawing>
            </w:r>
            <w:r>
              <w:rPr>
                <w:rFonts w:hint="eastAsia" w:ascii="微软雅黑" w:hAnsi="微软雅黑" w:eastAsia="微软雅黑" w:cs="微软雅黑"/>
                <w:i w:val="0"/>
                <w:iCs w:val="0"/>
                <w:color w:val="000000"/>
                <w:kern w:val="0"/>
                <w:sz w:val="16"/>
                <w:szCs w:val="16"/>
                <w:highlight w:val="none"/>
                <w:u w:val="none"/>
                <w:bdr w:val="single" w:color="000000" w:sz="4" w:space="0"/>
                <w:shd w:val="clear" w:fill="FFFFFF"/>
                <w:lang w:val="en-US" w:eastAsia="zh-CN" w:bidi="ar"/>
              </w:rPr>
              <w:drawing>
                <wp:inline distT="0" distB="0" distL="114300" distR="114300">
                  <wp:extent cx="1141095" cy="1162685"/>
                  <wp:effectExtent l="0" t="0" r="1905" b="18415"/>
                  <wp:docPr id="46" name="图片_2"/>
                  <wp:cNvGraphicFramePr/>
                  <a:graphic xmlns:a="http://schemas.openxmlformats.org/drawingml/2006/main">
                    <a:graphicData uri="http://schemas.openxmlformats.org/drawingml/2006/picture">
                      <pic:pic xmlns:pic="http://schemas.openxmlformats.org/drawingml/2006/picture">
                        <pic:nvPicPr>
                          <pic:cNvPr id="46" name="图片_2"/>
                          <pic:cNvPicPr/>
                        </pic:nvPicPr>
                        <pic:blipFill>
                          <a:blip r:embed="rId17"/>
                          <a:stretch>
                            <a:fillRect/>
                          </a:stretch>
                        </pic:blipFill>
                        <pic:spPr>
                          <a:xfrm>
                            <a:off x="0" y="0"/>
                            <a:ext cx="1141095" cy="1162685"/>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8895D">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17B39">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个</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9C85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29</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ECDA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1500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C06D3">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43500</w:t>
            </w:r>
          </w:p>
        </w:tc>
      </w:tr>
      <w:tr w14:paraId="79EB15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1"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8D76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7</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8566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保密柜</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6DEB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1850*900*400mm</w:t>
            </w:r>
          </w:p>
        </w:tc>
        <w:tc>
          <w:tcPr>
            <w:tcW w:w="22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8507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shd w:val="clear" w:fill="FFFFFF"/>
                <w:lang w:val="en-US" w:eastAsia="zh-CN" w:bidi="ar"/>
              </w:rPr>
              <w:drawing>
                <wp:inline distT="0" distB="0" distL="114300" distR="114300">
                  <wp:extent cx="1290955" cy="1924050"/>
                  <wp:effectExtent l="0" t="0" r="4445" b="0"/>
                  <wp:docPr id="47" name="图片_11"/>
                  <wp:cNvGraphicFramePr/>
                  <a:graphic xmlns:a="http://schemas.openxmlformats.org/drawingml/2006/main">
                    <a:graphicData uri="http://schemas.openxmlformats.org/drawingml/2006/picture">
                      <pic:pic xmlns:pic="http://schemas.openxmlformats.org/drawingml/2006/picture">
                        <pic:nvPicPr>
                          <pic:cNvPr id="47" name="图片_11"/>
                          <pic:cNvPicPr/>
                        </pic:nvPicPr>
                        <pic:blipFill>
                          <a:blip r:embed="rId18"/>
                          <a:stretch>
                            <a:fillRect/>
                          </a:stretch>
                        </pic:blipFill>
                        <pic:spPr>
                          <a:xfrm>
                            <a:off x="0" y="0"/>
                            <a:ext cx="1290955" cy="192405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463A6">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66A8B">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个</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AC97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7</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FB54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2500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796A9">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17500</w:t>
            </w:r>
          </w:p>
        </w:tc>
      </w:tr>
      <w:tr w14:paraId="35386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2"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D020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8</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7DF9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条桌</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A961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1200*400*760mm</w:t>
            </w:r>
          </w:p>
        </w:tc>
        <w:tc>
          <w:tcPr>
            <w:tcW w:w="22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A255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lang w:val="en-US" w:eastAsia="zh-CN" w:bidi="ar"/>
              </w:rPr>
              <w:drawing>
                <wp:inline distT="0" distB="0" distL="114300" distR="114300">
                  <wp:extent cx="1271270" cy="1042670"/>
                  <wp:effectExtent l="0" t="0" r="5080" b="5080"/>
                  <wp:docPr id="48" name="图片_15"/>
                  <wp:cNvGraphicFramePr/>
                  <a:graphic xmlns:a="http://schemas.openxmlformats.org/drawingml/2006/main">
                    <a:graphicData uri="http://schemas.openxmlformats.org/drawingml/2006/picture">
                      <pic:pic xmlns:pic="http://schemas.openxmlformats.org/drawingml/2006/picture">
                        <pic:nvPicPr>
                          <pic:cNvPr id="48" name="图片_15"/>
                          <pic:cNvPicPr/>
                        </pic:nvPicPr>
                        <pic:blipFill>
                          <a:blip r:embed="rId19"/>
                          <a:stretch>
                            <a:fillRect/>
                          </a:stretch>
                        </pic:blipFill>
                        <pic:spPr>
                          <a:xfrm>
                            <a:off x="0" y="0"/>
                            <a:ext cx="1271270" cy="104267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19291">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F657B">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张</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65C2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30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A4A2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550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F5E84">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16500</w:t>
            </w:r>
          </w:p>
        </w:tc>
      </w:tr>
      <w:tr w14:paraId="05FF07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4"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13C1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9</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EE4F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会议椅</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D2DA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常规</w:t>
            </w:r>
          </w:p>
        </w:tc>
        <w:tc>
          <w:tcPr>
            <w:tcW w:w="22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B724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lang w:val="en-US" w:eastAsia="zh-CN" w:bidi="ar"/>
              </w:rPr>
              <w:drawing>
                <wp:inline distT="0" distB="0" distL="114300" distR="114300">
                  <wp:extent cx="901700" cy="1148715"/>
                  <wp:effectExtent l="0" t="0" r="0" b="0"/>
                  <wp:docPr id="49" name="图片_40"/>
                  <wp:cNvGraphicFramePr/>
                  <a:graphic xmlns:a="http://schemas.openxmlformats.org/drawingml/2006/main">
                    <a:graphicData uri="http://schemas.openxmlformats.org/drawingml/2006/picture">
                      <pic:pic xmlns:pic="http://schemas.openxmlformats.org/drawingml/2006/picture">
                        <pic:nvPicPr>
                          <pic:cNvPr id="49" name="图片_40"/>
                          <pic:cNvPicPr/>
                        </pic:nvPicPr>
                        <pic:blipFill>
                          <a:blip r:embed="rId20"/>
                          <a:srcRect b="6849"/>
                          <a:stretch>
                            <a:fillRect/>
                          </a:stretch>
                        </pic:blipFill>
                        <pic:spPr>
                          <a:xfrm>
                            <a:off x="0" y="0"/>
                            <a:ext cx="901700" cy="1148715"/>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7E463">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3B470">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把</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20E6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60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CDEE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300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2BD59">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18000</w:t>
            </w:r>
          </w:p>
        </w:tc>
      </w:tr>
      <w:tr w14:paraId="030DA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5"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0E01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10</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42E6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接诊椅</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4AEC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常规</w:t>
            </w:r>
          </w:p>
        </w:tc>
        <w:tc>
          <w:tcPr>
            <w:tcW w:w="22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D41B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lang w:val="en-US" w:eastAsia="zh-CN" w:bidi="ar"/>
              </w:rPr>
              <w:drawing>
                <wp:inline distT="0" distB="0" distL="114300" distR="114300">
                  <wp:extent cx="1282700" cy="1391285"/>
                  <wp:effectExtent l="0" t="0" r="12700" b="18415"/>
                  <wp:docPr id="50" name="图片_43"/>
                  <wp:cNvGraphicFramePr/>
                  <a:graphic xmlns:a="http://schemas.openxmlformats.org/drawingml/2006/main">
                    <a:graphicData uri="http://schemas.openxmlformats.org/drawingml/2006/picture">
                      <pic:pic xmlns:pic="http://schemas.openxmlformats.org/drawingml/2006/picture">
                        <pic:nvPicPr>
                          <pic:cNvPr id="50" name="图片_43"/>
                          <pic:cNvPicPr/>
                        </pic:nvPicPr>
                        <pic:blipFill>
                          <a:blip r:embed="rId21"/>
                          <a:stretch>
                            <a:fillRect/>
                          </a:stretch>
                        </pic:blipFill>
                        <pic:spPr>
                          <a:xfrm>
                            <a:off x="0" y="0"/>
                            <a:ext cx="1282700" cy="1391285"/>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DA10A">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3CE30">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把</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2742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100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5B14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200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59519">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20000</w:t>
            </w:r>
          </w:p>
        </w:tc>
      </w:tr>
      <w:tr w14:paraId="1F389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87"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B5CC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11</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D4AC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方凳</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FBBD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常规</w:t>
            </w:r>
          </w:p>
        </w:tc>
        <w:tc>
          <w:tcPr>
            <w:tcW w:w="22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05F33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shd w:val="clear" w:fill="FFFFFF"/>
                <w:lang w:val="en-US" w:eastAsia="zh-CN" w:bidi="ar"/>
              </w:rPr>
              <w:drawing>
                <wp:inline distT="0" distB="0" distL="114300" distR="114300">
                  <wp:extent cx="1207770" cy="1206500"/>
                  <wp:effectExtent l="0" t="0" r="11430" b="12700"/>
                  <wp:docPr id="51" name="图片_17"/>
                  <wp:cNvGraphicFramePr/>
                  <a:graphic xmlns:a="http://schemas.openxmlformats.org/drawingml/2006/main">
                    <a:graphicData uri="http://schemas.openxmlformats.org/drawingml/2006/picture">
                      <pic:pic xmlns:pic="http://schemas.openxmlformats.org/drawingml/2006/picture">
                        <pic:nvPicPr>
                          <pic:cNvPr id="51" name="图片_17"/>
                          <pic:cNvPicPr/>
                        </pic:nvPicPr>
                        <pic:blipFill>
                          <a:blip r:embed="rId22"/>
                          <a:stretch>
                            <a:fillRect/>
                          </a:stretch>
                        </pic:blipFill>
                        <pic:spPr>
                          <a:xfrm>
                            <a:off x="0" y="0"/>
                            <a:ext cx="1207770" cy="120650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2A159">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82D1">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把</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C281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100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5FF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65</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C5E1B">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6500</w:t>
            </w:r>
          </w:p>
        </w:tc>
      </w:tr>
      <w:tr w14:paraId="696BA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0" w:hRule="atLeast"/>
        </w:trPr>
        <w:tc>
          <w:tcPr>
            <w:tcW w:w="4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CD58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12</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1CE5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操作台（订制）</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BBBA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lang w:val="en-US" w:eastAsia="zh-CN" w:bidi="ar"/>
              </w:rPr>
              <w:t xml:space="preserve">下柜：4400+2700*650*850吊柜：4400*350*550（护士站尺寸根据实际决定）       </w:t>
            </w:r>
          </w:p>
        </w:tc>
        <w:tc>
          <w:tcPr>
            <w:tcW w:w="22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BCA1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highlight w:val="none"/>
                <w:u w:val="none"/>
              </w:rPr>
            </w:pPr>
            <w:r>
              <w:rPr>
                <w:rFonts w:hint="eastAsia" w:ascii="微软雅黑" w:hAnsi="微软雅黑" w:eastAsia="微软雅黑" w:cs="微软雅黑"/>
                <w:i w:val="0"/>
                <w:iCs w:val="0"/>
                <w:color w:val="000000"/>
                <w:kern w:val="0"/>
                <w:sz w:val="16"/>
                <w:szCs w:val="16"/>
                <w:highlight w:val="none"/>
                <w:u w:val="none"/>
                <w:bdr w:val="single" w:color="000000" w:sz="4" w:space="0"/>
                <w:shd w:val="clear" w:fill="FFFFFF"/>
                <w:lang w:val="en-US" w:eastAsia="zh-CN" w:bidi="ar"/>
              </w:rPr>
              <w:drawing>
                <wp:inline distT="0" distB="0" distL="114300" distR="114300">
                  <wp:extent cx="1350645" cy="2132330"/>
                  <wp:effectExtent l="0" t="0" r="1905" b="1270"/>
                  <wp:docPr id="52" name="图片_14"/>
                  <wp:cNvGraphicFramePr/>
                  <a:graphic xmlns:a="http://schemas.openxmlformats.org/drawingml/2006/main">
                    <a:graphicData uri="http://schemas.openxmlformats.org/drawingml/2006/picture">
                      <pic:pic xmlns:pic="http://schemas.openxmlformats.org/drawingml/2006/picture">
                        <pic:nvPicPr>
                          <pic:cNvPr id="52" name="图片_14"/>
                          <pic:cNvPicPr/>
                        </pic:nvPicPr>
                        <pic:blipFill>
                          <a:blip r:embed="rId23"/>
                          <a:stretch>
                            <a:fillRect/>
                          </a:stretch>
                        </pic:blipFill>
                        <pic:spPr>
                          <a:xfrm>
                            <a:off x="0" y="0"/>
                            <a:ext cx="1350645" cy="2132330"/>
                          </a:xfrm>
                          <a:prstGeom prst="rect">
                            <a:avLst/>
                          </a:prstGeom>
                          <a:noFill/>
                          <a:ln>
                            <a:noFill/>
                          </a:ln>
                        </pic:spPr>
                      </pic:pic>
                    </a:graphicData>
                  </a:graphic>
                </wp:inline>
              </w:drawing>
            </w:r>
          </w:p>
        </w:tc>
        <w:tc>
          <w:tcPr>
            <w:tcW w:w="23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418A79">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详见技术参数要求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B55F5">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16"/>
                <w:szCs w:val="16"/>
                <w:highlight w:val="none"/>
                <w:u w:val="none"/>
                <w:lang w:val="en-US" w:eastAsia="zh-CN" w:bidi="ar"/>
              </w:rPr>
            </w:pPr>
            <w:r>
              <w:rPr>
                <w:rFonts w:hint="eastAsia" w:ascii="微软雅黑" w:hAnsi="微软雅黑" w:eastAsia="微软雅黑" w:cs="微软雅黑"/>
                <w:i w:val="0"/>
                <w:iCs w:val="0"/>
                <w:color w:val="000000"/>
                <w:kern w:val="0"/>
                <w:sz w:val="16"/>
                <w:szCs w:val="16"/>
                <w:highlight w:val="none"/>
                <w:u w:val="none"/>
                <w:lang w:val="en-US" w:eastAsia="zh-CN" w:bidi="ar"/>
              </w:rPr>
              <w:t>米</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6963F">
            <w:pPr>
              <w:keepNext w:val="0"/>
              <w:keepLines w:val="0"/>
              <w:widowControl/>
              <w:suppressLineNumbers w:val="0"/>
              <w:jc w:val="center"/>
              <w:textAlignment w:val="center"/>
              <w:rPr>
                <w:rFonts w:hint="default" w:ascii="微软雅黑" w:hAnsi="微软雅黑" w:eastAsia="微软雅黑" w:cs="微软雅黑"/>
                <w:i w:val="0"/>
                <w:iCs w:val="0"/>
                <w:color w:val="000000"/>
                <w:sz w:val="16"/>
                <w:szCs w:val="16"/>
                <w:highlight w:val="none"/>
                <w:u w:val="none"/>
                <w:lang w:val="en-US" w:eastAsia="zh-CN"/>
              </w:rPr>
            </w:pPr>
            <w:r>
              <w:rPr>
                <w:rFonts w:hint="eastAsia" w:ascii="微软雅黑" w:hAnsi="微软雅黑" w:eastAsia="微软雅黑" w:cs="微软雅黑"/>
                <w:i w:val="0"/>
                <w:iCs w:val="0"/>
                <w:color w:val="000000"/>
                <w:kern w:val="0"/>
                <w:sz w:val="16"/>
                <w:szCs w:val="16"/>
                <w:highlight w:val="none"/>
                <w:u w:val="none"/>
                <w:lang w:val="en-US" w:eastAsia="zh-CN" w:bidi="ar"/>
              </w:rPr>
              <w:t>约215米</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A435F">
            <w:pPr>
              <w:keepNext w:val="0"/>
              <w:keepLines w:val="0"/>
              <w:widowControl/>
              <w:suppressLineNumbers w:val="0"/>
              <w:jc w:val="center"/>
              <w:textAlignment w:val="center"/>
              <w:rPr>
                <w:rFonts w:hint="default" w:ascii="微软雅黑" w:hAnsi="微软雅黑" w:eastAsia="微软雅黑" w:cs="微软雅黑"/>
                <w:i w:val="0"/>
                <w:iCs w:val="0"/>
                <w:color w:val="000000"/>
                <w:sz w:val="16"/>
                <w:szCs w:val="16"/>
                <w:highlight w:val="none"/>
                <w:u w:val="none"/>
                <w:lang w:val="en-US"/>
              </w:rPr>
            </w:pPr>
            <w:r>
              <w:rPr>
                <w:rFonts w:hint="eastAsia" w:ascii="微软雅黑" w:hAnsi="微软雅黑" w:eastAsia="微软雅黑" w:cs="微软雅黑"/>
                <w:i w:val="0"/>
                <w:iCs w:val="0"/>
                <w:color w:val="000000"/>
                <w:kern w:val="0"/>
                <w:sz w:val="16"/>
                <w:szCs w:val="16"/>
                <w:highlight w:val="none"/>
                <w:u w:val="none"/>
                <w:lang w:val="en-US" w:eastAsia="zh-CN" w:bidi="ar"/>
              </w:rPr>
              <w:t>700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6EB51">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150000</w:t>
            </w:r>
          </w:p>
        </w:tc>
      </w:tr>
      <w:tr w14:paraId="66195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3" w:hRule="atLeast"/>
        </w:trPr>
        <w:tc>
          <w:tcPr>
            <w:tcW w:w="876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5FB1A172">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highlight w:val="none"/>
                <w:u w:val="none"/>
              </w:rPr>
            </w:pPr>
            <w:r>
              <w:rPr>
                <w:rFonts w:hint="eastAsia" w:ascii="微软雅黑" w:hAnsi="微软雅黑" w:eastAsia="微软雅黑" w:cs="微软雅黑"/>
                <w:i w:val="0"/>
                <w:iCs w:val="0"/>
                <w:color w:val="000000"/>
                <w:kern w:val="0"/>
                <w:sz w:val="22"/>
                <w:szCs w:val="22"/>
                <w:highlight w:val="none"/>
                <w:u w:val="none"/>
                <w:lang w:val="en-US" w:eastAsia="zh-CN" w:bidi="ar"/>
              </w:rPr>
              <w:t>合计</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115F3">
            <w:pPr>
              <w:keepNext w:val="0"/>
              <w:keepLines w:val="0"/>
              <w:widowControl/>
              <w:suppressLineNumbers w:val="0"/>
              <w:jc w:val="right"/>
              <w:textAlignment w:val="center"/>
              <w:rPr>
                <w:rFonts w:hint="eastAsia" w:ascii="微软雅黑" w:hAnsi="微软雅黑" w:eastAsia="微软雅黑" w:cs="微软雅黑"/>
                <w:i w:val="0"/>
                <w:iCs w:val="0"/>
                <w:color w:val="000000"/>
                <w:sz w:val="18"/>
                <w:szCs w:val="18"/>
                <w:highlight w:val="none"/>
                <w:u w:val="none"/>
              </w:rPr>
            </w:pPr>
            <w:r>
              <w:rPr>
                <w:rFonts w:hint="eastAsia" w:ascii="微软雅黑" w:hAnsi="微软雅黑" w:eastAsia="微软雅黑" w:cs="微软雅黑"/>
                <w:i w:val="0"/>
                <w:iCs w:val="0"/>
                <w:color w:val="000000"/>
                <w:kern w:val="0"/>
                <w:sz w:val="18"/>
                <w:szCs w:val="18"/>
                <w:highlight w:val="none"/>
                <w:u w:val="none"/>
                <w:lang w:val="en-US" w:eastAsia="zh-CN" w:bidi="ar"/>
              </w:rPr>
              <w:t>539500</w:t>
            </w:r>
          </w:p>
        </w:tc>
      </w:tr>
    </w:tbl>
    <w:p w14:paraId="2C9F58A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备注:图片仅供参考，具体实物须按照甲方要求进行设计确认后生产交付。以上价格需要控制货物单价，单价包括但不限于商品购置费、包装费、运输费、装卸费、保险费、安装调试费、技术服务费、培训费以及保修费、税费等。</w:t>
      </w:r>
    </w:p>
    <w:p w14:paraId="4404A5E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2.技术参数</w:t>
      </w:r>
    </w:p>
    <w:p w14:paraId="3BAD4702">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（一）办公桌参数：</w:t>
      </w:r>
    </w:p>
    <w:p w14:paraId="0805EA53">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规格：1400*700*750mm</w:t>
      </w:r>
    </w:p>
    <w:p w14:paraId="0C9AFAF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桌面材质 实木桌面：厚度≥25mm，橡木/胡桃木等硬木，含水率≤12%，甲醛释放量≤0.5mg/L（E1级标准）。钢化玻璃桌面：厚度≥12mm，边缘磨砂或包边处理，抗冲击强度≥1.2J。框架材质主框架：铝合金型材（壁厚≥2mm），承重≥100kg。桌腿：钢管直径≥50mm，底部配防滑脚垫（TPR材质，耐磨系数≥0.6）。</w:t>
      </w:r>
    </w:p>
    <w:p w14:paraId="5D5BC3B5">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功能与结构设计承重能力标准桌面承重≥50kg（均匀分布），重点区域（如显示器支架位）需加强至≥80kg。线缆管理隐藏式走线槽宽度≥60mm，标配理线架或穿孔设计（孔径≥25mm）。安全设计边缘倒圆角（R角≥3mm），桌角防撞包边（厚度≥2mm）。防火要求：桌面材质需通过UL94 V-0级阻燃测试（仅高端场景）。</w:t>
      </w:r>
    </w:p>
    <w:p w14:paraId="6D4E82B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扩展功能配件模块化设计可拼接扩展接口（如卡扣式连接件），支持添加侧柜、书架等组件。升降系统（电动/手动）电动升降桌：升降速度30–40mm/s，噪音≤50dB，记忆档位≥3组。手摇升降桌：摇柄旋转阻力≤5N·m，升降行程≥500mm。实用配件抽屉：滑轨承重≥15kg，开合次数≥5万次（Blum等品牌铰链）。键盘托：伸缩范围≥300mm，倾斜角度0–15°可调。集成插座：USB+五孔组合，功率支持≥2500W（需内置过载保护）。</w:t>
      </w:r>
    </w:p>
    <w:p w14:paraId="5C7837D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实木/钢化玻璃桌面+铝合金框架。</w:t>
      </w:r>
    </w:p>
    <w:p w14:paraId="5FD1679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 xml:space="preserve">认证标准国内：GB/T 3324-2017（木家具通用技术条件）。国际：BIFMA（办公家具稳定性与耐久性认证）。       </w:t>
      </w:r>
    </w:p>
    <w:p w14:paraId="1DFF8B56">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（二）办公椅参数：</w:t>
      </w:r>
    </w:p>
    <w:p w14:paraId="62DD1821">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1、面料：采用优质一级杜邦尼龙网布，透气良好；</w:t>
      </w:r>
    </w:p>
    <w:p w14:paraId="6AE76C2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2、靠背及坐板：靠背仰角可调节，采用透气式尼龙网布；坐板采用曲木板材经高频热压一次成型，板材厚度≥16mm，经防潮、防腐、防蛀、防火等环保处理；</w:t>
      </w:r>
    </w:p>
    <w:p w14:paraId="3C4A5E4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3、扶手：PU扶手，触感舒适；</w:t>
      </w:r>
    </w:p>
    <w:p w14:paraId="7A0DAF6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4、坐垫海绵：采用一次成型高弹力轻质阻燃原生泡绵，密度为45#，回弹性好，不易变形；</w:t>
      </w:r>
    </w:p>
    <w:p w14:paraId="763BD66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5、框座：采用优质方管铝合金框架。</w:t>
      </w:r>
    </w:p>
    <w:p w14:paraId="5901815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主体材质:框架：基座：铝合金压铸或 尼龙玻纤增强底座，承重≥150kg，通过BIFMA X5.1标准测试。椅背/座面：硬质款：PP注塑一体成型（厚度≥5mm），表面抗菌涂层（抑菌率≥99%）。软包款：表层：医用级 三防面料（防水、防污、抗菌），通过ISO 20743抗菌认证。填充层：高密度冷发泡海绵（密度≥55kg/m³），回弹率≥60%。抗菌设计表面材质支持酒精、含氯消毒剂每日擦拭，接缝处无缝热压工艺（避免藏污纳垢）。金属部件采用 304不锈钢螺丝 或 阳极氧化铝，防锈耐腐蚀。透气性网布款：采用 聚酯纤维网布（透气率≥500L/m²/s），适合长时间久坐。安全与人体工学设计承重与稳定性静态承重≥ 150kg，动态滚轮测试≥10万次（EN 1335标准）。气压棒通过 SGS认证（耐压≥2000N，防爆设计）。安全细节边缘全圆角处理（R角≥3mm），无锐角、毛刺。防倾倒设计：底座直径≥500mm，重心后移式结构。人体工学适配腰部支撑压力分布≤25kPa，坐垫前端瀑布式设计（减少腿部压迫）。扶手可内旋15°，适配医疗推车操作或键盘使用。场景适配与分类科室专用设计护士工作站：带滚轮+360°旋转功能，便于快速移动；座面防水材质（应对液体溅洒）。医生办公室：高背椅（靠背≥800mm）+可调头枕，支持长时间伏案工作。药房/实验室：防静电款（表面电阻率10⁶–10⁹Ω），避免粉尘吸附。特殊功能款无菌区用椅：全不锈钢框架+无织物表面，支持高温高压灭菌。智能款：集成压力传感器，提醒久坐时间；支持无线充电模块。选购建议认证与检测优先选择通过 YY/T 0646（医用家具标准） 及 BIFMA Level 3 认证的产品。要求提供抗菌检测报告（如对MRSA、白色念珠菌的抑菌率）。维护与成本选择 快拆式座套 或 模块化组件，便于单独更换损坏部件。避免复杂调节结构（如机械弹簧腰托），降低故障率。试坐验证重点测试腰部支撑、坐垫回弹性及扶手高度适配性，建议连续试坐30分钟以上。</w:t>
      </w:r>
    </w:p>
    <w:p w14:paraId="6C44D997">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（三）文件柜参数：</w:t>
      </w:r>
    </w:p>
    <w:p w14:paraId="6F93210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规格：1200*400*2000mm</w:t>
      </w:r>
    </w:p>
    <w:p w14:paraId="71EE48B8">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1、基材：采用环保优质三聚氰胺板，刨花板内材，符合国际E1级环保标准，含水率≤9%，经防潮、防虫、防腐处理，抗弯力强，不易变形；</w:t>
      </w:r>
    </w:p>
    <w:p w14:paraId="791B3CC7">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2、封边：2mm厚PVC封边。采用高温封边热溶胶，经全自动封边机热压与板材粘连无丝无缝，在不同地区气温、湿度的变化中不受影响，能长期不变形、不开裂；</w:t>
      </w:r>
    </w:p>
    <w:p w14:paraId="6C3A37A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3、封边胶：采用高温封边热溶胶，热稳定好，抗高低温性能好；4、贴面胶：采用环保胶水，符合国际E1级环保标准；</w:t>
      </w:r>
    </w:p>
    <w:p w14:paraId="34D08CCF">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5、五金配件：采用"BMB五金配件，所有五金件作防锈、防腐处理。层数：4-6层可调层板，每层承重 20-50kg（根据文件密度选择）。</w:t>
      </w:r>
    </w:p>
    <w:p w14:paraId="7B2D2FC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抽屉式：适合分类存放小件物品。锁具类型：机械锁。防火性能：需符合 EN 1047-1 或 UL 72 标准，耐火时间 30分钟-2小时（标注明确）。防火材质：内部填充防火岩棉，外部钢板加厚。防潮防虫</w:t>
      </w:r>
    </w:p>
    <w:p w14:paraId="0CAF336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密封条：柜门加装橡胶密封条，防尘防潮。防虫设计：柜体底部可添加防虫药盒或樟木层。医疗行业标准：符合 ISO 9001 质量管理体系或 YY/T 0646（医用家具标准）。板材需通过 E1级环保认证（甲醛释放量≤0.5mg/L），避免污染医院环境。</w:t>
      </w:r>
    </w:p>
    <w:p w14:paraId="23E0EA74">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（四）钢制文件柜参数：</w:t>
      </w:r>
    </w:p>
    <w:p w14:paraId="4C17BDE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规格：850*350*1800mm</w:t>
      </w:r>
    </w:p>
    <w:p w14:paraId="16CF1298">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材质与工艺：钢板厚度：主体框架0.6-1.2mm（铁皮厚度建议≥0.8mm），需通过加强筋或折弯工艺提升承重能力（单层承重≥40kg）。  表面处理：冷轧钢板经酸洗磷化后静电粉末喷涂，环保无毒、耐腐蚀，支持酒精或消毒剂擦拭。</w:t>
      </w:r>
    </w:p>
    <w:p w14:paraId="4BCB92FA">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焊接工艺：高标准熔接焊，确保接缝平整光滑，避免划伤或污渍残留。</w:t>
      </w:r>
    </w:p>
    <w:p w14:paraId="19ABC245">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结构设计：承重与稳定性：底座加宽防倾覆，层板可调节高度（适配不同文件高度），落地式设计适合大量存储。</w:t>
      </w:r>
    </w:p>
    <w:p w14:paraId="3ADF6CBF">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锁具安全：标配机械锁（耐用性强）或选配电子密码锁（提升安全性），部分柜型支持锁芯快速更换。</w:t>
      </w:r>
    </w:p>
    <w:p w14:paraId="137D21D7">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配件兼容：可选静音万向轮（带刹车功能）、防倾倒装置或医疗设备接口（如氧气瓶支架）。医用场景特殊要求卫生与消毒抗菌处理：表面涂层需通过ISO 22196抗菌测试，支持高频次消毒（次氯酸钠、紫外线等）。</w:t>
      </w:r>
    </w:p>
    <w:p w14:paraId="45114C57">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防潮防锈：柜体内部需做防潮处理，避免在潮湿环境中生锈变形。功能分区分类存储：多抽屉设计（2-12层），标签槽或标识系统便于病历、档案分类管理。无菌配置：部分区域可选配紫外线消毒灯或密封柜体，用于无菌器械存放。</w:t>
      </w:r>
    </w:p>
    <w:p w14:paraId="5BB3B52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合规认证强制标准：符合GB 24430.1-2009（家具安全）、YY/T 1636-2018（医用家具）。可选认证：Greenguard Gold（低VOC排放）、ISO 9001质量管理体系</w:t>
      </w:r>
    </w:p>
    <w:p w14:paraId="43EA319F">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（五）更衣柜参数：</w:t>
      </w:r>
    </w:p>
    <w:p w14:paraId="456DB78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六门更衣柜，规格：1800*850*420mm</w:t>
      </w:r>
    </w:p>
    <w:p w14:paraId="164AC96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分类存储：挂衣区、叠放区、鞋柜分层设计，部分带抽屉或活动层板。</w:t>
      </w:r>
    </w:p>
    <w:p w14:paraId="231F0D20">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抗菌防霉：钢制/不锈钢柜体易消毒，铁皮厚度建议≥0.8mm，塑料柜体无缝拼接防污。</w:t>
      </w:r>
    </w:p>
    <w:p w14:paraId="5BC7D95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承重能力：挂衣杆承重≥20kg，柜体整体承重≥100kg37。移动款：底部加装静音滚轮，方便布局调整。</w:t>
      </w:r>
    </w:p>
    <w:p w14:paraId="08A03F28">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手术室/无菌区：优选不锈钢材质，带无尘密封设计。</w:t>
      </w:r>
    </w:p>
    <w:p w14:paraId="66EB6455">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公共更衣室：钢制或塑料柜，注重耐用性和易清洁性。</w:t>
      </w:r>
    </w:p>
    <w:p w14:paraId="4F983D3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家属休息区：木质柜体，搭配暖色调（如柚木色），提升环境亲和力。</w:t>
      </w:r>
    </w:p>
    <w:p w14:paraId="1BC7C0BA">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符合《GB/T 3324-2017》家具通用标准，环保认证（如GREENGUARD低甲醛）。</w:t>
      </w:r>
    </w:p>
    <w:p w14:paraId="39C71703">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防火等级需满足医疗场所要求（如阻燃板材或金属材质）</w:t>
      </w:r>
    </w:p>
    <w:p w14:paraId="3B48EA36">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（六）沙发+茶几参数：</w:t>
      </w:r>
    </w:p>
    <w:p w14:paraId="2DE514C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规格：3+1+1</w:t>
      </w:r>
    </w:p>
    <w:p w14:paraId="0BF9B341">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采用优质西皮，皮面光泽度好,手感细腻，透气性好。采用PU成高密度海绵，软硬适中，回弹性能好，不变形，根据人体工学原理设计，坐感舒适，优质不透钢框架，软包件及缝纫应无破损、外形饱满、圆滑一致、缝纫线迹均匀、嵌线圆挺直；</w:t>
      </w:r>
    </w:p>
    <w:p w14:paraId="6DDFAD9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边角：圆弧处理（防磕碰，符合医院安全标准）。</w:t>
      </w:r>
    </w:p>
    <w:p w14:paraId="05DF7DE6">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底部：中空设计或带储物层（放置杂志、纸巾等）。可选移动款：底部安装静音滚轮（方便调整布局）。</w:t>
      </w:r>
    </w:p>
    <w:p w14:paraId="5EA04890">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承重：≥50kg（常规使用需求）。边缘防溢挡边（防止水杯倾倒液体流出）。集成电源插座（适用于电子设备充电）。优先选择无缝拼接设计，避免污渍残留。定期检查沙发脚轮/支架稳定性，防止松动。</w:t>
      </w:r>
    </w:p>
    <w:p w14:paraId="4693E4A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符合GB/T 3324-2017（家具通用标准）及医院行业规范。环保认证（如GREENGUARD，确保低甲醛释放）</w:t>
      </w:r>
    </w:p>
    <w:p w14:paraId="18D52402">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（七）保密柜参数：</w:t>
      </w:r>
    </w:p>
    <w:p w14:paraId="1E9D0506">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规格：1850*900*400mm</w:t>
      </w:r>
    </w:p>
    <w:p w14:paraId="70379EB6">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国标认证：必须符合 GB/T 3325-2017（办公家具安全要求）和 GA/T 73-2015（机械防盗锁标准）。国际认证：优先选择通过 EN 14450（欧洲保险柜标准）或 UL 1037（防盗柜标准）的产品。</w:t>
      </w:r>
    </w:p>
    <w:p w14:paraId="7B09392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p>
    <w:p w14:paraId="321DCAD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保密资质：涉密场景需具备国家保密局认证（如BMB20-2004标准）,带国保证书，箱体材质：钢板厚度：箱体≥8mm，门板≥10mm（高安全级柜体可达12mm以上）。</w:t>
      </w:r>
    </w:p>
    <w:p w14:paraId="0C1A1E0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结构设计：门框与箱体一体化焊接，无外露铰链，防撬防钻。</w:t>
      </w:r>
    </w:p>
    <w:p w14:paraId="5CF9217D">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0" w:firstLineChars="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锁具防护：锁芯需隐藏式设计，配备防钻钢板或硬化合金保护。</w:t>
      </w:r>
    </w:p>
    <w:p w14:paraId="4933C193">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双人管理锁：需两把钥匙或两组密码同时操作（适合高密级文件）。</w:t>
      </w:r>
    </w:p>
    <w:p w14:paraId="683F65D9">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电子锁：支持指纹、IC卡、密码多重认证，具备 开锁记录存储（至少1000条日志）。</w:t>
      </w:r>
    </w:p>
    <w:p w14:paraId="37310423">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应急开启：配备机械备用锁或应急电源接口，防止电子系统故</w:t>
      </w:r>
    </w:p>
    <w:p w14:paraId="2AE20FF5">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耐火标准：需通过 EN 1047-1 Class S 60（60分钟耐火）或更高等级认证。夹层填充防火陶瓷纤维或膨胀防火材料，确保柜内温度≤177℃（纸质文件燃点）。</w:t>
      </w:r>
    </w:p>
    <w:p w14:paraId="44F1A4D3">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内部结构：可调节层板（每层承重≥50kg），预留线缆孔（存放电子病历硬盘）。</w:t>
      </w:r>
    </w:p>
    <w:p w14:paraId="72267E50">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防潮防霉：柜内集成湿度传感器，可选配自动除湿模块（湿度控制≤40%RH）。</w:t>
      </w:r>
    </w:p>
    <w:p w14:paraId="59CAB003">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防电磁泄漏：涉密电子设备存储需符合 TEMPEST 防电磁辐射标准。</w:t>
      </w:r>
    </w:p>
    <w:p w14:paraId="74E79AD4">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隐私保护：符合 《个人信息保护法》 及 《医疗卫生机构病历管理规定》，柜体无透明可视区域。</w:t>
      </w:r>
    </w:p>
    <w:p w14:paraId="5C9EFD81">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消毒兼容性：表面涂层需耐酒精、含氯消毒剂擦拭（防止频繁消毒腐蚀）。</w:t>
      </w:r>
    </w:p>
    <w:p w14:paraId="6F180DBE">
      <w:pPr>
        <w:keepNext w:val="0"/>
        <w:keepLines w:val="0"/>
        <w:pageBreakBefore w:val="0"/>
        <w:numPr>
          <w:ilvl w:val="0"/>
          <w:numId w:val="0"/>
        </w:numPr>
        <w:kinsoku/>
        <w:wordWrap/>
        <w:overflowPunct/>
        <w:topLinePunct w:val="0"/>
        <w:autoSpaceDE/>
        <w:autoSpaceDN/>
        <w:bidi w:val="0"/>
        <w:adjustRightInd/>
        <w:snapToGrid/>
        <w:spacing w:line="240" w:lineRule="auto"/>
        <w:ind w:left="0" w:leftChars="0"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无障碍设计：柜门开合角度≥90°，急诊区域需符合轮椅使用者操作高度（80-120cm）。</w:t>
      </w:r>
    </w:p>
    <w:p w14:paraId="115C1B3F">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（八）条桌参数：</w:t>
      </w:r>
    </w:p>
    <w:p w14:paraId="572D9BA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规格：1200*400*760mm</w:t>
      </w:r>
    </w:p>
    <w:p w14:paraId="71D2559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1、基材：采用环保优质三聚氰胺板，刨花板内材，符合国际E1级环保标准，含水率≤9%，经防潮、防虫、防腐处理，抗弯力强，不易变形；</w:t>
      </w:r>
    </w:p>
    <w:p w14:paraId="578C461A">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2、封边：2mm厚PVC封边。采用高温封边热溶胶，经全自动封边机热压与板材粘连无丝无缝，在不同地区气温、湿度的变化中不受影响，能长期不变形、不开裂；</w:t>
      </w:r>
    </w:p>
    <w:p w14:paraId="58357C8A">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3、封边胶：采用高温封边热溶胶，热稳定好，抗高低温性能好；4、贴面胶：采用环保胶水，符合国际E1级环保标准；</w:t>
      </w:r>
    </w:p>
    <w:p w14:paraId="7D8C8177">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5、五金配件：采用"BMB五金配件，所有五金件作防锈、防腐处理。层数：4-6层可调层板，每层承重 20-50kg（根据文件密度选择）。</w:t>
      </w:r>
    </w:p>
    <w:p w14:paraId="6954975A">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抽屉式：适合分类存放小件物品。</w:t>
      </w:r>
    </w:p>
    <w:p w14:paraId="242AD5B6">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锁具类型：机械锁。</w:t>
      </w:r>
    </w:p>
    <w:p w14:paraId="44D7D7A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防火性能：需符合 EN 1047-1 或 UL 72 标准，耐火时间 30分钟-2小时（标注明确）。</w:t>
      </w:r>
    </w:p>
    <w:p w14:paraId="4C538C83">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防火材质：内部填充防火岩棉，外部钢板加厚。防潮防虫</w:t>
      </w:r>
    </w:p>
    <w:p w14:paraId="56A0B91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密封条：柜门加装橡胶密封条，防尘防潮。</w:t>
      </w:r>
    </w:p>
    <w:p w14:paraId="69491BE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防虫设计：柜体底部可添加防虫药盒或樟木层。</w:t>
      </w:r>
    </w:p>
    <w:p w14:paraId="19F1532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医疗行业标准：符合 ISO 9001 质量管理体系或 YY/T 0646（医用家具标准）。板材需通过 E1级环保认证（甲醛释放量≤0.5mg/L），避免污染医院环境。</w:t>
      </w:r>
    </w:p>
    <w:p w14:paraId="45FA0452">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（九）会议椅参数：</w:t>
      </w:r>
    </w:p>
    <w:p w14:paraId="6B441188">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1、面料：采用优质西皮，皮面光泽度好，透气性良好；</w:t>
      </w:r>
    </w:p>
    <w:p w14:paraId="61CA8553">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2、海绵：海绵采用45#高密度PU一次成型阻燃发泡原生海绵，软硬适中，回弹性能好不易变形，坐感舒适；</w:t>
      </w:r>
    </w:p>
    <w:p w14:paraId="115C2395">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3、椅架及扶手：采用实木制作，经过干燥处理后，不变形开裂；</w:t>
      </w:r>
    </w:p>
    <w:p w14:paraId="300A3458">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4、椅板：曲木板材经高频热压一次成型，板材厚度≥18mm，经防潮、防腐、防蛀、防火等环保处理；</w:t>
      </w:r>
    </w:p>
    <w:p w14:paraId="594FBC4A">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5、油漆：无苯聚酯PU环保漆，漆面厚度≥0.4mm，耐磨、耐黄变。</w:t>
      </w:r>
    </w:p>
    <w:p w14:paraId="106057FE">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（十）接诊椅参数：</w:t>
      </w:r>
    </w:p>
    <w:p w14:paraId="5A2367E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材质：进口泰国橡胶木（需提供FSC认证及进口报关单）。</w:t>
      </w:r>
    </w:p>
    <w:p w14:paraId="722ED7F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特性：经高温脱脂处理，含水率≤10%，防霉防蛀，密度≥650kg/m³。</w:t>
      </w:r>
    </w:p>
    <w:p w14:paraId="0054B0B6">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禁用材料：不得含甲醛胶合板或复合木。</w:t>
      </w:r>
    </w:p>
    <w:p w14:paraId="662F102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表面处理环保清漆：水性聚氨酯漆，符合ISO 16000-9 VOC排放标准（提供SGS检测报告），耐酒精、次氯酸钠擦拭（医用消毒兼容性测试）。</w:t>
      </w:r>
    </w:p>
    <w:p w14:paraId="37A1D408">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结构工艺榫卯工艺：燕尾榫（座面与腿接合）、楔钉榫（靠背支撑），辅以环氧树脂胶加固（非结构性依赖）。</w:t>
      </w:r>
    </w:p>
    <w:p w14:paraId="653C45E7">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三角加固：椅腿与横档形成三角支撑（角度75°±5°），关键节点嵌入304不锈钢加强片。二、功能性设计</w:t>
      </w:r>
    </w:p>
    <w:p w14:paraId="3F302F35">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承重与稳定性静态承重≥200kg（ASTM F1858测试标准），底座直径≥50cm，防倾覆设计。</w:t>
      </w:r>
    </w:p>
    <w:p w14:paraId="1C77CB6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椅脚配静音尼龙万向轮（带独立刹车，符合IEC 60601-1抗静电标准）。</w:t>
      </w:r>
    </w:p>
    <w:p w14:paraId="2CCFE62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卫生与清洁座垫可选抗菌PU皮革（通过ISO 22196抗菌测试）或高密度海绵（阻燃等级CAL 117）。</w:t>
      </w:r>
    </w:p>
    <w:p w14:paraId="1A0FC461">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接缝处无缝热压工艺，避免污垢残留。人体工学座高45cm±2cm（可调式气杆选项），靠背倾角105°，腰部曲面支撑R≥300mm。</w:t>
      </w:r>
    </w:p>
    <w:p w14:paraId="2569A2A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强制认证：GB 24430.1-2009（家具安全）、YY/T 1636-2018（医用家具）。Greenguard Gold（室内空气质量）、CE/BIFMA。</w:t>
      </w:r>
    </w:p>
    <w:p w14:paraId="059C86B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生产与质保工艺验证：提供榫卯节点X光探伤报告及72小时盐雾测试（金属件）。</w:t>
      </w:r>
    </w:p>
    <w:p w14:paraId="16481D0F">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（十一）方凳参数：</w:t>
      </w:r>
    </w:p>
    <w:p w14:paraId="23203E73">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支撑结构凳腿：不锈钢管直径≥30mm，壁厚≥1.5mm；塑料凳腿壁厚≥8mm。四脚外扩角度≥15°，增强稳定性。连接件：螺丝、螺母采用304不锈钢，禁用易生锈铁质配件。表面处理金属部件需 静电喷塑（厚度≥60μm）或 阳极氧化（铝合金），耐腐蚀、抗划痕。塑料表面需通过 UV涂层处理，防褪色、抗老化。三、安全与功能设计承重标准静态承重≥ 150kg（常规款）/ 200kg（加宽款），动态承重测试≥5万次无变形。</w:t>
      </w:r>
    </w:p>
    <w:p w14:paraId="0DB94A47">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升降款气压杆需通过 BIFMA 或 SGS认证，耐疲劳次数≥10万次。抗菌性能表面材质对 大肠杆菌、金黄色葡萄球菌 抑菌率≥99.9%（提供CMA/CNAS检测报告）。耐高频次消毒：支持酒精湿巾、含氯消毒剂每日擦拭≥10次，材质不褪色、不开裂。安全细节边缘全圆角处理（R角≥5mm），无锐角、毛刺。防滑设计：凳面加防滑纹理（摩擦系数≥0.5）。脚垫采用 TPE/硅胶材质，耐磨、静音，防滑系数≥0.6。特殊功能可堆叠设计：节省仓储空间，堆叠高度≤5层，层间间隙≥20mm。移动款：底部加装万向轮（带刹车），轮子材质为PU静音轮，承重≥80kg/轮。四、场景适配与分类科室适配输液室：推荐升降款（350–500mm可调），适配不同身高患者。</w:t>
      </w:r>
    </w:p>
    <w:p w14:paraId="79825FC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急诊室：固定高度不锈钢方凳（易清洁、耐冲击）。儿科：PP塑料款（亮色设计）+防滑坐垫（厚度≥20mm）。手术等候区：软包抗菌皮革款，提升短时休息舒适性。特殊需求防磁设计：MRI室专用方凳，采用无金属材质（如碳纤维增强塑料）。户外使用：防水防锈款（铝合金框架+PE藤编凳面）。选购建议材质优先级高流量区域（如门诊）：选不锈钢或PP塑料款，兼顾耐用性与清洁效率。舒适性场景（如产科）：软包款需确保皮革接缝处无缝热压，避免细菌滋生。认证标准国内：符合 YY/T 0646-2015（医用家具通用技术要求）。国际：通过 EN 16139（家具稳定性测试） 及 ASTM F1857（抗菌性能测试）。成本控制标准化采购：选择通用尺寸（如300×300mm），降低定制成本。模块化维修：优先支持凳面、凳腿单独更换的设计，减少报废率</w:t>
      </w:r>
    </w:p>
    <w:p w14:paraId="1868C3FD">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（十二）操作台（订制）参数：</w:t>
      </w:r>
    </w:p>
    <w:p w14:paraId="592FA1D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 xml:space="preserve">规格：下柜：4400+2700*650*850吊柜：4400*350*550 </w:t>
      </w:r>
    </w:p>
    <w:p w14:paraId="05A3018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1、上柜配置：开门方式为平开门，无拉手设计采用柜门下延柜体7mm，方便物品分类配置补承重活动层板一块，可自由拆卸。</w:t>
      </w:r>
    </w:p>
    <w:p w14:paraId="613C7FB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2、中柜配置：标准框架18mm背板</w:t>
      </w:r>
    </w:p>
    <w:p w14:paraId="4BDB4D0F">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3、下柜采用上抽下掩门分类管理抽，采用柜体开C型金属免拉手五金，柜门铰链转轴式，配置补承重活动层板一块，可自由拆卸。</w:t>
      </w:r>
    </w:p>
    <w:p w14:paraId="5D0A399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4：主材：柜体和柜门采用E0级18mm颗粒板，背板为8mm颗粒板。</w:t>
      </w:r>
    </w:p>
    <w:p w14:paraId="47E8AE55">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5、五金配件：下柜支撑脚为重型可调节加厚PP材质。导轨：采用QB标准三节导轨，具有顺畅，静音效果。柜门五金为悍高二段力液压铰链。</w:t>
      </w:r>
    </w:p>
    <w:p w14:paraId="7552ED7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6、台面：石英石是在真空条件下制造的表里如一、致密无孔的复合材料，其石英表面对厨房的酸碱等有好的抗腐蚀能力，日常使用的液体物质不会渗透其内部，长时间置于表面的液体只需用清水或洁而亮等清洁剂用抹布擦除即可，必要时可用刀片刮去表面的滞留物。 石英石光泽亮丽的表面是经过30多道复杂的抛光处理工艺，不易被刀铲刮伤，耐高温，不会为液体物质渗透，日常的清洁只需用清水冲洗即可，简单易行。</w:t>
      </w:r>
    </w:p>
    <w:p w14:paraId="3D585CF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7、踢脚线：优质双层加厚PVC踢脚板，防水性能好，不易变形。</w:t>
      </w:r>
    </w:p>
    <w:p w14:paraId="1B0ADFEB">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公用技术参数：</w:t>
      </w:r>
    </w:p>
    <w:p w14:paraId="39F955A1">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一、公共区域家具、桌椅、操作台等各种配置物品的颜色，均以目前护士站的主基调为准，需使用单位确定好颜色后再大批量生产。单价不因颜色的调整而变化。</w:t>
      </w:r>
    </w:p>
    <w:p w14:paraId="392F4F1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二、病房区域家具、桌椅、操作台等各种配置需要与窗隔帘、病床、储物柜等款式风格一致，全部物品需提前提供样品并经使用方根据环境条件、尺寸、现场布局确认好后样板间后，方可批量生产。单价不因局部构造的微调而变化。</w:t>
      </w:r>
    </w:p>
    <w:p w14:paraId="0E3EEB87">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三、医用装修材料满足医疗功能及医疗安全需求、满足消防安全防火规范要求、满足院内感染控制需求等。达到整体环境与功能性需求同时，还要达到医疗结果和患者的安全需求。如果不能达到以下要求，使用方可以全部退货。</w:t>
      </w:r>
    </w:p>
    <w:p w14:paraId="29FAE97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（一）、符合卫生学要求：医用装修材料必须符合卫生学要求，以确保不对诊疗服务产生干扰并保障医疗服务的安全性。包括选择易于清洁和消毒的材料，避免色彩搭配和室内照明的不当选择。</w:t>
      </w:r>
    </w:p>
    <w:p w14:paraId="0E70F328">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二）适应不同医疗功能用房的要求：不同的医疗功能用房有不同的内部装修要求及标准，达到《综合医院建筑设计规范》（GB51039-2014）等现行相关规范标准。在选择材料时需要考虑其特定用途，需要防潮、防霉或特别耐磨损。</w:t>
      </w:r>
    </w:p>
    <w:p w14:paraId="3DF2614A">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（三）满足消防安全防火规范要求</w:t>
      </w:r>
    </w:p>
    <w:p w14:paraId="7B4FEB5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1、防火性能要求</w:t>
      </w:r>
    </w:p>
    <w:p w14:paraId="34D9070F">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根据《建筑内部装修设计防火规范》（GB50222-2017），医院配置所需物品具备相应的防火等级，特别是无窗房间需要使用A级防火材料。</w:t>
      </w:r>
    </w:p>
    <w:p w14:paraId="7BD2B40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2、材质选择要求</w:t>
      </w:r>
    </w:p>
    <w:p w14:paraId="43CE86B2">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满足对外部环境的可视接触色彩的搭配，提升使用方的体验，材料选择上满足使用功能需求。</w:t>
      </w:r>
    </w:p>
    <w:p w14:paraId="32EC90F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3、满足院内感染控制需求</w:t>
      </w:r>
    </w:p>
    <w:p w14:paraId="3927364F">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抗菌与易清洁性：医院内部环境容易成为各种细菌和病毒的传播地，因此配置材料应选择能抗菌且易于清洁的种类，以满足院内感染控制的需求。不通风房间要考虑使用防潮、防霉材料，通风房间要考虑适合干燥和风沙地区的使用需求，充分考虑材质在本地区的含水率，保证配置的物品在使用一段时间后不干裂。</w:t>
      </w:r>
    </w:p>
    <w:p w14:paraId="4B8405DE">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4、满足医院环境安全要求</w:t>
      </w:r>
    </w:p>
    <w:p w14:paraId="71B42439">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避免二次伤害：材质的选择考虑其环境安全性和无障碍设计的要求，须选用力学强度性能、耐老化性能、有害物阻隔性能符合国家相关标准的材料，确保患者在医院环境中的安全。</w:t>
      </w:r>
    </w:p>
    <w:p w14:paraId="44966224">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宋体" w:hAnsi="宋体" w:cs="宋体"/>
          <w:b/>
          <w:bCs/>
          <w:sz w:val="24"/>
          <w:szCs w:val="24"/>
          <w:highlight w:val="none"/>
          <w:lang w:val="en-US" w:eastAsia="zh-CN"/>
        </w:rPr>
      </w:pPr>
      <w:r>
        <w:rPr>
          <w:rFonts w:hint="eastAsia" w:ascii="仿宋_GB2312" w:hAnsi="仿宋_GB2312" w:eastAsia="仿宋_GB2312" w:cs="仿宋_GB2312"/>
          <w:sz w:val="28"/>
          <w:szCs w:val="28"/>
          <w:highlight w:val="none"/>
          <w:lang w:val="en-US" w:eastAsia="zh-CN"/>
        </w:rPr>
        <w:t>医用配置材料涉及到医疗功能、消防、感染控制等多方面的特殊要求。既要严格遵循相关的规范和标准，能够为医护人员和患者提供一个既安全又舒适的医疗环境，还要适应未来医疗建筑的发展趋势。</w:t>
      </w:r>
    </w:p>
    <w:p w14:paraId="0B9BBAE1">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5.技术规范</w:t>
      </w:r>
    </w:p>
    <w:p w14:paraId="2CF980A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（1）医疗家具类：执行标准主要包括GB/T 39016-2020《定制家具通用设计规范》和GB/T 43003-2023《定制家具安装验收规范》。</w:t>
      </w:r>
    </w:p>
    <w:p w14:paraId="09A511A1">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（2）保密柜：符合GB10409-2019《防盗保险柜》国家标准的要求。</w:t>
      </w:r>
    </w:p>
    <w:p w14:paraId="1EFFD5CC">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（3）普通文件柜：执行标准包括GB/T 3530-2023《金属家具通用技术条件》和GB/T 4897.3-2022《家具产品及其材料中有害物质限量》。</w:t>
      </w:r>
    </w:p>
    <w:p w14:paraId="52DC15E7">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说明：</w:t>
      </w:r>
      <w:r>
        <w:rPr>
          <w:rFonts w:hint="eastAsia" w:ascii="仿宋_GB2312" w:hAnsi="仿宋_GB2312" w:eastAsia="仿宋_GB2312" w:cs="仿宋_GB2312"/>
          <w:sz w:val="28"/>
          <w:szCs w:val="28"/>
          <w:highlight w:val="none"/>
          <w:lang w:val="en-US" w:eastAsia="zh-CN"/>
        </w:rPr>
        <w:t>如果清单中标注执行标准的请按清单标准执行。如未说明执行相关国家或行业规范标准的按此标准执行。如有新标准制定，按照最新标准或行业规范执行。</w:t>
      </w:r>
    </w:p>
    <w:p w14:paraId="51F53DD6">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eastAsia"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四、根据磋商情况可能实质性变动的内容</w:t>
      </w:r>
    </w:p>
    <w:p w14:paraId="2284E56A">
      <w:pPr>
        <w:keepNext w:val="0"/>
        <w:keepLines w:val="0"/>
        <w:pageBreakBefore w:val="0"/>
        <w:numPr>
          <w:ilvl w:val="0"/>
          <w:numId w:val="0"/>
        </w:numPr>
        <w:kinsoku/>
        <w:wordWrap/>
        <w:overflowPunct/>
        <w:topLinePunct w:val="0"/>
        <w:autoSpaceDE/>
        <w:autoSpaceDN/>
        <w:bidi w:val="0"/>
        <w:adjustRightInd/>
        <w:snapToGrid/>
        <w:spacing w:line="500" w:lineRule="exact"/>
        <w:ind w:firstLine="562" w:firstLineChars="200"/>
        <w:rPr>
          <w:rFonts w:hint="eastAsia"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样品要求：</w:t>
      </w:r>
    </w:p>
    <w:p w14:paraId="600DCECB">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（1）样品封存，作为验货依据；</w:t>
      </w:r>
    </w:p>
    <w:p w14:paraId="30F230DD">
      <w:pPr>
        <w:keepNext w:val="0"/>
        <w:keepLines w:val="0"/>
        <w:pageBreakBefore w:val="0"/>
        <w:numPr>
          <w:ilvl w:val="0"/>
          <w:numId w:val="0"/>
        </w:numPr>
        <w:kinsoku/>
        <w:wordWrap/>
        <w:overflowPunct/>
        <w:topLinePunct w:val="0"/>
        <w:autoSpaceDE/>
        <w:autoSpaceDN/>
        <w:bidi w:val="0"/>
        <w:adjustRightInd/>
        <w:snapToGrid/>
        <w:spacing w:line="500" w:lineRule="exact"/>
        <w:ind w:firstLine="560" w:firstLineChars="200"/>
        <w:rPr>
          <w:rFonts w:hint="eastAsia"/>
          <w:sz w:val="28"/>
          <w:szCs w:val="28"/>
          <w:highlight w:val="none"/>
          <w:lang w:val="en-US" w:eastAsia="zh-CN"/>
        </w:rPr>
      </w:pPr>
      <w:r>
        <w:rPr>
          <w:rFonts w:hint="eastAsia" w:ascii="仿宋_GB2312" w:hAnsi="仿宋_GB2312" w:eastAsia="仿宋_GB2312" w:cs="仿宋_GB2312"/>
          <w:sz w:val="28"/>
          <w:szCs w:val="28"/>
          <w:highlight w:val="none"/>
          <w:lang w:val="en-US" w:eastAsia="zh-CN"/>
        </w:rPr>
        <w:t>（2）所有投标人提供的样品必须有生产厂家商标，如有举报或查实使用其他企业产品，或冒名顶替其他厂家产品参与投标，取消所有中标结果。</w:t>
      </w:r>
    </w:p>
    <w:p w14:paraId="530F342E">
      <w:pPr>
        <w:pStyle w:val="33"/>
        <w:keepNext w:val="0"/>
        <w:keepLines w:val="0"/>
        <w:pageBreakBefore w:val="0"/>
        <w:widowControl w:val="0"/>
        <w:kinsoku/>
        <w:overflowPunct/>
        <w:topLinePunct w:val="0"/>
        <w:autoSpaceDE/>
        <w:autoSpaceDN/>
        <w:bidi w:val="0"/>
        <w:adjustRightInd/>
        <w:textAlignment w:val="auto"/>
        <w:rPr>
          <w:rFonts w:hint="eastAsia"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其他要求：</w:t>
      </w:r>
    </w:p>
    <w:p w14:paraId="6C490203">
      <w:pPr>
        <w:pStyle w:val="33"/>
        <w:keepNext w:val="0"/>
        <w:keepLines w:val="0"/>
        <w:pageBreakBefore w:val="0"/>
        <w:widowControl w:val="0"/>
        <w:kinsoku/>
        <w:overflowPunct/>
        <w:topLinePunct w:val="0"/>
        <w:autoSpaceDE/>
        <w:autoSpaceDN/>
        <w:bidi w:val="0"/>
        <w:adjustRightInd/>
        <w:textAlignment w:val="auto"/>
        <w:rPr>
          <w:rFonts w:hint="eastAsia"/>
          <w:sz w:val="28"/>
          <w:szCs w:val="28"/>
          <w:highlight w:val="none"/>
          <w:lang w:val="en-US" w:eastAsia="zh-CN"/>
        </w:rPr>
      </w:pPr>
      <w:r>
        <w:rPr>
          <w:rFonts w:hint="eastAsia" w:ascii="仿宋_GB2312" w:hAnsi="仿宋_GB2312" w:eastAsia="仿宋_GB2312" w:cs="仿宋_GB2312"/>
          <w:sz w:val="28"/>
          <w:szCs w:val="28"/>
          <w:highlight w:val="none"/>
          <w:lang w:val="en-US" w:eastAsia="zh-CN"/>
        </w:rPr>
        <w:t>所有家具须按照甲方使用要求进行设计及颜色确定，经甲方确认后方可进行生产。家具参数中有多种参数的都需满足，待后期甲方确定一种或多种参数进行生产，价格产生的浮动甲方不再进行调整，以投标单价为准。订制内家具由投标单价控制，数量根据甲方实际需求确定，但总价不得超过预算总价。供货时间包括设计、生产、运输和安装时间。</w:t>
      </w:r>
    </w:p>
    <w:bookmarkEnd w:id="443"/>
    <w:bookmarkEnd w:id="444"/>
    <w:bookmarkEnd w:id="445"/>
    <w:p w14:paraId="004C8BB6">
      <w:pPr>
        <w:pStyle w:val="2"/>
        <w:keepNext/>
        <w:keepLines/>
        <w:pageBreakBefore w:val="0"/>
        <w:widowControl w:val="0"/>
        <w:numPr>
          <w:ilvl w:val="0"/>
          <w:numId w:val="0"/>
        </w:numPr>
        <w:kinsoku/>
        <w:wordWrap/>
        <w:overflowPunct/>
        <w:topLinePunct w:val="0"/>
        <w:autoSpaceDE/>
        <w:autoSpaceDN/>
        <w:bidi w:val="0"/>
        <w:adjustRightInd/>
        <w:snapToGrid/>
        <w:spacing w:before="100" w:after="10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446" w:name="_Toc28045"/>
    </w:p>
    <w:p w14:paraId="28FA2165">
      <w:pPr>
        <w:pStyle w:val="2"/>
        <w:keepNext/>
        <w:keepLines/>
        <w:pageBreakBefore w:val="0"/>
        <w:widowControl w:val="0"/>
        <w:numPr>
          <w:ilvl w:val="0"/>
          <w:numId w:val="0"/>
        </w:numPr>
        <w:kinsoku/>
        <w:wordWrap/>
        <w:overflowPunct/>
        <w:topLinePunct w:val="0"/>
        <w:autoSpaceDE/>
        <w:autoSpaceDN/>
        <w:bidi w:val="0"/>
        <w:adjustRightInd/>
        <w:snapToGrid/>
        <w:spacing w:before="100" w:after="10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第四章 评审方法及标准</w:t>
      </w:r>
      <w:bookmarkEnd w:id="446"/>
    </w:p>
    <w:p w14:paraId="3C2D8384">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color w:val="auto"/>
          <w:sz w:val="28"/>
          <w:szCs w:val="28"/>
          <w:highlight w:val="none"/>
          <w:lang w:val="zh-CN" w:eastAsia="zh-CN"/>
        </w:rPr>
      </w:pPr>
      <w:bookmarkStart w:id="447" w:name="_Toc20014"/>
      <w:r>
        <w:rPr>
          <w:rFonts w:hint="eastAsia" w:ascii="宋体" w:hAnsi="宋体" w:eastAsia="宋体" w:cs="宋体"/>
          <w:color w:val="auto"/>
          <w:sz w:val="28"/>
          <w:szCs w:val="28"/>
          <w:highlight w:val="none"/>
          <w:lang w:val="en-US" w:eastAsia="zh-CN"/>
        </w:rPr>
        <w:t>一、</w:t>
      </w:r>
      <w:r>
        <w:rPr>
          <w:rFonts w:hint="eastAsia" w:ascii="宋体" w:hAnsi="宋体" w:eastAsia="宋体" w:cs="宋体"/>
          <w:color w:val="auto"/>
          <w:sz w:val="28"/>
          <w:szCs w:val="28"/>
          <w:highlight w:val="none"/>
          <w:lang w:val="zh-CN" w:eastAsia="zh-CN"/>
        </w:rPr>
        <w:t>评审方法</w:t>
      </w:r>
      <w:bookmarkEnd w:id="447"/>
    </w:p>
    <w:p w14:paraId="53640E9C">
      <w:pPr>
        <w:pStyle w:val="33"/>
        <w:keepNext w:val="0"/>
        <w:keepLines w:val="0"/>
        <w:pageBreakBefore w:val="0"/>
        <w:widowControl w:val="0"/>
        <w:kinsoku/>
        <w:overflowPunct/>
        <w:topLinePunct w:val="0"/>
        <w:autoSpaceDE/>
        <w:autoSpaceDN/>
        <w:bidi w:val="0"/>
        <w:adjustRightInd/>
        <w:snapToGrid/>
        <w:spacing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本项目采用综合评分法。综合评分法是指经磋商确定最终采购需求和提交最后报价</w:t>
      </w:r>
      <w:r>
        <w:rPr>
          <w:rFonts w:hint="eastAsia" w:ascii="宋体" w:hAnsi="宋体" w:eastAsia="宋体" w:cs="宋体"/>
          <w:b/>
          <w:bCs/>
          <w:color w:val="auto"/>
          <w:szCs w:val="24"/>
          <w:highlight w:val="none"/>
          <w:lang w:val="zh-CN"/>
        </w:rPr>
        <w:t>（因落实政府采购政策进行价格调整的，以调整后的价格计算）</w:t>
      </w:r>
      <w:r>
        <w:rPr>
          <w:rFonts w:hint="eastAsia" w:ascii="宋体" w:hAnsi="宋体" w:eastAsia="宋体" w:cs="宋体"/>
          <w:color w:val="auto"/>
          <w:highlight w:val="none"/>
        </w:rPr>
        <w:t>的供应商的响应文件满足磋商文件全部实质性要求且按评审因素的量化指标评审得分最高的供应商为成交候选供应商的评审方法。</w:t>
      </w:r>
    </w:p>
    <w:p w14:paraId="2E5B7BB0">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color w:val="auto"/>
          <w:sz w:val="28"/>
          <w:szCs w:val="28"/>
          <w:highlight w:val="none"/>
          <w:lang w:val="zh-CN" w:eastAsia="zh-CN"/>
        </w:rPr>
      </w:pPr>
      <w:bookmarkStart w:id="448" w:name="_Toc20319"/>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val="zh-CN" w:eastAsia="zh-CN"/>
        </w:rPr>
        <w:t>评审程序</w:t>
      </w:r>
      <w:bookmarkEnd w:id="448"/>
    </w:p>
    <w:p w14:paraId="25412360">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49" w:name="_Toc362"/>
      <w:bookmarkStart w:id="450" w:name="_Toc163493634"/>
      <w:bookmarkStart w:id="451" w:name="_Toc20291"/>
      <w:r>
        <w:rPr>
          <w:rFonts w:hint="eastAsia" w:ascii="宋体" w:hAnsi="宋体" w:eastAsia="宋体" w:cs="宋体"/>
          <w:b/>
          <w:bCs/>
          <w:color w:val="auto"/>
          <w:kern w:val="2"/>
          <w:sz w:val="24"/>
          <w:szCs w:val="24"/>
          <w:highlight w:val="none"/>
          <w:lang w:val="zh-CN" w:eastAsia="zh-CN" w:bidi="ar-SA"/>
        </w:rPr>
        <w:t>（一）资格审查和符合性审查</w:t>
      </w:r>
      <w:bookmarkEnd w:id="449"/>
      <w:bookmarkEnd w:id="450"/>
      <w:bookmarkEnd w:id="451"/>
    </w:p>
    <w:p w14:paraId="6C7F2EBF">
      <w:pPr>
        <w:pageBreakBefore w:val="0"/>
        <w:tabs>
          <w:tab w:val="left" w:pos="312"/>
        </w:tabs>
        <w:kinsoku/>
        <w:wordWrap w:val="0"/>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1.磋商小组根据磋商文件规定的供应商资格条件、评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成交的标准等事项，对供应商的响应文件进行评审。资格审查和符合性审查不符合磋商文件要求的响应文件，按</w:t>
      </w:r>
      <w:r>
        <w:rPr>
          <w:rFonts w:hint="eastAsia" w:ascii="宋体" w:hAnsi="宋体" w:eastAsia="宋体" w:cs="宋体"/>
          <w:b/>
          <w:bCs/>
          <w:color w:val="auto"/>
          <w:sz w:val="24"/>
          <w:szCs w:val="24"/>
          <w:highlight w:val="none"/>
        </w:rPr>
        <w:t>无效文件</w:t>
      </w:r>
      <w:r>
        <w:rPr>
          <w:rFonts w:hint="eastAsia" w:ascii="宋体" w:hAnsi="宋体" w:eastAsia="宋体" w:cs="宋体"/>
          <w:color w:val="auto"/>
          <w:sz w:val="24"/>
          <w:szCs w:val="24"/>
          <w:highlight w:val="none"/>
        </w:rPr>
        <w:t>处理，不进入磋商，并告知有关供应商</w:t>
      </w:r>
      <w:r>
        <w:rPr>
          <w:rFonts w:hint="eastAsia" w:ascii="宋体" w:hAnsi="宋体" w:eastAsia="宋体" w:cs="宋体"/>
          <w:color w:val="auto"/>
          <w:sz w:val="24"/>
          <w:szCs w:val="24"/>
          <w:highlight w:val="none"/>
          <w:lang w:val="zh-CN"/>
        </w:rPr>
        <w:t>。</w:t>
      </w:r>
    </w:p>
    <w:p w14:paraId="34DAF073">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sz w:val="24"/>
          <w:szCs w:val="24"/>
          <w:highlight w:val="none"/>
          <w:lang w:val="en-US" w:eastAsia="zh-CN"/>
        </w:rPr>
        <w:t>通过</w:t>
      </w:r>
      <w:r>
        <w:rPr>
          <w:rFonts w:hint="eastAsia" w:ascii="宋体" w:hAnsi="宋体" w:eastAsia="宋体" w:cs="宋体"/>
          <w:sz w:val="24"/>
          <w:szCs w:val="24"/>
          <w:highlight w:val="none"/>
        </w:rPr>
        <w:t>资格性审查和符合性审查</w:t>
      </w:r>
      <w:r>
        <w:rPr>
          <w:rFonts w:hint="eastAsia" w:ascii="宋体" w:hAnsi="宋体" w:eastAsia="宋体" w:cs="宋体"/>
          <w:sz w:val="24"/>
          <w:szCs w:val="24"/>
          <w:highlight w:val="none"/>
          <w:lang w:val="en-US" w:eastAsia="zh-CN"/>
        </w:rPr>
        <w:t>的</w:t>
      </w:r>
      <w:r>
        <w:rPr>
          <w:rFonts w:hint="eastAsia" w:ascii="宋体" w:hAnsi="宋体" w:eastAsia="宋体" w:cs="宋体"/>
          <w:color w:val="auto"/>
          <w:sz w:val="24"/>
          <w:szCs w:val="24"/>
          <w:highlight w:val="none"/>
        </w:rPr>
        <w:t>有效</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不足3家的应当终止竞争性磋商采购活动，发布项目终止公告并说明原因，重新开展采购活动。</w:t>
      </w:r>
    </w:p>
    <w:p w14:paraId="2480155A">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52" w:name="_Toc163493635"/>
      <w:bookmarkStart w:id="453" w:name="_Toc16165"/>
      <w:bookmarkStart w:id="454" w:name="_Toc10565"/>
      <w:bookmarkStart w:id="455" w:name="_Hlk158124046"/>
      <w:bookmarkStart w:id="456" w:name="_Toc102116048"/>
      <w:bookmarkStart w:id="457" w:name="_Toc102114946"/>
      <w:bookmarkStart w:id="458" w:name="_Toc102056244"/>
      <w:bookmarkStart w:id="459" w:name="_Toc102116178"/>
      <w:bookmarkStart w:id="460" w:name="_Toc102119879"/>
      <w:bookmarkStart w:id="461" w:name="_Toc102057744"/>
      <w:r>
        <w:rPr>
          <w:rFonts w:hint="eastAsia" w:ascii="宋体" w:hAnsi="宋体" w:eastAsia="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zh-CN" w:eastAsia="zh-CN" w:bidi="ar-SA"/>
        </w:rPr>
        <w:t>响应文件澄清</w:t>
      </w:r>
      <w:bookmarkEnd w:id="452"/>
      <w:bookmarkEnd w:id="453"/>
      <w:bookmarkEnd w:id="454"/>
    </w:p>
    <w:p w14:paraId="4E589A43">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D6F80BE">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bookmarkEnd w:id="455"/>
    <w:p w14:paraId="27E4E052">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62" w:name="_Toc29441"/>
      <w:bookmarkStart w:id="463" w:name="_Toc3467"/>
      <w:bookmarkStart w:id="464" w:name="_Toc163493636"/>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磋商程序</w:t>
      </w:r>
      <w:bookmarkEnd w:id="462"/>
      <w:bookmarkEnd w:id="463"/>
      <w:bookmarkEnd w:id="464"/>
    </w:p>
    <w:p w14:paraId="3B21DF86">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磋商小组应当依据磋商文件规定的程序、评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rPr>
        <w:t>成交的标准等事项与</w:t>
      </w:r>
      <w:r>
        <w:rPr>
          <w:rFonts w:hint="eastAsia" w:ascii="宋体" w:hAnsi="宋体" w:eastAsia="宋体" w:cs="宋体"/>
          <w:color w:val="auto"/>
          <w:sz w:val="24"/>
          <w:szCs w:val="24"/>
          <w:highlight w:val="none"/>
          <w:lang w:val="zh-CN"/>
        </w:rPr>
        <w:t>实质性</w:t>
      </w:r>
      <w:r>
        <w:rPr>
          <w:rFonts w:hint="eastAsia" w:ascii="宋体" w:hAnsi="宋体" w:eastAsia="宋体" w:cs="宋体"/>
          <w:color w:val="auto"/>
          <w:sz w:val="24"/>
          <w:szCs w:val="24"/>
          <w:highlight w:val="none"/>
        </w:rPr>
        <w:t>响应磋商文件要求的供应商进行磋商。</w:t>
      </w:r>
    </w:p>
    <w:p w14:paraId="410355B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1.第一轮磋商</w:t>
      </w:r>
    </w:p>
    <w:p w14:paraId="0B92300B">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1.1磋商小组将按照系统随机的顺序决定供应商的磋商顺序，并集中与单一供应商分别进行磋商</w:t>
      </w:r>
      <w:r>
        <w:rPr>
          <w:rFonts w:hint="eastAsia" w:ascii="宋体" w:hAnsi="宋体" w:eastAsia="宋体" w:cs="宋体"/>
          <w:color w:val="auto"/>
          <w:sz w:val="24"/>
          <w:szCs w:val="24"/>
          <w:highlight w:val="none"/>
        </w:rPr>
        <w:t>。</w:t>
      </w:r>
    </w:p>
    <w:p w14:paraId="7F6A6EA2">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磋商小组所有成员应当对照磋商文件和响应文件就采购需求、质量和服务等内容集中与单一供应商分别进行磋商，并给予所有参加磋商的供应商平等的磋商机会。在磋商中，磋商的任何一方不得透露与磋商有关的其他供应商的技术资料、价格和其他信息。</w:t>
      </w:r>
    </w:p>
    <w:p w14:paraId="1BC6C917">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1.3磋商过程中，磋商小组可以根据磋商文件和磋商情况实质性变动采购需求中的技术、服务要求以及合同草案条款，但不得变动磋商文件中的其他内容。实质性变动的内容，须经采购人代表确认。</w:t>
      </w:r>
    </w:p>
    <w:p w14:paraId="26C7DC2C">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1.4对磋商文件作出的实质性变动的内容是磋商文件的有效组成部分。磋商小组应将磋商文件的变动情况以书面</w:t>
      </w:r>
      <w:r>
        <w:rPr>
          <w:rFonts w:hint="eastAsia" w:ascii="宋体" w:hAnsi="宋体" w:eastAsia="宋体" w:cs="宋体"/>
          <w:color w:val="auto"/>
          <w:sz w:val="24"/>
          <w:szCs w:val="24"/>
          <w:highlight w:val="none"/>
          <w:lang w:val="en-US" w:eastAsia="zh-CN"/>
        </w:rPr>
        <w:t>形</w:t>
      </w:r>
      <w:r>
        <w:rPr>
          <w:rFonts w:hint="eastAsia" w:ascii="宋体" w:hAnsi="宋体" w:eastAsia="宋体" w:cs="宋体"/>
          <w:color w:val="auto"/>
          <w:sz w:val="24"/>
          <w:szCs w:val="24"/>
          <w:highlight w:val="none"/>
        </w:rPr>
        <w:t>式通知所有参加磋商的供应商。</w:t>
      </w:r>
    </w:p>
    <w:p w14:paraId="708F2F98">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供应商应当按照磋商文件的变动情况和磋商小组的要求在规定的时间内重新提交响应文件，并由其法定代表人或授权代表签字或者加盖公章。由授权代表签字的，应当附法定代表人授权书。供应商为自然人的，应当由本人签字并附身份证明。逾时不提交的，视同退出磋商。</w:t>
      </w:r>
    </w:p>
    <w:p w14:paraId="296A5BF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2.多轮磋商</w:t>
      </w:r>
    </w:p>
    <w:p w14:paraId="07D8F4C4">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磋商文件中不能详细列明采购标的的技术、服务要求，需经磋商由供应商提供最终设计方案或解决方案的项目，磋商小组可以根据采购人对采购需求的确认情况，进行多轮磋商，直到采购人代表最终确认采购需求为止。</w:t>
      </w:r>
    </w:p>
    <w:p w14:paraId="7990D9D0">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2.3磋商程序同第一轮磋商。</w:t>
      </w:r>
    </w:p>
    <w:p w14:paraId="4741324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3.最后报价</w:t>
      </w:r>
    </w:p>
    <w:p w14:paraId="3FE2B13F">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3.1磋商文件中能够详细列明采购标的的技术、服务要求的，磋商结束后，磋商小组应当要求所有</w:t>
      </w:r>
      <w:r>
        <w:rPr>
          <w:rFonts w:hint="eastAsia" w:ascii="宋体" w:hAnsi="宋体" w:eastAsia="宋体" w:cs="宋体"/>
          <w:color w:val="auto"/>
          <w:sz w:val="24"/>
          <w:szCs w:val="24"/>
          <w:highlight w:val="none"/>
          <w:lang w:val="en-US" w:eastAsia="zh-CN"/>
        </w:rPr>
        <w:t>实质性响应</w:t>
      </w:r>
      <w:r>
        <w:rPr>
          <w:rFonts w:hint="eastAsia" w:ascii="宋体" w:hAnsi="宋体" w:eastAsia="宋体" w:cs="宋体"/>
          <w:color w:val="auto"/>
          <w:sz w:val="24"/>
          <w:szCs w:val="24"/>
          <w:highlight w:val="none"/>
        </w:rPr>
        <w:t>的供应商，在规定时间内，以书面的方式经授权代表签字（或加盖公章）后提交最后报价，提交最后报价的供应商不得少于3家</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市场竞争不充分的科研项目，以及需要扶持的科技成果转化项目可以为2家，</w:t>
      </w:r>
      <w:r>
        <w:rPr>
          <w:rFonts w:hint="eastAsia" w:ascii="宋体" w:hAnsi="宋体" w:eastAsia="宋体" w:cs="宋体"/>
          <w:snapToGrid w:val="0"/>
          <w:color w:val="auto"/>
          <w:sz w:val="24"/>
          <w:szCs w:val="24"/>
          <w:highlight w:val="none"/>
        </w:rPr>
        <w:t>政府购买服务项目[含政府和社会资本合作项目]，在采购过程中符合要求的供应商[社会资本]只有2家的</w:t>
      </w:r>
      <w:r>
        <w:rPr>
          <w:rFonts w:hint="eastAsia" w:ascii="宋体" w:hAnsi="宋体" w:eastAsia="宋体" w:cs="宋体"/>
          <w:color w:val="auto"/>
          <w:sz w:val="24"/>
          <w:szCs w:val="24"/>
          <w:highlight w:val="none"/>
        </w:rPr>
        <w:t>可以为2家</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p>
    <w:p w14:paraId="45C3849D">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3.2磋商文件中不能详细列明采购标的的技术、服务要求，需经磋商由供应商提供最</w:t>
      </w:r>
      <w:r>
        <w:rPr>
          <w:rFonts w:hint="eastAsia" w:ascii="宋体" w:hAnsi="宋体" w:eastAsia="宋体" w:cs="宋体"/>
          <w:color w:val="auto"/>
          <w:sz w:val="24"/>
          <w:szCs w:val="24"/>
          <w:highlight w:val="none"/>
          <w:lang w:val="en-US" w:eastAsia="zh-CN"/>
        </w:rPr>
        <w:t>终</w:t>
      </w:r>
      <w:r>
        <w:rPr>
          <w:rFonts w:hint="eastAsia" w:ascii="宋体" w:hAnsi="宋体" w:eastAsia="宋体" w:cs="宋体"/>
          <w:color w:val="auto"/>
          <w:sz w:val="24"/>
          <w:szCs w:val="24"/>
          <w:highlight w:val="none"/>
        </w:rPr>
        <w:t>设计方案或解决方案的，磋商结束后，磋商小组应当按照少数服从多数的原则投票推荐3家以上供应商的设计方案或者解决方案，并要求其在规定时间内提交最后报价。</w:t>
      </w:r>
    </w:p>
    <w:p w14:paraId="6A85ACA0">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最后报价是供应商响应文件的有效组成部分。逾时不提交的，视同退出磋商。</w:t>
      </w:r>
    </w:p>
    <w:p w14:paraId="63316710">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最后报价出现前后不一致的，按照下列规定修正：</w:t>
      </w:r>
    </w:p>
    <w:p w14:paraId="41A8A1D4">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（1）大写金额和小写金额不一致的，以大写金额为准；</w:t>
      </w:r>
    </w:p>
    <w:p w14:paraId="79A2142F">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（2）单价金额</w:t>
      </w:r>
      <w:r>
        <w:rPr>
          <w:rFonts w:hint="eastAsia" w:ascii="宋体" w:hAnsi="宋体" w:eastAsia="宋体" w:cs="宋体"/>
          <w:color w:val="auto"/>
          <w:sz w:val="24"/>
          <w:szCs w:val="24"/>
          <w:highlight w:val="none"/>
        </w:rPr>
        <w:t>小数点</w:t>
      </w:r>
      <w:r>
        <w:rPr>
          <w:rFonts w:hint="eastAsia" w:ascii="宋体" w:hAnsi="宋体" w:eastAsia="宋体" w:cs="宋体"/>
          <w:color w:val="auto"/>
          <w:sz w:val="24"/>
          <w:szCs w:val="24"/>
          <w:highlight w:val="none"/>
          <w:lang w:val="zh-CN"/>
        </w:rPr>
        <w:t>或百分比有明显错位的，以最后报价表的总价为准，并修改单价；</w:t>
      </w:r>
    </w:p>
    <w:p w14:paraId="53C9A123">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（3）总价金额与按单价汇总金额不一致的，以单价金额计算结果为准；</w:t>
      </w:r>
    </w:p>
    <w:p w14:paraId="62F02C6F">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（4）同时出现</w:t>
      </w:r>
      <w:r>
        <w:rPr>
          <w:rFonts w:hint="eastAsia" w:ascii="宋体" w:hAnsi="宋体" w:eastAsia="宋体" w:cs="宋体"/>
          <w:color w:val="auto"/>
          <w:sz w:val="24"/>
          <w:szCs w:val="24"/>
          <w:highlight w:val="none"/>
        </w:rPr>
        <w:t>两种</w:t>
      </w:r>
      <w:r>
        <w:rPr>
          <w:rFonts w:hint="eastAsia" w:ascii="宋体" w:hAnsi="宋体" w:eastAsia="宋体" w:cs="宋体"/>
          <w:color w:val="auto"/>
          <w:sz w:val="24"/>
          <w:szCs w:val="24"/>
          <w:highlight w:val="none"/>
          <w:lang w:val="zh-CN"/>
        </w:rPr>
        <w:t>以上不一致的，按照前款规定的顺序修正；</w:t>
      </w:r>
    </w:p>
    <w:p w14:paraId="492B1BCC">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修正后的报价应通过书面方式通知供应商，由供应商授权代表签字（或加盖公章）确认后产生约束力，供应商不确认的，按照</w:t>
      </w:r>
      <w:r>
        <w:rPr>
          <w:rFonts w:hint="eastAsia" w:ascii="宋体" w:hAnsi="宋体" w:eastAsia="宋体" w:cs="宋体"/>
          <w:b/>
          <w:bCs/>
          <w:color w:val="auto"/>
          <w:sz w:val="24"/>
          <w:szCs w:val="24"/>
          <w:highlight w:val="none"/>
          <w:lang w:val="zh-CN"/>
        </w:rPr>
        <w:t>无效响应</w:t>
      </w:r>
      <w:r>
        <w:rPr>
          <w:rFonts w:hint="eastAsia" w:ascii="宋体" w:hAnsi="宋体" w:eastAsia="宋体" w:cs="宋体"/>
          <w:color w:val="auto"/>
          <w:sz w:val="24"/>
          <w:szCs w:val="24"/>
          <w:highlight w:val="none"/>
          <w:lang w:val="zh-CN"/>
        </w:rPr>
        <w:t>处理。</w:t>
      </w:r>
    </w:p>
    <w:p w14:paraId="040E7FCB">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en-US" w:eastAsia="zh-CN"/>
        </w:rPr>
      </w:pPr>
      <w:bookmarkStart w:id="465" w:name="_Toc102114947"/>
      <w:bookmarkStart w:id="466" w:name="_Toc102056245"/>
      <w:bookmarkStart w:id="467" w:name="_Toc102116049"/>
      <w:bookmarkStart w:id="468" w:name="_Toc102119880"/>
      <w:bookmarkStart w:id="469" w:name="_Toc102057745"/>
      <w:bookmarkStart w:id="470" w:name="_Toc102116179"/>
      <w:r>
        <w:rPr>
          <w:rFonts w:hint="eastAsia" w:ascii="宋体" w:hAnsi="宋体" w:eastAsia="宋体" w:cs="宋体"/>
          <w:color w:val="auto"/>
          <w:sz w:val="24"/>
          <w:szCs w:val="24"/>
          <w:highlight w:val="none"/>
          <w:lang w:val="en-US" w:eastAsia="zh-CN"/>
        </w:rPr>
        <w:t>3.4已提交响应文件的供应商，在提交最后报价之前，可以根据磋商情况退出磋商，退出磋商供应商的磋商保证金可予以退还。</w:t>
      </w:r>
    </w:p>
    <w:p w14:paraId="37D01FA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4.商务技术评审</w:t>
      </w:r>
    </w:p>
    <w:p w14:paraId="2D2ED263">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4.1经磋商确定最终采购需求和提交最后报价的供应商后，由磋商小组采用综合评分法对提交最后报价的供应商的响应文件和最后报价进行综合评分。</w:t>
      </w:r>
    </w:p>
    <w:bookmarkEnd w:id="456"/>
    <w:bookmarkEnd w:id="457"/>
    <w:bookmarkEnd w:id="458"/>
    <w:bookmarkEnd w:id="459"/>
    <w:bookmarkEnd w:id="460"/>
    <w:bookmarkEnd w:id="461"/>
    <w:bookmarkEnd w:id="465"/>
    <w:bookmarkEnd w:id="466"/>
    <w:bookmarkEnd w:id="467"/>
    <w:bookmarkEnd w:id="468"/>
    <w:bookmarkEnd w:id="469"/>
    <w:bookmarkEnd w:id="470"/>
    <w:p w14:paraId="11B2A59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71" w:name="_Toc102116051"/>
      <w:bookmarkStart w:id="472" w:name="_Toc102116181"/>
      <w:bookmarkStart w:id="473" w:name="_Toc102057747"/>
      <w:bookmarkStart w:id="474" w:name="_Toc102119882"/>
      <w:bookmarkStart w:id="475" w:name="_Toc102056247"/>
      <w:bookmarkStart w:id="476" w:name="_Toc102114949"/>
      <w:r>
        <w:rPr>
          <w:rFonts w:hint="eastAsia" w:ascii="宋体" w:hAnsi="宋体" w:eastAsia="宋体" w:cs="宋体"/>
          <w:b/>
          <w:bCs/>
          <w:color w:val="auto"/>
          <w:kern w:val="2"/>
          <w:sz w:val="24"/>
          <w:szCs w:val="24"/>
          <w:highlight w:val="none"/>
          <w:lang w:val="en-US" w:eastAsia="zh-CN" w:bidi="ar-SA"/>
        </w:rPr>
        <w:t>5.报价评</w:t>
      </w:r>
      <w:bookmarkEnd w:id="471"/>
      <w:bookmarkEnd w:id="472"/>
      <w:bookmarkEnd w:id="473"/>
      <w:bookmarkEnd w:id="474"/>
      <w:bookmarkEnd w:id="475"/>
      <w:bookmarkEnd w:id="476"/>
      <w:r>
        <w:rPr>
          <w:rFonts w:hint="eastAsia" w:ascii="宋体" w:hAnsi="宋体" w:eastAsia="宋体" w:cs="宋体"/>
          <w:b/>
          <w:bCs/>
          <w:color w:val="auto"/>
          <w:kern w:val="2"/>
          <w:sz w:val="24"/>
          <w:szCs w:val="24"/>
          <w:highlight w:val="none"/>
          <w:lang w:val="en-US" w:eastAsia="zh-CN" w:bidi="ar-SA"/>
        </w:rPr>
        <w:t>审</w:t>
      </w:r>
    </w:p>
    <w:p w14:paraId="4F87D81F">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5.1报价合理性说明：磋商小组认为供应商的最后报价明显低于其他供应商最后报价，有可能影响</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lang w:val="zh-CN"/>
        </w:rPr>
        <w:t>质量或者不能诚信履约的，应当要求其在合理的时间内提供说明，必要时提交相关证明材料；供应商不能证明其最后报价合理性的，磋商小组应当将其作</w:t>
      </w:r>
      <w:r>
        <w:rPr>
          <w:rFonts w:hint="eastAsia" w:ascii="宋体" w:hAnsi="宋体" w:eastAsia="宋体" w:cs="宋体"/>
          <w:b/>
          <w:color w:val="auto"/>
          <w:sz w:val="24"/>
          <w:szCs w:val="24"/>
          <w:highlight w:val="none"/>
          <w:lang w:val="zh-CN"/>
        </w:rPr>
        <w:t>无效响应处理</w:t>
      </w:r>
      <w:r>
        <w:rPr>
          <w:rFonts w:hint="eastAsia" w:ascii="宋体" w:hAnsi="宋体" w:eastAsia="宋体" w:cs="宋体"/>
          <w:color w:val="auto"/>
          <w:sz w:val="24"/>
          <w:szCs w:val="24"/>
          <w:highlight w:val="none"/>
          <w:lang w:val="zh-CN"/>
        </w:rPr>
        <w:t>。</w:t>
      </w:r>
    </w:p>
    <w:p w14:paraId="1B3E8B52">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5.1.1供应商应根据答疑内容在规定的时间内提供说明和成本清单等相关证明材料，磋商小组认定相关证明材料对此报价的说明或者证明材料可以佐证此报价的货物质量和具有诚信履约能力，予以通过审查；</w:t>
      </w:r>
    </w:p>
    <w:p w14:paraId="61371D00">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5.1.2供应商提供的说明或者证明材料必须按照国家财务会计制度的规定要求，逐项就供应商提供的货物和服务的主营业务成本、税收及附加、销售费用、管理费用、财务费用等成本构成事项详细陈述，并由法定代表人或者其授权代表签字确认并加盖公章；</w:t>
      </w:r>
    </w:p>
    <w:p w14:paraId="3E3AF71F">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5.1.3供应商不能合理说明或者不能提供相关证明材料的，由磋商小组认定该供应商以低于成本报价竞标，有可能影响货物质量或者不能诚信履约，应当</w:t>
      </w:r>
      <w:r>
        <w:rPr>
          <w:rFonts w:hint="eastAsia" w:ascii="宋体" w:hAnsi="宋体" w:eastAsia="宋体" w:cs="宋体"/>
          <w:color w:val="auto"/>
          <w:sz w:val="24"/>
          <w:szCs w:val="24"/>
          <w:highlight w:val="none"/>
          <w:lang w:val="zh-CN"/>
        </w:rPr>
        <w:t>将其作为</w:t>
      </w:r>
      <w:r>
        <w:rPr>
          <w:rFonts w:hint="eastAsia" w:ascii="宋体" w:hAnsi="宋体" w:eastAsia="宋体" w:cs="宋体"/>
          <w:b/>
          <w:color w:val="auto"/>
          <w:sz w:val="24"/>
          <w:szCs w:val="24"/>
          <w:highlight w:val="none"/>
          <w:lang w:val="zh-CN"/>
        </w:rPr>
        <w:t>无效响应处理</w:t>
      </w:r>
      <w:r>
        <w:rPr>
          <w:rFonts w:hint="eastAsia" w:ascii="宋体" w:hAnsi="宋体" w:eastAsia="宋体" w:cs="宋体"/>
          <w:color w:val="auto"/>
          <w:sz w:val="24"/>
          <w:szCs w:val="24"/>
          <w:highlight w:val="none"/>
          <w:lang w:val="en-US" w:eastAsia="zh-CN"/>
        </w:rPr>
        <w:t>；</w:t>
      </w:r>
    </w:p>
    <w:p w14:paraId="0E9AEE79">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5.1.4供应商也可以有预见性地准备好上述要求的书面说明和相关证明材料并加盖公章。</w:t>
      </w:r>
    </w:p>
    <w:p w14:paraId="1784FDBF">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5.2价格扣除： </w:t>
      </w:r>
    </w:p>
    <w:p w14:paraId="1F4B5526">
      <w:pPr>
        <w:pStyle w:val="33"/>
        <w:pageBreakBefore w:val="0"/>
        <w:numPr>
          <w:ilvl w:val="0"/>
          <w:numId w:val="0"/>
        </w:numPr>
        <w:shd w:val="clear" w:color="auto" w:fill="FFFFFF" w:themeFill="background1"/>
        <w:kinsoku/>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rPr>
        <w:t>非专门面向中小企业的采购项目或采购包，对符合规定的小微企业（监狱企业、残疾人福利性单位、联合体各方均为小微企业的联合体、符合小微企业划分标准的个体工商户视同小微企业）报价按照竞争性磋商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须知前附表”中的规定扣除，对小微企业中的监狱企业、残疾人福利性单位、采购产品纳入创新产品应用示范推荐目录内企业、采购产品获得节能产品或环境标志产品认证证书的企业报价按照本竞争性磋商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供应商须知前附表”中的规定扣除，用扣除后的价格计算评审基准价。</w:t>
      </w:r>
    </w:p>
    <w:p w14:paraId="72014FEF">
      <w:pPr>
        <w:pStyle w:val="33"/>
        <w:pageBreakBefore w:val="0"/>
        <w:numPr>
          <w:ilvl w:val="0"/>
          <w:numId w:val="0"/>
        </w:numPr>
        <w:shd w:val="clear" w:color="auto" w:fill="FFFFFF" w:themeFill="background1"/>
        <w:kinsoku/>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rPr>
        <w:t>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p>
    <w:p w14:paraId="1A495953">
      <w:pPr>
        <w:pStyle w:val="33"/>
        <w:pageBreakBefore w:val="0"/>
        <w:numPr>
          <w:ilvl w:val="0"/>
          <w:numId w:val="0"/>
        </w:numPr>
        <w:shd w:val="clear" w:color="auto" w:fill="FFFFFF" w:themeFill="background1"/>
        <w:kinsoku/>
        <w:overflowPunct/>
        <w:topLinePunct w:val="0"/>
        <w:autoSpaceDE/>
        <w:autoSpaceDN/>
        <w:bidi w:val="0"/>
        <w:spacing w:line="44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（3）组成联合体或者接受分包的小微企业与联合体内其他企业、分包企业之间存在直接控股、管理关系的，不享受价格扣除优惠政策。</w:t>
      </w:r>
    </w:p>
    <w:p w14:paraId="60984AA9">
      <w:pPr>
        <w:pStyle w:val="33"/>
        <w:pageBreakBefore w:val="0"/>
        <w:numPr>
          <w:ilvl w:val="0"/>
          <w:numId w:val="0"/>
        </w:numPr>
        <w:shd w:val="clear" w:color="auto" w:fill="FFFFFF" w:themeFill="background1"/>
        <w:kinsoku/>
        <w:overflowPunct/>
        <w:topLinePunct w:val="0"/>
        <w:autoSpaceDE/>
        <w:autoSpaceDN/>
        <w:bidi w:val="0"/>
        <w:spacing w:line="44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（4）价格扣除比例对小型企业和微型企业同等对待，不作区分。</w:t>
      </w:r>
    </w:p>
    <w:p w14:paraId="19B743D0">
      <w:pPr>
        <w:pStyle w:val="33"/>
        <w:pageBreakBefore w:val="0"/>
        <w:numPr>
          <w:ilvl w:val="0"/>
          <w:numId w:val="0"/>
        </w:numPr>
        <w:shd w:val="clear" w:color="auto" w:fill="FFFFFF" w:themeFill="background1"/>
        <w:kinsoku/>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（5）</w:t>
      </w:r>
      <w:r>
        <w:rPr>
          <w:rFonts w:hint="eastAsia" w:ascii="宋体" w:hAnsi="宋体" w:eastAsia="宋体" w:cs="宋体"/>
          <w:color w:val="auto"/>
          <w:sz w:val="24"/>
          <w:szCs w:val="24"/>
          <w:highlight w:val="none"/>
        </w:rPr>
        <w:t>专门面向中小企业、预留部分采购份额面向中小企业采购的项目或采购包，评审时不再进行价格扣除。</w:t>
      </w:r>
    </w:p>
    <w:p w14:paraId="36F5294C">
      <w:pPr>
        <w:pStyle w:val="33"/>
        <w:pageBreakBefore w:val="0"/>
        <w:numPr>
          <w:ilvl w:val="0"/>
          <w:numId w:val="0"/>
        </w:numPr>
        <w:shd w:val="clear" w:color="auto" w:fill="FFFFFF" w:themeFill="background1"/>
        <w:kinsoku/>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6）若供应商同时属于小型或微型企业、监狱企业、残疾人福利性单位 中的两种及以上，将不重复享受小微企业价格扣减的优惠政策。</w:t>
      </w:r>
    </w:p>
    <w:p w14:paraId="11757E3C">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5.3价格分采用低价优先法计算，即满足磋商文件要求且最后报价最低的供应商的价格为磋商基准价，其价格分为满分。其他供应商的价格分统一按照下列公式计算：</w:t>
      </w:r>
    </w:p>
    <w:p w14:paraId="527333A8">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磋商报价得分=（磋商基准价/最后磋商报价）×</w:t>
      </w:r>
      <w:r>
        <w:rPr>
          <w:rFonts w:hint="eastAsia" w:ascii="宋体" w:hAnsi="宋体" w:eastAsia="宋体" w:cs="宋体"/>
          <w:color w:val="auto"/>
          <w:sz w:val="24"/>
          <w:szCs w:val="24"/>
          <w:highlight w:val="none"/>
        </w:rPr>
        <w:t>价格分值</w:t>
      </w:r>
    </w:p>
    <w:p w14:paraId="72A4C42D">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项目评审过程中，不得去掉最后报价中的最高报价和最低报价。计算方法详见本章“三、评审标准”中的具体计算公式。</w:t>
      </w:r>
    </w:p>
    <w:p w14:paraId="576E9827">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77" w:name="_Toc102057749"/>
      <w:bookmarkStart w:id="478" w:name="_Toc102119884"/>
      <w:bookmarkStart w:id="479" w:name="_Toc102116183"/>
      <w:bookmarkStart w:id="480" w:name="_Toc102056249"/>
      <w:bookmarkStart w:id="481" w:name="_Toc102116053"/>
      <w:bookmarkStart w:id="482" w:name="_Toc102114951"/>
      <w:bookmarkStart w:id="483" w:name="_Toc102057750"/>
      <w:bookmarkStart w:id="484" w:name="_Toc102114952"/>
      <w:bookmarkStart w:id="485" w:name="_Toc102116184"/>
      <w:bookmarkStart w:id="486" w:name="_Toc102119885"/>
      <w:bookmarkStart w:id="487" w:name="_Toc102116054"/>
      <w:bookmarkStart w:id="488" w:name="_Toc102056250"/>
      <w:r>
        <w:rPr>
          <w:rFonts w:hint="eastAsia" w:ascii="宋体" w:hAnsi="宋体" w:eastAsia="宋体" w:cs="宋体"/>
          <w:b/>
          <w:bCs/>
          <w:color w:val="auto"/>
          <w:kern w:val="2"/>
          <w:sz w:val="24"/>
          <w:szCs w:val="24"/>
          <w:highlight w:val="none"/>
          <w:lang w:val="en-US" w:eastAsia="zh-CN" w:bidi="ar-SA"/>
        </w:rPr>
        <w:t>6.计分办法</w:t>
      </w:r>
      <w:bookmarkEnd w:id="477"/>
      <w:bookmarkEnd w:id="478"/>
      <w:bookmarkEnd w:id="479"/>
      <w:bookmarkEnd w:id="480"/>
      <w:bookmarkEnd w:id="481"/>
      <w:bookmarkEnd w:id="482"/>
      <w:r>
        <w:rPr>
          <w:rFonts w:hint="eastAsia" w:ascii="宋体" w:hAnsi="宋体" w:eastAsia="宋体" w:cs="宋体"/>
          <w:b/>
          <w:bCs/>
          <w:color w:val="auto"/>
          <w:kern w:val="2"/>
          <w:sz w:val="24"/>
          <w:szCs w:val="24"/>
          <w:highlight w:val="none"/>
          <w:lang w:val="en-US" w:eastAsia="zh-CN" w:bidi="ar-SA"/>
        </w:rPr>
        <w:t>及复核</w:t>
      </w:r>
    </w:p>
    <w:p w14:paraId="0956E193">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lang w:val="zh-CN"/>
        </w:rPr>
        <w:t>6.1评审过程中，各项分值一般精确到小数点后两位，评审得分应当为商务评分、技术评分、报价评分之和。磋商小组各成员应当汇总每个供应商的得分。</w:t>
      </w:r>
    </w:p>
    <w:p w14:paraId="7D7F6459">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6.2评审结果汇总完成后，采购代理机构应当对评审结果进行复核。经复核发现存在以下情形之一的，磋商小组应当当场修改评审结果，并在评审报告中记载：</w:t>
      </w:r>
    </w:p>
    <w:p w14:paraId="51E15D43">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lang w:val="zh-CN" w:eastAsia="zh-CN"/>
        </w:rPr>
        <w:t>资格性检查认定错误</w:t>
      </w:r>
      <w:r>
        <w:rPr>
          <w:rFonts w:hint="eastAsia" w:ascii="宋体" w:hAnsi="宋体" w:eastAsia="宋体" w:cs="宋体"/>
          <w:color w:val="auto"/>
          <w:sz w:val="24"/>
          <w:szCs w:val="24"/>
          <w:highlight w:val="none"/>
          <w:lang w:val="zh-CN"/>
        </w:rPr>
        <w:t xml:space="preserve">的； </w:t>
      </w:r>
    </w:p>
    <w:p w14:paraId="13236C4D">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 xml:space="preserve">）分值汇总计算错误的； </w:t>
      </w:r>
    </w:p>
    <w:p w14:paraId="419FB307">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）分项评分超出评分标准范围的；</w:t>
      </w:r>
    </w:p>
    <w:p w14:paraId="3B915FD9">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）磋商小组成员对客观</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val="zh-CN"/>
        </w:rPr>
        <w:t>评分不一致的；</w:t>
      </w:r>
    </w:p>
    <w:p w14:paraId="1E569905">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）经磋商小组</w:t>
      </w:r>
      <w:r>
        <w:rPr>
          <w:rFonts w:hint="eastAsia" w:ascii="宋体" w:hAnsi="宋体" w:eastAsia="宋体" w:cs="宋体"/>
          <w:color w:val="auto"/>
          <w:sz w:val="24"/>
          <w:szCs w:val="24"/>
          <w:highlight w:val="none"/>
          <w:lang w:val="en-US" w:eastAsia="zh-CN"/>
        </w:rPr>
        <w:t>一致</w:t>
      </w:r>
      <w:r>
        <w:rPr>
          <w:rFonts w:hint="eastAsia" w:ascii="宋体" w:hAnsi="宋体" w:eastAsia="宋体" w:cs="宋体"/>
          <w:color w:val="auto"/>
          <w:sz w:val="24"/>
          <w:szCs w:val="24"/>
          <w:highlight w:val="none"/>
          <w:lang w:val="zh-CN"/>
        </w:rPr>
        <w:t>认定评分畸高、畸低的。</w:t>
      </w:r>
    </w:p>
    <w:p w14:paraId="6C6015B1">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6.3各供应商的最终得分为磋商小组所有成员对各供应商评审得分汇总后的算术平均值。</w:t>
      </w:r>
    </w:p>
    <w:p w14:paraId="0EFF5F9B">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6.4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3A5AB6DE">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6.5采购人或者采购代理机构不得通过对样品进行检测、对供应商进行考察等方式改变评审结果。</w:t>
      </w:r>
    </w:p>
    <w:p w14:paraId="0AC22C3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7.相同品牌处理原则</w:t>
      </w:r>
    </w:p>
    <w:p w14:paraId="5F6D9A23">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strike/>
          <w:color w:val="auto"/>
          <w:sz w:val="24"/>
          <w:szCs w:val="24"/>
          <w:highlight w:val="none"/>
          <w:lang w:val="zh-CN"/>
        </w:rPr>
      </w:pPr>
      <w:r>
        <w:rPr>
          <w:rFonts w:hint="eastAsia" w:ascii="宋体" w:hAnsi="宋体" w:eastAsia="宋体" w:cs="宋体"/>
          <w:color w:val="auto"/>
          <w:sz w:val="24"/>
          <w:szCs w:val="24"/>
          <w:highlight w:val="none"/>
          <w:lang w:val="zh-CN"/>
        </w:rPr>
        <w:t>7.1单一产品采购，提供相同品牌产品的且通过</w:t>
      </w:r>
      <w:r>
        <w:rPr>
          <w:rFonts w:hint="eastAsia" w:ascii="宋体" w:hAnsi="宋体" w:eastAsia="宋体" w:cs="宋体"/>
          <w:bCs/>
          <w:color w:val="auto"/>
          <w:sz w:val="24"/>
          <w:szCs w:val="24"/>
          <w:highlight w:val="none"/>
        </w:rPr>
        <w:t>资格</w:t>
      </w:r>
      <w:r>
        <w:rPr>
          <w:rFonts w:hint="eastAsia" w:ascii="宋体" w:hAnsi="宋体" w:eastAsia="宋体" w:cs="宋体"/>
          <w:bCs/>
          <w:color w:val="auto"/>
          <w:sz w:val="24"/>
          <w:szCs w:val="24"/>
          <w:highlight w:val="none"/>
          <w:lang w:val="en-US" w:eastAsia="zh-CN"/>
        </w:rPr>
        <w:t>审查</w:t>
      </w:r>
      <w:r>
        <w:rPr>
          <w:rFonts w:hint="eastAsia" w:ascii="宋体" w:hAnsi="宋体" w:eastAsia="宋体" w:cs="宋体"/>
          <w:bCs/>
          <w:color w:val="auto"/>
          <w:sz w:val="24"/>
          <w:szCs w:val="24"/>
          <w:highlight w:val="none"/>
        </w:rPr>
        <w:t>和符合性审查的</w:t>
      </w:r>
      <w:r>
        <w:rPr>
          <w:rFonts w:hint="eastAsia" w:ascii="宋体" w:hAnsi="宋体" w:eastAsia="宋体" w:cs="宋体"/>
          <w:color w:val="auto"/>
          <w:sz w:val="24"/>
          <w:szCs w:val="24"/>
          <w:highlight w:val="none"/>
          <w:lang w:val="zh-CN"/>
        </w:rPr>
        <w:t>不同供应商参加同一合同项下磋商的，按一家供应商计算，评审后得分最高的同品牌供应商获得成交候选人推荐资格，评审得分相同的，由采购人确定或者采购人委托磋商小组以投票方式确定一家供应商获得成交候选供应商推荐资格，其它同品牌供应商不作为成交候选供应商。</w:t>
      </w:r>
    </w:p>
    <w:p w14:paraId="676C72D2">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7.2非单一产品采购项目，采购人应当根据采购项目技术构成、产品价格比重等合理确定核心产品，并在竞争性磋商文件中载明，评审时按前款规定处理。</w:t>
      </w:r>
    </w:p>
    <w:p w14:paraId="1F8EBB8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8.评审报告</w:t>
      </w:r>
      <w:bookmarkEnd w:id="483"/>
      <w:bookmarkEnd w:id="484"/>
      <w:bookmarkEnd w:id="485"/>
      <w:bookmarkEnd w:id="486"/>
      <w:bookmarkEnd w:id="487"/>
      <w:bookmarkEnd w:id="488"/>
    </w:p>
    <w:p w14:paraId="1836027C">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8.1磋商小组</w:t>
      </w:r>
      <w:r>
        <w:rPr>
          <w:rFonts w:hint="eastAsia" w:ascii="宋体" w:hAnsi="宋体" w:eastAsia="宋体" w:cs="宋体"/>
          <w:color w:val="auto"/>
          <w:sz w:val="24"/>
          <w:szCs w:val="24"/>
          <w:highlight w:val="none"/>
        </w:rPr>
        <w:t>从质量和服务均能满足磋商文件实质性要求的供应商中，按照</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rPr>
        <w:t>得分由高到低的顺序推荐3名</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市场竞争不充分的科研项目，以及需要扶持的科技成果转化项目可以为2家，</w:t>
      </w:r>
      <w:r>
        <w:rPr>
          <w:rFonts w:hint="eastAsia" w:ascii="宋体" w:hAnsi="宋体" w:eastAsia="宋体" w:cs="宋体"/>
          <w:snapToGrid w:val="0"/>
          <w:color w:val="auto"/>
          <w:sz w:val="24"/>
          <w:szCs w:val="24"/>
          <w:highlight w:val="none"/>
        </w:rPr>
        <w:t>政府购买服务项目[含政府和社会资本合作项目]，在采购过程中符合要求的供应商[社会资本]只有2家的</w:t>
      </w:r>
      <w:r>
        <w:rPr>
          <w:rFonts w:hint="eastAsia" w:ascii="宋体" w:hAnsi="宋体" w:eastAsia="宋体" w:cs="宋体"/>
          <w:color w:val="auto"/>
          <w:sz w:val="24"/>
          <w:szCs w:val="24"/>
          <w:highlight w:val="none"/>
        </w:rPr>
        <w:t>可以为2家</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以上</w:t>
      </w:r>
      <w:r>
        <w:rPr>
          <w:rFonts w:hint="eastAsia" w:ascii="宋体" w:hAnsi="宋体" w:eastAsia="宋体" w:cs="宋体"/>
          <w:color w:val="auto"/>
          <w:sz w:val="24"/>
          <w:szCs w:val="24"/>
          <w:highlight w:val="none"/>
          <w:lang w:val="zh-CN"/>
        </w:rPr>
        <w:t>成交</w:t>
      </w:r>
      <w:r>
        <w:rPr>
          <w:rFonts w:hint="eastAsia" w:ascii="宋体" w:hAnsi="宋体" w:eastAsia="宋体" w:cs="宋体"/>
          <w:color w:val="auto"/>
          <w:sz w:val="24"/>
          <w:szCs w:val="24"/>
          <w:highlight w:val="none"/>
        </w:rPr>
        <w:t>候选供应商。评审得分相同的，</w:t>
      </w:r>
      <w:r>
        <w:rPr>
          <w:rFonts w:hint="eastAsia" w:ascii="宋体" w:hAnsi="宋体" w:eastAsia="宋体" w:cs="宋体"/>
          <w:color w:val="auto"/>
          <w:sz w:val="24"/>
          <w:szCs w:val="24"/>
          <w:highlight w:val="none"/>
          <w:lang w:val="zh-CN"/>
        </w:rPr>
        <w:t>磋商小组</w:t>
      </w:r>
      <w:r>
        <w:rPr>
          <w:rFonts w:hint="eastAsia" w:ascii="宋体" w:hAnsi="宋体" w:eastAsia="宋体" w:cs="宋体"/>
          <w:color w:val="auto"/>
          <w:sz w:val="24"/>
          <w:szCs w:val="24"/>
          <w:highlight w:val="none"/>
        </w:rPr>
        <w:t>按照最后报价由低到高的顺序推荐；</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rPr>
        <w:t>得分且最后报价相同的，按</w:t>
      </w:r>
      <w:r>
        <w:rPr>
          <w:rFonts w:hint="eastAsia" w:ascii="宋体" w:hAnsi="宋体" w:eastAsia="宋体" w:cs="宋体"/>
          <w:color w:val="auto"/>
          <w:sz w:val="24"/>
          <w:szCs w:val="24"/>
          <w:highlight w:val="none"/>
          <w:lang w:val="en-US" w:eastAsia="zh-CN"/>
        </w:rPr>
        <w:t>照</w:t>
      </w:r>
      <w:r>
        <w:rPr>
          <w:rFonts w:hint="eastAsia" w:ascii="宋体" w:hAnsi="宋体" w:eastAsia="宋体" w:cs="宋体"/>
          <w:color w:val="auto"/>
          <w:sz w:val="24"/>
          <w:szCs w:val="24"/>
          <w:highlight w:val="none"/>
        </w:rPr>
        <w:t>技术</w:t>
      </w:r>
      <w:r>
        <w:rPr>
          <w:rFonts w:hint="eastAsia" w:ascii="宋体" w:hAnsi="宋体" w:eastAsia="宋体" w:cs="宋体"/>
          <w:color w:val="auto"/>
          <w:sz w:val="24"/>
          <w:szCs w:val="24"/>
          <w:highlight w:val="none"/>
          <w:lang w:val="en-US" w:eastAsia="zh-CN"/>
        </w:rPr>
        <w:t>指标</w:t>
      </w:r>
      <w:r>
        <w:rPr>
          <w:rFonts w:hint="eastAsia" w:ascii="宋体" w:hAnsi="宋体" w:eastAsia="宋体" w:cs="宋体"/>
          <w:color w:val="auto"/>
          <w:sz w:val="24"/>
          <w:szCs w:val="24"/>
          <w:highlight w:val="none"/>
        </w:rPr>
        <w:t>优劣顺序推荐</w:t>
      </w:r>
      <w:r>
        <w:rPr>
          <w:rFonts w:hint="eastAsia" w:ascii="宋体" w:hAnsi="宋体" w:eastAsia="宋体" w:cs="宋体"/>
          <w:color w:val="auto"/>
          <w:sz w:val="24"/>
          <w:szCs w:val="24"/>
          <w:highlight w:val="none"/>
          <w:lang w:val="zh-CN"/>
        </w:rPr>
        <w:t>。响应文件满足磋商文件全部实质性要求且评审得分最高的供应商为排名第一的成交候选供应商。</w:t>
      </w:r>
      <w:r>
        <w:rPr>
          <w:rFonts w:hint="eastAsia" w:ascii="宋体" w:hAnsi="宋体" w:eastAsia="宋体" w:cs="宋体"/>
          <w:color w:val="auto"/>
          <w:sz w:val="24"/>
          <w:szCs w:val="24"/>
          <w:highlight w:val="none"/>
        </w:rPr>
        <w:t>磋商小组依据评审结果</w:t>
      </w:r>
      <w:r>
        <w:rPr>
          <w:rFonts w:hint="eastAsia" w:ascii="宋体" w:hAnsi="宋体" w:eastAsia="宋体" w:cs="宋体"/>
          <w:color w:val="auto"/>
          <w:sz w:val="24"/>
          <w:szCs w:val="24"/>
          <w:highlight w:val="none"/>
          <w:lang w:eastAsia="zh-CN"/>
        </w:rPr>
        <w:t>形成评审报告。</w:t>
      </w:r>
    </w:p>
    <w:p w14:paraId="541E582F">
      <w:pPr>
        <w:pStyle w:val="33"/>
        <w:pageBreakBefore w:val="0"/>
        <w:kinsoku/>
        <w:overflowPunct/>
        <w:topLinePunct w:val="0"/>
        <w:autoSpaceDE/>
        <w:autoSpaceDN/>
        <w:bidi w:val="0"/>
        <w:spacing w:line="440" w:lineRule="exact"/>
        <w:ind w:firstLine="48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8.</w:t>
      </w:r>
      <w:bookmarkStart w:id="489" w:name="_Toc102114919"/>
      <w:bookmarkStart w:id="490" w:name="_Toc102116021"/>
      <w:bookmarkStart w:id="491" w:name="_Toc102116151"/>
      <w:bookmarkStart w:id="492" w:name="_Toc102119852"/>
      <w:bookmarkStart w:id="493" w:name="_Toc102056217"/>
      <w:bookmarkStart w:id="494" w:name="_Toc102057717"/>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25913F0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95" w:name="_Toc102116152"/>
      <w:bookmarkStart w:id="496" w:name="_Toc102119853"/>
      <w:bookmarkStart w:id="497" w:name="_Toc102116022"/>
      <w:bookmarkStart w:id="498" w:name="_Toc102114920"/>
      <w:bookmarkStart w:id="499" w:name="_Toc102057718"/>
      <w:bookmarkStart w:id="500" w:name="_Toc102056218"/>
      <w:r>
        <w:rPr>
          <w:rFonts w:hint="eastAsia" w:ascii="宋体" w:hAnsi="宋体" w:eastAsia="宋体" w:cs="宋体"/>
          <w:b/>
          <w:bCs/>
          <w:color w:val="auto"/>
          <w:kern w:val="2"/>
          <w:sz w:val="24"/>
          <w:szCs w:val="24"/>
          <w:highlight w:val="none"/>
          <w:lang w:val="en-US" w:eastAsia="zh-CN" w:bidi="ar-SA"/>
        </w:rPr>
        <w:t>9.响应无效的情形</w:t>
      </w:r>
    </w:p>
    <w:p w14:paraId="21B88F58">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9.1</w:t>
      </w:r>
      <w:r>
        <w:rPr>
          <w:rFonts w:hint="eastAsia" w:ascii="宋体" w:hAnsi="宋体" w:eastAsia="宋体" w:cs="宋体"/>
          <w:b w:val="0"/>
          <w:bCs w:val="0"/>
          <w:color w:val="auto"/>
          <w:sz w:val="24"/>
          <w:szCs w:val="24"/>
          <w:highlight w:val="none"/>
        </w:rPr>
        <w:t>供应商存在下列情况之一的，</w:t>
      </w:r>
      <w:r>
        <w:rPr>
          <w:rFonts w:hint="eastAsia"/>
          <w:color w:val="auto"/>
          <w:highlight w:val="none"/>
          <w:lang w:val="en-US" w:eastAsia="zh-CN"/>
        </w:rPr>
        <w:t>视为投标人串通投标，</w:t>
      </w:r>
      <w:r>
        <w:rPr>
          <w:rFonts w:hint="eastAsia" w:ascii="宋体" w:hAnsi="宋体" w:eastAsia="宋体" w:cs="宋体"/>
          <w:b w:val="0"/>
          <w:bCs w:val="0"/>
          <w:color w:val="auto"/>
          <w:sz w:val="24"/>
          <w:szCs w:val="24"/>
          <w:highlight w:val="none"/>
          <w:lang w:val="en-US" w:eastAsia="zh-CN"/>
        </w:rPr>
        <w:t>其</w:t>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无效</w:t>
      </w:r>
      <w:r>
        <w:rPr>
          <w:rFonts w:hint="eastAsia" w:ascii="宋体" w:hAnsi="宋体" w:eastAsia="宋体" w:cs="宋体"/>
          <w:b w:val="0"/>
          <w:bCs w:val="0"/>
          <w:color w:val="auto"/>
          <w:sz w:val="24"/>
          <w:szCs w:val="24"/>
          <w:highlight w:val="none"/>
        </w:rPr>
        <w:t>：</w:t>
      </w:r>
    </w:p>
    <w:p w14:paraId="702D1A6A">
      <w:pPr>
        <w:pStyle w:val="64"/>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不同供应商的响应文件由同一单位或者个人编制；</w:t>
      </w:r>
    </w:p>
    <w:p w14:paraId="2B2A7ABE">
      <w:pPr>
        <w:pStyle w:val="64"/>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不同供应商委托同一单位或者个人办理</w:t>
      </w:r>
      <w:r>
        <w:rPr>
          <w:rFonts w:hint="eastAsia" w:ascii="宋体" w:hAnsi="宋体" w:eastAsia="宋体" w:cs="宋体"/>
          <w:b w:val="0"/>
          <w:bCs w:val="0"/>
          <w:color w:val="auto"/>
          <w:sz w:val="24"/>
          <w:szCs w:val="24"/>
          <w:highlight w:val="none"/>
          <w:lang w:val="en-US" w:eastAsia="zh-CN"/>
        </w:rPr>
        <w:t>磋商响应</w:t>
      </w:r>
      <w:r>
        <w:rPr>
          <w:rFonts w:hint="eastAsia" w:ascii="宋体" w:hAnsi="宋体" w:eastAsia="宋体" w:cs="宋体"/>
          <w:b w:val="0"/>
          <w:bCs w:val="0"/>
          <w:color w:val="auto"/>
          <w:sz w:val="24"/>
          <w:szCs w:val="24"/>
          <w:highlight w:val="none"/>
        </w:rPr>
        <w:t>事宜；</w:t>
      </w:r>
    </w:p>
    <w:p w14:paraId="4EE2FB0A">
      <w:pPr>
        <w:pStyle w:val="64"/>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不同供应商的响应文件载明的项目管理成员或者联系人员为同一人；</w:t>
      </w:r>
    </w:p>
    <w:p w14:paraId="53A78381">
      <w:pPr>
        <w:pStyle w:val="64"/>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不同供应商的响应文件异常一致或者</w:t>
      </w:r>
      <w:r>
        <w:rPr>
          <w:rFonts w:hint="eastAsia" w:ascii="宋体" w:hAnsi="宋体" w:eastAsia="宋体" w:cs="宋体"/>
          <w:b w:val="0"/>
          <w:bCs w:val="0"/>
          <w:color w:val="auto"/>
          <w:sz w:val="24"/>
          <w:szCs w:val="24"/>
          <w:highlight w:val="none"/>
          <w:lang w:val="en-US" w:eastAsia="zh-CN"/>
        </w:rPr>
        <w:t>磋商</w:t>
      </w:r>
      <w:r>
        <w:rPr>
          <w:rFonts w:hint="eastAsia" w:ascii="宋体" w:hAnsi="宋体" w:eastAsia="宋体" w:cs="宋体"/>
          <w:b w:val="0"/>
          <w:bCs w:val="0"/>
          <w:color w:val="auto"/>
          <w:sz w:val="24"/>
          <w:szCs w:val="24"/>
          <w:highlight w:val="none"/>
        </w:rPr>
        <w:t>报价呈规律性差异；</w:t>
      </w:r>
    </w:p>
    <w:p w14:paraId="60D5A539">
      <w:pPr>
        <w:pStyle w:val="64"/>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不同供应商的响应文件相互混装；</w:t>
      </w:r>
    </w:p>
    <w:p w14:paraId="2FF50D83">
      <w:pPr>
        <w:pStyle w:val="64"/>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不同供应商的磋商保证金从同一单位或者个人的账户转出</w:t>
      </w:r>
      <w:r>
        <w:rPr>
          <w:rFonts w:hint="eastAsia" w:ascii="宋体" w:hAnsi="宋体" w:eastAsia="宋体" w:cs="宋体"/>
          <w:b w:val="0"/>
          <w:bCs w:val="0"/>
          <w:color w:val="auto"/>
          <w:sz w:val="24"/>
          <w:szCs w:val="24"/>
          <w:highlight w:val="none"/>
          <w:lang w:val="en-US" w:eastAsia="zh-CN"/>
        </w:rPr>
        <w:t>；</w:t>
      </w:r>
    </w:p>
    <w:p w14:paraId="1C3AF755">
      <w:pPr>
        <w:pStyle w:val="33"/>
        <w:pageBreakBefore w:val="0"/>
        <w:kinsoku/>
        <w:overflowPunct/>
        <w:topLinePunct w:val="0"/>
        <w:autoSpaceDE/>
        <w:autoSpaceDN/>
        <w:bidi w:val="0"/>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zh-CN" w:eastAsia="zh-CN"/>
        </w:rPr>
        <w:t>不同</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使用同一电脑（机器特征值一致：如MAC地址等）或使用同一电子密钥，编制或上传电子</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val="zh-CN" w:eastAsia="zh-CN"/>
        </w:rPr>
        <w:t>文件</w:t>
      </w:r>
      <w:r>
        <w:rPr>
          <w:rFonts w:hint="eastAsia" w:ascii="宋体" w:hAnsi="宋体" w:eastAsia="宋体" w:cs="宋体"/>
          <w:color w:val="auto"/>
          <w:sz w:val="24"/>
          <w:szCs w:val="24"/>
          <w:highlight w:val="none"/>
          <w:lang w:val="en-US" w:eastAsia="zh-CN"/>
        </w:rPr>
        <w:t>；</w:t>
      </w:r>
    </w:p>
    <w:p w14:paraId="29DA958A">
      <w:pPr>
        <w:pStyle w:val="33"/>
        <w:pageBreakBefore w:val="0"/>
        <w:kinsoku/>
        <w:overflowPunct/>
        <w:topLinePunct w:val="0"/>
        <w:autoSpaceDE/>
        <w:autoSpaceDN/>
        <w:bidi w:val="0"/>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（8）法律、法规、规章和竞争性磋商文件规定的其他响应无效的情形。</w:t>
      </w:r>
    </w:p>
    <w:p w14:paraId="51CFEB2F">
      <w:pPr>
        <w:pStyle w:val="64"/>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 xml:space="preserve"> </w:t>
      </w:r>
      <w:r>
        <w:rPr>
          <w:rFonts w:hint="eastAsia" w:ascii="宋体" w:hAnsi="宋体" w:eastAsia="宋体" w:cs="宋体"/>
          <w:b w:val="0"/>
          <w:bCs w:val="0"/>
          <w:color w:val="auto"/>
          <w:sz w:val="24"/>
          <w:szCs w:val="24"/>
          <w:highlight w:val="none"/>
          <w:lang w:val="en-US" w:eastAsia="zh-CN"/>
        </w:rPr>
        <w:t>磋商</w:t>
      </w:r>
      <w:r>
        <w:rPr>
          <w:rFonts w:hint="eastAsia" w:ascii="宋体" w:hAnsi="宋体" w:eastAsia="宋体" w:cs="宋体"/>
          <w:b w:val="0"/>
          <w:bCs w:val="0"/>
          <w:color w:val="auto"/>
          <w:sz w:val="24"/>
          <w:szCs w:val="24"/>
          <w:highlight w:val="none"/>
        </w:rPr>
        <w:t>小组应当审查</w:t>
      </w:r>
      <w:r>
        <w:rPr>
          <w:rFonts w:hint="eastAsia" w:ascii="宋体" w:hAnsi="宋体" w:eastAsia="宋体" w:cs="宋体"/>
          <w:b w:val="0"/>
          <w:bCs w:val="0"/>
          <w:color w:val="auto"/>
          <w:sz w:val="24"/>
          <w:szCs w:val="24"/>
          <w:highlight w:val="none"/>
          <w:lang w:val="en-US" w:eastAsia="zh-CN"/>
        </w:rPr>
        <w:t>所有供应商的</w:t>
      </w:r>
      <w:r>
        <w:rPr>
          <w:rFonts w:hint="eastAsia" w:ascii="宋体" w:hAnsi="宋体" w:eastAsia="宋体" w:cs="宋体"/>
          <w:b w:val="0"/>
          <w:bCs w:val="0"/>
          <w:color w:val="auto"/>
          <w:sz w:val="24"/>
          <w:szCs w:val="24"/>
          <w:highlight w:val="none"/>
        </w:rPr>
        <w:t>响应文件是否对竞争性磋商文件提出的所有实质性要求和条件做出响应。未能在实质上响应的</w:t>
      </w:r>
      <w:r>
        <w:rPr>
          <w:rFonts w:hint="eastAsia" w:ascii="宋体" w:hAnsi="宋体" w:eastAsia="宋体"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rPr>
        <w:t>，其</w:t>
      </w:r>
      <w:r>
        <w:rPr>
          <w:rFonts w:hint="eastAsia" w:ascii="宋体" w:hAnsi="宋体" w:eastAsia="宋体" w:cs="宋体"/>
          <w:b/>
          <w:bCs/>
          <w:color w:val="auto"/>
          <w:sz w:val="24"/>
          <w:szCs w:val="24"/>
          <w:highlight w:val="none"/>
          <w:lang w:val="en-US" w:eastAsia="zh-CN"/>
        </w:rPr>
        <w:t>响应无效</w:t>
      </w:r>
      <w:r>
        <w:rPr>
          <w:rFonts w:hint="eastAsia" w:ascii="宋体" w:hAnsi="宋体" w:eastAsia="宋体" w:cs="宋体"/>
          <w:b w:val="0"/>
          <w:bCs w:val="0"/>
          <w:color w:val="auto"/>
          <w:sz w:val="24"/>
          <w:szCs w:val="24"/>
          <w:highlight w:val="none"/>
        </w:rPr>
        <w:t>。</w:t>
      </w:r>
    </w:p>
    <w:p w14:paraId="076ED559">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 xml:space="preserve"> 供应商不得误导、干扰</w:t>
      </w:r>
      <w:r>
        <w:rPr>
          <w:rFonts w:hint="eastAsia" w:ascii="宋体" w:hAnsi="宋体" w:eastAsia="宋体" w:cs="宋体"/>
          <w:b w:val="0"/>
          <w:bCs w:val="0"/>
          <w:color w:val="auto"/>
          <w:sz w:val="24"/>
          <w:szCs w:val="24"/>
          <w:highlight w:val="none"/>
          <w:lang w:val="en-US" w:eastAsia="zh-CN"/>
        </w:rPr>
        <w:t>磋商小组</w:t>
      </w:r>
      <w:r>
        <w:rPr>
          <w:rFonts w:hint="eastAsia" w:ascii="宋体" w:hAnsi="宋体" w:eastAsia="宋体" w:cs="宋体"/>
          <w:b w:val="0"/>
          <w:bCs w:val="0"/>
          <w:color w:val="auto"/>
          <w:sz w:val="24"/>
          <w:szCs w:val="24"/>
          <w:highlight w:val="none"/>
        </w:rPr>
        <w:t>的评审活动，否则其</w:t>
      </w:r>
      <w:r>
        <w:rPr>
          <w:rFonts w:hint="eastAsia" w:ascii="宋体" w:hAnsi="宋体" w:eastAsia="宋体" w:cs="宋体"/>
          <w:b/>
          <w:bCs/>
          <w:color w:val="auto"/>
          <w:sz w:val="24"/>
          <w:szCs w:val="24"/>
          <w:highlight w:val="none"/>
          <w:lang w:val="en-US" w:eastAsia="zh-CN"/>
        </w:rPr>
        <w:t>响应无效</w:t>
      </w:r>
      <w:r>
        <w:rPr>
          <w:rFonts w:hint="eastAsia" w:ascii="宋体" w:hAnsi="宋体" w:eastAsia="宋体" w:cs="宋体"/>
          <w:b w:val="0"/>
          <w:bCs w:val="0"/>
          <w:color w:val="auto"/>
          <w:sz w:val="24"/>
          <w:szCs w:val="24"/>
          <w:highlight w:val="none"/>
        </w:rPr>
        <w:t>。</w:t>
      </w:r>
    </w:p>
    <w:p w14:paraId="054A61A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10.停止评审的情形</w:t>
      </w:r>
      <w:bookmarkEnd w:id="495"/>
      <w:bookmarkEnd w:id="496"/>
      <w:bookmarkEnd w:id="497"/>
      <w:bookmarkEnd w:id="498"/>
      <w:bookmarkEnd w:id="499"/>
      <w:bookmarkEnd w:id="500"/>
    </w:p>
    <w:p w14:paraId="58A3D9D5">
      <w:pPr>
        <w:keepNext w:val="0"/>
        <w:keepLines w:val="0"/>
        <w:pageBreakBefore w:val="0"/>
        <w:widowControl w:val="0"/>
        <w:suppressLineNumbers w:val="0"/>
        <w:kinsoku/>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zh-CN" w:eastAsia="zh-CN" w:bidi="ar-SA"/>
        </w:rPr>
        <w:t>.1</w:t>
      </w:r>
      <w:r>
        <w:rPr>
          <w:rFonts w:hint="eastAsia" w:ascii="宋体" w:hAnsi="宋体" w:eastAsia="宋体" w:cs="宋体"/>
          <w:color w:val="auto"/>
          <w:kern w:val="2"/>
          <w:sz w:val="24"/>
          <w:szCs w:val="24"/>
          <w:highlight w:val="none"/>
          <w:lang w:val="en-US" w:eastAsia="zh-CN" w:bidi="ar-SA"/>
        </w:rPr>
        <w:t>磋商小组在评审过程中发现供应商有行贿、提供虚假材料或者串通等违法行为的，应当及时向财政部门报告。</w:t>
      </w:r>
    </w:p>
    <w:p w14:paraId="47788DEC">
      <w:pPr>
        <w:pStyle w:val="33"/>
        <w:keepNext w:val="0"/>
        <w:keepLines w:val="0"/>
        <w:pageBreakBefore w:val="0"/>
        <w:widowControl w:val="0"/>
        <w:kinsoku/>
        <w:overflowPunct/>
        <w:topLinePunct w:val="0"/>
        <w:autoSpaceDE/>
        <w:autoSpaceDN/>
        <w:bidi w:val="0"/>
        <w:adjustRightInd/>
        <w:snapToGrid/>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10.2</w:t>
      </w:r>
      <w:r>
        <w:rPr>
          <w:rFonts w:hint="eastAsia" w:ascii="宋体" w:hAnsi="宋体" w:eastAsia="宋体" w:cs="宋体"/>
          <w:color w:val="auto"/>
          <w:sz w:val="24"/>
          <w:szCs w:val="24"/>
          <w:highlight w:val="none"/>
          <w:lang w:val="zh-CN"/>
        </w:rPr>
        <w:t>磋商小组发现磋商文件存在歧义、重大缺陷导致评审工作无法进行，或者磋商文件内容违反国家有关强制性规定的，应当停止评审工作，与采购人或者采购代理机构沟通并作书面记录。采购人或者采购代理机构确认后，应当修改磋商文件，重新组织采购活动。</w:t>
      </w:r>
    </w:p>
    <w:bookmarkEnd w:id="489"/>
    <w:bookmarkEnd w:id="490"/>
    <w:bookmarkEnd w:id="491"/>
    <w:bookmarkEnd w:id="492"/>
    <w:bookmarkEnd w:id="493"/>
    <w:bookmarkEnd w:id="494"/>
    <w:p w14:paraId="72A0944C">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color w:val="auto"/>
          <w:sz w:val="28"/>
          <w:szCs w:val="28"/>
          <w:highlight w:val="none"/>
          <w:lang w:val="en-US" w:eastAsia="zh-CN"/>
        </w:rPr>
      </w:pPr>
      <w:bookmarkStart w:id="501" w:name="_Toc5714"/>
      <w:r>
        <w:rPr>
          <w:rFonts w:hint="eastAsia" w:ascii="宋体" w:hAnsi="宋体" w:eastAsia="宋体" w:cs="宋体"/>
          <w:color w:val="auto"/>
          <w:sz w:val="28"/>
          <w:szCs w:val="28"/>
          <w:highlight w:val="none"/>
          <w:lang w:val="en-US" w:eastAsia="zh-CN"/>
        </w:rPr>
        <w:t>三、</w:t>
      </w:r>
      <w:r>
        <w:rPr>
          <w:rFonts w:hint="eastAsia" w:ascii="宋体" w:hAnsi="宋体" w:eastAsia="宋体" w:cs="宋体"/>
          <w:color w:val="auto"/>
          <w:sz w:val="28"/>
          <w:szCs w:val="28"/>
          <w:highlight w:val="none"/>
          <w:lang w:val="zh-CN" w:eastAsia="zh-CN"/>
        </w:rPr>
        <w:t>评审</w:t>
      </w:r>
      <w:r>
        <w:rPr>
          <w:rFonts w:hint="eastAsia" w:ascii="宋体" w:hAnsi="宋体" w:eastAsia="宋体" w:cs="宋体"/>
          <w:color w:val="auto"/>
          <w:sz w:val="28"/>
          <w:szCs w:val="28"/>
          <w:highlight w:val="none"/>
          <w:lang w:val="en-US" w:eastAsia="zh-CN"/>
        </w:rPr>
        <w:t>其他要求</w:t>
      </w:r>
      <w:bookmarkEnd w:id="501"/>
    </w:p>
    <w:p w14:paraId="2A028F75">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firstLine="240" w:firstLineChars="100"/>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无</w:t>
      </w:r>
    </w:p>
    <w:p w14:paraId="0FAE5B4D">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80" w:lineRule="exact"/>
        <w:ind w:left="420" w:leftChars="0" w:hanging="420" w:firstLineChars="0"/>
        <w:textAlignment w:val="auto"/>
        <w:rPr>
          <w:rFonts w:hint="eastAsia" w:ascii="宋体" w:hAnsi="宋体" w:eastAsia="宋体" w:cs="宋体"/>
          <w:color w:val="auto"/>
          <w:sz w:val="28"/>
          <w:szCs w:val="28"/>
          <w:highlight w:val="none"/>
          <w:lang w:val="zh-CN" w:eastAsia="zh-CN"/>
        </w:rPr>
      </w:pPr>
      <w:bookmarkStart w:id="502" w:name="_Toc21345"/>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lang w:val="zh-CN" w:eastAsia="zh-CN"/>
        </w:rPr>
        <w:t>评审标准</w:t>
      </w:r>
      <w:bookmarkEnd w:id="502"/>
    </w:p>
    <w:p w14:paraId="79FEBCCF">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03" w:name="_Toc27078"/>
      <w:bookmarkStart w:id="504" w:name="_Toc15394"/>
      <w:bookmarkStart w:id="505" w:name="_Toc163493638"/>
      <w:r>
        <w:rPr>
          <w:rFonts w:hint="eastAsia" w:ascii="宋体" w:hAnsi="宋体" w:eastAsia="宋体" w:cs="宋体"/>
          <w:b/>
          <w:bCs/>
          <w:color w:val="auto"/>
          <w:kern w:val="2"/>
          <w:sz w:val="24"/>
          <w:szCs w:val="24"/>
          <w:highlight w:val="none"/>
          <w:lang w:val="en-US" w:eastAsia="zh-CN" w:bidi="ar-SA"/>
        </w:rPr>
        <w:t>（一）</w:t>
      </w:r>
      <w:r>
        <w:rPr>
          <w:rFonts w:hint="eastAsia" w:ascii="宋体" w:hAnsi="宋体" w:eastAsia="宋体" w:cs="宋体"/>
          <w:b/>
          <w:bCs/>
          <w:color w:val="auto"/>
          <w:kern w:val="2"/>
          <w:sz w:val="24"/>
          <w:szCs w:val="24"/>
          <w:highlight w:val="none"/>
          <w:lang w:val="zh-CN" w:eastAsia="zh-CN" w:bidi="ar-SA"/>
        </w:rPr>
        <w:t>资格审查表</w:t>
      </w:r>
      <w:bookmarkEnd w:id="503"/>
      <w:bookmarkEnd w:id="504"/>
      <w:bookmarkEnd w:id="505"/>
    </w:p>
    <w:tbl>
      <w:tblPr>
        <w:tblStyle w:val="27"/>
        <w:tblW w:w="562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821"/>
        <w:gridCol w:w="1764"/>
        <w:gridCol w:w="5663"/>
        <w:gridCol w:w="1338"/>
      </w:tblGrid>
      <w:tr w14:paraId="3820B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44" w:hRule="atLeast"/>
          <w:jc w:val="center"/>
        </w:trPr>
        <w:tc>
          <w:tcPr>
            <w:tcW w:w="423" w:type="pct"/>
            <w:shd w:val="clear" w:color="auto" w:fill="D8D8D8" w:themeFill="background1" w:themeFillShade="D9"/>
            <w:vAlign w:val="center"/>
          </w:tcPr>
          <w:p w14:paraId="01EAF759">
            <w:pPr>
              <w:pStyle w:val="44"/>
              <w:jc w:val="center"/>
              <w:rPr>
                <w:rFonts w:hint="eastAsia" w:ascii="宋体" w:hAnsi="宋体" w:eastAsia="宋体" w:cs="宋体"/>
                <w:b/>
                <w:bCs/>
                <w:color w:val="auto"/>
                <w:sz w:val="24"/>
                <w:szCs w:val="24"/>
                <w:highlight w:val="none"/>
              </w:rPr>
            </w:pPr>
            <w:bookmarkStart w:id="506" w:name="_Toc156490348"/>
            <w:r>
              <w:rPr>
                <w:rFonts w:hint="eastAsia" w:ascii="宋体" w:hAnsi="宋体" w:eastAsia="宋体" w:cs="宋体"/>
                <w:b/>
                <w:bCs/>
                <w:color w:val="auto"/>
                <w:sz w:val="24"/>
                <w:szCs w:val="24"/>
                <w:highlight w:val="none"/>
              </w:rPr>
              <w:t>序号</w:t>
            </w:r>
          </w:p>
        </w:tc>
        <w:tc>
          <w:tcPr>
            <w:tcW w:w="922" w:type="pct"/>
            <w:shd w:val="clear" w:color="auto" w:fill="D8D8D8" w:themeFill="background1" w:themeFillShade="D9"/>
            <w:vAlign w:val="center"/>
          </w:tcPr>
          <w:p w14:paraId="3D378484">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审查因素</w:t>
            </w:r>
          </w:p>
        </w:tc>
        <w:tc>
          <w:tcPr>
            <w:tcW w:w="2954" w:type="pct"/>
            <w:shd w:val="clear" w:color="auto" w:fill="D8D8D8" w:themeFill="background1" w:themeFillShade="D9"/>
            <w:vAlign w:val="center"/>
          </w:tcPr>
          <w:p w14:paraId="371C8F58">
            <w:pPr>
              <w:pStyle w:val="44"/>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审查内容</w:t>
            </w:r>
          </w:p>
        </w:tc>
        <w:tc>
          <w:tcPr>
            <w:tcW w:w="699" w:type="pct"/>
            <w:shd w:val="clear" w:color="auto" w:fill="D8D8D8" w:themeFill="background1" w:themeFillShade="D9"/>
            <w:vAlign w:val="center"/>
          </w:tcPr>
          <w:p w14:paraId="7919DF36">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格式要求</w:t>
            </w:r>
          </w:p>
        </w:tc>
      </w:tr>
      <w:tr w14:paraId="6BEAB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48" w:hRule="atLeast"/>
          <w:jc w:val="center"/>
        </w:trPr>
        <w:tc>
          <w:tcPr>
            <w:tcW w:w="423" w:type="pct"/>
            <w:shd w:val="clear" w:color="auto" w:fill="FFFFFF" w:themeFill="background1"/>
            <w:vAlign w:val="center"/>
          </w:tcPr>
          <w:p w14:paraId="67660E99">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922" w:type="pct"/>
            <w:shd w:val="clear" w:color="auto" w:fill="FFFFFF" w:themeFill="background1"/>
            <w:vAlign w:val="center"/>
          </w:tcPr>
          <w:p w14:paraId="3AA250A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满足《政府采购法》第二十二条规定</w:t>
            </w:r>
          </w:p>
        </w:tc>
        <w:tc>
          <w:tcPr>
            <w:tcW w:w="2954" w:type="pct"/>
            <w:shd w:val="clear" w:color="auto" w:fill="FFFFFF" w:themeFill="background1"/>
            <w:vAlign w:val="center"/>
          </w:tcPr>
          <w:p w14:paraId="502E0E33">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具体规定见“第一章 竞争性磋商公告”</w:t>
            </w:r>
          </w:p>
        </w:tc>
        <w:tc>
          <w:tcPr>
            <w:tcW w:w="699" w:type="pct"/>
            <w:shd w:val="clear" w:color="auto" w:fill="FFFFFF" w:themeFill="background1"/>
            <w:vAlign w:val="center"/>
          </w:tcPr>
          <w:p w14:paraId="4AD69B19">
            <w:pPr>
              <w:pStyle w:val="44"/>
              <w:jc w:val="center"/>
              <w:rPr>
                <w:rFonts w:hint="eastAsia" w:ascii="宋体" w:hAnsi="宋体" w:eastAsia="宋体" w:cs="宋体"/>
                <w:b/>
                <w:bCs/>
                <w:color w:val="auto"/>
                <w:sz w:val="24"/>
                <w:szCs w:val="24"/>
                <w:highlight w:val="none"/>
              </w:rPr>
            </w:pPr>
          </w:p>
        </w:tc>
      </w:tr>
      <w:tr w14:paraId="46A39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724" w:hRule="atLeast"/>
          <w:jc w:val="center"/>
        </w:trPr>
        <w:tc>
          <w:tcPr>
            <w:tcW w:w="423" w:type="pct"/>
            <w:shd w:val="clear" w:color="auto" w:fill="FFFFFF" w:themeFill="background1"/>
            <w:vAlign w:val="center"/>
          </w:tcPr>
          <w:p w14:paraId="2FC50E41">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w:t>
            </w:r>
          </w:p>
        </w:tc>
        <w:tc>
          <w:tcPr>
            <w:tcW w:w="922" w:type="pct"/>
            <w:shd w:val="clear" w:color="auto" w:fill="FFFFFF" w:themeFill="background1"/>
            <w:vAlign w:val="center"/>
          </w:tcPr>
          <w:p w14:paraId="37D7A6E3">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营业执照等证明文件</w:t>
            </w:r>
          </w:p>
        </w:tc>
        <w:tc>
          <w:tcPr>
            <w:tcW w:w="2954" w:type="pct"/>
            <w:shd w:val="clear" w:color="auto" w:fill="FFFFFF" w:themeFill="background1"/>
            <w:vAlign w:val="center"/>
          </w:tcPr>
          <w:p w14:paraId="417B752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供应商为企业（包括合伙企业）的，应提供有效的“营业执照”； </w:t>
            </w:r>
          </w:p>
          <w:p w14:paraId="55CBD27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供应商为事业单位的，应提供有效的“事业单位法人证书” ； </w:t>
            </w:r>
          </w:p>
          <w:p w14:paraId="633CFB81">
            <w:pPr>
              <w:keepNext w:val="0"/>
              <w:keepLines w:val="0"/>
              <w:pageBreakBefore w:val="0"/>
              <w:widowControl/>
              <w:suppressLineNumbers w:val="0"/>
              <w:tabs>
                <w:tab w:val="left" w:pos="5280"/>
              </w:tabs>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供应商是非企业机构的，应提供有效的“执业许可证”、“登记证书”等证明文件； </w:t>
            </w:r>
          </w:p>
          <w:p w14:paraId="41E5D4A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spacing w:val="-6"/>
                <w:sz w:val="24"/>
                <w:szCs w:val="24"/>
                <w:highlight w:val="none"/>
              </w:rPr>
            </w:pPr>
            <w:r>
              <w:rPr>
                <w:rFonts w:hint="eastAsia" w:ascii="宋体" w:hAnsi="宋体" w:eastAsia="宋体" w:cs="宋体"/>
                <w:i w:val="0"/>
                <w:iCs w:val="0"/>
                <w:color w:val="auto"/>
                <w:spacing w:val="-6"/>
                <w:kern w:val="0"/>
                <w:sz w:val="24"/>
                <w:szCs w:val="24"/>
                <w:highlight w:val="none"/>
                <w:lang w:val="en-US" w:eastAsia="zh-CN" w:bidi="ar"/>
              </w:rPr>
              <w:t xml:space="preserve">供应商是个体工商户的，应提供有效的“个体工商户营业执照”； </w:t>
            </w:r>
          </w:p>
          <w:p w14:paraId="4600EC4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pacing w:val="-6"/>
                <w:sz w:val="24"/>
                <w:szCs w:val="24"/>
                <w:highlight w:val="none"/>
                <w:lang w:val="en-US" w:eastAsia="zh-CN"/>
              </w:rPr>
            </w:pPr>
            <w:r>
              <w:rPr>
                <w:rFonts w:hint="eastAsia" w:ascii="宋体" w:hAnsi="宋体" w:eastAsia="宋体" w:cs="宋体"/>
                <w:i w:val="0"/>
                <w:iCs w:val="0"/>
                <w:color w:val="auto"/>
                <w:spacing w:val="-6"/>
                <w:kern w:val="0"/>
                <w:sz w:val="24"/>
                <w:szCs w:val="24"/>
                <w:highlight w:val="none"/>
                <w:lang w:val="en-US" w:eastAsia="zh-CN" w:bidi="ar"/>
              </w:rPr>
              <w:t>供应商</w:t>
            </w:r>
            <w:r>
              <w:rPr>
                <w:rFonts w:hint="eastAsia" w:ascii="宋体" w:hAnsi="宋体" w:eastAsia="宋体" w:cs="宋体"/>
                <w:i w:val="0"/>
                <w:iCs w:val="0"/>
                <w:color w:val="auto"/>
                <w:spacing w:val="-11"/>
                <w:kern w:val="0"/>
                <w:sz w:val="24"/>
                <w:szCs w:val="24"/>
                <w:highlight w:val="none"/>
                <w:lang w:val="en-US" w:eastAsia="zh-CN" w:bidi="ar"/>
              </w:rPr>
              <w:t>是自然人的，应提供有效的自然人身份证明。</w:t>
            </w:r>
          </w:p>
        </w:tc>
        <w:tc>
          <w:tcPr>
            <w:tcW w:w="699" w:type="pct"/>
            <w:shd w:val="clear" w:color="auto" w:fill="FFFFFF" w:themeFill="background1"/>
            <w:vAlign w:val="center"/>
          </w:tcPr>
          <w:p w14:paraId="059E005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08834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6" w:hRule="atLeast"/>
          <w:jc w:val="center"/>
        </w:trPr>
        <w:tc>
          <w:tcPr>
            <w:tcW w:w="423" w:type="pct"/>
            <w:shd w:val="clear" w:color="auto" w:fill="FFFFFF" w:themeFill="background1"/>
            <w:vAlign w:val="center"/>
          </w:tcPr>
          <w:p w14:paraId="65F7D7D4">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w:t>
            </w:r>
          </w:p>
        </w:tc>
        <w:tc>
          <w:tcPr>
            <w:tcW w:w="922" w:type="pct"/>
            <w:shd w:val="clear" w:color="auto" w:fill="FFFFFF" w:themeFill="background1"/>
            <w:vAlign w:val="center"/>
          </w:tcPr>
          <w:p w14:paraId="3F369769">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sz w:val="24"/>
                <w:szCs w:val="24"/>
                <w:highlight w:val="none"/>
                <w:lang w:val="en-US" w:eastAsia="zh-CN"/>
              </w:rPr>
              <w:t>信用承诺</w:t>
            </w:r>
          </w:p>
        </w:tc>
        <w:tc>
          <w:tcPr>
            <w:tcW w:w="2954" w:type="pct"/>
            <w:shd w:val="clear" w:color="auto" w:fill="FFFFFF" w:themeFill="background1"/>
            <w:vAlign w:val="center"/>
          </w:tcPr>
          <w:p w14:paraId="0A495102">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提供了符合竞争性磋商文件要求的《兵团政府采购供应商信用承诺函》。</w:t>
            </w:r>
          </w:p>
        </w:tc>
        <w:tc>
          <w:tcPr>
            <w:tcW w:w="699" w:type="pct"/>
            <w:shd w:val="clear" w:color="auto" w:fill="FFFFFF" w:themeFill="background1"/>
            <w:vAlign w:val="center"/>
          </w:tcPr>
          <w:p w14:paraId="6C3E21E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tc>
      </w:tr>
      <w:tr w14:paraId="6E67C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476" w:hRule="atLeast"/>
          <w:jc w:val="center"/>
        </w:trPr>
        <w:tc>
          <w:tcPr>
            <w:tcW w:w="423" w:type="pct"/>
            <w:shd w:val="clear" w:color="auto" w:fill="FFFFFF" w:themeFill="background1"/>
            <w:vAlign w:val="center"/>
          </w:tcPr>
          <w:p w14:paraId="6020E885">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1-3</w:t>
            </w:r>
          </w:p>
        </w:tc>
        <w:tc>
          <w:tcPr>
            <w:tcW w:w="922" w:type="pct"/>
            <w:shd w:val="clear" w:color="auto" w:fill="FFFFFF" w:themeFill="background1"/>
            <w:vAlign w:val="center"/>
          </w:tcPr>
          <w:p w14:paraId="69681D10">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sz w:val="24"/>
                <w:szCs w:val="24"/>
                <w:highlight w:val="none"/>
                <w:lang w:val="en-US" w:eastAsia="zh-CN"/>
              </w:rPr>
              <w:t>信用记录查询</w:t>
            </w:r>
          </w:p>
        </w:tc>
        <w:tc>
          <w:tcPr>
            <w:tcW w:w="2954" w:type="pct"/>
            <w:shd w:val="clear" w:color="auto" w:fill="FFFFFF" w:themeFill="background1"/>
            <w:vAlign w:val="center"/>
          </w:tcPr>
          <w:p w14:paraId="3640903D">
            <w:pPr>
              <w:pStyle w:val="44"/>
              <w:keepNext w:val="0"/>
              <w:keepLines w:val="0"/>
              <w:pageBreakBefore w:val="0"/>
              <w:widowControl w:val="0"/>
              <w:kinsoku/>
              <w:wordWrap w:val="0"/>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查询渠道：信用中国网站和中国政府采购网（ www.creditchina.gov.cn 、www.ccgp.gov.cn）；</w:t>
            </w:r>
            <w:r>
              <w:rPr>
                <w:rFonts w:hint="eastAsia" w:ascii="宋体" w:hAnsi="宋体" w:eastAsia="宋体" w:cs="宋体"/>
                <w:color w:val="auto"/>
                <w:sz w:val="24"/>
                <w:szCs w:val="24"/>
                <w:highlight w:val="none"/>
                <w:lang w:val="en-US" w:eastAsia="zh-CN"/>
              </w:rPr>
              <w:t xml:space="preserve"> </w:t>
            </w:r>
          </w:p>
          <w:p w14:paraId="270FA147">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截止时间：递交响应文件截止时间以后、资格审查阶段对供应商信用记录的实际查询时间； </w:t>
            </w:r>
          </w:p>
          <w:p w14:paraId="3CC5E33C">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信用信息查询记录和证据留存具体方式：查询结果网页打印页作为查询记录和证据，与其他采购文件一并保存； </w:t>
            </w:r>
          </w:p>
          <w:p w14:paraId="23E5D1AC">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信用记录的使用原</w:t>
            </w:r>
            <w:r>
              <w:rPr>
                <w:rFonts w:hint="eastAsia" w:ascii="宋体" w:hAnsi="宋体" w:eastAsia="宋体" w:cs="宋体"/>
                <w:color w:val="auto"/>
                <w:spacing w:val="-6"/>
                <w:sz w:val="24"/>
                <w:szCs w:val="24"/>
                <w:highlight w:val="none"/>
                <w:shd w:val="clear"/>
                <w:lang w:val="en-US" w:eastAsia="zh-CN"/>
              </w:rPr>
              <w:t>则：经认定被列入失信被执行人、重大税收违法失信主体、政府采购严重违法失信行为记录名单的</w:t>
            </w:r>
            <w:r>
              <w:rPr>
                <w:rFonts w:hint="eastAsia" w:ascii="宋体" w:hAnsi="宋体" w:eastAsia="宋体" w:cs="宋体"/>
                <w:color w:val="auto"/>
                <w:spacing w:val="-6"/>
                <w:kern w:val="0"/>
                <w:sz w:val="24"/>
                <w:szCs w:val="24"/>
                <w:highlight w:val="none"/>
                <w:shd w:val="clear"/>
                <w:lang w:val="en-US" w:eastAsia="zh-CN" w:bidi="ar"/>
              </w:rPr>
              <w:t>供应商</w:t>
            </w:r>
            <w:r>
              <w:rPr>
                <w:rFonts w:hint="eastAsia" w:ascii="宋体" w:hAnsi="宋体" w:eastAsia="宋体" w:cs="宋体"/>
                <w:color w:val="auto"/>
                <w:spacing w:val="-6"/>
                <w:sz w:val="24"/>
                <w:szCs w:val="24"/>
                <w:highlight w:val="none"/>
                <w:shd w:val="clear"/>
                <w:lang w:val="en-US" w:eastAsia="zh-CN"/>
              </w:rPr>
              <w:t>，</w:t>
            </w:r>
            <w:r>
              <w:rPr>
                <w:rFonts w:hint="eastAsia" w:ascii="宋体" w:hAnsi="宋体" w:eastAsia="宋体" w:cs="宋体"/>
                <w:b/>
                <w:bCs/>
                <w:color w:val="auto"/>
                <w:spacing w:val="-6"/>
                <w:sz w:val="24"/>
                <w:szCs w:val="24"/>
                <w:highlight w:val="none"/>
                <w:shd w:val="clear"/>
                <w:lang w:val="en-US" w:eastAsia="zh-CN"/>
              </w:rPr>
              <w:t>其磋商响应无效</w:t>
            </w:r>
            <w:r>
              <w:rPr>
                <w:rFonts w:hint="eastAsia" w:ascii="宋体" w:hAnsi="宋体" w:eastAsia="宋体" w:cs="宋体"/>
                <w:color w:val="auto"/>
                <w:spacing w:val="-6"/>
                <w:sz w:val="24"/>
                <w:szCs w:val="24"/>
                <w:highlight w:val="none"/>
                <w:shd w:val="clear"/>
                <w:lang w:val="en-US" w:eastAsia="zh-CN"/>
              </w:rPr>
              <w:t>。联合体形式响应的，联合体成员存在不良信用记录，视同联合体存</w:t>
            </w:r>
            <w:r>
              <w:rPr>
                <w:rFonts w:hint="eastAsia" w:ascii="宋体" w:hAnsi="宋体" w:eastAsia="宋体" w:cs="宋体"/>
                <w:color w:val="auto"/>
                <w:spacing w:val="-6"/>
                <w:sz w:val="24"/>
                <w:szCs w:val="24"/>
                <w:highlight w:val="none"/>
                <w:lang w:val="en-US" w:eastAsia="zh-CN"/>
              </w:rPr>
              <w:t>在不良信用记录。</w:t>
            </w:r>
          </w:p>
        </w:tc>
        <w:tc>
          <w:tcPr>
            <w:tcW w:w="699" w:type="pct"/>
            <w:shd w:val="clear" w:color="auto" w:fill="FFFFFF" w:themeFill="background1"/>
            <w:vAlign w:val="center"/>
          </w:tcPr>
          <w:p w14:paraId="7BC2D84A">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无须</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提供，由采购人或采购代理机构查询。</w:t>
            </w:r>
          </w:p>
          <w:p w14:paraId="5E098C3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p>
        </w:tc>
      </w:tr>
      <w:tr w14:paraId="143B2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423" w:type="pct"/>
            <w:shd w:val="clear" w:color="auto" w:fill="FFFFFF" w:themeFill="background1"/>
            <w:vAlign w:val="center"/>
          </w:tcPr>
          <w:p w14:paraId="7290BB72">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1-4</w:t>
            </w:r>
          </w:p>
        </w:tc>
        <w:tc>
          <w:tcPr>
            <w:tcW w:w="922" w:type="pct"/>
            <w:shd w:val="clear" w:color="auto" w:fill="FFFFFF" w:themeFill="background1"/>
            <w:vAlign w:val="center"/>
          </w:tcPr>
          <w:p w14:paraId="0A3A5C74">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2954" w:type="pct"/>
            <w:shd w:val="clear" w:color="auto" w:fill="FFFFFF" w:themeFill="background1"/>
            <w:vAlign w:val="center"/>
          </w:tcPr>
          <w:p w14:paraId="6B5BBDA4">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699" w:type="pct"/>
            <w:shd w:val="clear" w:color="auto" w:fill="FFFFFF" w:themeFill="background1"/>
            <w:vAlign w:val="center"/>
          </w:tcPr>
          <w:p w14:paraId="5839134B">
            <w:pPr>
              <w:pStyle w:val="44"/>
              <w:jc w:val="center"/>
              <w:rPr>
                <w:rFonts w:hint="eastAsia" w:ascii="宋体" w:hAnsi="宋体" w:eastAsia="宋体" w:cs="宋体"/>
                <w:b/>
                <w:bCs/>
                <w:color w:val="auto"/>
                <w:sz w:val="24"/>
                <w:szCs w:val="24"/>
                <w:highlight w:val="none"/>
              </w:rPr>
            </w:pPr>
          </w:p>
        </w:tc>
      </w:tr>
      <w:tr w14:paraId="1CB0B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620" w:hRule="atLeast"/>
          <w:jc w:val="center"/>
        </w:trPr>
        <w:tc>
          <w:tcPr>
            <w:tcW w:w="423" w:type="pct"/>
            <w:shd w:val="clear" w:color="auto" w:fill="FFFFFF" w:themeFill="background1"/>
            <w:vAlign w:val="center"/>
          </w:tcPr>
          <w:p w14:paraId="6C255CE7">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p>
        </w:tc>
        <w:tc>
          <w:tcPr>
            <w:tcW w:w="922" w:type="pct"/>
            <w:shd w:val="clear" w:color="auto" w:fill="FFFFFF" w:themeFill="background1"/>
            <w:vAlign w:val="center"/>
          </w:tcPr>
          <w:p w14:paraId="07A47C7F">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落实政府采购政策需满足的资格要求</w:t>
            </w:r>
          </w:p>
        </w:tc>
        <w:tc>
          <w:tcPr>
            <w:tcW w:w="2954" w:type="pct"/>
            <w:shd w:val="clear" w:color="auto" w:fill="FFFFFF" w:themeFill="background1"/>
            <w:vAlign w:val="center"/>
          </w:tcPr>
          <w:p w14:paraId="7E0BC8AF">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具体要求见“第一章 竞争性磋商公告”</w:t>
            </w:r>
          </w:p>
        </w:tc>
        <w:tc>
          <w:tcPr>
            <w:tcW w:w="699" w:type="pct"/>
            <w:shd w:val="clear" w:color="auto" w:fill="FFFFFF" w:themeFill="background1"/>
            <w:vAlign w:val="center"/>
          </w:tcPr>
          <w:p w14:paraId="31A26727">
            <w:pPr>
              <w:pStyle w:val="44"/>
              <w:jc w:val="center"/>
              <w:rPr>
                <w:rFonts w:hint="eastAsia" w:ascii="宋体" w:hAnsi="宋体" w:eastAsia="宋体" w:cs="宋体"/>
                <w:b/>
                <w:bCs/>
                <w:color w:val="auto"/>
                <w:sz w:val="24"/>
                <w:szCs w:val="24"/>
                <w:highlight w:val="none"/>
              </w:rPr>
            </w:pPr>
          </w:p>
        </w:tc>
      </w:tr>
      <w:tr w14:paraId="053C7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606" w:hRule="atLeast"/>
          <w:jc w:val="center"/>
        </w:trPr>
        <w:tc>
          <w:tcPr>
            <w:tcW w:w="423" w:type="pct"/>
            <w:shd w:val="clear" w:color="auto" w:fill="FFFFFF" w:themeFill="background1"/>
            <w:vAlign w:val="center"/>
          </w:tcPr>
          <w:p w14:paraId="24FDDE2A">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w:t>
            </w:r>
          </w:p>
        </w:tc>
        <w:tc>
          <w:tcPr>
            <w:tcW w:w="922" w:type="pct"/>
            <w:shd w:val="clear" w:color="auto" w:fill="FFFFFF" w:themeFill="background1"/>
            <w:vAlign w:val="center"/>
          </w:tcPr>
          <w:p w14:paraId="4B5BE3E6">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中小企业政策</w:t>
            </w:r>
          </w:p>
        </w:tc>
        <w:tc>
          <w:tcPr>
            <w:tcW w:w="2954" w:type="pct"/>
            <w:shd w:val="clear" w:color="auto" w:fill="FFFFFF" w:themeFill="background1"/>
            <w:vAlign w:val="center"/>
          </w:tcPr>
          <w:p w14:paraId="5B522749">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具体要求见</w:t>
            </w:r>
            <w:r>
              <w:rPr>
                <w:rFonts w:hint="eastAsia" w:ascii="宋体" w:hAnsi="宋体" w:eastAsia="宋体" w:cs="宋体"/>
                <w:color w:val="auto"/>
                <w:sz w:val="24"/>
                <w:szCs w:val="24"/>
                <w:highlight w:val="none"/>
                <w:lang w:val="en-US" w:eastAsia="zh-CN"/>
              </w:rPr>
              <w:t>“第一章 竞争性磋商公告”</w:t>
            </w:r>
          </w:p>
        </w:tc>
        <w:tc>
          <w:tcPr>
            <w:tcW w:w="699" w:type="pct"/>
            <w:shd w:val="clear" w:color="auto" w:fill="FFFFFF" w:themeFill="background1"/>
            <w:vAlign w:val="center"/>
          </w:tcPr>
          <w:p w14:paraId="6CB2E2F5">
            <w:pPr>
              <w:pStyle w:val="44"/>
              <w:jc w:val="center"/>
              <w:rPr>
                <w:rFonts w:hint="eastAsia" w:ascii="宋体" w:hAnsi="宋体" w:eastAsia="宋体" w:cs="宋体"/>
                <w:b/>
                <w:bCs/>
                <w:color w:val="auto"/>
                <w:sz w:val="24"/>
                <w:szCs w:val="24"/>
                <w:highlight w:val="none"/>
              </w:rPr>
            </w:pPr>
          </w:p>
        </w:tc>
      </w:tr>
      <w:tr w14:paraId="45ADB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648" w:hRule="atLeast"/>
          <w:jc w:val="center"/>
        </w:trPr>
        <w:tc>
          <w:tcPr>
            <w:tcW w:w="423" w:type="pct"/>
            <w:shd w:val="clear" w:color="auto" w:fill="FFFFFF" w:themeFill="background1"/>
            <w:vAlign w:val="center"/>
          </w:tcPr>
          <w:p w14:paraId="59D1182A">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2-1-1</w:t>
            </w:r>
          </w:p>
        </w:tc>
        <w:tc>
          <w:tcPr>
            <w:tcW w:w="922" w:type="pct"/>
            <w:shd w:val="clear" w:color="auto" w:fill="FFFFFF" w:themeFill="background1"/>
            <w:vAlign w:val="center"/>
          </w:tcPr>
          <w:p w14:paraId="627BF512">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中小企业证明文件</w:t>
            </w:r>
          </w:p>
        </w:tc>
        <w:tc>
          <w:tcPr>
            <w:tcW w:w="2954" w:type="pct"/>
            <w:shd w:val="clear" w:color="auto" w:fill="FFFFFF" w:themeFill="background1"/>
            <w:vAlign w:val="center"/>
          </w:tcPr>
          <w:p w14:paraId="12EAD6DF">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 xml:space="preserve">单独响应的，应提供“中小企业声明函”或“残疾人福利性单位声明函”或由省级以上监狱管理局、戒毒管理局（含新疆生产建设兵团）出具的属于监狱企业的证明文件。 </w:t>
            </w:r>
          </w:p>
          <w:p w14:paraId="72881174">
            <w:pPr>
              <w:pStyle w:val="44"/>
              <w:spacing w:line="240" w:lineRule="auto"/>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pacing w:val="-6"/>
                <w:kern w:val="0"/>
                <w:sz w:val="24"/>
                <w:szCs w:val="24"/>
                <w:highlight w:val="none"/>
                <w:lang w:val="en-US" w:eastAsia="zh-CN" w:bidi="ar"/>
              </w:rPr>
              <w:t>如</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pacing w:val="-6"/>
                <w:kern w:val="0"/>
                <w:sz w:val="24"/>
                <w:szCs w:val="24"/>
                <w:highlight w:val="none"/>
                <w:lang w:val="en-US" w:eastAsia="zh-CN" w:bidi="ar"/>
              </w:rPr>
              <w:t>文件允许以联合体形式参加或者允许合同分包的，且供应商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pacing w:val="-6"/>
                <w:kern w:val="0"/>
                <w:sz w:val="24"/>
                <w:szCs w:val="24"/>
                <w:highlight w:val="none"/>
                <w:lang w:val="en-US" w:eastAsia="zh-CN" w:bidi="ar"/>
              </w:rPr>
              <w:t>文件关于预留份额的要求。</w:t>
            </w:r>
          </w:p>
        </w:tc>
        <w:tc>
          <w:tcPr>
            <w:tcW w:w="699" w:type="pct"/>
            <w:shd w:val="clear" w:color="auto" w:fill="FFFFFF" w:themeFill="background1"/>
            <w:vAlign w:val="center"/>
          </w:tcPr>
          <w:p w14:paraId="5FF7643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tc>
      </w:tr>
      <w:tr w14:paraId="27C5F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96" w:hRule="atLeast"/>
          <w:jc w:val="center"/>
        </w:trPr>
        <w:tc>
          <w:tcPr>
            <w:tcW w:w="423" w:type="pct"/>
            <w:shd w:val="clear" w:color="auto" w:fill="FFFFFF" w:themeFill="background1"/>
            <w:vAlign w:val="center"/>
          </w:tcPr>
          <w:p w14:paraId="475F1023">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2-1-2</w:t>
            </w:r>
          </w:p>
        </w:tc>
        <w:tc>
          <w:tcPr>
            <w:tcW w:w="922" w:type="pct"/>
            <w:shd w:val="clear" w:color="auto" w:fill="FFFFFF" w:themeFill="background1"/>
            <w:vAlign w:val="center"/>
          </w:tcPr>
          <w:p w14:paraId="7FAB2183">
            <w:pPr>
              <w:pStyle w:val="44"/>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拟分包情况说明及分包意向协议书</w:t>
            </w:r>
          </w:p>
        </w:tc>
        <w:tc>
          <w:tcPr>
            <w:tcW w:w="2954" w:type="pct"/>
            <w:shd w:val="clear" w:color="auto" w:fill="FFFFFF" w:themeFill="background1"/>
            <w:vAlign w:val="center"/>
          </w:tcPr>
          <w:p w14:paraId="3FCA5E0D">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如本项目（包）要求通过分包措施预留部分采购份额面向中小企业采购、且</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 xml:space="preserve">因落实政府采购政策拟进行分包的，必须提供；否则无须提供。 </w:t>
            </w:r>
          </w:p>
          <w:p w14:paraId="7B193BC9">
            <w:pPr>
              <w:pStyle w:val="44"/>
              <w:spacing w:line="24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对于预留份额专门面向中小企业采购的项目（包），组成联合体或者接受分包合同的中小企业与联合体内其他企业、分包企业之间不得存在直接控股、管理关系。</w:t>
            </w:r>
          </w:p>
        </w:tc>
        <w:tc>
          <w:tcPr>
            <w:tcW w:w="699" w:type="pct"/>
            <w:shd w:val="clear" w:color="auto" w:fill="FFFFFF" w:themeFill="background1"/>
            <w:vAlign w:val="center"/>
          </w:tcPr>
          <w:p w14:paraId="229ED85E">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p w14:paraId="257B2F9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p>
        </w:tc>
      </w:tr>
      <w:tr w14:paraId="38C7B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40" w:hRule="atLeast"/>
          <w:jc w:val="center"/>
        </w:trPr>
        <w:tc>
          <w:tcPr>
            <w:tcW w:w="423" w:type="pct"/>
            <w:shd w:val="clear" w:color="auto" w:fill="FFFFFF" w:themeFill="background1"/>
            <w:vAlign w:val="center"/>
          </w:tcPr>
          <w:p w14:paraId="67114AA2">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2-2</w:t>
            </w:r>
          </w:p>
        </w:tc>
        <w:tc>
          <w:tcPr>
            <w:tcW w:w="922" w:type="pct"/>
            <w:shd w:val="clear" w:color="auto" w:fill="FFFFFF" w:themeFill="background1"/>
            <w:vAlign w:val="center"/>
          </w:tcPr>
          <w:p w14:paraId="72B0B98B">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pacing w:val="-6"/>
                <w:kern w:val="0"/>
                <w:sz w:val="24"/>
                <w:szCs w:val="24"/>
                <w:highlight w:val="none"/>
                <w:lang w:val="en-US" w:eastAsia="zh-CN" w:bidi="ar"/>
              </w:rPr>
              <w:t>其它落实政府采购政策的资格要求</w:t>
            </w:r>
          </w:p>
        </w:tc>
        <w:tc>
          <w:tcPr>
            <w:tcW w:w="2954" w:type="pct"/>
            <w:shd w:val="clear" w:color="auto" w:fill="FFFFFF" w:themeFill="background1"/>
            <w:vAlign w:val="center"/>
          </w:tcPr>
          <w:p w14:paraId="7135B64F">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竞争性磋商公告”</w:t>
            </w:r>
          </w:p>
        </w:tc>
        <w:tc>
          <w:tcPr>
            <w:tcW w:w="699" w:type="pct"/>
            <w:shd w:val="clear" w:color="auto" w:fill="FFFFFF" w:themeFill="background1"/>
            <w:vAlign w:val="center"/>
          </w:tcPr>
          <w:p w14:paraId="1994366A">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771CA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96" w:hRule="atLeast"/>
          <w:jc w:val="center"/>
        </w:trPr>
        <w:tc>
          <w:tcPr>
            <w:tcW w:w="423" w:type="pct"/>
            <w:shd w:val="clear" w:color="auto" w:fill="FFFFFF" w:themeFill="background1"/>
            <w:vAlign w:val="center"/>
          </w:tcPr>
          <w:p w14:paraId="561EE156">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p>
        </w:tc>
        <w:tc>
          <w:tcPr>
            <w:tcW w:w="922" w:type="pct"/>
            <w:shd w:val="clear" w:color="auto" w:fill="FFFFFF" w:themeFill="background1"/>
            <w:vAlign w:val="center"/>
          </w:tcPr>
          <w:p w14:paraId="76B4DCC4">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本项目的特定资格要求</w:t>
            </w:r>
          </w:p>
        </w:tc>
        <w:tc>
          <w:tcPr>
            <w:tcW w:w="2954" w:type="pct"/>
            <w:shd w:val="clear" w:color="auto" w:fill="FFFFFF" w:themeFill="background1"/>
            <w:vAlign w:val="center"/>
          </w:tcPr>
          <w:p w14:paraId="2109B214">
            <w:pPr>
              <w:pStyle w:val="44"/>
              <w:jc w:val="both"/>
              <w:rPr>
                <w:rFonts w:hint="eastAsia" w:ascii="宋体" w:hAnsi="宋体" w:eastAsia="宋体" w:cs="宋体"/>
                <w:color w:val="auto"/>
                <w:kern w:val="0"/>
                <w:sz w:val="24"/>
                <w:szCs w:val="24"/>
                <w:highlight w:val="none"/>
                <w:lang w:val="en-US" w:eastAsia="zh-CN" w:bidi="ar"/>
              </w:rPr>
            </w:pPr>
            <w:r>
              <w:rPr>
                <w:rFonts w:hint="eastAsia" w:cs="宋体"/>
                <w:color w:val="auto"/>
                <w:kern w:val="0"/>
                <w:sz w:val="24"/>
                <w:szCs w:val="24"/>
                <w:highlight w:val="none"/>
                <w:lang w:val="en-US" w:eastAsia="zh-CN" w:bidi="ar"/>
              </w:rPr>
              <w:t>如有，</w:t>
            </w:r>
            <w:r>
              <w:rPr>
                <w:rFonts w:hint="eastAsia" w:ascii="宋体" w:hAnsi="宋体" w:eastAsia="宋体" w:cs="宋体"/>
                <w:color w:val="auto"/>
                <w:kern w:val="0"/>
                <w:sz w:val="24"/>
                <w:szCs w:val="24"/>
                <w:highlight w:val="none"/>
                <w:lang w:val="en-US" w:eastAsia="zh-CN" w:bidi="ar"/>
              </w:rPr>
              <w:t>见</w:t>
            </w:r>
            <w:r>
              <w:rPr>
                <w:rFonts w:hint="eastAsia" w:ascii="宋体" w:hAnsi="宋体" w:eastAsia="宋体" w:cs="宋体"/>
                <w:color w:val="auto"/>
                <w:sz w:val="24"/>
                <w:szCs w:val="24"/>
                <w:highlight w:val="none"/>
                <w:lang w:val="en-US" w:eastAsia="zh-CN"/>
              </w:rPr>
              <w:t>“第一章 竞争性磋商公告”</w:t>
            </w:r>
          </w:p>
        </w:tc>
        <w:tc>
          <w:tcPr>
            <w:tcW w:w="699" w:type="pct"/>
            <w:shd w:val="clear" w:color="auto" w:fill="FFFFFF" w:themeFill="background1"/>
            <w:vAlign w:val="center"/>
          </w:tcPr>
          <w:p w14:paraId="0A9CB89B">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4D5FE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220" w:hRule="atLeast"/>
          <w:jc w:val="center"/>
        </w:trPr>
        <w:tc>
          <w:tcPr>
            <w:tcW w:w="423" w:type="pct"/>
            <w:shd w:val="clear" w:color="auto" w:fill="FFFFFF" w:themeFill="background1"/>
            <w:vAlign w:val="center"/>
          </w:tcPr>
          <w:p w14:paraId="127F32A0">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w:t>
            </w:r>
          </w:p>
        </w:tc>
        <w:tc>
          <w:tcPr>
            <w:tcW w:w="922" w:type="pct"/>
            <w:shd w:val="clear" w:color="auto" w:fill="FFFFFF" w:themeFill="background1"/>
            <w:vAlign w:val="center"/>
          </w:tcPr>
          <w:p w14:paraId="74CDC7CB">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本项目对于联合体的要求</w:t>
            </w:r>
          </w:p>
        </w:tc>
        <w:tc>
          <w:tcPr>
            <w:tcW w:w="2954" w:type="pct"/>
            <w:shd w:val="clear" w:color="auto" w:fill="FFFFFF" w:themeFill="background1"/>
            <w:vAlign w:val="center"/>
          </w:tcPr>
          <w:p w14:paraId="7ECBC9E6">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1、如本项目接受联合体磋商，且</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 xml:space="preserve">为联合体时必须提供《联合体协议书》，明确各方拟承担的工作和责任，并指定联合体牵头人，授权其代表所有联合体成员负责本项目磋商和合同实施阶段的牵头、协调工作。该联合体协议书应当作为响应文件的组成部分，与响应文件其他内容同时递交。 </w:t>
            </w:r>
          </w:p>
          <w:p w14:paraId="7FD3E7F1">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2、联合体各成员单位均须提供本表中序号1-1、1-2 的证明文件。联合体各成员单位均应满足本表 1-3 及 1-4 项规定。 </w:t>
            </w:r>
          </w:p>
          <w:p w14:paraId="6C740DDF">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spacing w:val="-6"/>
                <w:kern w:val="0"/>
                <w:sz w:val="24"/>
                <w:szCs w:val="24"/>
                <w:highlight w:val="none"/>
                <w:lang w:val="en-US" w:eastAsia="zh-CN" w:bidi="ar"/>
              </w:rPr>
              <w:t>本表序号 3-2 项规定的其他特定资格要求中的每一小项要求，按照《联合体协议书》的分工，联合体各方应具备承担工作所需的特定资格要求并提供证明材料。</w:t>
            </w:r>
            <w:r>
              <w:rPr>
                <w:rFonts w:hint="eastAsia" w:ascii="宋体" w:hAnsi="宋体" w:eastAsia="宋体" w:cs="宋体"/>
                <w:color w:val="auto"/>
                <w:kern w:val="0"/>
                <w:sz w:val="24"/>
                <w:szCs w:val="24"/>
                <w:highlight w:val="none"/>
                <w:lang w:val="en-US" w:eastAsia="zh-CN" w:bidi="ar"/>
              </w:rPr>
              <w:t xml:space="preserve"> </w:t>
            </w:r>
          </w:p>
          <w:p w14:paraId="2C709911">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4、联合体中有同类资质的供应商按照联合体分工承担相同工作的，应当按照资质等级较低的供应商确定资质等级。 </w:t>
            </w:r>
          </w:p>
          <w:p w14:paraId="309BA306">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5、以联合体形式参加政府采购活动的，联合体各方不得再单独参加或者与其他供应商另外组成联合体参加同一合同项下的政府采购活动。 </w:t>
            </w:r>
          </w:p>
          <w:p w14:paraId="3728F579">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6、若联合体中任一成员单位中途退出，则该联合体的响应无效。 </w:t>
            </w:r>
          </w:p>
          <w:p w14:paraId="5E4BFCDE">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7、本项目不接受联合体磋商时，</w:t>
            </w:r>
            <w:r>
              <w:rPr>
                <w:rFonts w:hint="eastAsia" w:ascii="宋体" w:hAnsi="宋体" w:eastAsia="宋体" w:cs="宋体"/>
                <w:color w:val="auto"/>
                <w:spacing w:val="-6"/>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不得为联合体。</w:t>
            </w:r>
          </w:p>
        </w:tc>
        <w:tc>
          <w:tcPr>
            <w:tcW w:w="699" w:type="pct"/>
            <w:shd w:val="clear" w:color="auto" w:fill="FFFFFF" w:themeFill="background1"/>
            <w:vAlign w:val="center"/>
          </w:tcPr>
          <w:p w14:paraId="4EF5E5EF">
            <w:pPr>
              <w:pStyle w:val="4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提供《联合体协议书》原件的电子件 </w:t>
            </w:r>
          </w:p>
          <w:p w14:paraId="6997A46F">
            <w:pPr>
              <w:pStyle w:val="4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格式见《第六章 响应文件格式》</w:t>
            </w:r>
          </w:p>
        </w:tc>
      </w:tr>
      <w:tr w14:paraId="2A13D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30" w:hRule="atLeast"/>
          <w:jc w:val="center"/>
        </w:trPr>
        <w:tc>
          <w:tcPr>
            <w:tcW w:w="423" w:type="pct"/>
            <w:shd w:val="clear" w:color="auto" w:fill="FFFFFF" w:themeFill="background1"/>
            <w:vAlign w:val="center"/>
          </w:tcPr>
          <w:p w14:paraId="66900EDF">
            <w:pPr>
              <w:pStyle w:val="4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3-2</w:t>
            </w:r>
          </w:p>
        </w:tc>
        <w:tc>
          <w:tcPr>
            <w:tcW w:w="922" w:type="pct"/>
            <w:shd w:val="clear" w:color="auto" w:fill="FFFFFF" w:themeFill="background1"/>
            <w:vAlign w:val="center"/>
          </w:tcPr>
          <w:p w14:paraId="6ADA3BD7">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其他特定资格要求</w:t>
            </w:r>
          </w:p>
        </w:tc>
        <w:tc>
          <w:tcPr>
            <w:tcW w:w="2954" w:type="pct"/>
            <w:shd w:val="clear" w:color="auto" w:fill="FFFFFF" w:themeFill="background1"/>
            <w:vAlign w:val="center"/>
          </w:tcPr>
          <w:p w14:paraId="7C33D26F">
            <w:pPr>
              <w:pStyle w:val="44"/>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699" w:type="pct"/>
            <w:shd w:val="clear" w:color="auto" w:fill="FFFFFF" w:themeFill="background1"/>
            <w:vAlign w:val="center"/>
          </w:tcPr>
          <w:p w14:paraId="44A82A15">
            <w:pPr>
              <w:pStyle w:val="4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bl>
    <w:p w14:paraId="1C79E11B">
      <w:pPr>
        <w:rPr>
          <w:b/>
          <w:bCs/>
          <w:color w:val="auto"/>
          <w:sz w:val="21"/>
          <w:szCs w:val="21"/>
          <w:highlight w:val="none"/>
        </w:rPr>
      </w:pPr>
      <w:r>
        <w:rPr>
          <w:rFonts w:hint="eastAsia"/>
          <w:b/>
          <w:bCs/>
          <w:color w:val="auto"/>
          <w:sz w:val="21"/>
          <w:szCs w:val="21"/>
          <w:highlight w:val="none"/>
        </w:rPr>
        <w:t>备注：</w:t>
      </w:r>
    </w:p>
    <w:p w14:paraId="509818B3">
      <w:pPr>
        <w:pStyle w:val="37"/>
        <w:keepNext w:val="0"/>
        <w:keepLines w:val="0"/>
        <w:pageBreakBefore w:val="0"/>
        <w:widowControl w:val="0"/>
        <w:kinsoku/>
        <w:overflowPunct/>
        <w:topLinePunct w:val="0"/>
        <w:autoSpaceDE/>
        <w:autoSpaceDN/>
        <w:bidi w:val="0"/>
        <w:adjustRightInd/>
        <w:snapToGrid/>
        <w:spacing w:line="420" w:lineRule="exact"/>
        <w:ind w:firstLine="480"/>
        <w:textAlignment w:val="auto"/>
        <w:rPr>
          <w:color w:val="auto"/>
          <w:sz w:val="21"/>
          <w:szCs w:val="21"/>
          <w:highlight w:val="none"/>
        </w:rPr>
      </w:pPr>
      <w:r>
        <w:rPr>
          <w:color w:val="auto"/>
          <w:sz w:val="21"/>
          <w:szCs w:val="21"/>
          <w:highlight w:val="none"/>
        </w:rPr>
        <w:t>1.</w:t>
      </w:r>
      <w:r>
        <w:rPr>
          <w:rFonts w:hint="eastAsia"/>
          <w:color w:val="auto"/>
          <w:sz w:val="21"/>
          <w:szCs w:val="21"/>
          <w:highlight w:val="none"/>
          <w:lang w:eastAsia="zh-CN"/>
        </w:rPr>
        <w:t>供应商须按上表格式要求提供相关证明文件</w:t>
      </w:r>
      <w:r>
        <w:rPr>
          <w:rFonts w:hint="eastAsia"/>
          <w:color w:val="auto"/>
          <w:sz w:val="21"/>
          <w:szCs w:val="21"/>
          <w:highlight w:val="none"/>
        </w:rPr>
        <w:t>，响应文件中须编入清晰的扫描件或网页截图。所有证明材料须清晰可辨认，如因证明材料模糊无法辨认，缺页、漏页导致无法进行评审认定的</w:t>
      </w:r>
      <w:r>
        <w:rPr>
          <w:rFonts w:hint="eastAsia"/>
          <w:color w:val="auto"/>
          <w:sz w:val="21"/>
          <w:szCs w:val="21"/>
          <w:highlight w:val="none"/>
          <w:lang w:eastAsia="zh-CN"/>
        </w:rPr>
        <w:t>，</w:t>
      </w:r>
      <w:r>
        <w:rPr>
          <w:rFonts w:hint="eastAsia"/>
          <w:color w:val="auto"/>
          <w:sz w:val="21"/>
          <w:szCs w:val="21"/>
          <w:highlight w:val="none"/>
        </w:rPr>
        <w:t>责任由供应商</w:t>
      </w:r>
      <w:r>
        <w:rPr>
          <w:rFonts w:hint="eastAsia"/>
          <w:color w:val="auto"/>
          <w:sz w:val="21"/>
          <w:szCs w:val="21"/>
          <w:highlight w:val="none"/>
          <w:lang w:val="en-US" w:eastAsia="zh-CN"/>
        </w:rPr>
        <w:t>承担</w:t>
      </w:r>
      <w:r>
        <w:rPr>
          <w:rFonts w:hint="eastAsia"/>
          <w:color w:val="auto"/>
          <w:sz w:val="21"/>
          <w:szCs w:val="21"/>
          <w:highlight w:val="none"/>
        </w:rPr>
        <w:t>。</w:t>
      </w:r>
    </w:p>
    <w:p w14:paraId="6B3A690E">
      <w:pPr>
        <w:pStyle w:val="37"/>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color w:val="auto"/>
          <w:sz w:val="21"/>
          <w:szCs w:val="21"/>
          <w:highlight w:val="none"/>
        </w:rPr>
      </w:pPr>
      <w:r>
        <w:rPr>
          <w:rFonts w:ascii="宋体" w:hAnsi="宋体" w:eastAsia="宋体" w:cstheme="minorBidi"/>
          <w:color w:val="auto"/>
          <w:kern w:val="2"/>
          <w:sz w:val="21"/>
          <w:szCs w:val="21"/>
          <w:highlight w:val="none"/>
          <w:lang w:val="en-US" w:eastAsia="zh-CN" w:bidi="ar-SA"/>
        </w:rPr>
        <w:t>2.</w:t>
      </w:r>
      <w:r>
        <w:rPr>
          <w:rFonts w:hint="eastAsia"/>
          <w:color w:val="auto"/>
          <w:sz w:val="21"/>
          <w:szCs w:val="21"/>
          <w:highlight w:val="none"/>
          <w:lang w:val="zh-CN"/>
        </w:rPr>
        <w:t>信用信息核</w:t>
      </w:r>
      <w:r>
        <w:rPr>
          <w:rFonts w:hint="eastAsia"/>
          <w:color w:val="auto"/>
          <w:sz w:val="21"/>
          <w:szCs w:val="21"/>
          <w:highlight w:val="none"/>
        </w:rPr>
        <w:t>查</w:t>
      </w:r>
    </w:p>
    <w:p w14:paraId="693A48C3">
      <w:pPr>
        <w:pStyle w:val="33"/>
        <w:keepNext w:val="0"/>
        <w:keepLines w:val="0"/>
        <w:pageBreakBefore w:val="0"/>
        <w:widowControl w:val="0"/>
        <w:kinsoku/>
        <w:overflowPunct/>
        <w:topLinePunct w:val="0"/>
        <w:autoSpaceDE/>
        <w:autoSpaceDN/>
        <w:bidi w:val="0"/>
        <w:adjustRightInd/>
        <w:snapToGrid/>
        <w:spacing w:line="420" w:lineRule="exact"/>
        <w:ind w:firstLine="480"/>
        <w:textAlignment w:val="auto"/>
        <w:rPr>
          <w:color w:val="auto"/>
          <w:sz w:val="21"/>
          <w:szCs w:val="21"/>
          <w:highlight w:val="none"/>
        </w:rPr>
      </w:pPr>
      <w:r>
        <w:rPr>
          <w:rFonts w:hint="eastAsia"/>
          <w:color w:val="auto"/>
          <w:sz w:val="21"/>
          <w:szCs w:val="21"/>
          <w:highlight w:val="none"/>
        </w:rPr>
        <w:t>2.1资格审查</w:t>
      </w:r>
      <w:r>
        <w:rPr>
          <w:rFonts w:hint="eastAsia"/>
          <w:color w:val="auto"/>
          <w:sz w:val="21"/>
          <w:szCs w:val="21"/>
          <w:highlight w:val="none"/>
          <w:lang w:eastAsia="zh-CN"/>
        </w:rPr>
        <w:t>阶段</w:t>
      </w:r>
      <w:r>
        <w:rPr>
          <w:rFonts w:hint="eastAsia"/>
          <w:color w:val="auto"/>
          <w:sz w:val="21"/>
          <w:szCs w:val="21"/>
          <w:highlight w:val="none"/>
        </w:rPr>
        <w:t>应当核查供应商信用记录，供应商被列入失信被执行人、重大税收违法失信主体、政府采购严重违法失信行为记录名单的，采购</w:t>
      </w:r>
      <w:r>
        <w:rPr>
          <w:rFonts w:hint="eastAsia"/>
          <w:color w:val="auto"/>
          <w:sz w:val="21"/>
          <w:szCs w:val="21"/>
          <w:highlight w:val="none"/>
          <w:lang w:val="en-US" w:eastAsia="zh-CN"/>
        </w:rPr>
        <w:t>人</w:t>
      </w:r>
      <w:r>
        <w:rPr>
          <w:rFonts w:hint="eastAsia"/>
          <w:color w:val="auto"/>
          <w:sz w:val="21"/>
          <w:szCs w:val="21"/>
          <w:highlight w:val="none"/>
        </w:rPr>
        <w:t>拒绝其参与政府采购活动。</w:t>
      </w:r>
    </w:p>
    <w:p w14:paraId="3CDD2CE4">
      <w:pPr>
        <w:pStyle w:val="33"/>
        <w:keepNext w:val="0"/>
        <w:keepLines w:val="0"/>
        <w:pageBreakBefore w:val="0"/>
        <w:widowControl w:val="0"/>
        <w:kinsoku/>
        <w:overflowPunct/>
        <w:topLinePunct w:val="0"/>
        <w:autoSpaceDE/>
        <w:autoSpaceDN/>
        <w:bidi w:val="0"/>
        <w:adjustRightInd/>
        <w:snapToGrid/>
        <w:spacing w:line="420" w:lineRule="exact"/>
        <w:ind w:firstLine="480"/>
        <w:textAlignment w:val="auto"/>
        <w:rPr>
          <w:color w:val="auto"/>
          <w:sz w:val="21"/>
          <w:szCs w:val="21"/>
          <w:highlight w:val="none"/>
        </w:rPr>
      </w:pPr>
      <w:r>
        <w:rPr>
          <w:rFonts w:hint="eastAsia"/>
          <w:color w:val="auto"/>
          <w:sz w:val="21"/>
          <w:szCs w:val="21"/>
          <w:highlight w:val="none"/>
        </w:rPr>
        <w:t>2.2以联合体形式参与磋商的，应当核查联合体所有成员和信用记录，联合体成员存在不良信用记录的，视同联合体存在不良信用信息。</w:t>
      </w:r>
    </w:p>
    <w:p w14:paraId="5E74E935">
      <w:pPr>
        <w:pStyle w:val="37"/>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rFonts w:hint="eastAsia"/>
          <w:color w:val="auto"/>
          <w:sz w:val="21"/>
          <w:szCs w:val="21"/>
          <w:highlight w:val="none"/>
        </w:rPr>
      </w:pPr>
      <w:r>
        <w:rPr>
          <w:rFonts w:ascii="宋体" w:hAnsi="宋体" w:eastAsia="宋体" w:cstheme="minorBidi"/>
          <w:color w:val="auto"/>
          <w:kern w:val="2"/>
          <w:sz w:val="21"/>
          <w:szCs w:val="21"/>
          <w:highlight w:val="none"/>
          <w:lang w:val="en-US" w:eastAsia="zh-CN" w:bidi="ar-SA"/>
        </w:rPr>
        <w:t>3.</w:t>
      </w:r>
      <w:r>
        <w:rPr>
          <w:rFonts w:hint="eastAsia"/>
          <w:color w:val="auto"/>
          <w:sz w:val="21"/>
          <w:szCs w:val="21"/>
          <w:highlight w:val="none"/>
        </w:rPr>
        <w:t>对于响应文件中有任意一条不满足上表要求的</w:t>
      </w:r>
      <w:r>
        <w:rPr>
          <w:rFonts w:hint="eastAsia"/>
          <w:color w:val="auto"/>
          <w:sz w:val="21"/>
          <w:szCs w:val="21"/>
          <w:highlight w:val="none"/>
          <w:lang w:eastAsia="zh-CN"/>
        </w:rPr>
        <w:t>，</w:t>
      </w:r>
      <w:r>
        <w:rPr>
          <w:rFonts w:hint="eastAsia"/>
          <w:color w:val="auto"/>
          <w:sz w:val="21"/>
          <w:szCs w:val="21"/>
          <w:highlight w:val="none"/>
        </w:rPr>
        <w:t>将导致其</w:t>
      </w:r>
      <w:r>
        <w:rPr>
          <w:rFonts w:hint="eastAsia"/>
          <w:b/>
          <w:bCs/>
          <w:color w:val="auto"/>
          <w:sz w:val="21"/>
          <w:szCs w:val="21"/>
          <w:highlight w:val="none"/>
        </w:rPr>
        <w:t>响应无效</w:t>
      </w:r>
      <w:r>
        <w:rPr>
          <w:rFonts w:hint="eastAsia"/>
          <w:color w:val="auto"/>
          <w:sz w:val="21"/>
          <w:szCs w:val="21"/>
          <w:highlight w:val="none"/>
        </w:rPr>
        <w:t>，不</w:t>
      </w:r>
      <w:r>
        <w:rPr>
          <w:rFonts w:hint="eastAsia"/>
          <w:color w:val="auto"/>
          <w:sz w:val="21"/>
          <w:szCs w:val="21"/>
          <w:highlight w:val="none"/>
          <w:lang w:val="en-US" w:eastAsia="zh-CN"/>
        </w:rPr>
        <w:t>得</w:t>
      </w:r>
      <w:r>
        <w:rPr>
          <w:rFonts w:hint="eastAsia"/>
          <w:color w:val="auto"/>
          <w:sz w:val="21"/>
          <w:szCs w:val="21"/>
          <w:highlight w:val="none"/>
        </w:rPr>
        <w:t>进入下一项评审。</w:t>
      </w:r>
    </w:p>
    <w:p w14:paraId="55110B7F">
      <w:pPr>
        <w:rPr>
          <w:rFonts w:hint="eastAsia"/>
          <w:color w:val="auto"/>
          <w:highlight w:val="none"/>
        </w:rPr>
      </w:pPr>
      <w:r>
        <w:rPr>
          <w:rFonts w:hint="eastAsia"/>
          <w:color w:val="auto"/>
          <w:highlight w:val="none"/>
        </w:rPr>
        <w:br w:type="page"/>
      </w:r>
    </w:p>
    <w:p w14:paraId="613615CA">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480" w:lineRule="exact"/>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07" w:name="_Toc901"/>
      <w:bookmarkStart w:id="508" w:name="_Toc163493639"/>
      <w:bookmarkStart w:id="509" w:name="_Toc9027"/>
      <w:r>
        <w:rPr>
          <w:rFonts w:hint="eastAsia" w:ascii="宋体" w:hAnsi="宋体" w:eastAsia="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zh-CN" w:eastAsia="zh-CN" w:bidi="ar-SA"/>
        </w:rPr>
        <w:t>符合性审查表</w:t>
      </w:r>
      <w:bookmarkEnd w:id="506"/>
      <w:bookmarkEnd w:id="507"/>
      <w:bookmarkEnd w:id="508"/>
      <w:bookmarkEnd w:id="509"/>
    </w:p>
    <w:tbl>
      <w:tblPr>
        <w:tblStyle w:val="27"/>
        <w:tblW w:w="5379" w:type="pct"/>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00"/>
        <w:gridCol w:w="1302"/>
        <w:gridCol w:w="5489"/>
        <w:gridCol w:w="866"/>
        <w:gridCol w:w="1011"/>
      </w:tblGrid>
      <w:tr w14:paraId="6867D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273" w:type="pct"/>
            <w:vMerge w:val="restart"/>
            <w:shd w:val="clear" w:color="auto" w:fill="D8D8D8" w:themeFill="background1" w:themeFillShade="D9"/>
            <w:vAlign w:val="center"/>
          </w:tcPr>
          <w:p w14:paraId="3B188FC3">
            <w:pPr>
              <w:pStyle w:val="44"/>
              <w:jc w:val="center"/>
              <w:rPr>
                <w:rFonts w:hint="eastAsia" w:ascii="宋体" w:hAnsi="宋体" w:eastAsia="宋体" w:cs="宋体"/>
                <w:b/>
                <w:bCs/>
                <w:color w:val="auto"/>
                <w:sz w:val="21"/>
                <w:szCs w:val="21"/>
                <w:highlight w:val="none"/>
                <w:lang w:val="zh-CN"/>
              </w:rPr>
            </w:pPr>
            <w:bookmarkStart w:id="510" w:name="_Toc163493640"/>
            <w:r>
              <w:rPr>
                <w:rFonts w:hint="eastAsia" w:ascii="宋体" w:hAnsi="宋体" w:eastAsia="宋体" w:cs="宋体"/>
                <w:b/>
                <w:bCs/>
                <w:color w:val="auto"/>
                <w:sz w:val="21"/>
                <w:szCs w:val="21"/>
                <w:highlight w:val="none"/>
                <w:lang w:val="zh-CN"/>
              </w:rPr>
              <w:t>序号</w:t>
            </w:r>
          </w:p>
        </w:tc>
        <w:tc>
          <w:tcPr>
            <w:tcW w:w="710" w:type="pct"/>
            <w:vMerge w:val="restart"/>
            <w:shd w:val="clear" w:color="auto" w:fill="D8D8D8" w:themeFill="background1" w:themeFillShade="D9"/>
            <w:vAlign w:val="center"/>
          </w:tcPr>
          <w:p w14:paraId="316B5F87">
            <w:pPr>
              <w:pStyle w:val="44"/>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审查项名称</w:t>
            </w:r>
          </w:p>
        </w:tc>
        <w:tc>
          <w:tcPr>
            <w:tcW w:w="2992" w:type="pct"/>
            <w:vMerge w:val="restart"/>
            <w:shd w:val="clear" w:color="auto" w:fill="D8D8D8" w:themeFill="background1" w:themeFillShade="D9"/>
            <w:vAlign w:val="center"/>
          </w:tcPr>
          <w:p w14:paraId="44B32FDC">
            <w:pPr>
              <w:pStyle w:val="44"/>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审查内容</w:t>
            </w:r>
          </w:p>
        </w:tc>
        <w:tc>
          <w:tcPr>
            <w:tcW w:w="1023" w:type="pct"/>
            <w:gridSpan w:val="2"/>
            <w:shd w:val="clear" w:color="auto" w:fill="D8D8D8" w:themeFill="background1" w:themeFillShade="D9"/>
            <w:vAlign w:val="center"/>
          </w:tcPr>
          <w:p w14:paraId="2724C461">
            <w:pPr>
              <w:pStyle w:val="44"/>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审查结果</w:t>
            </w:r>
          </w:p>
        </w:tc>
      </w:tr>
      <w:tr w14:paraId="6963B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273" w:type="pct"/>
            <w:vMerge w:val="continue"/>
            <w:shd w:val="clear" w:color="auto" w:fill="D8D8D8" w:themeFill="background1" w:themeFillShade="D9"/>
            <w:vAlign w:val="center"/>
          </w:tcPr>
          <w:p w14:paraId="1859AA86">
            <w:pPr>
              <w:pStyle w:val="44"/>
              <w:jc w:val="center"/>
              <w:rPr>
                <w:rFonts w:hint="eastAsia" w:ascii="宋体" w:hAnsi="宋体" w:eastAsia="宋体" w:cs="宋体"/>
                <w:b/>
                <w:bCs/>
                <w:color w:val="auto"/>
                <w:sz w:val="21"/>
                <w:szCs w:val="21"/>
                <w:highlight w:val="none"/>
                <w:lang w:val="zh-CN"/>
              </w:rPr>
            </w:pPr>
          </w:p>
        </w:tc>
        <w:tc>
          <w:tcPr>
            <w:tcW w:w="710" w:type="pct"/>
            <w:vMerge w:val="continue"/>
            <w:shd w:val="clear" w:color="auto" w:fill="D8D8D8" w:themeFill="background1" w:themeFillShade="D9"/>
            <w:vAlign w:val="center"/>
          </w:tcPr>
          <w:p w14:paraId="51EF0565">
            <w:pPr>
              <w:pStyle w:val="44"/>
              <w:jc w:val="center"/>
              <w:rPr>
                <w:rFonts w:hint="eastAsia" w:ascii="宋体" w:hAnsi="宋体" w:eastAsia="宋体" w:cs="宋体"/>
                <w:b/>
                <w:bCs/>
                <w:color w:val="auto"/>
                <w:sz w:val="21"/>
                <w:szCs w:val="21"/>
                <w:highlight w:val="none"/>
                <w:lang w:val="zh-CN"/>
              </w:rPr>
            </w:pPr>
          </w:p>
        </w:tc>
        <w:tc>
          <w:tcPr>
            <w:tcW w:w="2992" w:type="pct"/>
            <w:vMerge w:val="continue"/>
            <w:shd w:val="clear" w:color="auto" w:fill="D8D8D8" w:themeFill="background1" w:themeFillShade="D9"/>
            <w:vAlign w:val="center"/>
          </w:tcPr>
          <w:p w14:paraId="2128C077">
            <w:pPr>
              <w:pStyle w:val="44"/>
              <w:jc w:val="center"/>
              <w:rPr>
                <w:rFonts w:hint="eastAsia" w:ascii="宋体" w:hAnsi="宋体" w:eastAsia="宋体" w:cs="宋体"/>
                <w:b/>
                <w:bCs/>
                <w:color w:val="auto"/>
                <w:sz w:val="21"/>
                <w:szCs w:val="21"/>
                <w:highlight w:val="none"/>
                <w:lang w:val="zh-CN"/>
              </w:rPr>
            </w:pPr>
          </w:p>
        </w:tc>
        <w:tc>
          <w:tcPr>
            <w:tcW w:w="472" w:type="pct"/>
            <w:shd w:val="clear" w:color="auto" w:fill="D8D8D8" w:themeFill="background1" w:themeFillShade="D9"/>
            <w:vAlign w:val="center"/>
          </w:tcPr>
          <w:p w14:paraId="0CAA21D7">
            <w:pPr>
              <w:pStyle w:val="44"/>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符合</w:t>
            </w:r>
          </w:p>
        </w:tc>
        <w:tc>
          <w:tcPr>
            <w:tcW w:w="551" w:type="pct"/>
            <w:shd w:val="clear" w:color="auto" w:fill="D8D8D8" w:themeFill="background1" w:themeFillShade="D9"/>
            <w:vAlign w:val="center"/>
          </w:tcPr>
          <w:p w14:paraId="15D1F439">
            <w:pPr>
              <w:pStyle w:val="44"/>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不符合</w:t>
            </w:r>
          </w:p>
        </w:tc>
      </w:tr>
      <w:tr w14:paraId="233AF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trPr>
        <w:tc>
          <w:tcPr>
            <w:tcW w:w="273" w:type="pct"/>
            <w:shd w:val="clear" w:color="auto" w:fill="auto"/>
            <w:vAlign w:val="center"/>
          </w:tcPr>
          <w:p w14:paraId="4A515C07">
            <w:pPr>
              <w:pStyle w:val="44"/>
              <w:numPr>
                <w:ilvl w:val="0"/>
                <w:numId w:val="0"/>
              </w:numPr>
              <w:ind w:left="420" w:leftChars="0" w:hanging="42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1</w:t>
            </w:r>
          </w:p>
        </w:tc>
        <w:tc>
          <w:tcPr>
            <w:tcW w:w="710" w:type="pct"/>
            <w:vAlign w:val="center"/>
          </w:tcPr>
          <w:p w14:paraId="5E0E3062">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w:t>
            </w:r>
            <w:r>
              <w:rPr>
                <w:rFonts w:hint="eastAsia" w:ascii="宋体" w:hAnsi="宋体" w:eastAsia="宋体" w:cs="宋体"/>
                <w:color w:val="auto"/>
                <w:sz w:val="21"/>
                <w:szCs w:val="21"/>
                <w:highlight w:val="none"/>
              </w:rPr>
              <w:t>签署</w:t>
            </w:r>
          </w:p>
        </w:tc>
        <w:tc>
          <w:tcPr>
            <w:tcW w:w="2992" w:type="pct"/>
            <w:shd w:val="clear" w:color="auto" w:fill="auto"/>
            <w:vAlign w:val="center"/>
          </w:tcPr>
          <w:p w14:paraId="0FA4ED80">
            <w:pPr>
              <w:pStyle w:val="44"/>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响应文件</w:t>
            </w:r>
            <w:r>
              <w:rPr>
                <w:rFonts w:hint="eastAsia" w:ascii="宋体" w:hAnsi="宋体" w:eastAsia="宋体" w:cs="宋体"/>
                <w:color w:val="auto"/>
                <w:sz w:val="21"/>
                <w:szCs w:val="21"/>
                <w:highlight w:val="none"/>
                <w:lang w:val="en-US" w:eastAsia="zh-CN"/>
              </w:rPr>
              <w:t>按磋商文件要求签署、盖章的</w:t>
            </w:r>
          </w:p>
        </w:tc>
        <w:tc>
          <w:tcPr>
            <w:tcW w:w="472" w:type="pct"/>
            <w:shd w:val="clear" w:color="auto" w:fill="auto"/>
            <w:vAlign w:val="center"/>
          </w:tcPr>
          <w:p w14:paraId="1E1F1EB1">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35325BAA">
            <w:pPr>
              <w:pStyle w:val="44"/>
              <w:rPr>
                <w:rFonts w:hint="eastAsia" w:ascii="宋体" w:hAnsi="宋体" w:eastAsia="宋体" w:cs="宋体"/>
                <w:color w:val="auto"/>
                <w:sz w:val="21"/>
                <w:szCs w:val="21"/>
                <w:highlight w:val="none"/>
                <w:lang w:val="zh-CN"/>
              </w:rPr>
            </w:pPr>
          </w:p>
        </w:tc>
      </w:tr>
      <w:tr w14:paraId="6BB86F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273" w:type="pct"/>
            <w:shd w:val="clear" w:color="auto" w:fill="auto"/>
            <w:vAlign w:val="center"/>
          </w:tcPr>
          <w:p w14:paraId="70154C2F">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2</w:t>
            </w:r>
          </w:p>
        </w:tc>
        <w:tc>
          <w:tcPr>
            <w:tcW w:w="710" w:type="pct"/>
            <w:shd w:val="clear" w:color="auto" w:fill="auto"/>
            <w:vAlign w:val="center"/>
          </w:tcPr>
          <w:p w14:paraId="1B390AF0">
            <w:pPr>
              <w:pStyle w:val="44"/>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实质性要求</w:t>
            </w:r>
          </w:p>
        </w:tc>
        <w:tc>
          <w:tcPr>
            <w:tcW w:w="2992" w:type="pct"/>
            <w:shd w:val="clear" w:color="auto" w:fill="auto"/>
            <w:vAlign w:val="center"/>
          </w:tcPr>
          <w:p w14:paraId="6D95F485">
            <w:pPr>
              <w:pStyle w:val="44"/>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响应文件</w:t>
            </w:r>
            <w:r>
              <w:rPr>
                <w:rFonts w:hint="eastAsia" w:ascii="宋体" w:hAnsi="宋体" w:eastAsia="宋体" w:cs="宋体"/>
                <w:color w:val="auto"/>
                <w:sz w:val="21"/>
                <w:szCs w:val="21"/>
                <w:highlight w:val="none"/>
                <w:lang w:val="zh-CN" w:eastAsia="zh-CN"/>
              </w:rPr>
              <w:t>满足</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eastAsia="zh-CN"/>
              </w:rPr>
              <w:t>文件中标注“★”号的实质性条款（或指标）要求的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具体详见</w:t>
            </w:r>
            <w:r>
              <w:rPr>
                <w:rFonts w:hint="eastAsia" w:ascii="宋体" w:hAnsi="宋体" w:eastAsia="宋体" w:cs="宋体"/>
                <w:color w:val="auto"/>
                <w:sz w:val="21"/>
                <w:szCs w:val="21"/>
                <w:highlight w:val="none"/>
                <w:lang w:val="zh-CN"/>
              </w:rPr>
              <w:t>“实质性响应一览表”</w:t>
            </w:r>
          </w:p>
        </w:tc>
        <w:tc>
          <w:tcPr>
            <w:tcW w:w="472" w:type="pct"/>
            <w:shd w:val="clear" w:color="auto" w:fill="auto"/>
            <w:vAlign w:val="center"/>
          </w:tcPr>
          <w:p w14:paraId="4C63B966">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5A615EFE">
            <w:pPr>
              <w:pStyle w:val="44"/>
              <w:rPr>
                <w:rFonts w:hint="eastAsia" w:ascii="宋体" w:hAnsi="宋体" w:eastAsia="宋体" w:cs="宋体"/>
                <w:color w:val="auto"/>
                <w:sz w:val="21"/>
                <w:szCs w:val="21"/>
                <w:highlight w:val="none"/>
                <w:lang w:val="zh-CN"/>
              </w:rPr>
            </w:pPr>
          </w:p>
        </w:tc>
      </w:tr>
      <w:tr w14:paraId="591B9B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trPr>
        <w:tc>
          <w:tcPr>
            <w:tcW w:w="273" w:type="pct"/>
            <w:shd w:val="clear" w:color="auto" w:fill="auto"/>
            <w:vAlign w:val="center"/>
          </w:tcPr>
          <w:p w14:paraId="48860C47">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3</w:t>
            </w:r>
          </w:p>
        </w:tc>
        <w:tc>
          <w:tcPr>
            <w:tcW w:w="710" w:type="pct"/>
            <w:vAlign w:val="center"/>
          </w:tcPr>
          <w:p w14:paraId="31EA832C">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磋商响应性报价</w:t>
            </w:r>
          </w:p>
        </w:tc>
        <w:tc>
          <w:tcPr>
            <w:tcW w:w="2992" w:type="pct"/>
            <w:shd w:val="clear" w:color="auto" w:fill="auto"/>
            <w:vAlign w:val="center"/>
          </w:tcPr>
          <w:p w14:paraId="02D97709">
            <w:pPr>
              <w:pStyle w:val="44"/>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供应商报价未超过磋商文件中规定的最高限价或者预算金额的</w:t>
            </w:r>
          </w:p>
        </w:tc>
        <w:tc>
          <w:tcPr>
            <w:tcW w:w="472" w:type="pct"/>
            <w:shd w:val="clear" w:color="auto" w:fill="auto"/>
            <w:vAlign w:val="center"/>
          </w:tcPr>
          <w:p w14:paraId="18835E98">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32826E79">
            <w:pPr>
              <w:pStyle w:val="44"/>
              <w:rPr>
                <w:rFonts w:hint="eastAsia" w:ascii="宋体" w:hAnsi="宋体" w:eastAsia="宋体" w:cs="宋体"/>
                <w:color w:val="auto"/>
                <w:sz w:val="21"/>
                <w:szCs w:val="21"/>
                <w:highlight w:val="none"/>
                <w:lang w:val="zh-CN"/>
              </w:rPr>
            </w:pPr>
          </w:p>
        </w:tc>
      </w:tr>
      <w:tr w14:paraId="7C777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trPr>
        <w:tc>
          <w:tcPr>
            <w:tcW w:w="273" w:type="pct"/>
            <w:shd w:val="clear" w:color="auto" w:fill="auto"/>
            <w:vAlign w:val="center"/>
          </w:tcPr>
          <w:p w14:paraId="0D25BA5B">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4</w:t>
            </w:r>
          </w:p>
        </w:tc>
        <w:tc>
          <w:tcPr>
            <w:tcW w:w="710" w:type="pct"/>
            <w:vAlign w:val="center"/>
          </w:tcPr>
          <w:p w14:paraId="6B53D7DD">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虚假材料</w:t>
            </w:r>
          </w:p>
        </w:tc>
        <w:tc>
          <w:tcPr>
            <w:tcW w:w="2992" w:type="pct"/>
            <w:shd w:val="clear" w:color="auto" w:fill="auto"/>
            <w:vAlign w:val="center"/>
          </w:tcPr>
          <w:p w14:paraId="3C241A91">
            <w:pPr>
              <w:pStyle w:val="44"/>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eastAsia="zh-CN"/>
              </w:rPr>
              <w:t>文件</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提供虚假材料的</w:t>
            </w:r>
          </w:p>
        </w:tc>
        <w:tc>
          <w:tcPr>
            <w:tcW w:w="472" w:type="pct"/>
            <w:shd w:val="clear" w:color="auto" w:fill="auto"/>
            <w:vAlign w:val="center"/>
          </w:tcPr>
          <w:p w14:paraId="4B513014">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48AFA180">
            <w:pPr>
              <w:pStyle w:val="44"/>
              <w:rPr>
                <w:rFonts w:hint="eastAsia" w:ascii="宋体" w:hAnsi="宋体" w:eastAsia="宋体" w:cs="宋体"/>
                <w:color w:val="auto"/>
                <w:sz w:val="21"/>
                <w:szCs w:val="21"/>
                <w:highlight w:val="none"/>
                <w:lang w:val="zh-CN"/>
              </w:rPr>
            </w:pPr>
          </w:p>
        </w:tc>
      </w:tr>
      <w:tr w14:paraId="30B89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273" w:type="pct"/>
            <w:shd w:val="clear" w:color="auto" w:fill="auto"/>
            <w:vAlign w:val="center"/>
          </w:tcPr>
          <w:p w14:paraId="6C002E13">
            <w:pPr>
              <w:pStyle w:val="44"/>
              <w:numPr>
                <w:ilvl w:val="0"/>
                <w:numId w:val="0"/>
              </w:numPr>
              <w:ind w:left="0" w:leftChars="0" w:firstLine="0" w:firstLineChars="0"/>
              <w:jc w:val="center"/>
              <w:rPr>
                <w:rFonts w:hint="eastAsia" w:ascii="宋体" w:hAnsi="宋体" w:eastAsia="宋体" w:cs="宋体"/>
                <w:color w:val="auto"/>
                <w:kern w:val="2"/>
                <w:sz w:val="21"/>
                <w:szCs w:val="21"/>
                <w:highlight w:val="none"/>
                <w:lang w:val="zh-CN" w:eastAsia="zh-CN" w:bidi="ar-SA"/>
              </w:rPr>
            </w:pPr>
            <w:r>
              <w:rPr>
                <w:rFonts w:hint="eastAsia" w:cs="宋体"/>
                <w:color w:val="auto"/>
                <w:sz w:val="21"/>
                <w:szCs w:val="21"/>
                <w:highlight w:val="none"/>
                <w:lang w:val="en-US" w:eastAsia="zh-CN"/>
              </w:rPr>
              <w:t>5</w:t>
            </w:r>
          </w:p>
        </w:tc>
        <w:tc>
          <w:tcPr>
            <w:tcW w:w="710" w:type="pct"/>
            <w:vAlign w:val="center"/>
          </w:tcPr>
          <w:p w14:paraId="5C91A4A7">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响应文件的澄清、说明、补正</w:t>
            </w:r>
          </w:p>
        </w:tc>
        <w:tc>
          <w:tcPr>
            <w:tcW w:w="2992" w:type="pct"/>
            <w:shd w:val="clear" w:color="auto" w:fill="auto"/>
            <w:vAlign w:val="center"/>
          </w:tcPr>
          <w:p w14:paraId="3E6052BB">
            <w:pPr>
              <w:pStyle w:val="44"/>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eastAsia="zh-CN"/>
              </w:rPr>
              <w:t>评审期间,</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zh-CN" w:eastAsia="zh-CN"/>
              </w:rPr>
              <w:t>按磋商小组的要求提交经授权代表签字的澄清、说明、更正且澄清、说明、更正未超出响应文件范围或</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改变</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eastAsia="zh-CN"/>
              </w:rPr>
              <w:t>文件的实质性内容</w:t>
            </w:r>
          </w:p>
        </w:tc>
        <w:tc>
          <w:tcPr>
            <w:tcW w:w="472" w:type="pct"/>
            <w:shd w:val="clear" w:color="auto" w:fill="auto"/>
            <w:vAlign w:val="center"/>
          </w:tcPr>
          <w:p w14:paraId="1EA81190">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2394B23D">
            <w:pPr>
              <w:pStyle w:val="44"/>
              <w:rPr>
                <w:rFonts w:hint="eastAsia" w:ascii="宋体" w:hAnsi="宋体" w:eastAsia="宋体" w:cs="宋体"/>
                <w:color w:val="auto"/>
                <w:sz w:val="21"/>
                <w:szCs w:val="21"/>
                <w:highlight w:val="none"/>
                <w:lang w:val="zh-CN"/>
              </w:rPr>
            </w:pPr>
          </w:p>
        </w:tc>
      </w:tr>
      <w:tr w14:paraId="6D40C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trPr>
        <w:tc>
          <w:tcPr>
            <w:tcW w:w="273" w:type="pct"/>
            <w:shd w:val="clear" w:color="auto" w:fill="auto"/>
            <w:vAlign w:val="center"/>
          </w:tcPr>
          <w:p w14:paraId="09617D9C">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cs="宋体"/>
                <w:color w:val="auto"/>
                <w:kern w:val="2"/>
                <w:sz w:val="21"/>
                <w:szCs w:val="21"/>
                <w:highlight w:val="none"/>
                <w:lang w:val="en-US" w:eastAsia="zh-CN" w:bidi="ar-SA"/>
              </w:rPr>
              <w:t>6</w:t>
            </w:r>
          </w:p>
        </w:tc>
        <w:tc>
          <w:tcPr>
            <w:tcW w:w="710" w:type="pct"/>
            <w:vAlign w:val="center"/>
          </w:tcPr>
          <w:p w14:paraId="2016E93A">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供应商影响评审</w:t>
            </w:r>
          </w:p>
        </w:tc>
        <w:tc>
          <w:tcPr>
            <w:tcW w:w="2992" w:type="pct"/>
            <w:shd w:val="clear" w:color="auto" w:fill="auto"/>
            <w:vAlign w:val="center"/>
          </w:tcPr>
          <w:p w14:paraId="50B76BB4">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zh-CN" w:eastAsia="zh-CN"/>
              </w:rPr>
              <w:t>对采购人、采购代理机构、磋商小组及其工作人员</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施加影响,</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有碍公平、公正</w:t>
            </w:r>
            <w:r>
              <w:rPr>
                <w:rFonts w:hint="eastAsia" w:ascii="宋体" w:hAnsi="宋体" w:eastAsia="宋体" w:cs="宋体"/>
                <w:color w:val="auto"/>
                <w:sz w:val="21"/>
                <w:szCs w:val="21"/>
                <w:highlight w:val="none"/>
                <w:lang w:val="en-US" w:eastAsia="zh-CN"/>
              </w:rPr>
              <w:t>行为的</w:t>
            </w:r>
          </w:p>
        </w:tc>
        <w:tc>
          <w:tcPr>
            <w:tcW w:w="472" w:type="pct"/>
            <w:shd w:val="clear" w:color="auto" w:fill="auto"/>
            <w:vAlign w:val="center"/>
          </w:tcPr>
          <w:p w14:paraId="75DB24A7">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7D6DA84C">
            <w:pPr>
              <w:pStyle w:val="44"/>
              <w:rPr>
                <w:rFonts w:hint="eastAsia" w:ascii="宋体" w:hAnsi="宋体" w:eastAsia="宋体" w:cs="宋体"/>
                <w:color w:val="auto"/>
                <w:sz w:val="21"/>
                <w:szCs w:val="21"/>
                <w:highlight w:val="none"/>
                <w:lang w:val="zh-CN"/>
              </w:rPr>
            </w:pPr>
          </w:p>
        </w:tc>
      </w:tr>
      <w:tr w14:paraId="35AAC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73" w:type="pct"/>
            <w:shd w:val="clear" w:color="auto" w:fill="auto"/>
            <w:vAlign w:val="center"/>
          </w:tcPr>
          <w:p w14:paraId="332BD4A6">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7</w:t>
            </w:r>
          </w:p>
        </w:tc>
        <w:tc>
          <w:tcPr>
            <w:tcW w:w="710" w:type="pct"/>
            <w:vAlign w:val="center"/>
          </w:tcPr>
          <w:p w14:paraId="56EEFE7E">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附加条件</w:t>
            </w:r>
          </w:p>
        </w:tc>
        <w:tc>
          <w:tcPr>
            <w:tcW w:w="2992" w:type="pct"/>
            <w:shd w:val="clear" w:color="auto" w:fill="auto"/>
            <w:vAlign w:val="center"/>
          </w:tcPr>
          <w:p w14:paraId="618DB2FB">
            <w:pPr>
              <w:pStyle w:val="4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响应文件没有采购人不能接受的附加条件的</w:t>
            </w:r>
          </w:p>
        </w:tc>
        <w:tc>
          <w:tcPr>
            <w:tcW w:w="472" w:type="pct"/>
            <w:shd w:val="clear" w:color="auto" w:fill="auto"/>
            <w:vAlign w:val="center"/>
          </w:tcPr>
          <w:p w14:paraId="36C2A679">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73E4201A">
            <w:pPr>
              <w:pStyle w:val="44"/>
              <w:rPr>
                <w:rFonts w:hint="eastAsia" w:ascii="宋体" w:hAnsi="宋体" w:eastAsia="宋体" w:cs="宋体"/>
                <w:color w:val="auto"/>
                <w:sz w:val="21"/>
                <w:szCs w:val="21"/>
                <w:highlight w:val="none"/>
                <w:lang w:val="zh-CN"/>
              </w:rPr>
            </w:pPr>
          </w:p>
        </w:tc>
      </w:tr>
      <w:tr w14:paraId="56775C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73" w:type="pct"/>
            <w:shd w:val="clear" w:color="auto" w:fill="auto"/>
            <w:vAlign w:val="center"/>
          </w:tcPr>
          <w:p w14:paraId="3CD6AABE">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8</w:t>
            </w:r>
          </w:p>
        </w:tc>
        <w:tc>
          <w:tcPr>
            <w:tcW w:w="710" w:type="pct"/>
            <w:vAlign w:val="center"/>
          </w:tcPr>
          <w:p w14:paraId="40726A5F">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其他无效情形</w:t>
            </w:r>
          </w:p>
        </w:tc>
        <w:tc>
          <w:tcPr>
            <w:tcW w:w="2992" w:type="pct"/>
            <w:shd w:val="clear" w:color="auto" w:fill="auto"/>
            <w:vAlign w:val="center"/>
          </w:tcPr>
          <w:p w14:paraId="05CC0303">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未出现</w:t>
            </w:r>
            <w:r>
              <w:rPr>
                <w:rFonts w:hint="eastAsia" w:ascii="宋体" w:hAnsi="宋体" w:eastAsia="宋体" w:cs="宋体"/>
                <w:color w:val="auto"/>
                <w:sz w:val="21"/>
                <w:szCs w:val="21"/>
                <w:highlight w:val="none"/>
                <w:lang w:val="zh-CN" w:eastAsia="zh-CN"/>
              </w:rPr>
              <w:t>法律、法规、规章以及本磋商文件规定属于</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eastAsia="zh-CN"/>
              </w:rPr>
              <w:t>无效的其他情形。</w:t>
            </w:r>
          </w:p>
        </w:tc>
        <w:tc>
          <w:tcPr>
            <w:tcW w:w="472" w:type="pct"/>
            <w:shd w:val="clear" w:color="auto" w:fill="auto"/>
            <w:vAlign w:val="center"/>
          </w:tcPr>
          <w:p w14:paraId="3A44DE13">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5D1C94D8">
            <w:pPr>
              <w:pStyle w:val="44"/>
              <w:rPr>
                <w:rFonts w:hint="eastAsia" w:ascii="宋体" w:hAnsi="宋体" w:eastAsia="宋体" w:cs="宋体"/>
                <w:color w:val="auto"/>
                <w:sz w:val="21"/>
                <w:szCs w:val="21"/>
                <w:highlight w:val="none"/>
                <w:lang w:val="zh-CN"/>
              </w:rPr>
            </w:pPr>
          </w:p>
        </w:tc>
      </w:tr>
      <w:tr w14:paraId="58CDFE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73" w:type="pct"/>
            <w:shd w:val="clear" w:color="auto" w:fill="auto"/>
            <w:vAlign w:val="center"/>
          </w:tcPr>
          <w:p w14:paraId="41128EB6">
            <w:pPr>
              <w:pStyle w:val="44"/>
              <w:numPr>
                <w:ilvl w:val="0"/>
                <w:numId w:val="0"/>
              </w:numPr>
              <w:ind w:left="420" w:leftChars="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9</w:t>
            </w:r>
          </w:p>
        </w:tc>
        <w:tc>
          <w:tcPr>
            <w:tcW w:w="710" w:type="pct"/>
            <w:vAlign w:val="center"/>
          </w:tcPr>
          <w:p w14:paraId="4FA96D21">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围标串标情形</w:t>
            </w:r>
          </w:p>
        </w:tc>
        <w:tc>
          <w:tcPr>
            <w:tcW w:w="2992" w:type="pct"/>
            <w:shd w:val="clear" w:color="auto" w:fill="auto"/>
            <w:vAlign w:val="center"/>
          </w:tcPr>
          <w:p w14:paraId="6C4171D0">
            <w:pPr>
              <w:pStyle w:val="44"/>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没有“第四章 评审方法及标准 ”第9项情形之一的</w:t>
            </w:r>
          </w:p>
        </w:tc>
        <w:tc>
          <w:tcPr>
            <w:tcW w:w="472" w:type="pct"/>
            <w:shd w:val="clear" w:color="auto" w:fill="auto"/>
            <w:vAlign w:val="center"/>
          </w:tcPr>
          <w:p w14:paraId="2604A638">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54B120C5">
            <w:pPr>
              <w:pStyle w:val="44"/>
              <w:rPr>
                <w:rFonts w:hint="eastAsia" w:ascii="宋体" w:hAnsi="宋体" w:eastAsia="宋体" w:cs="宋体"/>
                <w:color w:val="auto"/>
                <w:sz w:val="21"/>
                <w:szCs w:val="21"/>
                <w:highlight w:val="none"/>
                <w:lang w:val="zh-CN"/>
              </w:rPr>
            </w:pPr>
          </w:p>
        </w:tc>
      </w:tr>
      <w:tr w14:paraId="3A78B2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273" w:type="pct"/>
            <w:shd w:val="clear" w:color="auto" w:fill="auto"/>
            <w:vAlign w:val="center"/>
          </w:tcPr>
          <w:p w14:paraId="0D4BF68B">
            <w:pPr>
              <w:pStyle w:val="44"/>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p>
        </w:tc>
        <w:tc>
          <w:tcPr>
            <w:tcW w:w="710" w:type="pct"/>
            <w:vAlign w:val="center"/>
          </w:tcPr>
          <w:p w14:paraId="6F870C6B">
            <w:pPr>
              <w:pStyle w:val="44"/>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p>
        </w:tc>
        <w:tc>
          <w:tcPr>
            <w:tcW w:w="2992" w:type="pct"/>
            <w:shd w:val="clear" w:color="auto" w:fill="auto"/>
            <w:vAlign w:val="center"/>
          </w:tcPr>
          <w:p w14:paraId="041DADE9">
            <w:pPr>
              <w:pStyle w:val="44"/>
              <w:rPr>
                <w:rFonts w:hint="eastAsia" w:ascii="宋体" w:hAnsi="宋体" w:eastAsia="宋体" w:cs="宋体"/>
                <w:color w:val="auto"/>
                <w:sz w:val="21"/>
                <w:szCs w:val="21"/>
                <w:highlight w:val="none"/>
                <w:lang w:val="zh-CN" w:eastAsia="zh-CN"/>
              </w:rPr>
            </w:pPr>
          </w:p>
        </w:tc>
        <w:tc>
          <w:tcPr>
            <w:tcW w:w="472" w:type="pct"/>
            <w:shd w:val="clear" w:color="auto" w:fill="auto"/>
            <w:vAlign w:val="center"/>
          </w:tcPr>
          <w:p w14:paraId="04924F23">
            <w:pPr>
              <w:pStyle w:val="44"/>
              <w:rPr>
                <w:rFonts w:hint="eastAsia" w:ascii="宋体" w:hAnsi="宋体" w:eastAsia="宋体" w:cs="宋体"/>
                <w:color w:val="auto"/>
                <w:sz w:val="21"/>
                <w:szCs w:val="21"/>
                <w:highlight w:val="none"/>
                <w:lang w:val="zh-CN"/>
              </w:rPr>
            </w:pPr>
          </w:p>
        </w:tc>
        <w:tc>
          <w:tcPr>
            <w:tcW w:w="551" w:type="pct"/>
            <w:shd w:val="clear" w:color="auto" w:fill="auto"/>
            <w:vAlign w:val="center"/>
          </w:tcPr>
          <w:p w14:paraId="18D31E23">
            <w:pPr>
              <w:pStyle w:val="44"/>
              <w:rPr>
                <w:rFonts w:hint="eastAsia" w:ascii="宋体" w:hAnsi="宋体" w:eastAsia="宋体" w:cs="宋体"/>
                <w:color w:val="auto"/>
                <w:sz w:val="21"/>
                <w:szCs w:val="21"/>
                <w:highlight w:val="none"/>
                <w:lang w:val="zh-CN"/>
              </w:rPr>
            </w:pPr>
          </w:p>
        </w:tc>
      </w:tr>
    </w:tbl>
    <w:p w14:paraId="1D592538">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028E1FEF">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199811C3">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1AACC489">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0A621C99">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2E60AFF0">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3624643D">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6501A7F1">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27037B78">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1AA7A632">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6FE3F16E">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6A22AD6B">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3107E210">
      <w:pPr>
        <w:shd w:val="clear" w:color="auto" w:fill="FFFFFF"/>
        <w:tabs>
          <w:tab w:val="left" w:pos="3045"/>
        </w:tabs>
        <w:autoSpaceDE w:val="0"/>
        <w:autoSpaceDN w:val="0"/>
        <w:adjustRightInd w:val="0"/>
        <w:snapToGrid w:val="0"/>
        <w:spacing w:line="360" w:lineRule="exact"/>
        <w:rPr>
          <w:rFonts w:hint="eastAsia"/>
          <w:color w:val="auto"/>
          <w:highlight w:val="none"/>
        </w:rPr>
      </w:pPr>
      <w:r>
        <w:rPr>
          <w:rFonts w:hint="eastAsia" w:ascii="宋体" w:hAnsi="宋体" w:cs="宋体"/>
          <w:b/>
          <w:color w:val="auto"/>
          <w:sz w:val="24"/>
          <w:highlight w:val="none"/>
        </w:rPr>
        <w:t>符合</w:t>
      </w:r>
      <w:r>
        <w:rPr>
          <w:rFonts w:hint="eastAsia" w:ascii="宋体" w:hAnsi="宋体" w:cs="宋体"/>
          <w:b/>
          <w:color w:val="auto"/>
          <w:sz w:val="24"/>
          <w:highlight w:val="none"/>
          <w:lang w:eastAsia="zh-CN"/>
        </w:rPr>
        <w:t>性</w:t>
      </w:r>
      <w:r>
        <w:rPr>
          <w:rFonts w:hint="eastAsia" w:ascii="宋体" w:hAnsi="宋体" w:cs="宋体"/>
          <w:b/>
          <w:color w:val="auto"/>
          <w:sz w:val="24"/>
          <w:highlight w:val="none"/>
        </w:rPr>
        <w:t>检查</w:t>
      </w:r>
      <w:r>
        <w:rPr>
          <w:rFonts w:hint="eastAsia" w:cs="宋体"/>
          <w:b/>
          <w:color w:val="auto"/>
          <w:sz w:val="24"/>
          <w:highlight w:val="none"/>
          <w:lang w:val="en-US" w:eastAsia="zh-CN"/>
        </w:rPr>
        <w:t>-</w:t>
      </w:r>
      <w:r>
        <w:rPr>
          <w:rFonts w:hint="eastAsia" w:ascii="宋体" w:hAnsi="宋体" w:cs="宋体"/>
          <w:b/>
          <w:color w:val="auto"/>
          <w:sz w:val="24"/>
          <w:highlight w:val="none"/>
        </w:rPr>
        <w:t>附表</w:t>
      </w:r>
    </w:p>
    <w:p w14:paraId="4F7CC118">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jc w:val="center"/>
        <w:textAlignment w:val="auto"/>
        <w:rPr>
          <w:rFonts w:hint="eastAsia" w:ascii="宋体" w:hAnsi="宋体" w:eastAsia="宋体" w:cstheme="minorBidi"/>
          <w:b/>
          <w:bCs/>
          <w:color w:val="auto"/>
          <w:kern w:val="2"/>
          <w:sz w:val="28"/>
          <w:szCs w:val="28"/>
          <w:highlight w:val="none"/>
          <w:lang w:val="zh-CN" w:eastAsia="zh-CN" w:bidi="ar-SA"/>
        </w:rPr>
      </w:pPr>
      <w:bookmarkStart w:id="511" w:name="_Toc17954"/>
      <w:bookmarkStart w:id="512" w:name="_Toc5315"/>
      <w:r>
        <w:rPr>
          <w:rFonts w:hint="eastAsia" w:ascii="宋体" w:hAnsi="宋体" w:eastAsia="宋体" w:cstheme="minorBidi"/>
          <w:b/>
          <w:bCs/>
          <w:color w:val="auto"/>
          <w:kern w:val="2"/>
          <w:sz w:val="28"/>
          <w:szCs w:val="28"/>
          <w:highlight w:val="none"/>
          <w:lang w:val="zh-CN" w:eastAsia="zh-CN" w:bidi="ar-SA"/>
        </w:rPr>
        <w:t>实质性响应一览表</w:t>
      </w:r>
      <w:bookmarkEnd w:id="511"/>
      <w:bookmarkEnd w:id="512"/>
    </w:p>
    <w:p w14:paraId="3F0E658F">
      <w:pPr>
        <w:shd w:val="clear" w:color="auto" w:fill="FFFFFF"/>
        <w:tabs>
          <w:tab w:val="left" w:pos="3045"/>
        </w:tabs>
        <w:autoSpaceDE w:val="0"/>
        <w:autoSpaceDN w:val="0"/>
        <w:adjustRightInd w:val="0"/>
        <w:snapToGrid w:val="0"/>
        <w:spacing w:line="360" w:lineRule="exact"/>
        <w:jc w:val="center"/>
        <w:rPr>
          <w:rFonts w:hint="eastAsia" w:ascii="宋体" w:hAnsi="宋体" w:cs="宋体"/>
          <w:b/>
          <w:color w:val="auto"/>
          <w:sz w:val="24"/>
          <w:highlight w:val="none"/>
        </w:rPr>
      </w:pPr>
      <w:r>
        <w:rPr>
          <w:rFonts w:hint="eastAsia" w:ascii="宋体" w:hAnsi="宋体" w:cs="宋体"/>
          <w:b w:val="0"/>
          <w:bCs/>
          <w:color w:val="auto"/>
          <w:sz w:val="24"/>
          <w:highlight w:val="none"/>
        </w:rPr>
        <w:t>（供应商须对本附表所有内容逐条响应且无负偏离，否则</w:t>
      </w:r>
      <w:r>
        <w:rPr>
          <w:rFonts w:hint="eastAsia" w:cs="宋体"/>
          <w:b/>
          <w:color w:val="auto"/>
          <w:sz w:val="24"/>
          <w:highlight w:val="none"/>
          <w:lang w:val="en-US" w:eastAsia="zh-CN"/>
        </w:rPr>
        <w:t>响应</w:t>
      </w:r>
      <w:r>
        <w:rPr>
          <w:rFonts w:hint="eastAsia" w:ascii="宋体" w:hAnsi="宋体" w:cs="宋体"/>
          <w:b/>
          <w:color w:val="auto"/>
          <w:sz w:val="24"/>
          <w:highlight w:val="none"/>
        </w:rPr>
        <w:t>无效</w:t>
      </w:r>
      <w:r>
        <w:rPr>
          <w:rFonts w:hint="eastAsia" w:ascii="宋体" w:hAnsi="宋体" w:cs="宋体"/>
          <w:b w:val="0"/>
          <w:bCs/>
          <w:color w:val="auto"/>
          <w:sz w:val="24"/>
          <w:highlight w:val="none"/>
        </w:rPr>
        <w:t>）</w:t>
      </w:r>
    </w:p>
    <w:p w14:paraId="5DFE4AA9">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tbl>
      <w:tblPr>
        <w:tblStyle w:val="27"/>
        <w:tblW w:w="560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992"/>
        <w:gridCol w:w="4258"/>
        <w:gridCol w:w="1873"/>
        <w:gridCol w:w="731"/>
      </w:tblGrid>
      <w:tr w14:paraId="098C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369" w:type="pct"/>
            <w:vMerge w:val="restart"/>
            <w:noWrap w:val="0"/>
            <w:vAlign w:val="center"/>
          </w:tcPr>
          <w:p w14:paraId="7CE32AA3">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序号</w:t>
            </w:r>
          </w:p>
        </w:tc>
        <w:tc>
          <w:tcPr>
            <w:tcW w:w="3268" w:type="pct"/>
            <w:gridSpan w:val="2"/>
            <w:noWrap w:val="0"/>
            <w:vAlign w:val="center"/>
          </w:tcPr>
          <w:p w14:paraId="01AF850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文件要求的实质性响应内容</w:t>
            </w:r>
          </w:p>
        </w:tc>
        <w:tc>
          <w:tcPr>
            <w:tcW w:w="979" w:type="pct"/>
            <w:vMerge w:val="restart"/>
            <w:noWrap w:val="0"/>
            <w:vAlign w:val="center"/>
          </w:tcPr>
          <w:p w14:paraId="2428BDFD">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投标文件响应</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具体内容</w:t>
            </w:r>
          </w:p>
        </w:tc>
        <w:tc>
          <w:tcPr>
            <w:tcW w:w="382" w:type="pct"/>
            <w:vMerge w:val="restart"/>
            <w:noWrap w:val="0"/>
            <w:vAlign w:val="center"/>
          </w:tcPr>
          <w:p w14:paraId="2BD31803">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063C6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369" w:type="pct"/>
            <w:vMerge w:val="continue"/>
            <w:noWrap w:val="0"/>
            <w:vAlign w:val="center"/>
          </w:tcPr>
          <w:p w14:paraId="01C8640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c>
          <w:tcPr>
            <w:tcW w:w="1041" w:type="pct"/>
            <w:noWrap w:val="0"/>
            <w:vAlign w:val="center"/>
          </w:tcPr>
          <w:p w14:paraId="38AFEC8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实质性要求</w:t>
            </w:r>
          </w:p>
        </w:tc>
        <w:tc>
          <w:tcPr>
            <w:tcW w:w="2226" w:type="pct"/>
            <w:noWrap w:val="0"/>
            <w:vAlign w:val="center"/>
          </w:tcPr>
          <w:p w14:paraId="11DB8578">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招标文件中的规定</w:t>
            </w:r>
          </w:p>
        </w:tc>
        <w:tc>
          <w:tcPr>
            <w:tcW w:w="979" w:type="pct"/>
            <w:vMerge w:val="continue"/>
            <w:noWrap w:val="0"/>
            <w:vAlign w:val="center"/>
          </w:tcPr>
          <w:p w14:paraId="3D2B011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p>
        </w:tc>
        <w:tc>
          <w:tcPr>
            <w:tcW w:w="382" w:type="pct"/>
            <w:vMerge w:val="continue"/>
            <w:noWrap w:val="0"/>
            <w:vAlign w:val="center"/>
          </w:tcPr>
          <w:p w14:paraId="485D618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r>
      <w:tr w14:paraId="0E72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3" w:hRule="atLeast"/>
          <w:jc w:val="center"/>
        </w:trPr>
        <w:tc>
          <w:tcPr>
            <w:tcW w:w="369" w:type="pct"/>
            <w:noWrap w:val="0"/>
            <w:vAlign w:val="center"/>
          </w:tcPr>
          <w:p w14:paraId="7ECA8034">
            <w:pPr>
              <w:keepNext w:val="0"/>
              <w:keepLines w:val="0"/>
              <w:pageBreakBefore w:val="0"/>
              <w:widowControl w:val="0"/>
              <w:kinsoku/>
              <w:wordWrap/>
              <w:overflowPunct/>
              <w:topLinePunct w:val="0"/>
              <w:bidi w:val="0"/>
              <w:adjustRightInd/>
              <w:snapToGrid/>
              <w:spacing w:beforeAutospacing="0" w:afterAutospacing="0" w:line="560" w:lineRule="exact"/>
              <w:ind w:right="0" w:rightChars="0"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41" w:type="pct"/>
            <w:shd w:val="clear" w:color="auto" w:fill="auto"/>
            <w:noWrap w:val="0"/>
            <w:vAlign w:val="center"/>
          </w:tcPr>
          <w:p w14:paraId="62642515">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响应文件有效期</w:t>
            </w:r>
          </w:p>
        </w:tc>
        <w:tc>
          <w:tcPr>
            <w:tcW w:w="2226" w:type="pct"/>
            <w:shd w:val="clear" w:color="auto" w:fill="auto"/>
            <w:noWrap w:val="0"/>
            <w:vAlign w:val="center"/>
          </w:tcPr>
          <w:p w14:paraId="3C22828C">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响应文件递交截止日期后90日历日</w:t>
            </w:r>
          </w:p>
        </w:tc>
        <w:tc>
          <w:tcPr>
            <w:tcW w:w="979" w:type="pct"/>
            <w:noWrap w:val="0"/>
            <w:vAlign w:val="center"/>
          </w:tcPr>
          <w:p w14:paraId="4517D25D">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729A312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671CC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369" w:type="pct"/>
            <w:noWrap w:val="0"/>
            <w:vAlign w:val="center"/>
          </w:tcPr>
          <w:p w14:paraId="79561691">
            <w:pPr>
              <w:keepNext w:val="0"/>
              <w:keepLines w:val="0"/>
              <w:pageBreakBefore w:val="0"/>
              <w:widowControl w:val="0"/>
              <w:kinsoku/>
              <w:wordWrap/>
              <w:overflowPunct/>
              <w:topLinePunct w:val="0"/>
              <w:bidi w:val="0"/>
              <w:adjustRightInd/>
              <w:snapToGrid/>
              <w:spacing w:beforeAutospacing="0" w:afterAutospacing="0" w:line="560" w:lineRule="exact"/>
              <w:ind w:right="0" w:rightChars="0"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41" w:type="pct"/>
            <w:shd w:val="clear" w:color="auto" w:fill="auto"/>
            <w:noWrap w:val="0"/>
            <w:vAlign w:val="center"/>
          </w:tcPr>
          <w:p w14:paraId="7FB35A2D">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val="0"/>
                <w:bCs w:val="0"/>
                <w:kern w:val="0"/>
                <w:sz w:val="24"/>
                <w:szCs w:val="24"/>
                <w:highlight w:val="none"/>
                <w:lang w:val="en-US" w:eastAsia="zh-CN" w:bidi="ar-SA"/>
              </w:rPr>
              <w:t>服务（实施）的</w:t>
            </w:r>
            <w:r>
              <w:rPr>
                <w:rFonts w:hint="eastAsia" w:cs="宋体"/>
                <w:b w:val="0"/>
                <w:bCs w:val="0"/>
                <w:kern w:val="0"/>
                <w:sz w:val="24"/>
                <w:szCs w:val="24"/>
                <w:highlight w:val="none"/>
                <w:lang w:val="en-US" w:eastAsia="zh-CN" w:bidi="ar-SA"/>
              </w:rPr>
              <w:t>时间（期限）</w:t>
            </w:r>
          </w:p>
        </w:tc>
        <w:tc>
          <w:tcPr>
            <w:tcW w:w="2226" w:type="pct"/>
            <w:shd w:val="clear" w:color="auto" w:fill="auto"/>
            <w:noWrap w:val="0"/>
            <w:vAlign w:val="center"/>
          </w:tcPr>
          <w:p w14:paraId="60DF1C74">
            <w:pPr>
              <w:pStyle w:val="33"/>
              <w:keepNext w:val="0"/>
              <w:keepLines w:val="0"/>
              <w:pageBreakBefore w:val="0"/>
              <w:widowControl w:val="0"/>
              <w:kinsoku/>
              <w:wordWrap w:val="0"/>
              <w:overflowPunct/>
              <w:topLinePunct w:val="0"/>
              <w:autoSpaceDE/>
              <w:autoSpaceDN/>
              <w:bidi w:val="0"/>
              <w:adjustRightInd/>
              <w:snapToGrid/>
              <w:ind w:firstLine="482"/>
              <w:textAlignment w:val="auto"/>
              <w:rPr>
                <w:rFonts w:hint="eastAsia" w:ascii="仿宋_GB2312" w:hAnsi="仿宋_GB2312" w:eastAsia="仿宋_GB2312" w:cs="仿宋_GB2312"/>
                <w:sz w:val="28"/>
                <w:szCs w:val="28"/>
                <w:highlight w:val="none"/>
                <w:lang w:val="en-US" w:eastAsia="zh-CN"/>
              </w:rPr>
            </w:pPr>
          </w:p>
          <w:p w14:paraId="4511F2DD">
            <w:pPr>
              <w:pStyle w:val="33"/>
              <w:keepNext w:val="0"/>
              <w:keepLines w:val="0"/>
              <w:pageBreakBefore w:val="0"/>
              <w:widowControl w:val="0"/>
              <w:kinsoku/>
              <w:wordWrap w:val="0"/>
              <w:overflowPunct/>
              <w:topLinePunct w:val="0"/>
              <w:autoSpaceDE/>
              <w:autoSpaceDN/>
              <w:bidi w:val="0"/>
              <w:adjustRightInd/>
              <w:snapToGrid/>
              <w:ind w:left="0" w:leftChars="0" w:firstLine="0" w:firstLineChars="0"/>
              <w:textAlignment w:val="auto"/>
              <w:rPr>
                <w:rFonts w:hint="default" w:ascii="宋体" w:hAnsi="宋体" w:eastAsia="宋体" w:cs="宋体"/>
                <w:color w:val="auto"/>
                <w:kern w:val="2"/>
                <w:sz w:val="24"/>
                <w:szCs w:val="24"/>
                <w:highlight w:val="none"/>
                <w:lang w:val="en-US" w:eastAsia="zh-CN" w:bidi="ar-SA"/>
              </w:rPr>
            </w:pPr>
            <w:bookmarkStart w:id="622" w:name="_GoBack"/>
            <w:r>
              <w:rPr>
                <w:rFonts w:hint="eastAsia" w:ascii="仿宋_GB2312" w:hAnsi="仿宋_GB2312" w:eastAsia="仿宋_GB2312" w:cs="仿宋_GB2312"/>
                <w:sz w:val="28"/>
                <w:szCs w:val="28"/>
                <w:highlight w:val="none"/>
                <w:lang w:val="en-US" w:eastAsia="zh-CN"/>
              </w:rPr>
              <w:t>合同签订后30天内交货</w:t>
            </w:r>
            <w:bookmarkEnd w:id="622"/>
          </w:p>
        </w:tc>
        <w:tc>
          <w:tcPr>
            <w:tcW w:w="979" w:type="pct"/>
            <w:noWrap w:val="0"/>
            <w:vAlign w:val="center"/>
          </w:tcPr>
          <w:p w14:paraId="5BB89004">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0E4E117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35056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369" w:type="pct"/>
            <w:shd w:val="clear" w:color="auto" w:fill="auto"/>
            <w:noWrap w:val="0"/>
            <w:vAlign w:val="center"/>
          </w:tcPr>
          <w:p w14:paraId="7D5DC93C">
            <w:pPr>
              <w:keepNext w:val="0"/>
              <w:keepLines w:val="0"/>
              <w:pageBreakBefore w:val="0"/>
              <w:widowControl w:val="0"/>
              <w:kinsoku/>
              <w:wordWrap/>
              <w:overflowPunct/>
              <w:topLinePunct w:val="0"/>
              <w:bidi w:val="0"/>
              <w:adjustRightInd/>
              <w:snapToGrid/>
              <w:spacing w:beforeAutospacing="0" w:afterAutospacing="0" w:line="560" w:lineRule="exact"/>
              <w:ind w:right="0" w:rightChars="0" w:firstLine="240" w:firstLineChars="1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041" w:type="pct"/>
            <w:shd w:val="clear" w:color="auto" w:fill="auto"/>
            <w:noWrap w:val="0"/>
            <w:vAlign w:val="center"/>
          </w:tcPr>
          <w:p w14:paraId="505EE26A">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服务（实施）的地点（范围）</w:t>
            </w:r>
          </w:p>
        </w:tc>
        <w:tc>
          <w:tcPr>
            <w:tcW w:w="2226" w:type="pct"/>
            <w:shd w:val="clear" w:color="auto" w:fill="auto"/>
            <w:noWrap w:val="0"/>
            <w:vAlign w:val="center"/>
          </w:tcPr>
          <w:p w14:paraId="324EF1FF">
            <w:pPr>
              <w:pStyle w:val="44"/>
              <w:pageBreakBefore w:val="0"/>
              <w:kinsoku/>
              <w:overflowPunct/>
              <w:bidi w:val="0"/>
              <w:spacing w:beforeAutospacing="0" w:afterAutospacing="0" w:line="560" w:lineRule="exact"/>
              <w:ind w:right="0" w:rightChars="0"/>
              <w:rPr>
                <w:rFonts w:hint="default" w:ascii="宋体" w:hAnsi="宋体" w:eastAsia="宋体" w:cs="宋体"/>
                <w:b/>
                <w:bCs/>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采购人指定地点</w:t>
            </w:r>
          </w:p>
        </w:tc>
        <w:tc>
          <w:tcPr>
            <w:tcW w:w="979" w:type="pct"/>
            <w:noWrap w:val="0"/>
            <w:vAlign w:val="center"/>
          </w:tcPr>
          <w:p w14:paraId="042BD647">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458E18AF">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0126A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2" w:hRule="atLeast"/>
          <w:jc w:val="center"/>
        </w:trPr>
        <w:tc>
          <w:tcPr>
            <w:tcW w:w="369" w:type="pct"/>
            <w:shd w:val="clear" w:color="auto" w:fill="auto"/>
            <w:noWrap w:val="0"/>
            <w:vAlign w:val="center"/>
          </w:tcPr>
          <w:p w14:paraId="24A010C1">
            <w:pPr>
              <w:keepNext w:val="0"/>
              <w:keepLines w:val="0"/>
              <w:pageBreakBefore w:val="0"/>
              <w:widowControl w:val="0"/>
              <w:kinsoku/>
              <w:wordWrap/>
              <w:overflowPunct/>
              <w:topLinePunct w:val="0"/>
              <w:bidi w:val="0"/>
              <w:adjustRightInd/>
              <w:snapToGrid/>
              <w:spacing w:beforeAutospacing="0" w:afterAutospacing="0" w:line="560" w:lineRule="exact"/>
              <w:ind w:right="0" w:rightChars="0" w:firstLine="240" w:firstLineChars="1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041" w:type="pct"/>
            <w:shd w:val="clear" w:color="auto" w:fill="auto"/>
            <w:noWrap w:val="0"/>
            <w:vAlign w:val="center"/>
          </w:tcPr>
          <w:p w14:paraId="1D21509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color w:val="auto"/>
                <w:kern w:val="0"/>
                <w:sz w:val="24"/>
                <w:szCs w:val="24"/>
                <w:highlight w:val="none"/>
                <w:u w:val="none"/>
                <w:lang w:val="en-US" w:eastAsia="zh-CN" w:bidi="ar-SA"/>
              </w:rPr>
              <w:t>付款方式（进度和方式）</w:t>
            </w:r>
          </w:p>
        </w:tc>
        <w:tc>
          <w:tcPr>
            <w:tcW w:w="2226" w:type="pct"/>
            <w:shd w:val="clear" w:color="auto" w:fill="auto"/>
            <w:noWrap w:val="0"/>
            <w:vAlign w:val="center"/>
          </w:tcPr>
          <w:p w14:paraId="4839DCE0">
            <w:pPr>
              <w:keepNext w:val="0"/>
              <w:keepLines w:val="0"/>
              <w:pageBreakBefore w:val="0"/>
              <w:numPr>
                <w:ilvl w:val="0"/>
                <w:numId w:val="0"/>
              </w:numPr>
              <w:kinsoku/>
              <w:wordWrap/>
              <w:overflowPunct/>
              <w:topLinePunct w:val="0"/>
              <w:autoSpaceDE/>
              <w:autoSpaceDN/>
              <w:bidi w:val="0"/>
              <w:adjustRightInd/>
              <w:snapToGrid/>
              <w:spacing w:line="500" w:lineRule="exact"/>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验收合格后，凭验收单及发票一次性支付。</w:t>
            </w:r>
          </w:p>
          <w:p w14:paraId="40D61922">
            <w:pPr>
              <w:pStyle w:val="44"/>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6E29F276">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63A4B6F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1D803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0736A321">
            <w:pPr>
              <w:keepNext w:val="0"/>
              <w:keepLines w:val="0"/>
              <w:pageBreakBefore w:val="0"/>
              <w:widowControl w:val="0"/>
              <w:kinsoku/>
              <w:wordWrap/>
              <w:overflowPunct/>
              <w:topLinePunct w:val="0"/>
              <w:bidi w:val="0"/>
              <w:adjustRightInd/>
              <w:snapToGrid/>
              <w:spacing w:beforeAutospacing="0" w:afterAutospacing="0" w:line="560" w:lineRule="exact"/>
              <w:ind w:right="0" w:rightChars="0" w:firstLine="240" w:firstLineChars="100"/>
              <w:jc w:val="both"/>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p>
        </w:tc>
        <w:tc>
          <w:tcPr>
            <w:tcW w:w="1041" w:type="pct"/>
            <w:shd w:val="clear" w:color="auto" w:fill="auto"/>
            <w:noWrap w:val="0"/>
            <w:vAlign w:val="center"/>
          </w:tcPr>
          <w:p w14:paraId="7288E86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服务要求</w:t>
            </w:r>
          </w:p>
        </w:tc>
        <w:tc>
          <w:tcPr>
            <w:tcW w:w="2226" w:type="pct"/>
            <w:shd w:val="clear" w:color="auto" w:fill="auto"/>
            <w:noWrap w:val="0"/>
            <w:vAlign w:val="center"/>
          </w:tcPr>
          <w:p w14:paraId="0B382EB0">
            <w:pPr>
              <w:pStyle w:val="74"/>
              <w:pageBreakBefore w:val="0"/>
              <w:kinsoku/>
              <w:overflowPunct/>
              <w:bidi w:val="0"/>
              <w:spacing w:beforeAutospacing="0" w:afterAutospacing="0" w:line="560" w:lineRule="exact"/>
              <w:ind w:right="0"/>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0"/>
                <w:sz w:val="24"/>
                <w:szCs w:val="24"/>
                <w:highlight w:val="none"/>
                <w:u w:val="none"/>
                <w:lang w:val="en-US" w:eastAsia="zh-CN" w:bidi="ar-SA"/>
              </w:rPr>
              <w:t>服务标准</w:t>
            </w:r>
            <w:r>
              <w:rPr>
                <w:rFonts w:hint="eastAsia" w:ascii="宋体" w:hAnsi="宋体" w:eastAsia="宋体" w:cs="宋体"/>
                <w:b w:val="0"/>
                <w:bCs w:val="0"/>
                <w:color w:val="auto"/>
                <w:kern w:val="0"/>
                <w:sz w:val="24"/>
                <w:szCs w:val="24"/>
                <w:highlight w:val="none"/>
                <w:u w:val="none"/>
                <w:lang w:val="zh-CN" w:eastAsia="zh-CN" w:bidi="ar-SA"/>
              </w:rPr>
              <w:t>：</w:t>
            </w:r>
            <w:r>
              <w:rPr>
                <w:rFonts w:hint="eastAsia" w:ascii="宋体" w:hAnsi="宋体" w:eastAsia="宋体" w:cs="宋体"/>
                <w:color w:val="auto"/>
                <w:sz w:val="24"/>
                <w:szCs w:val="24"/>
                <w:highlight w:val="none"/>
                <w:u w:val="single"/>
                <w:lang w:val="en-US" w:eastAsia="zh-CN"/>
              </w:rPr>
              <w:t>合格，需配备专业的项目团队，满足采购人要求。</w:t>
            </w:r>
          </w:p>
          <w:p w14:paraId="4C59A0D3">
            <w:pPr>
              <w:pStyle w:val="44"/>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1E907F4C">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01412BA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4E41B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6200F3FB">
            <w:pPr>
              <w:keepNext w:val="0"/>
              <w:keepLines w:val="0"/>
              <w:pageBreakBefore w:val="0"/>
              <w:widowControl w:val="0"/>
              <w:kinsoku/>
              <w:wordWrap/>
              <w:overflowPunct/>
              <w:topLinePunct w:val="0"/>
              <w:bidi w:val="0"/>
              <w:adjustRightInd/>
              <w:snapToGrid/>
              <w:spacing w:beforeAutospacing="0" w:afterAutospacing="0" w:line="560" w:lineRule="exact"/>
              <w:ind w:right="0" w:rightChars="0" w:firstLine="240" w:firstLineChars="100"/>
              <w:jc w:val="both"/>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6</w:t>
            </w:r>
          </w:p>
        </w:tc>
        <w:tc>
          <w:tcPr>
            <w:tcW w:w="1041" w:type="pct"/>
            <w:shd w:val="clear" w:color="auto" w:fill="auto"/>
            <w:noWrap w:val="0"/>
            <w:vAlign w:val="center"/>
          </w:tcPr>
          <w:p w14:paraId="01598CC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技术要求</w:t>
            </w:r>
          </w:p>
        </w:tc>
        <w:tc>
          <w:tcPr>
            <w:tcW w:w="2226" w:type="pct"/>
            <w:shd w:val="clear" w:color="auto" w:fill="auto"/>
            <w:noWrap w:val="0"/>
            <w:vAlign w:val="center"/>
          </w:tcPr>
          <w:p w14:paraId="4197AD3C">
            <w:pPr>
              <w:pStyle w:val="44"/>
              <w:pageBreakBefore w:val="0"/>
              <w:kinsoku/>
              <w:overflowPunct/>
              <w:bidi w:val="0"/>
              <w:spacing w:beforeAutospacing="0" w:afterAutospacing="0" w:line="560" w:lineRule="exact"/>
              <w:ind w:right="0" w:rightChars="0"/>
              <w:rPr>
                <w:rFonts w:hint="eastAsia" w:ascii="宋体" w:hAnsi="宋体" w:eastAsia="宋体" w:cs="宋体"/>
                <w:color w:val="auto"/>
                <w:kern w:val="2"/>
                <w:sz w:val="24"/>
                <w:szCs w:val="24"/>
                <w:highlight w:val="none"/>
                <w:lang w:val="en-US" w:eastAsia="zh-CN" w:bidi="ar-SA"/>
              </w:rPr>
            </w:pPr>
            <w:r>
              <w:rPr>
                <w:rFonts w:hint="eastAsia" w:ascii="仿宋_GB2312" w:hAnsi="仿宋_GB2312" w:eastAsia="仿宋_GB2312" w:cs="仿宋_GB2312"/>
                <w:sz w:val="28"/>
                <w:szCs w:val="28"/>
                <w:highlight w:val="none"/>
                <w:lang w:val="en-US" w:eastAsia="zh-CN"/>
              </w:rPr>
              <w:t>根据院区开办要求，购置：1.办公桌椅:150套；2.文件柜:95组；3.更衣柜:75组；4.三人沙发:29套；5.保密柜:7个；6.会议桌：30张；7.会议椅：60把；8.方凳：100把；9.病人接诊椅子:200个；10.订制操作台：住院科室（各2个治疗室，2个处置间工作台，护士站），急诊（1个治疗室，1个处置间）等。</w:t>
            </w:r>
          </w:p>
        </w:tc>
        <w:tc>
          <w:tcPr>
            <w:tcW w:w="979" w:type="pct"/>
            <w:noWrap w:val="0"/>
            <w:vAlign w:val="center"/>
          </w:tcPr>
          <w:p w14:paraId="5DC4CAB6">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【供应商在此处填写响应文件的相关内容 】</w:t>
            </w:r>
          </w:p>
        </w:tc>
        <w:tc>
          <w:tcPr>
            <w:tcW w:w="382" w:type="pct"/>
            <w:noWrap w:val="0"/>
            <w:vAlign w:val="center"/>
          </w:tcPr>
          <w:p w14:paraId="7BD2D26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64E85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076EE1AA">
            <w:pPr>
              <w:keepNext w:val="0"/>
              <w:keepLines w:val="0"/>
              <w:pageBreakBefore w:val="0"/>
              <w:widowControl w:val="0"/>
              <w:kinsoku/>
              <w:wordWrap/>
              <w:overflowPunct/>
              <w:topLinePunct w:val="0"/>
              <w:bidi w:val="0"/>
              <w:adjustRightInd/>
              <w:snapToGrid/>
              <w:spacing w:beforeAutospacing="0" w:afterAutospacing="0" w:line="560" w:lineRule="exact"/>
              <w:ind w:right="0" w:rightChars="0" w:firstLine="240" w:firstLineChars="100"/>
              <w:jc w:val="both"/>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7</w:t>
            </w:r>
          </w:p>
        </w:tc>
        <w:tc>
          <w:tcPr>
            <w:tcW w:w="1041" w:type="pct"/>
            <w:shd w:val="clear" w:color="auto" w:fill="auto"/>
            <w:noWrap w:val="0"/>
            <w:vAlign w:val="center"/>
          </w:tcPr>
          <w:p w14:paraId="506774B4">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p>
        </w:tc>
        <w:tc>
          <w:tcPr>
            <w:tcW w:w="2226" w:type="pct"/>
            <w:shd w:val="clear" w:color="auto" w:fill="auto"/>
            <w:noWrap w:val="0"/>
            <w:vAlign w:val="center"/>
          </w:tcPr>
          <w:p w14:paraId="744B49F3">
            <w:pPr>
              <w:pStyle w:val="44"/>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p>
        </w:tc>
        <w:tc>
          <w:tcPr>
            <w:tcW w:w="979" w:type="pct"/>
            <w:noWrap w:val="0"/>
            <w:vAlign w:val="center"/>
          </w:tcPr>
          <w:p w14:paraId="4B91382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p>
        </w:tc>
        <w:tc>
          <w:tcPr>
            <w:tcW w:w="382" w:type="pct"/>
            <w:noWrap w:val="0"/>
            <w:vAlign w:val="center"/>
          </w:tcPr>
          <w:p w14:paraId="3D5BBDC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bl>
    <w:p w14:paraId="367955CC">
      <w:pPr>
        <w:rPr>
          <w:rFonts w:hint="eastAsia" w:ascii="宋体" w:hAnsi="宋体" w:eastAsia="宋体" w:cs="宋体"/>
          <w:b/>
          <w:bCs/>
          <w:color w:val="auto"/>
          <w:kern w:val="2"/>
          <w:sz w:val="24"/>
          <w:szCs w:val="24"/>
          <w:highlight w:val="none"/>
          <w:lang w:val="en-US" w:eastAsia="zh-CN" w:bidi="ar-SA"/>
        </w:rPr>
      </w:pPr>
      <w:r>
        <w:rPr>
          <w:rFonts w:hint="eastAsia"/>
          <w:b/>
          <w:bCs/>
          <w:color w:val="auto"/>
          <w:sz w:val="21"/>
          <w:szCs w:val="21"/>
          <w:highlight w:val="none"/>
          <w:lang w:val="en-US" w:eastAsia="zh-CN"/>
        </w:rPr>
        <w:t>注：“实质性响应一览表”中的内容为参考，可根据项目情况自行设置。</w:t>
      </w:r>
      <w:bookmarkStart w:id="513" w:name="_Toc25736"/>
      <w:bookmarkStart w:id="514" w:name="_Toc24430"/>
    </w:p>
    <w:p w14:paraId="6B6776ED">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3DAC5E00">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02A0F4EB">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09ADA44C">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101E107C">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77C42101">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13FC690A">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0D0E306C">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6DAB07CD">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41808821">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p>
    <w:p w14:paraId="3D420025">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评分标准</w:t>
      </w:r>
      <w:bookmarkEnd w:id="510"/>
      <w:bookmarkEnd w:id="513"/>
      <w:bookmarkEnd w:id="514"/>
    </w:p>
    <w:p w14:paraId="0940D393">
      <w:pPr>
        <w:rPr>
          <w:rFonts w:hint="default"/>
          <w:color w:val="auto"/>
          <w:sz w:val="21"/>
          <w:szCs w:val="21"/>
          <w:highlight w:val="none"/>
          <w:lang w:val="en-US" w:eastAsia="zh-CN"/>
        </w:rPr>
      </w:pPr>
      <w:r>
        <w:rPr>
          <w:rFonts w:hint="eastAsia"/>
          <w:color w:val="auto"/>
          <w:sz w:val="21"/>
          <w:szCs w:val="21"/>
          <w:highlight w:val="none"/>
          <w:lang w:val="en-US" w:eastAsia="zh-CN"/>
        </w:rPr>
        <w:t>注：以下评标分项根据项目实际情况可自行设置。</w:t>
      </w:r>
    </w:p>
    <w:tbl>
      <w:tblPr>
        <w:tblStyle w:val="27"/>
        <w:tblW w:w="551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917"/>
        <w:gridCol w:w="2168"/>
        <w:gridCol w:w="5530"/>
      </w:tblGrid>
      <w:tr w14:paraId="5175C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414" w:type="pct"/>
            <w:shd w:val="clear" w:color="auto" w:fill="D8D8D8" w:themeFill="background1" w:themeFillShade="D9"/>
            <w:vAlign w:val="center"/>
          </w:tcPr>
          <w:p w14:paraId="4924CA4E">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评标项目</w:t>
            </w:r>
          </w:p>
        </w:tc>
        <w:tc>
          <w:tcPr>
            <w:tcW w:w="488" w:type="pct"/>
            <w:shd w:val="clear" w:color="auto" w:fill="D8D8D8" w:themeFill="background1" w:themeFillShade="D9"/>
            <w:vAlign w:val="center"/>
          </w:tcPr>
          <w:p w14:paraId="7A3DCB70">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评标分项</w:t>
            </w:r>
          </w:p>
        </w:tc>
        <w:tc>
          <w:tcPr>
            <w:tcW w:w="1154" w:type="pct"/>
            <w:shd w:val="clear" w:color="auto" w:fill="D8D8D8" w:themeFill="background1" w:themeFillShade="D9"/>
            <w:vAlign w:val="center"/>
          </w:tcPr>
          <w:p w14:paraId="65B86E0D">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c>
          <w:tcPr>
            <w:tcW w:w="2943" w:type="pct"/>
            <w:shd w:val="clear" w:color="auto" w:fill="D8D8D8" w:themeFill="background1" w:themeFillShade="D9"/>
            <w:vAlign w:val="center"/>
          </w:tcPr>
          <w:p w14:paraId="467A385D">
            <w:pPr>
              <w:pStyle w:val="44"/>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子项目及分值</w:t>
            </w:r>
          </w:p>
        </w:tc>
      </w:tr>
      <w:tr w14:paraId="1599F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414" w:type="pct"/>
            <w:vAlign w:val="center"/>
          </w:tcPr>
          <w:p w14:paraId="3C480381">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价格部分</w:t>
            </w:r>
          </w:p>
          <w:p w14:paraId="375F38AD">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cs="宋体"/>
                <w:color w:val="auto"/>
                <w:sz w:val="21"/>
                <w:szCs w:val="21"/>
                <w:highlight w:val="none"/>
                <w:lang w:val="en-US" w:eastAsia="zh-CN"/>
              </w:rPr>
              <w:t>30</w:t>
            </w:r>
            <w:r>
              <w:rPr>
                <w:rFonts w:hint="eastAsia" w:ascii="宋体" w:hAnsi="宋体" w:eastAsia="宋体" w:cs="宋体"/>
                <w:color w:val="auto"/>
                <w:sz w:val="21"/>
                <w:szCs w:val="21"/>
                <w:highlight w:val="none"/>
              </w:rPr>
              <w:t>分）</w:t>
            </w:r>
          </w:p>
        </w:tc>
        <w:tc>
          <w:tcPr>
            <w:tcW w:w="488" w:type="pct"/>
            <w:tcBorders>
              <w:bottom w:val="single" w:color="auto" w:sz="4" w:space="0"/>
            </w:tcBorders>
            <w:vAlign w:val="center"/>
          </w:tcPr>
          <w:p w14:paraId="7C2CA7B7">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最后</w:t>
            </w:r>
            <w:r>
              <w:rPr>
                <w:rFonts w:hint="eastAsia" w:ascii="宋体" w:hAnsi="宋体" w:eastAsia="宋体" w:cs="宋体"/>
                <w:color w:val="auto"/>
                <w:sz w:val="21"/>
                <w:szCs w:val="21"/>
                <w:highlight w:val="none"/>
              </w:rPr>
              <w:t>报价</w:t>
            </w:r>
          </w:p>
        </w:tc>
        <w:tc>
          <w:tcPr>
            <w:tcW w:w="1154" w:type="pct"/>
            <w:vAlign w:val="center"/>
          </w:tcPr>
          <w:p w14:paraId="036F3EE6">
            <w:pPr>
              <w:pStyle w:val="44"/>
              <w:jc w:val="center"/>
              <w:rPr>
                <w:rFonts w:hint="eastAsia" w:ascii="宋体" w:hAnsi="宋体" w:eastAsia="宋体" w:cs="宋体"/>
                <w:color w:val="auto"/>
                <w:sz w:val="21"/>
                <w:szCs w:val="21"/>
                <w:highlight w:val="none"/>
                <w:lang w:val="en-US" w:eastAsia="zh-CN"/>
              </w:rPr>
            </w:pPr>
            <w:r>
              <w:rPr>
                <w:rFonts w:hint="eastAsia" w:cs="宋体"/>
                <w:i w:val="0"/>
                <w:iCs w:val="0"/>
                <w:color w:val="auto"/>
                <w:sz w:val="21"/>
                <w:szCs w:val="21"/>
                <w:highlight w:val="none"/>
                <w:lang w:val="en-US" w:eastAsia="zh-CN"/>
              </w:rPr>
              <w:t>30</w:t>
            </w:r>
            <w:r>
              <w:rPr>
                <w:rFonts w:hint="eastAsia" w:ascii="宋体" w:hAnsi="宋体" w:eastAsia="宋体" w:cs="宋体"/>
                <w:i w:val="0"/>
                <w:iCs w:val="0"/>
                <w:color w:val="auto"/>
                <w:sz w:val="21"/>
                <w:szCs w:val="21"/>
                <w:highlight w:val="none"/>
                <w:lang w:val="en-US" w:eastAsia="zh-CN"/>
              </w:rPr>
              <w:t>分</w:t>
            </w:r>
          </w:p>
        </w:tc>
        <w:tc>
          <w:tcPr>
            <w:tcW w:w="2943" w:type="pct"/>
            <w:vAlign w:val="center"/>
          </w:tcPr>
          <w:p w14:paraId="08440A10">
            <w:pPr>
              <w:pStyle w:val="44"/>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评标基准价=有效投标报价的最低值，有效投 </w:t>
            </w:r>
            <w:r>
              <w:rPr>
                <w:rFonts w:hint="default" w:ascii="宋体" w:hAnsi="宋体" w:eastAsia="宋体" w:cs="宋体"/>
                <w:color w:val="auto"/>
                <w:sz w:val="21"/>
                <w:szCs w:val="21"/>
                <w:highlight w:val="none"/>
                <w:lang w:val="en-US" w:eastAsia="zh-CN"/>
              </w:rPr>
              <w:t>标报价等于基准值的得满分，投标报价得分= （评标基准价/投标报价）×30。有效投标报 价为通过初步审查的供应商报价。</w:t>
            </w:r>
          </w:p>
        </w:tc>
      </w:tr>
      <w:tr w14:paraId="1F710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14" w:type="pct"/>
            <w:vMerge w:val="restart"/>
            <w:vAlign w:val="center"/>
          </w:tcPr>
          <w:p w14:paraId="0EA62830">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商务部分</w:t>
            </w:r>
          </w:p>
          <w:p w14:paraId="6C0619A6">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cs="宋体"/>
                <w:color w:val="auto"/>
                <w:sz w:val="21"/>
                <w:szCs w:val="21"/>
                <w:highlight w:val="none"/>
                <w:lang w:val="en-US" w:eastAsia="zh-CN"/>
              </w:rPr>
              <w:t>25</w:t>
            </w:r>
            <w:r>
              <w:rPr>
                <w:rFonts w:hint="eastAsia" w:ascii="宋体" w:hAnsi="宋体" w:eastAsia="宋体" w:cs="宋体"/>
                <w:color w:val="auto"/>
                <w:sz w:val="21"/>
                <w:szCs w:val="21"/>
                <w:highlight w:val="none"/>
              </w:rPr>
              <w:t>分）</w:t>
            </w:r>
          </w:p>
        </w:tc>
        <w:tc>
          <w:tcPr>
            <w:tcW w:w="488" w:type="pct"/>
            <w:tcBorders>
              <w:top w:val="single" w:color="auto" w:sz="4" w:space="0"/>
            </w:tcBorders>
            <w:vAlign w:val="center"/>
          </w:tcPr>
          <w:p w14:paraId="366CE3C7">
            <w:pPr>
              <w:keepNext w:val="0"/>
              <w:keepLines w:val="0"/>
              <w:widowControl/>
              <w:suppressLineNumbers w:val="0"/>
              <w:jc w:val="left"/>
              <w:rPr>
                <w:highlight w:val="none"/>
              </w:rPr>
            </w:pPr>
            <w:r>
              <w:rPr>
                <w:rFonts w:ascii="Undefined" w:hAnsi="Undefined" w:eastAsia="Undefined" w:cs="Undefined"/>
                <w:color w:val="000000"/>
                <w:kern w:val="0"/>
                <w:sz w:val="24"/>
                <w:szCs w:val="24"/>
                <w:highlight w:val="none"/>
                <w:lang w:val="en-US" w:eastAsia="zh-CN" w:bidi="ar"/>
              </w:rPr>
              <w:t>售后</w:t>
            </w:r>
            <w:r>
              <w:rPr>
                <w:rFonts w:hint="eastAsia" w:ascii="Undefined" w:hAnsi="Undefined" w:eastAsia="Undefined" w:cs="Undefined"/>
                <w:color w:val="000000"/>
                <w:kern w:val="0"/>
                <w:sz w:val="24"/>
                <w:szCs w:val="24"/>
                <w:highlight w:val="none"/>
                <w:lang w:val="en-US" w:eastAsia="zh-CN" w:bidi="ar"/>
              </w:rPr>
              <w:t>服务方案及便利性</w:t>
            </w:r>
          </w:p>
          <w:p w14:paraId="7B47B92D">
            <w:pPr>
              <w:pStyle w:val="44"/>
              <w:jc w:val="center"/>
              <w:rPr>
                <w:rFonts w:hint="eastAsia" w:ascii="宋体" w:hAnsi="宋体" w:eastAsia="宋体" w:cs="宋体"/>
                <w:color w:val="auto"/>
                <w:sz w:val="21"/>
                <w:szCs w:val="21"/>
                <w:highlight w:val="none"/>
              </w:rPr>
            </w:pPr>
          </w:p>
        </w:tc>
        <w:tc>
          <w:tcPr>
            <w:tcW w:w="1154" w:type="pct"/>
            <w:vAlign w:val="center"/>
          </w:tcPr>
          <w:p w14:paraId="4E7EA155">
            <w:pPr>
              <w:pStyle w:val="44"/>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分</w:t>
            </w:r>
          </w:p>
        </w:tc>
        <w:tc>
          <w:tcPr>
            <w:tcW w:w="2943" w:type="pct"/>
            <w:vAlign w:val="center"/>
          </w:tcPr>
          <w:p w14:paraId="00872C1F">
            <w:pPr>
              <w:keepNext w:val="0"/>
              <w:keepLines w:val="0"/>
              <w:widowControl/>
              <w:suppressLineNumbers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根据供应商提供的售后服务方案内容进行综</w:t>
            </w:r>
            <w:r>
              <w:rPr>
                <w:rFonts w:hint="default" w:ascii="宋体" w:hAnsi="宋体" w:eastAsia="宋体" w:cs="宋体"/>
                <w:color w:val="auto"/>
                <w:kern w:val="2"/>
                <w:sz w:val="21"/>
                <w:szCs w:val="21"/>
                <w:highlight w:val="none"/>
                <w:lang w:val="en-US" w:eastAsia="zh-CN" w:bidi="ar-SA"/>
              </w:rPr>
              <w:t>合评审。售后服务方案内容包括但不限于以下内容：（1）项目验收方案、（2）质保期内的维修、维护、更换方案、（3）售后人员配置方案、日常应急维修及服务方案、（</w:t>
            </w:r>
            <w:r>
              <w:rPr>
                <w:rFonts w:hint="eastAsia" w:cs="宋体"/>
                <w:color w:val="auto"/>
                <w:kern w:val="2"/>
                <w:sz w:val="21"/>
                <w:szCs w:val="21"/>
                <w:highlight w:val="none"/>
                <w:lang w:val="en-US" w:eastAsia="zh-CN" w:bidi="ar-SA"/>
              </w:rPr>
              <w:t>4</w:t>
            </w:r>
            <w:r>
              <w:rPr>
                <w:rFonts w:hint="default" w:ascii="宋体" w:hAnsi="宋体" w:eastAsia="宋体" w:cs="宋体"/>
                <w:color w:val="auto"/>
                <w:kern w:val="2"/>
                <w:sz w:val="21"/>
                <w:szCs w:val="21"/>
                <w:highlight w:val="none"/>
                <w:lang w:val="en-US" w:eastAsia="zh-CN" w:bidi="ar-SA"/>
              </w:rPr>
              <w:t xml:space="preserve">）质保期外的维修、维护、收费方案。以上方案 能够结合项目实际情况进行制定，且方案内容具体，符合实际需求的得 </w:t>
            </w:r>
            <w:r>
              <w:rPr>
                <w:rFonts w:hint="eastAsia" w:cs="宋体"/>
                <w:color w:val="auto"/>
                <w:kern w:val="2"/>
                <w:sz w:val="21"/>
                <w:szCs w:val="21"/>
                <w:highlight w:val="none"/>
                <w:lang w:val="en-US" w:eastAsia="zh-CN" w:bidi="ar-SA"/>
              </w:rPr>
              <w:t>6</w:t>
            </w:r>
            <w:r>
              <w:rPr>
                <w:rFonts w:hint="default" w:ascii="宋体" w:hAnsi="宋体" w:eastAsia="宋体" w:cs="宋体"/>
                <w:color w:val="auto"/>
                <w:kern w:val="2"/>
                <w:sz w:val="21"/>
                <w:szCs w:val="21"/>
                <w:highlight w:val="none"/>
                <w:lang w:val="en-US" w:eastAsia="zh-CN" w:bidi="ar-SA"/>
              </w:rPr>
              <w:t xml:space="preserve">分； 1、经评审小组结合采购需求评审后认为，售后服务方案内容中每缺一项扣 </w:t>
            </w:r>
            <w:r>
              <w:rPr>
                <w:rFonts w:hint="eastAsia" w:cs="宋体"/>
                <w:color w:val="auto"/>
                <w:kern w:val="2"/>
                <w:sz w:val="21"/>
                <w:szCs w:val="21"/>
                <w:highlight w:val="none"/>
                <w:lang w:val="en-US" w:eastAsia="zh-CN" w:bidi="ar-SA"/>
              </w:rPr>
              <w:t>1.5</w:t>
            </w:r>
            <w:r>
              <w:rPr>
                <w:rFonts w:hint="default" w:ascii="宋体" w:hAnsi="宋体" w:eastAsia="宋体" w:cs="宋体"/>
                <w:color w:val="auto"/>
                <w:kern w:val="2"/>
                <w:sz w:val="21"/>
                <w:szCs w:val="21"/>
                <w:highlight w:val="none"/>
                <w:lang w:val="en-US" w:eastAsia="zh-CN" w:bidi="ar-SA"/>
              </w:rPr>
              <w:t>分，扣至 0 分为止。 2、本项满分</w:t>
            </w:r>
            <w:r>
              <w:rPr>
                <w:rFonts w:hint="eastAsia" w:cs="宋体"/>
                <w:color w:val="auto"/>
                <w:kern w:val="2"/>
                <w:sz w:val="21"/>
                <w:szCs w:val="21"/>
                <w:highlight w:val="none"/>
                <w:lang w:val="en-US" w:eastAsia="zh-CN" w:bidi="ar-SA"/>
              </w:rPr>
              <w:t>6</w:t>
            </w:r>
            <w:r>
              <w:rPr>
                <w:rFonts w:hint="default" w:ascii="宋体" w:hAnsi="宋体" w:eastAsia="宋体" w:cs="宋体"/>
                <w:color w:val="auto"/>
                <w:kern w:val="2"/>
                <w:sz w:val="21"/>
                <w:szCs w:val="21"/>
                <w:highlight w:val="none"/>
                <w:lang w:val="en-US" w:eastAsia="zh-CN" w:bidi="ar-SA"/>
              </w:rPr>
              <w:t xml:space="preserve"> 分，供应商未提供售后服务方案的本项不得分。（</w:t>
            </w:r>
            <w:r>
              <w:rPr>
                <w:rFonts w:hint="eastAsia" w:cs="宋体"/>
                <w:color w:val="auto"/>
                <w:kern w:val="2"/>
                <w:sz w:val="21"/>
                <w:szCs w:val="21"/>
                <w:highlight w:val="none"/>
                <w:lang w:val="en-US" w:eastAsia="zh-CN" w:bidi="ar-SA"/>
              </w:rPr>
              <w:t>5</w:t>
            </w:r>
            <w:r>
              <w:rPr>
                <w:rFonts w:hint="default" w:ascii="宋体" w:hAnsi="宋体" w:eastAsia="宋体" w:cs="宋体"/>
                <w:color w:val="auto"/>
                <w:kern w:val="2"/>
                <w:sz w:val="21"/>
                <w:szCs w:val="21"/>
                <w:highlight w:val="none"/>
                <w:lang w:val="en-US" w:eastAsia="zh-CN" w:bidi="ar-SA"/>
              </w:rPr>
              <w:t>）供应商针对本项目的实际情况，考虑发生各种特殊情况的处理时效性，对供应商的备品配件库距离服务地址或承诺中标后设立的备品配件库距离服务地址（采购人范围）远近程度进行评议并打分：（1）30分钟以内到达服务的得</w:t>
            </w:r>
            <w:r>
              <w:rPr>
                <w:rFonts w:hint="eastAsia" w:cs="宋体"/>
                <w:color w:val="auto"/>
                <w:kern w:val="2"/>
                <w:sz w:val="21"/>
                <w:szCs w:val="21"/>
                <w:highlight w:val="none"/>
                <w:lang w:val="en-US" w:eastAsia="zh-CN" w:bidi="ar-SA"/>
              </w:rPr>
              <w:t>4</w:t>
            </w:r>
            <w:r>
              <w:rPr>
                <w:rFonts w:hint="default" w:ascii="宋体" w:hAnsi="宋体" w:eastAsia="宋体" w:cs="宋体"/>
                <w:color w:val="auto"/>
                <w:kern w:val="2"/>
                <w:sz w:val="21"/>
                <w:szCs w:val="21"/>
                <w:highlight w:val="none"/>
                <w:lang w:val="en-US" w:eastAsia="zh-CN" w:bidi="ar-SA"/>
              </w:rPr>
              <w:t>分；（2）60分钟以内到达服务的得</w:t>
            </w:r>
            <w:r>
              <w:rPr>
                <w:rFonts w:hint="eastAsia" w:cs="宋体"/>
                <w:color w:val="auto"/>
                <w:kern w:val="2"/>
                <w:sz w:val="21"/>
                <w:szCs w:val="21"/>
                <w:highlight w:val="none"/>
                <w:lang w:val="en-US" w:eastAsia="zh-CN" w:bidi="ar-SA"/>
              </w:rPr>
              <w:t>1.5</w:t>
            </w:r>
            <w:r>
              <w:rPr>
                <w:rFonts w:hint="default" w:ascii="宋体" w:hAnsi="宋体" w:eastAsia="宋体" w:cs="宋体"/>
                <w:color w:val="auto"/>
                <w:kern w:val="2"/>
                <w:sz w:val="21"/>
                <w:szCs w:val="21"/>
                <w:highlight w:val="none"/>
                <w:lang w:val="en-US" w:eastAsia="zh-CN" w:bidi="ar-SA"/>
              </w:rPr>
              <w:t>分；（3）90分钟以内到达服务的得</w:t>
            </w:r>
            <w:r>
              <w:rPr>
                <w:rFonts w:hint="eastAsia" w:cs="宋体"/>
                <w:color w:val="auto"/>
                <w:kern w:val="2"/>
                <w:sz w:val="21"/>
                <w:szCs w:val="21"/>
                <w:highlight w:val="none"/>
                <w:lang w:val="en-US" w:eastAsia="zh-CN" w:bidi="ar-SA"/>
              </w:rPr>
              <w:t>0.5</w:t>
            </w:r>
            <w:r>
              <w:rPr>
                <w:rFonts w:hint="default" w:ascii="宋体" w:hAnsi="宋体" w:eastAsia="宋体" w:cs="宋体"/>
                <w:color w:val="auto"/>
                <w:kern w:val="2"/>
                <w:sz w:val="21"/>
                <w:szCs w:val="21"/>
                <w:highlight w:val="none"/>
                <w:lang w:val="en-US" w:eastAsia="zh-CN" w:bidi="ar-SA"/>
              </w:rPr>
              <w:t>分；其他不得分。（提供在相应距离内设立备品配件库的承诺函，未提供或提供不全不得分）</w:t>
            </w:r>
            <w:r>
              <w:rPr>
                <w:rFonts w:hint="eastAsia" w:ascii="宋体" w:hAnsi="宋体" w:eastAsia="宋体" w:cs="宋体"/>
                <w:color w:val="auto"/>
                <w:kern w:val="2"/>
                <w:sz w:val="21"/>
                <w:szCs w:val="21"/>
                <w:highlight w:val="none"/>
                <w:lang w:val="en-US" w:eastAsia="zh-CN" w:bidi="ar-SA"/>
              </w:rPr>
              <w:t>。</w:t>
            </w:r>
          </w:p>
        </w:tc>
      </w:tr>
      <w:tr w14:paraId="27940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414" w:type="pct"/>
            <w:vMerge w:val="continue"/>
            <w:vAlign w:val="center"/>
          </w:tcPr>
          <w:p w14:paraId="052C663E">
            <w:pPr>
              <w:pStyle w:val="44"/>
              <w:jc w:val="center"/>
              <w:rPr>
                <w:rFonts w:hint="eastAsia" w:ascii="宋体" w:hAnsi="宋体" w:eastAsia="宋体" w:cs="宋体"/>
                <w:color w:val="auto"/>
                <w:sz w:val="21"/>
                <w:szCs w:val="21"/>
                <w:highlight w:val="none"/>
              </w:rPr>
            </w:pPr>
          </w:p>
        </w:tc>
        <w:tc>
          <w:tcPr>
            <w:tcW w:w="488" w:type="pct"/>
            <w:tcBorders>
              <w:top w:val="single" w:color="auto" w:sz="4" w:space="0"/>
            </w:tcBorders>
            <w:vAlign w:val="center"/>
          </w:tcPr>
          <w:p w14:paraId="1FDC9AA8">
            <w:pPr>
              <w:keepNext w:val="0"/>
              <w:keepLines w:val="0"/>
              <w:widowControl/>
              <w:suppressLineNumbers w:val="0"/>
              <w:jc w:val="left"/>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类似项目业绩</w:t>
            </w:r>
          </w:p>
          <w:p w14:paraId="460AF2C5">
            <w:pPr>
              <w:pStyle w:val="44"/>
              <w:jc w:val="center"/>
              <w:rPr>
                <w:rFonts w:hint="eastAsia" w:ascii="宋体" w:hAnsi="宋体" w:eastAsia="宋体" w:cs="宋体"/>
                <w:color w:val="auto"/>
                <w:sz w:val="21"/>
                <w:szCs w:val="21"/>
                <w:highlight w:val="none"/>
              </w:rPr>
            </w:pPr>
          </w:p>
        </w:tc>
        <w:tc>
          <w:tcPr>
            <w:tcW w:w="1154" w:type="pct"/>
            <w:vAlign w:val="center"/>
          </w:tcPr>
          <w:p w14:paraId="628FC415">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c>
          <w:tcPr>
            <w:tcW w:w="2943" w:type="pct"/>
            <w:vAlign w:val="center"/>
          </w:tcPr>
          <w:p w14:paraId="1CAA3B77">
            <w:pPr>
              <w:keepNext w:val="0"/>
              <w:keepLines w:val="0"/>
              <w:widowControl/>
              <w:suppressLineNumbers w:val="0"/>
              <w:jc w:val="left"/>
              <w:rPr>
                <w:rFonts w:hint="eastAsia" w:ascii="宋体" w:hAnsi="宋体" w:eastAsia="宋体" w:cs="宋体"/>
                <w:color w:val="auto"/>
                <w:sz w:val="21"/>
                <w:szCs w:val="21"/>
                <w:highlight w:val="none"/>
              </w:rPr>
            </w:pPr>
            <w:r>
              <w:rPr>
                <w:rFonts w:hint="default" w:ascii="宋体" w:hAnsi="宋体" w:eastAsia="宋体" w:cs="宋体"/>
                <w:color w:val="auto"/>
                <w:kern w:val="2"/>
                <w:sz w:val="21"/>
                <w:szCs w:val="21"/>
                <w:highlight w:val="none"/>
                <w:lang w:val="en-US" w:eastAsia="zh-CN" w:bidi="ar-SA"/>
              </w:rPr>
              <w:t>供应商提供202</w:t>
            </w:r>
            <w:r>
              <w:rPr>
                <w:rFonts w:hint="eastAsia" w:ascii="宋体" w:hAnsi="宋体" w:eastAsia="宋体" w:cs="宋体"/>
                <w:color w:val="auto"/>
                <w:kern w:val="2"/>
                <w:sz w:val="21"/>
                <w:szCs w:val="21"/>
                <w:highlight w:val="none"/>
                <w:lang w:val="en-US" w:eastAsia="zh-CN" w:bidi="ar-SA"/>
              </w:rPr>
              <w:t>2</w:t>
            </w:r>
            <w:r>
              <w:rPr>
                <w:rFonts w:hint="default" w:ascii="宋体" w:hAnsi="宋体" w:eastAsia="宋体" w:cs="宋体"/>
                <w:color w:val="auto"/>
                <w:kern w:val="2"/>
                <w:sz w:val="21"/>
                <w:szCs w:val="21"/>
                <w:highlight w:val="none"/>
                <w:lang w:val="en-US" w:eastAsia="zh-CN" w:bidi="ar-SA"/>
              </w:rPr>
              <w:t>年至今类似业绩，需提供相应的证明文件，证明文件为中标通知书或供货合同或验收报告，每个业绩得 1分，最高 5 分。注：合同作为证明材料时必须提供项目合同首页、关键内容页和签字盖章页的复印件并加盖公章，否则不予认定。</w:t>
            </w:r>
          </w:p>
        </w:tc>
      </w:tr>
      <w:tr w14:paraId="05A34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414" w:type="pct"/>
            <w:vMerge w:val="continue"/>
            <w:vAlign w:val="center"/>
          </w:tcPr>
          <w:p w14:paraId="3BD7C09E">
            <w:pPr>
              <w:pStyle w:val="44"/>
              <w:jc w:val="center"/>
              <w:rPr>
                <w:rFonts w:hint="eastAsia" w:ascii="宋体" w:hAnsi="宋体" w:eastAsia="宋体" w:cs="宋体"/>
                <w:color w:val="auto"/>
                <w:sz w:val="21"/>
                <w:szCs w:val="21"/>
                <w:highlight w:val="none"/>
              </w:rPr>
            </w:pPr>
          </w:p>
        </w:tc>
        <w:tc>
          <w:tcPr>
            <w:tcW w:w="488" w:type="pct"/>
            <w:tcBorders>
              <w:top w:val="single" w:color="auto" w:sz="4" w:space="0"/>
            </w:tcBorders>
            <w:vAlign w:val="center"/>
          </w:tcPr>
          <w:p w14:paraId="76A807C7">
            <w:pPr>
              <w:keepNext w:val="0"/>
              <w:keepLines w:val="0"/>
              <w:widowControl/>
              <w:suppressLineNumbers w:val="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供货期 </w:t>
            </w:r>
          </w:p>
          <w:p w14:paraId="6B9EB51E">
            <w:pPr>
              <w:pStyle w:val="44"/>
              <w:jc w:val="center"/>
              <w:rPr>
                <w:rFonts w:hint="eastAsia" w:ascii="宋体" w:hAnsi="宋体" w:eastAsia="宋体" w:cs="宋体"/>
                <w:color w:val="auto"/>
                <w:sz w:val="21"/>
                <w:szCs w:val="21"/>
                <w:highlight w:val="none"/>
              </w:rPr>
            </w:pPr>
          </w:p>
        </w:tc>
        <w:tc>
          <w:tcPr>
            <w:tcW w:w="1154" w:type="pct"/>
            <w:vAlign w:val="center"/>
          </w:tcPr>
          <w:p w14:paraId="5CC6F5C7">
            <w:pPr>
              <w:pStyle w:val="44"/>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tc>
        <w:tc>
          <w:tcPr>
            <w:tcW w:w="2943" w:type="pct"/>
            <w:vAlign w:val="center"/>
          </w:tcPr>
          <w:p w14:paraId="423C2D10">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供货期：满足采购文件基本要求的情况下得基</w:t>
            </w:r>
            <w:r>
              <w:rPr>
                <w:rFonts w:hint="default" w:ascii="宋体" w:hAnsi="宋体" w:eastAsia="宋体" w:cs="宋体"/>
                <w:color w:val="auto"/>
                <w:kern w:val="2"/>
                <w:sz w:val="21"/>
                <w:szCs w:val="21"/>
                <w:highlight w:val="none"/>
                <w:lang w:val="en-US" w:eastAsia="zh-CN" w:bidi="ar-SA"/>
              </w:rPr>
              <w:t xml:space="preserve">本分 1 分，每提前一天完成得 </w:t>
            </w:r>
            <w:r>
              <w:rPr>
                <w:rFonts w:hint="eastAsia" w:ascii="宋体" w:hAnsi="宋体" w:eastAsia="宋体" w:cs="宋体"/>
                <w:color w:val="auto"/>
                <w:kern w:val="2"/>
                <w:sz w:val="21"/>
                <w:szCs w:val="21"/>
                <w:highlight w:val="none"/>
                <w:lang w:val="en-US" w:eastAsia="zh-CN" w:bidi="ar-SA"/>
              </w:rPr>
              <w:t>1</w:t>
            </w:r>
            <w:r>
              <w:rPr>
                <w:rFonts w:hint="default" w:ascii="宋体" w:hAnsi="宋体" w:eastAsia="宋体" w:cs="宋体"/>
                <w:color w:val="auto"/>
                <w:kern w:val="2"/>
                <w:sz w:val="21"/>
                <w:szCs w:val="21"/>
                <w:highlight w:val="none"/>
                <w:lang w:val="en-US" w:eastAsia="zh-CN" w:bidi="ar-SA"/>
              </w:rPr>
              <w:t xml:space="preserve"> 分，最多</w:t>
            </w:r>
            <w:r>
              <w:rPr>
                <w:rFonts w:hint="eastAsia" w:cs="宋体"/>
                <w:color w:val="auto"/>
                <w:kern w:val="2"/>
                <w:sz w:val="21"/>
                <w:szCs w:val="21"/>
                <w:highlight w:val="none"/>
                <w:lang w:val="en-US" w:eastAsia="zh-CN" w:bidi="ar-SA"/>
              </w:rPr>
              <w:t>4</w:t>
            </w:r>
            <w:r>
              <w:rPr>
                <w:rFonts w:hint="default" w:ascii="宋体" w:hAnsi="宋体" w:eastAsia="宋体" w:cs="宋体"/>
                <w:color w:val="auto"/>
                <w:kern w:val="2"/>
                <w:sz w:val="21"/>
                <w:szCs w:val="21"/>
                <w:highlight w:val="none"/>
                <w:lang w:val="en-US" w:eastAsia="zh-CN" w:bidi="ar-SA"/>
              </w:rPr>
              <w:t>分；</w:t>
            </w:r>
          </w:p>
        </w:tc>
      </w:tr>
      <w:tr w14:paraId="1E7CC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14" w:type="pct"/>
            <w:vMerge w:val="continue"/>
            <w:vAlign w:val="center"/>
          </w:tcPr>
          <w:p w14:paraId="62336E52">
            <w:pPr>
              <w:pStyle w:val="44"/>
              <w:jc w:val="center"/>
              <w:rPr>
                <w:rFonts w:hint="eastAsia" w:ascii="宋体" w:hAnsi="宋体" w:eastAsia="宋体" w:cs="宋体"/>
                <w:color w:val="auto"/>
                <w:sz w:val="21"/>
                <w:szCs w:val="21"/>
                <w:highlight w:val="none"/>
              </w:rPr>
            </w:pPr>
          </w:p>
        </w:tc>
        <w:tc>
          <w:tcPr>
            <w:tcW w:w="488" w:type="pct"/>
            <w:tcBorders>
              <w:top w:val="single" w:color="auto" w:sz="4" w:space="0"/>
            </w:tcBorders>
            <w:vAlign w:val="center"/>
          </w:tcPr>
          <w:p w14:paraId="16595CC7">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质保期</w:t>
            </w:r>
          </w:p>
        </w:tc>
        <w:tc>
          <w:tcPr>
            <w:tcW w:w="1154" w:type="pct"/>
            <w:vAlign w:val="center"/>
          </w:tcPr>
          <w:p w14:paraId="48AA2DE0">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tc>
        <w:tc>
          <w:tcPr>
            <w:tcW w:w="2943" w:type="pct"/>
            <w:vAlign w:val="center"/>
          </w:tcPr>
          <w:p w14:paraId="36694946">
            <w:pPr>
              <w:keepNext w:val="0"/>
              <w:keepLines w:val="0"/>
              <w:widowControl/>
              <w:suppressLineNumbers w:val="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kern w:val="2"/>
                <w:sz w:val="21"/>
                <w:szCs w:val="21"/>
                <w:highlight w:val="none"/>
                <w:lang w:val="en-US" w:eastAsia="zh-CN" w:bidi="ar-SA"/>
              </w:rPr>
              <w:t>质保期：满足采购文件基本要求的情况下,得</w:t>
            </w:r>
            <w:r>
              <w:rPr>
                <w:rFonts w:hint="default" w:ascii="宋体" w:hAnsi="宋体" w:eastAsia="宋体" w:cs="宋体"/>
                <w:color w:val="auto"/>
                <w:kern w:val="2"/>
                <w:sz w:val="21"/>
                <w:szCs w:val="21"/>
                <w:highlight w:val="none"/>
                <w:lang w:val="en-US" w:eastAsia="zh-CN" w:bidi="ar-SA"/>
              </w:rPr>
              <w:t>基本分</w:t>
            </w:r>
            <w:r>
              <w:rPr>
                <w:rFonts w:hint="eastAsia" w:cs="宋体"/>
                <w:color w:val="auto"/>
                <w:kern w:val="2"/>
                <w:sz w:val="21"/>
                <w:szCs w:val="21"/>
                <w:highlight w:val="none"/>
                <w:lang w:val="en-US" w:eastAsia="zh-CN" w:bidi="ar-SA"/>
              </w:rPr>
              <w:t>0.5</w:t>
            </w:r>
            <w:r>
              <w:rPr>
                <w:rFonts w:hint="default" w:ascii="宋体" w:hAnsi="宋体" w:eastAsia="宋体" w:cs="宋体"/>
                <w:color w:val="auto"/>
                <w:kern w:val="2"/>
                <w:sz w:val="21"/>
                <w:szCs w:val="21"/>
                <w:highlight w:val="none"/>
                <w:lang w:val="en-US" w:eastAsia="zh-CN" w:bidi="ar-SA"/>
              </w:rPr>
              <w:t xml:space="preserve">分；质保期年限每增加 1 年加 </w:t>
            </w:r>
            <w:r>
              <w:rPr>
                <w:rFonts w:hint="eastAsia" w:cs="宋体"/>
                <w:color w:val="auto"/>
                <w:kern w:val="2"/>
                <w:sz w:val="21"/>
                <w:szCs w:val="21"/>
                <w:highlight w:val="none"/>
                <w:lang w:val="en-US" w:eastAsia="zh-CN" w:bidi="ar-SA"/>
              </w:rPr>
              <w:t>0.5</w:t>
            </w:r>
            <w:r>
              <w:rPr>
                <w:rFonts w:hint="default" w:ascii="宋体" w:hAnsi="宋体" w:eastAsia="宋体" w:cs="宋体"/>
                <w:color w:val="auto"/>
                <w:kern w:val="2"/>
                <w:sz w:val="21"/>
                <w:szCs w:val="21"/>
                <w:highlight w:val="none"/>
                <w:lang w:val="en-US" w:eastAsia="zh-CN" w:bidi="ar-SA"/>
              </w:rPr>
              <w:t xml:space="preserve">分，此项最多得 </w:t>
            </w:r>
            <w:r>
              <w:rPr>
                <w:rFonts w:hint="eastAsia" w:cs="宋体"/>
                <w:color w:val="auto"/>
                <w:kern w:val="2"/>
                <w:sz w:val="21"/>
                <w:szCs w:val="21"/>
                <w:highlight w:val="none"/>
                <w:lang w:val="en-US" w:eastAsia="zh-CN" w:bidi="ar-SA"/>
              </w:rPr>
              <w:t>4</w:t>
            </w:r>
            <w:r>
              <w:rPr>
                <w:rFonts w:hint="default" w:ascii="宋体" w:hAnsi="宋体" w:eastAsia="宋体" w:cs="宋体"/>
                <w:color w:val="auto"/>
                <w:kern w:val="2"/>
                <w:sz w:val="21"/>
                <w:szCs w:val="21"/>
                <w:highlight w:val="none"/>
                <w:lang w:val="en-US" w:eastAsia="zh-CN" w:bidi="ar-SA"/>
              </w:rPr>
              <w:t xml:space="preserve"> 分；</w:t>
            </w:r>
          </w:p>
        </w:tc>
      </w:tr>
      <w:tr w14:paraId="105D2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414" w:type="pct"/>
            <w:vMerge w:val="restart"/>
            <w:vAlign w:val="center"/>
          </w:tcPr>
          <w:p w14:paraId="009533AC">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p>
          <w:p w14:paraId="3C5A6CF4">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cs="宋体"/>
                <w:color w:val="auto"/>
                <w:sz w:val="21"/>
                <w:szCs w:val="21"/>
                <w:highlight w:val="none"/>
                <w:lang w:val="en-US" w:eastAsia="zh-CN"/>
              </w:rPr>
              <w:t>45</w:t>
            </w:r>
            <w:r>
              <w:rPr>
                <w:rFonts w:hint="eastAsia" w:ascii="宋体" w:hAnsi="宋体" w:eastAsia="宋体" w:cs="宋体"/>
                <w:color w:val="auto"/>
                <w:sz w:val="21"/>
                <w:szCs w:val="21"/>
                <w:highlight w:val="none"/>
              </w:rPr>
              <w:t>分）</w:t>
            </w:r>
          </w:p>
        </w:tc>
        <w:tc>
          <w:tcPr>
            <w:tcW w:w="488" w:type="pct"/>
            <w:tcBorders>
              <w:top w:val="single" w:color="auto" w:sz="4" w:space="0"/>
            </w:tcBorders>
            <w:vAlign w:val="center"/>
          </w:tcPr>
          <w:p w14:paraId="1AE517B0">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技术参数符合 </w:t>
            </w:r>
          </w:p>
          <w:p w14:paraId="5B16439E">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程度</w:t>
            </w:r>
          </w:p>
          <w:p w14:paraId="1ECFDBB7">
            <w:pPr>
              <w:pStyle w:val="44"/>
              <w:jc w:val="center"/>
              <w:rPr>
                <w:rFonts w:hint="eastAsia" w:ascii="宋体" w:hAnsi="宋体" w:eastAsia="宋体" w:cs="宋体"/>
                <w:color w:val="auto"/>
                <w:sz w:val="21"/>
                <w:szCs w:val="21"/>
                <w:highlight w:val="none"/>
              </w:rPr>
            </w:pPr>
          </w:p>
        </w:tc>
        <w:tc>
          <w:tcPr>
            <w:tcW w:w="1154" w:type="pct"/>
            <w:vAlign w:val="center"/>
          </w:tcPr>
          <w:p w14:paraId="35C961A9">
            <w:pPr>
              <w:pStyle w:val="44"/>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25</w:t>
            </w:r>
            <w:r>
              <w:rPr>
                <w:rFonts w:hint="eastAsia" w:ascii="宋体" w:hAnsi="宋体" w:eastAsia="宋体" w:cs="宋体"/>
                <w:color w:val="auto"/>
                <w:sz w:val="21"/>
                <w:szCs w:val="21"/>
                <w:highlight w:val="none"/>
                <w:lang w:val="en-US" w:eastAsia="zh-CN"/>
              </w:rPr>
              <w:t>分</w:t>
            </w:r>
          </w:p>
        </w:tc>
        <w:tc>
          <w:tcPr>
            <w:tcW w:w="2943" w:type="pct"/>
            <w:vAlign w:val="center"/>
          </w:tcPr>
          <w:p w14:paraId="5050357A">
            <w:pPr>
              <w:keepNext w:val="0"/>
              <w:keepLines w:val="0"/>
              <w:widowControl/>
              <w:suppressLineNumbers w:val="0"/>
              <w:jc w:val="left"/>
              <w:rPr>
                <w:rFonts w:hint="eastAsia" w:ascii="宋体" w:hAnsi="宋体" w:eastAsia="宋体" w:cs="宋体"/>
                <w:color w:val="auto"/>
                <w:sz w:val="21"/>
                <w:szCs w:val="21"/>
                <w:highlight w:val="none"/>
              </w:rPr>
            </w:pPr>
            <w:r>
              <w:rPr>
                <w:rFonts w:hint="default" w:ascii="宋体" w:hAnsi="宋体" w:eastAsia="宋体" w:cs="宋体"/>
                <w:color w:val="auto"/>
                <w:kern w:val="2"/>
                <w:sz w:val="21"/>
                <w:szCs w:val="21"/>
                <w:highlight w:val="none"/>
                <w:lang w:val="en-US" w:eastAsia="zh-CN" w:bidi="ar-SA"/>
              </w:rPr>
              <w:t>供应商或生产厂家产品详细配置与技术指标</w:t>
            </w:r>
            <w:r>
              <w:rPr>
                <w:rFonts w:hint="eastAsia" w:ascii="宋体" w:hAnsi="宋体" w:eastAsia="宋体" w:cs="宋体"/>
                <w:color w:val="auto"/>
                <w:kern w:val="2"/>
                <w:sz w:val="21"/>
                <w:szCs w:val="21"/>
                <w:highlight w:val="none"/>
                <w:lang w:val="en-US" w:eastAsia="zh-CN" w:bidi="ar-SA"/>
              </w:rPr>
              <w:t>,</w:t>
            </w:r>
            <w:r>
              <w:rPr>
                <w:rFonts w:hint="default" w:ascii="宋体" w:hAnsi="宋体" w:eastAsia="宋体" w:cs="宋体"/>
                <w:color w:val="auto"/>
                <w:kern w:val="2"/>
                <w:sz w:val="21"/>
                <w:szCs w:val="21"/>
                <w:highlight w:val="none"/>
                <w:lang w:val="en-US" w:eastAsia="zh-CN" w:bidi="ar-SA"/>
              </w:rPr>
              <w:t xml:space="preserve">根据投标单位所报产品的详细配置、技术指标进行评价打分。所投标产品完全响应参数要求的得 </w:t>
            </w:r>
            <w:r>
              <w:rPr>
                <w:rFonts w:hint="eastAsia" w:ascii="宋体" w:hAnsi="宋体" w:eastAsia="宋体" w:cs="宋体"/>
                <w:color w:val="auto"/>
                <w:kern w:val="2"/>
                <w:sz w:val="21"/>
                <w:szCs w:val="21"/>
                <w:highlight w:val="none"/>
                <w:lang w:val="en-US" w:eastAsia="zh-CN" w:bidi="ar-SA"/>
              </w:rPr>
              <w:t>25</w:t>
            </w:r>
            <w:r>
              <w:rPr>
                <w:rFonts w:hint="default" w:ascii="宋体" w:hAnsi="宋体" w:eastAsia="宋体" w:cs="宋体"/>
                <w:color w:val="auto"/>
                <w:kern w:val="2"/>
                <w:sz w:val="21"/>
                <w:szCs w:val="21"/>
                <w:highlight w:val="none"/>
                <w:lang w:val="en-US" w:eastAsia="zh-CN" w:bidi="ar-SA"/>
              </w:rPr>
              <w:t xml:space="preserve"> 分，如有一项负偏离扣 1.5 分，扣完为止。每有一项指标正偏离加 1.25 分（需如实填写所投产品参数，提供相关有效支持证明产品彩页截图证明材料等,不提供不予认定），加分累计不超过 5 分。供应商提供的参数如有虚假应标，将导致投标无效。</w:t>
            </w:r>
          </w:p>
        </w:tc>
      </w:tr>
      <w:tr w14:paraId="1811E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414" w:type="pct"/>
            <w:vMerge w:val="continue"/>
            <w:vAlign w:val="center"/>
          </w:tcPr>
          <w:p w14:paraId="24E10105">
            <w:pPr>
              <w:pStyle w:val="44"/>
              <w:jc w:val="center"/>
              <w:rPr>
                <w:rFonts w:hint="eastAsia" w:ascii="宋体" w:hAnsi="宋体" w:eastAsia="宋体" w:cs="宋体"/>
                <w:color w:val="auto"/>
                <w:sz w:val="21"/>
                <w:szCs w:val="21"/>
                <w:highlight w:val="none"/>
              </w:rPr>
            </w:pPr>
          </w:p>
        </w:tc>
        <w:tc>
          <w:tcPr>
            <w:tcW w:w="488" w:type="pct"/>
            <w:vAlign w:val="center"/>
          </w:tcPr>
          <w:p w14:paraId="599EE573">
            <w:pPr>
              <w:keepNext w:val="0"/>
              <w:keepLines w:val="0"/>
              <w:widowControl/>
              <w:suppressLineNumbers w:val="0"/>
              <w:jc w:val="left"/>
              <w:rPr>
                <w:highlight w:val="none"/>
              </w:rPr>
            </w:pPr>
            <w:r>
              <w:rPr>
                <w:rFonts w:hint="default" w:ascii="宋体" w:hAnsi="宋体" w:eastAsia="宋体" w:cs="宋体"/>
                <w:color w:val="auto"/>
                <w:kern w:val="2"/>
                <w:sz w:val="21"/>
                <w:szCs w:val="21"/>
                <w:highlight w:val="none"/>
                <w:lang w:val="en-US" w:eastAsia="zh-CN" w:bidi="ar-SA"/>
              </w:rPr>
              <w:t xml:space="preserve">供货安装方案 </w:t>
            </w:r>
          </w:p>
          <w:p w14:paraId="69144E03">
            <w:pPr>
              <w:pStyle w:val="44"/>
              <w:jc w:val="center"/>
              <w:rPr>
                <w:rFonts w:hint="eastAsia" w:ascii="宋体" w:hAnsi="宋体" w:eastAsia="宋体" w:cs="宋体"/>
                <w:color w:val="auto"/>
                <w:sz w:val="21"/>
                <w:szCs w:val="21"/>
                <w:highlight w:val="none"/>
              </w:rPr>
            </w:pPr>
          </w:p>
        </w:tc>
        <w:tc>
          <w:tcPr>
            <w:tcW w:w="1154" w:type="pct"/>
            <w:vAlign w:val="center"/>
          </w:tcPr>
          <w:p w14:paraId="7922AA03">
            <w:pPr>
              <w:pStyle w:val="44"/>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c>
          <w:tcPr>
            <w:tcW w:w="2943" w:type="pct"/>
            <w:vAlign w:val="center"/>
          </w:tcPr>
          <w:p w14:paraId="08F1C419">
            <w:pPr>
              <w:keepNext w:val="0"/>
              <w:keepLines w:val="0"/>
              <w:widowControl/>
              <w:suppressLineNumbers w:val="0"/>
              <w:jc w:val="left"/>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针对本项目供应商具有供货方案、人员配备、进度控制、质量监控、安装方案，供货保证措施完整全面、明确详细、条理清晰、合理可行。其中每小项 1 分，最多得 5 分，每少一项扣 1分，方案有缺陷的每有一处扣 0.5 分；无方案的不得分。注：以上有缺陷是指，①只有单纯的文件描述，前后内容无法连贯，内容脱离了实际情况，不具备实施的可能性；②套用其他项目方案，前后内容互相矛盾，存在与本项目无关的内容；③内容不满足项目要求、与本项目无关或与本项目不匹配、项目涉及的名称、地点不一致；④不符合采购项目相关的规范及标准任一情形等。</w:t>
            </w:r>
          </w:p>
        </w:tc>
      </w:tr>
      <w:tr w14:paraId="58C0B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414" w:type="pct"/>
            <w:vMerge w:val="continue"/>
            <w:vAlign w:val="center"/>
          </w:tcPr>
          <w:p w14:paraId="6BC81CA5">
            <w:pPr>
              <w:pStyle w:val="44"/>
              <w:jc w:val="center"/>
              <w:rPr>
                <w:rFonts w:hint="eastAsia" w:ascii="宋体" w:hAnsi="宋体" w:eastAsia="宋体" w:cs="宋体"/>
                <w:color w:val="auto"/>
                <w:sz w:val="21"/>
                <w:szCs w:val="21"/>
                <w:highlight w:val="none"/>
              </w:rPr>
            </w:pPr>
          </w:p>
        </w:tc>
        <w:tc>
          <w:tcPr>
            <w:tcW w:w="488" w:type="pct"/>
            <w:vAlign w:val="center"/>
          </w:tcPr>
          <w:p w14:paraId="3AD6128F">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运输方案 </w:t>
            </w:r>
          </w:p>
          <w:p w14:paraId="4FF5A0D7">
            <w:pPr>
              <w:keepNext w:val="0"/>
              <w:keepLines w:val="0"/>
              <w:widowControl/>
              <w:suppressLineNumbers w:val="0"/>
              <w:jc w:val="left"/>
              <w:rPr>
                <w:rFonts w:hint="eastAsia" w:ascii="宋体" w:hAnsi="宋体" w:eastAsia="宋体" w:cs="宋体"/>
                <w:color w:val="auto"/>
                <w:kern w:val="2"/>
                <w:sz w:val="21"/>
                <w:szCs w:val="21"/>
                <w:highlight w:val="none"/>
                <w:lang w:val="en-US" w:eastAsia="zh-CN" w:bidi="ar-SA"/>
              </w:rPr>
            </w:pPr>
          </w:p>
        </w:tc>
        <w:tc>
          <w:tcPr>
            <w:tcW w:w="1154" w:type="pct"/>
            <w:vAlign w:val="center"/>
          </w:tcPr>
          <w:p w14:paraId="124035BA">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 xml:space="preserve">分 </w:t>
            </w:r>
          </w:p>
        </w:tc>
        <w:tc>
          <w:tcPr>
            <w:tcW w:w="2943" w:type="pct"/>
            <w:vAlign w:val="center"/>
          </w:tcPr>
          <w:p w14:paraId="42EBFD08">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针对本项目供应商具有运输方案：1、产品包装；2、产品出库；3、产品运输过程；4、到达指定地点后的产品交接；5、产品验货、签收，运输方案应符合项目实际需求，阐述明确详细、完整全面、条理清晰、有具体流程细节描述。 </w:t>
            </w:r>
          </w:p>
          <w:p w14:paraId="012BAC0B">
            <w:pPr>
              <w:keepNext w:val="0"/>
              <w:keepLines w:val="0"/>
              <w:widowControl/>
              <w:suppressLineNumbers w:val="0"/>
              <w:jc w:val="left"/>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其中每小项 1 分，最多得 5 分，每少一项扣1 分，扣完为止，其他不得分。</w:t>
            </w:r>
          </w:p>
        </w:tc>
      </w:tr>
      <w:tr w14:paraId="349B4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414" w:type="pct"/>
            <w:vMerge w:val="continue"/>
            <w:vAlign w:val="center"/>
          </w:tcPr>
          <w:p w14:paraId="0520050F">
            <w:pPr>
              <w:pStyle w:val="44"/>
              <w:jc w:val="center"/>
              <w:rPr>
                <w:rFonts w:hint="eastAsia" w:ascii="宋体" w:hAnsi="宋体" w:eastAsia="宋体" w:cs="宋体"/>
                <w:color w:val="auto"/>
                <w:sz w:val="21"/>
                <w:szCs w:val="21"/>
                <w:highlight w:val="none"/>
              </w:rPr>
            </w:pPr>
          </w:p>
        </w:tc>
        <w:tc>
          <w:tcPr>
            <w:tcW w:w="488" w:type="pct"/>
            <w:vAlign w:val="center"/>
          </w:tcPr>
          <w:p w14:paraId="26E9B2E2">
            <w:pPr>
              <w:keepNext w:val="0"/>
              <w:keepLines w:val="0"/>
              <w:widowControl/>
              <w:suppressLineNumbers w:val="0"/>
              <w:jc w:val="left"/>
              <w:rPr>
                <w:highlight w:val="none"/>
              </w:rPr>
            </w:pPr>
            <w:r>
              <w:rPr>
                <w:rFonts w:hint="default" w:ascii="宋体" w:hAnsi="宋体" w:eastAsia="宋体" w:cs="宋体"/>
                <w:color w:val="auto"/>
                <w:kern w:val="2"/>
                <w:sz w:val="21"/>
                <w:szCs w:val="21"/>
                <w:highlight w:val="none"/>
                <w:lang w:val="en-US" w:eastAsia="zh-CN" w:bidi="ar-SA"/>
              </w:rPr>
              <w:t xml:space="preserve">样品评审 </w:t>
            </w:r>
          </w:p>
          <w:p w14:paraId="4009041A">
            <w:pPr>
              <w:pStyle w:val="44"/>
              <w:jc w:val="center"/>
              <w:rPr>
                <w:rFonts w:hint="eastAsia" w:ascii="宋体" w:hAnsi="宋体" w:eastAsia="宋体" w:cs="宋体"/>
                <w:color w:val="auto"/>
                <w:sz w:val="21"/>
                <w:szCs w:val="21"/>
                <w:highlight w:val="none"/>
              </w:rPr>
            </w:pPr>
          </w:p>
        </w:tc>
        <w:tc>
          <w:tcPr>
            <w:tcW w:w="1154" w:type="pct"/>
            <w:vAlign w:val="center"/>
          </w:tcPr>
          <w:p w14:paraId="56908100">
            <w:pPr>
              <w:pStyle w:val="44"/>
              <w:jc w:val="center"/>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c>
          <w:tcPr>
            <w:tcW w:w="2943" w:type="pct"/>
            <w:vAlign w:val="center"/>
          </w:tcPr>
          <w:p w14:paraId="7FA37A15">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1、整体制造工艺(满分 </w:t>
            </w:r>
            <w:r>
              <w:rPr>
                <w:rFonts w:hint="eastAsia" w:cs="宋体"/>
                <w:color w:val="auto"/>
                <w:kern w:val="2"/>
                <w:sz w:val="21"/>
                <w:szCs w:val="21"/>
                <w:highlight w:val="none"/>
                <w:lang w:val="en-US" w:eastAsia="zh-CN" w:bidi="ar-SA"/>
              </w:rPr>
              <w:t>2</w:t>
            </w:r>
            <w:r>
              <w:rPr>
                <w:rFonts w:hint="default" w:ascii="宋体" w:hAnsi="宋体" w:eastAsia="宋体" w:cs="宋体"/>
                <w:color w:val="auto"/>
                <w:kern w:val="2"/>
                <w:sz w:val="21"/>
                <w:szCs w:val="21"/>
                <w:highlight w:val="none"/>
                <w:lang w:val="en-US" w:eastAsia="zh-CN" w:bidi="ar-SA"/>
              </w:rPr>
              <w:t xml:space="preserve"> 分)。样品外观、制造工艺、安全性、便于维护性，每满足一项得</w:t>
            </w:r>
            <w:r>
              <w:rPr>
                <w:rFonts w:hint="eastAsia" w:cs="宋体"/>
                <w:color w:val="auto"/>
                <w:kern w:val="2"/>
                <w:sz w:val="21"/>
                <w:szCs w:val="21"/>
                <w:highlight w:val="none"/>
                <w:lang w:val="en-US" w:eastAsia="zh-CN" w:bidi="ar-SA"/>
              </w:rPr>
              <w:t>0.5</w:t>
            </w:r>
            <w:r>
              <w:rPr>
                <w:rFonts w:hint="default" w:ascii="宋体" w:hAnsi="宋体" w:eastAsia="宋体" w:cs="宋体"/>
                <w:color w:val="auto"/>
                <w:kern w:val="2"/>
                <w:sz w:val="21"/>
                <w:szCs w:val="21"/>
                <w:highlight w:val="none"/>
                <w:lang w:val="en-US" w:eastAsia="zh-CN" w:bidi="ar-SA"/>
              </w:rPr>
              <w:t xml:space="preserve"> 分，不满足不得分。 </w:t>
            </w:r>
          </w:p>
          <w:p w14:paraId="00B6A90E">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2、所使用的材质及配件质量、力学性能功能(满分 </w:t>
            </w:r>
            <w:r>
              <w:rPr>
                <w:rFonts w:hint="eastAsia" w:cs="宋体"/>
                <w:color w:val="auto"/>
                <w:kern w:val="2"/>
                <w:sz w:val="21"/>
                <w:szCs w:val="21"/>
                <w:highlight w:val="none"/>
                <w:lang w:val="en-US" w:eastAsia="zh-CN" w:bidi="ar-SA"/>
              </w:rPr>
              <w:t>2</w:t>
            </w:r>
            <w:r>
              <w:rPr>
                <w:rFonts w:hint="default" w:ascii="宋体" w:hAnsi="宋体" w:eastAsia="宋体" w:cs="宋体"/>
                <w:color w:val="auto"/>
                <w:kern w:val="2"/>
                <w:sz w:val="21"/>
                <w:szCs w:val="21"/>
                <w:highlight w:val="none"/>
                <w:lang w:val="en-US" w:eastAsia="zh-CN" w:bidi="ar-SA"/>
              </w:rPr>
              <w:t xml:space="preserve"> 分)。样品所使用的材质及配件质量、力学性能的牢固性、使用功能的合理性，每满足一项得</w:t>
            </w:r>
            <w:r>
              <w:rPr>
                <w:rFonts w:hint="eastAsia" w:cs="宋体"/>
                <w:color w:val="auto"/>
                <w:kern w:val="2"/>
                <w:sz w:val="21"/>
                <w:szCs w:val="21"/>
                <w:highlight w:val="none"/>
                <w:lang w:val="en-US" w:eastAsia="zh-CN" w:bidi="ar-SA"/>
              </w:rPr>
              <w:t>0.5</w:t>
            </w:r>
            <w:r>
              <w:rPr>
                <w:rFonts w:hint="default" w:ascii="宋体" w:hAnsi="宋体" w:eastAsia="宋体" w:cs="宋体"/>
                <w:color w:val="auto"/>
                <w:kern w:val="2"/>
                <w:sz w:val="21"/>
                <w:szCs w:val="21"/>
                <w:highlight w:val="none"/>
                <w:lang w:val="en-US" w:eastAsia="zh-CN" w:bidi="ar-SA"/>
              </w:rPr>
              <w:t xml:space="preserve">分，不满足不得分。 </w:t>
            </w:r>
          </w:p>
          <w:p w14:paraId="17119387">
            <w:pPr>
              <w:keepNext w:val="0"/>
              <w:keepLines w:val="0"/>
              <w:widowControl/>
              <w:suppressLineNumbers w:val="0"/>
              <w:jc w:val="left"/>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3、产品设计(满分</w:t>
            </w:r>
            <w:r>
              <w:rPr>
                <w:rFonts w:hint="eastAsia" w:cs="宋体"/>
                <w:color w:val="auto"/>
                <w:kern w:val="2"/>
                <w:sz w:val="21"/>
                <w:szCs w:val="21"/>
                <w:highlight w:val="none"/>
                <w:lang w:val="en-US" w:eastAsia="zh-CN" w:bidi="ar-SA"/>
              </w:rPr>
              <w:t>1</w:t>
            </w:r>
            <w:r>
              <w:rPr>
                <w:rFonts w:hint="default" w:ascii="宋体" w:hAnsi="宋体" w:eastAsia="宋体" w:cs="宋体"/>
                <w:color w:val="auto"/>
                <w:kern w:val="2"/>
                <w:sz w:val="21"/>
                <w:szCs w:val="21"/>
                <w:highlight w:val="none"/>
                <w:lang w:val="en-US" w:eastAsia="zh-CN" w:bidi="ar-SA"/>
              </w:rPr>
              <w:t xml:space="preserve"> 分)。样品设计先进性、舒适性、美观性每满足一项得 </w:t>
            </w:r>
            <w:r>
              <w:rPr>
                <w:rFonts w:hint="eastAsia" w:cs="宋体"/>
                <w:color w:val="auto"/>
                <w:kern w:val="2"/>
                <w:sz w:val="21"/>
                <w:szCs w:val="21"/>
                <w:highlight w:val="none"/>
                <w:lang w:val="en-US" w:eastAsia="zh-CN" w:bidi="ar-SA"/>
              </w:rPr>
              <w:t>0.2</w:t>
            </w:r>
            <w:r>
              <w:rPr>
                <w:rFonts w:hint="default" w:ascii="宋体" w:hAnsi="宋体" w:eastAsia="宋体" w:cs="宋体"/>
                <w:color w:val="auto"/>
                <w:kern w:val="2"/>
                <w:sz w:val="21"/>
                <w:szCs w:val="21"/>
                <w:highlight w:val="none"/>
                <w:lang w:val="en-US" w:eastAsia="zh-CN" w:bidi="ar-SA"/>
              </w:rPr>
              <w:t>分，不满足不得分。</w:t>
            </w:r>
          </w:p>
        </w:tc>
      </w:tr>
      <w:tr w14:paraId="1E31E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14" w:type="pct"/>
            <w:vMerge w:val="continue"/>
            <w:vAlign w:val="center"/>
          </w:tcPr>
          <w:p w14:paraId="12A0A0BD">
            <w:pPr>
              <w:pStyle w:val="44"/>
              <w:jc w:val="center"/>
              <w:rPr>
                <w:rFonts w:hint="eastAsia" w:ascii="宋体" w:hAnsi="宋体" w:eastAsia="宋体" w:cs="宋体"/>
                <w:color w:val="auto"/>
                <w:sz w:val="21"/>
                <w:szCs w:val="21"/>
                <w:highlight w:val="none"/>
              </w:rPr>
            </w:pPr>
          </w:p>
        </w:tc>
        <w:tc>
          <w:tcPr>
            <w:tcW w:w="488" w:type="pct"/>
            <w:tcBorders>
              <w:top w:val="single" w:color="auto" w:sz="4" w:space="0"/>
            </w:tcBorders>
            <w:vAlign w:val="center"/>
          </w:tcPr>
          <w:p w14:paraId="1056AE44">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质量保障方案</w:t>
            </w:r>
          </w:p>
          <w:p w14:paraId="5417D7F6">
            <w:pPr>
              <w:pStyle w:val="44"/>
              <w:jc w:val="center"/>
              <w:rPr>
                <w:rFonts w:hint="eastAsia" w:ascii="宋体" w:hAnsi="宋体" w:eastAsia="宋体" w:cs="宋体"/>
                <w:color w:val="auto"/>
                <w:sz w:val="21"/>
                <w:szCs w:val="21"/>
                <w:highlight w:val="none"/>
              </w:rPr>
            </w:pPr>
          </w:p>
        </w:tc>
        <w:tc>
          <w:tcPr>
            <w:tcW w:w="1154" w:type="pct"/>
            <w:vAlign w:val="center"/>
          </w:tcPr>
          <w:p w14:paraId="458346B8">
            <w:pPr>
              <w:pStyle w:val="44"/>
              <w:jc w:val="center"/>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c>
          <w:tcPr>
            <w:tcW w:w="2943" w:type="pct"/>
            <w:vAlign w:val="center"/>
          </w:tcPr>
          <w:p w14:paraId="26B11C17">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根据投标供应商提供的产品质量保障措施进行综合评审。 </w:t>
            </w:r>
          </w:p>
          <w:p w14:paraId="6C2D511E">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1、质量保障措施包含但不限于：产品选材、产品工艺（可提供相关证明材料）、产品质量保证承诺（需包含材料选择、做工质量等）、产品环保标准等，以上内容能够完全满足采购需求且能够结合项目实际需求的得 5 分；2、经评审小组综合评审后认为，质量保障方案内容存在缺项的，每有一项扣 1 分，扣至 0分为止。3、经评审小组综合评审后认为，质量保障方案内容存在缺陷或不足的，每有一项扣 0.5分，扣至 0 分为止。4、本项共 5 分，未提供方案本项不得分。注：以上有缺陷是指，①只有单纯的文件描述，前后内容无法连贯，内容脱离了实际情况，不具 </w:t>
            </w:r>
          </w:p>
          <w:p w14:paraId="5757178D">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备实施的可能性；②套用其他项目方案，前后内容互相矛盾，存在与本项目无关的内容；③容不满足项目要求、与本项目无关或与本项目不匹配、项目涉及的名称、地点不一致；④不符合采购项目相关的规范及标准任一情形等</w:t>
            </w:r>
            <w:r>
              <w:rPr>
                <w:rFonts w:hint="eastAsia" w:cs="宋体"/>
                <w:color w:val="auto"/>
                <w:kern w:val="2"/>
                <w:sz w:val="21"/>
                <w:szCs w:val="21"/>
                <w:highlight w:val="none"/>
                <w:lang w:val="en-US" w:eastAsia="zh-CN" w:bidi="ar-SA"/>
              </w:rPr>
              <w:t>.</w:t>
            </w:r>
          </w:p>
        </w:tc>
      </w:tr>
      <w:tr w14:paraId="10782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902" w:type="pct"/>
            <w:gridSpan w:val="2"/>
            <w:vAlign w:val="center"/>
          </w:tcPr>
          <w:p w14:paraId="1F1436FF">
            <w:pPr>
              <w:pStyle w:val="4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1154" w:type="pct"/>
            <w:tcBorders>
              <w:bottom w:val="single" w:color="auto" w:sz="4" w:space="0"/>
            </w:tcBorders>
            <w:vAlign w:val="center"/>
          </w:tcPr>
          <w:p w14:paraId="2C7F1184">
            <w:pPr>
              <w:pStyle w:val="44"/>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=SUM(ABOVE)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100</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lang w:val="en-US" w:eastAsia="zh-CN"/>
              </w:rPr>
              <w:t>分</w:t>
            </w:r>
          </w:p>
        </w:tc>
        <w:tc>
          <w:tcPr>
            <w:tcW w:w="2943" w:type="pct"/>
            <w:tcBorders>
              <w:bottom w:val="single" w:color="auto" w:sz="4" w:space="0"/>
            </w:tcBorders>
            <w:vAlign w:val="center"/>
          </w:tcPr>
          <w:p w14:paraId="7EBD69F8">
            <w:pPr>
              <w:pStyle w:val="44"/>
              <w:rPr>
                <w:rFonts w:hint="eastAsia" w:ascii="宋体" w:hAnsi="宋体" w:eastAsia="宋体" w:cs="宋体"/>
                <w:color w:val="auto"/>
                <w:sz w:val="21"/>
                <w:szCs w:val="21"/>
                <w:highlight w:val="none"/>
              </w:rPr>
            </w:pPr>
          </w:p>
        </w:tc>
      </w:tr>
    </w:tbl>
    <w:p w14:paraId="7641CF2B">
      <w:pPr>
        <w:rPr>
          <w:rFonts w:hint="eastAsia"/>
          <w:color w:val="auto"/>
          <w:highlight w:val="none"/>
          <w:lang w:val="zh-CN" w:eastAsia="zh-CN"/>
        </w:rPr>
      </w:pPr>
    </w:p>
    <w:p w14:paraId="70D6F047">
      <w:pPr>
        <w:keepNext w:val="0"/>
        <w:keepLines w:val="0"/>
        <w:widowControl/>
        <w:suppressLineNumbers w:val="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注： 1、计算过程中，算术平均值保留 2 位小数（百分比亦取2位小数），第三位 </w:t>
      </w:r>
    </w:p>
    <w:p w14:paraId="475B0F9B">
      <w:pPr>
        <w:keepNext w:val="0"/>
        <w:keepLines w:val="0"/>
        <w:widowControl/>
        <w:suppressLineNumbers w:val="0"/>
        <w:ind w:firstLine="630" w:firstLineChars="30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小数四舍五入。 </w:t>
      </w:r>
    </w:p>
    <w:p w14:paraId="5DB79831">
      <w:pPr>
        <w:keepNext w:val="0"/>
        <w:keepLines w:val="0"/>
        <w:widowControl/>
        <w:suppressLineNumbers w:val="0"/>
        <w:ind w:firstLine="420" w:firstLineChars="200"/>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2、投标人的最终得分为：所有评委对其评分的算术平均值。</w:t>
      </w:r>
    </w:p>
    <w:p w14:paraId="1A4B83CC">
      <w:pPr>
        <w:wordWrap w:val="0"/>
        <w:jc w:val="both"/>
        <w:rPr>
          <w:rFonts w:hint="eastAsia" w:ascii="宋体" w:hAnsi="宋体" w:eastAsia="宋体" w:cstheme="minorBidi"/>
          <w:color w:val="auto"/>
          <w:kern w:val="2"/>
          <w:sz w:val="21"/>
          <w:szCs w:val="21"/>
          <w:highlight w:val="none"/>
          <w:lang w:val="en-US" w:eastAsia="zh-CN" w:bidi="ar-SA"/>
        </w:rPr>
      </w:pPr>
      <w:r>
        <w:rPr>
          <w:rFonts w:hint="eastAsia" w:cstheme="minorBidi"/>
          <w:color w:val="auto"/>
          <w:kern w:val="2"/>
          <w:sz w:val="21"/>
          <w:szCs w:val="21"/>
          <w:highlight w:val="none"/>
          <w:lang w:val="en-US" w:eastAsia="zh-CN" w:bidi="ar-SA"/>
        </w:rPr>
        <w:t>四</w:t>
      </w:r>
      <w:r>
        <w:rPr>
          <w:rFonts w:hint="eastAsia" w:ascii="宋体" w:hAnsi="宋体" w:eastAsia="宋体" w:cstheme="minorBidi"/>
          <w:color w:val="auto"/>
          <w:kern w:val="2"/>
          <w:sz w:val="21"/>
          <w:szCs w:val="21"/>
          <w:highlight w:val="none"/>
          <w:lang w:val="en-US" w:eastAsia="zh-CN" w:bidi="ar-SA"/>
        </w:rPr>
        <w:t xml:space="preserve">.推荐成交供应商 </w:t>
      </w:r>
    </w:p>
    <w:p w14:paraId="0B6D26A6">
      <w:pPr>
        <w:wordWrap w:val="0"/>
        <w:jc w:val="both"/>
        <w:rPr>
          <w:rFonts w:hint="eastAsia" w:ascii="宋体" w:hAnsi="宋体" w:eastAsia="宋体" w:cstheme="minorBidi"/>
          <w:color w:val="auto"/>
          <w:kern w:val="2"/>
          <w:sz w:val="21"/>
          <w:szCs w:val="21"/>
          <w:highlight w:val="none"/>
          <w:lang w:val="en-US" w:eastAsia="zh-CN" w:bidi="ar-SA"/>
        </w:rPr>
      </w:pPr>
      <w:r>
        <w:rPr>
          <w:rFonts w:hint="eastAsia" w:ascii="宋体" w:hAnsi="宋体" w:eastAsia="宋体" w:cstheme="minorBidi"/>
          <w:color w:val="auto"/>
          <w:kern w:val="2"/>
          <w:sz w:val="21"/>
          <w:szCs w:val="21"/>
          <w:highlight w:val="none"/>
          <w:lang w:val="en-US" w:eastAsia="zh-CN" w:bidi="ar-SA"/>
        </w:rPr>
        <w:t>1.磋商小组应当根据综合评分情况，按照评审得分由高到低顺序推荐 3 名以上成交</w:t>
      </w:r>
      <w:r>
        <w:rPr>
          <w:rFonts w:hint="default" w:ascii="宋体" w:hAnsi="宋体" w:eastAsia="宋体" w:cstheme="minorBidi"/>
          <w:color w:val="auto"/>
          <w:kern w:val="2"/>
          <w:sz w:val="21"/>
          <w:szCs w:val="21"/>
          <w:highlight w:val="none"/>
          <w:lang w:val="en-US" w:eastAsia="zh-CN" w:bidi="ar-SA"/>
        </w:rPr>
        <w:t xml:space="preserve">候选供应商，并编写评审报告。符合《政府采购竞争性磋商采购方式管理暂行办法》（财库[2014]214 号）中第二十一条第三款情形的，可以推荐 2 家成交候选供应商。评审得分相同的，按照最后报价由低到高的顺序推荐。评审得分且最后报价相同的，按照技术 指标优劣顺序推荐。 </w:t>
      </w:r>
    </w:p>
    <w:p w14:paraId="7F20EC40">
      <w:pPr>
        <w:wordWrap w:val="0"/>
        <w:jc w:val="both"/>
        <w:rPr>
          <w:rFonts w:hint="eastAsia" w:ascii="宋体" w:hAnsi="宋体" w:eastAsia="宋体" w:cstheme="minorBidi"/>
          <w:color w:val="auto"/>
          <w:kern w:val="2"/>
          <w:sz w:val="21"/>
          <w:szCs w:val="21"/>
          <w:highlight w:val="none"/>
          <w:lang w:val="en-US" w:eastAsia="zh-CN" w:bidi="ar-SA"/>
        </w:rPr>
      </w:pPr>
      <w:r>
        <w:rPr>
          <w:rFonts w:hint="default" w:ascii="宋体" w:hAnsi="宋体" w:eastAsia="宋体" w:cstheme="minorBidi"/>
          <w:color w:val="auto"/>
          <w:kern w:val="2"/>
          <w:sz w:val="21"/>
          <w:szCs w:val="21"/>
          <w:highlight w:val="none"/>
          <w:lang w:val="en-US" w:eastAsia="zh-CN" w:bidi="ar-SA"/>
        </w:rPr>
        <w:t xml:space="preserve">2.评分计算方法解释 </w:t>
      </w:r>
    </w:p>
    <w:p w14:paraId="29517E02">
      <w:pPr>
        <w:wordWrap w:val="0"/>
        <w:jc w:val="both"/>
        <w:rPr>
          <w:rFonts w:hint="eastAsia" w:ascii="宋体" w:hAnsi="宋体" w:eastAsia="宋体" w:cstheme="minorBidi"/>
          <w:color w:val="auto"/>
          <w:kern w:val="2"/>
          <w:sz w:val="21"/>
          <w:szCs w:val="21"/>
          <w:highlight w:val="none"/>
          <w:lang w:val="en-US" w:eastAsia="zh-CN" w:bidi="ar-SA"/>
        </w:rPr>
      </w:pPr>
      <w:r>
        <w:rPr>
          <w:rFonts w:hint="default" w:ascii="宋体" w:hAnsi="宋体" w:eastAsia="宋体" w:cstheme="minorBidi"/>
          <w:color w:val="auto"/>
          <w:kern w:val="2"/>
          <w:sz w:val="21"/>
          <w:szCs w:val="21"/>
          <w:highlight w:val="none"/>
          <w:lang w:val="en-US" w:eastAsia="zh-CN" w:bidi="ar-SA"/>
        </w:rPr>
        <w:t xml:space="preserve">（1）供应商的评审得分是指所有磋商小组成员对其评分的算术平均值。 </w:t>
      </w:r>
    </w:p>
    <w:p w14:paraId="71AC222D">
      <w:pPr>
        <w:wordWrap w:val="0"/>
        <w:jc w:val="both"/>
        <w:rPr>
          <w:rFonts w:hint="eastAsia" w:ascii="宋体" w:hAnsi="宋体" w:eastAsia="宋体" w:cstheme="minorBidi"/>
          <w:color w:val="auto"/>
          <w:kern w:val="2"/>
          <w:sz w:val="21"/>
          <w:szCs w:val="21"/>
          <w:highlight w:val="none"/>
          <w:lang w:val="en-US" w:eastAsia="zh-CN" w:bidi="ar-SA"/>
        </w:rPr>
      </w:pPr>
      <w:r>
        <w:rPr>
          <w:rFonts w:hint="default" w:ascii="宋体" w:hAnsi="宋体" w:eastAsia="宋体" w:cstheme="minorBidi"/>
          <w:color w:val="auto"/>
          <w:kern w:val="2"/>
          <w:sz w:val="21"/>
          <w:szCs w:val="21"/>
          <w:highlight w:val="none"/>
          <w:lang w:val="en-US" w:eastAsia="zh-CN" w:bidi="ar-SA"/>
        </w:rPr>
        <w:t xml:space="preserve">（2）计算过程中，算术平均值保留 2 位小数（百分比亦取 2 位小数），第三位小数 </w:t>
      </w:r>
    </w:p>
    <w:p w14:paraId="24D8AC97">
      <w:pPr>
        <w:wordWrap w:val="0"/>
        <w:jc w:val="both"/>
        <w:rPr>
          <w:rFonts w:hint="eastAsia" w:ascii="宋体" w:hAnsi="宋体" w:eastAsia="宋体" w:cstheme="minorBidi"/>
          <w:color w:val="auto"/>
          <w:kern w:val="2"/>
          <w:sz w:val="21"/>
          <w:szCs w:val="21"/>
          <w:highlight w:val="none"/>
          <w:lang w:val="en-US" w:eastAsia="zh-CN" w:bidi="ar-SA"/>
        </w:rPr>
      </w:pPr>
      <w:r>
        <w:rPr>
          <w:rFonts w:hint="default" w:ascii="宋体" w:hAnsi="宋体" w:eastAsia="宋体" w:cstheme="minorBidi"/>
          <w:color w:val="auto"/>
          <w:kern w:val="2"/>
          <w:sz w:val="21"/>
          <w:szCs w:val="21"/>
          <w:highlight w:val="none"/>
          <w:lang w:val="en-US" w:eastAsia="zh-CN" w:bidi="ar-SA"/>
        </w:rPr>
        <w:t xml:space="preserve">四舍五入。 </w:t>
      </w:r>
    </w:p>
    <w:p w14:paraId="0C020294">
      <w:pPr>
        <w:wordWrap w:val="0"/>
        <w:jc w:val="both"/>
        <w:rPr>
          <w:rFonts w:hint="eastAsia" w:ascii="宋体" w:hAnsi="宋体" w:eastAsia="宋体" w:cstheme="minorBidi"/>
          <w:color w:val="auto"/>
          <w:kern w:val="2"/>
          <w:sz w:val="21"/>
          <w:szCs w:val="21"/>
          <w:highlight w:val="none"/>
          <w:lang w:val="en-US" w:eastAsia="zh-CN" w:bidi="ar-SA"/>
        </w:rPr>
      </w:pPr>
      <w:r>
        <w:rPr>
          <w:rFonts w:hint="eastAsia" w:cstheme="minorBidi"/>
          <w:color w:val="auto"/>
          <w:kern w:val="2"/>
          <w:sz w:val="21"/>
          <w:szCs w:val="21"/>
          <w:highlight w:val="none"/>
          <w:lang w:val="en-US" w:eastAsia="zh-CN" w:bidi="ar-SA"/>
        </w:rPr>
        <w:t>五</w:t>
      </w:r>
      <w:r>
        <w:rPr>
          <w:rFonts w:hint="default" w:ascii="宋体" w:hAnsi="宋体" w:eastAsia="宋体" w:cstheme="minorBidi"/>
          <w:color w:val="auto"/>
          <w:kern w:val="2"/>
          <w:sz w:val="21"/>
          <w:szCs w:val="21"/>
          <w:highlight w:val="none"/>
          <w:lang w:val="en-US" w:eastAsia="zh-CN" w:bidi="ar-SA"/>
        </w:rPr>
        <w:t xml:space="preserve">.确定成交供应商 </w:t>
      </w:r>
    </w:p>
    <w:p w14:paraId="400930D9">
      <w:pPr>
        <w:wordWrap w:val="0"/>
        <w:jc w:val="both"/>
        <w:rPr>
          <w:rFonts w:hint="eastAsia" w:ascii="宋体" w:hAnsi="宋体" w:eastAsia="宋体" w:cstheme="minorBidi"/>
          <w:color w:val="auto"/>
          <w:kern w:val="2"/>
          <w:sz w:val="21"/>
          <w:szCs w:val="21"/>
          <w:highlight w:val="none"/>
          <w:lang w:val="en-US" w:eastAsia="zh-CN" w:bidi="ar-SA"/>
        </w:rPr>
      </w:pPr>
      <w:r>
        <w:rPr>
          <w:rFonts w:hint="default" w:ascii="宋体" w:hAnsi="宋体" w:eastAsia="宋体" w:cstheme="minorBidi"/>
          <w:color w:val="auto"/>
          <w:kern w:val="2"/>
          <w:sz w:val="21"/>
          <w:szCs w:val="21"/>
          <w:highlight w:val="none"/>
          <w:lang w:val="en-US" w:eastAsia="zh-CN" w:bidi="ar-SA"/>
        </w:rPr>
        <w:t xml:space="preserve">1.采购代理机构应当在评审结束后 2 个工作日内将评审报告送采购人确认。 </w:t>
      </w:r>
    </w:p>
    <w:p w14:paraId="2114FF49">
      <w:pPr>
        <w:wordWrap w:val="0"/>
        <w:jc w:val="both"/>
        <w:rPr>
          <w:rFonts w:hint="eastAsia" w:ascii="宋体" w:hAnsi="宋体" w:eastAsia="宋体" w:cstheme="minorBidi"/>
          <w:color w:val="auto"/>
          <w:kern w:val="2"/>
          <w:sz w:val="21"/>
          <w:szCs w:val="21"/>
          <w:highlight w:val="none"/>
          <w:lang w:val="en-US" w:eastAsia="zh-CN" w:bidi="ar-SA"/>
        </w:rPr>
      </w:pPr>
      <w:r>
        <w:rPr>
          <w:rFonts w:hint="default" w:ascii="宋体" w:hAnsi="宋体" w:eastAsia="宋体" w:cstheme="minorBidi"/>
          <w:color w:val="auto"/>
          <w:kern w:val="2"/>
          <w:sz w:val="21"/>
          <w:szCs w:val="21"/>
          <w:highlight w:val="none"/>
          <w:lang w:val="en-US" w:eastAsia="zh-CN" w:bidi="ar-SA"/>
        </w:rPr>
        <w:t>2.采购人应当在收到评审报告后 5 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r>
        <w:rPr>
          <w:rFonts w:hint="eastAsia" w:cstheme="minorBidi"/>
          <w:color w:val="auto"/>
          <w:kern w:val="2"/>
          <w:sz w:val="21"/>
          <w:szCs w:val="21"/>
          <w:highlight w:val="none"/>
          <w:lang w:val="en-US" w:eastAsia="zh-CN" w:bidi="ar-SA"/>
        </w:rPr>
        <w:t>。</w:t>
      </w:r>
    </w:p>
    <w:p w14:paraId="20AC7914">
      <w:pPr>
        <w:wordWrap w:val="0"/>
        <w:jc w:val="both"/>
        <w:rPr>
          <w:rFonts w:hint="eastAsia"/>
          <w:color w:val="auto"/>
          <w:sz w:val="24"/>
          <w:szCs w:val="24"/>
          <w:highlight w:val="none"/>
          <w:lang w:val="en-US" w:eastAsia="zh-CN"/>
        </w:rPr>
      </w:pPr>
    </w:p>
    <w:p w14:paraId="59EC86DB">
      <w:pPr>
        <w:wordWrap w:val="0"/>
        <w:jc w:val="both"/>
        <w:rPr>
          <w:rFonts w:hint="eastAsia"/>
          <w:color w:val="auto"/>
          <w:sz w:val="24"/>
          <w:szCs w:val="24"/>
          <w:highlight w:val="none"/>
          <w:lang w:val="en-US" w:eastAsia="zh-CN"/>
        </w:rPr>
      </w:pPr>
    </w:p>
    <w:p w14:paraId="35D02736">
      <w:pPr>
        <w:pStyle w:val="2"/>
        <w:keepNext/>
        <w:keepLines/>
        <w:pageBreakBefore w:val="0"/>
        <w:widowControl w:val="0"/>
        <w:numPr>
          <w:ilvl w:val="0"/>
          <w:numId w:val="0"/>
        </w:numPr>
        <w:kinsoku/>
        <w:wordWrap/>
        <w:overflowPunct/>
        <w:topLinePunct w:val="0"/>
        <w:autoSpaceDE/>
        <w:autoSpaceDN/>
        <w:bidi w:val="0"/>
        <w:adjustRightInd/>
        <w:snapToGrid/>
        <w:spacing w:before="220" w:after="210" w:line="360" w:lineRule="auto"/>
        <w:ind w:left="420" w:leftChars="0" w:hanging="420" w:firstLineChars="0"/>
        <w:textAlignment w:val="auto"/>
        <w:rPr>
          <w:rFonts w:hint="eastAsia" w:ascii="宋体" w:hAnsi="宋体" w:eastAsia="黑体" w:cstheme="minorBidi"/>
          <w:b/>
          <w:bCs/>
          <w:color w:val="auto"/>
          <w:kern w:val="44"/>
          <w:sz w:val="44"/>
          <w:szCs w:val="44"/>
          <w:highlight w:val="none"/>
          <w:lang w:val="en-US" w:eastAsia="zh-CN" w:bidi="ar-SA"/>
        </w:rPr>
      </w:pPr>
    </w:p>
    <w:p w14:paraId="431D888D">
      <w:pPr>
        <w:rPr>
          <w:rFonts w:hint="eastAsia" w:ascii="宋体" w:hAnsi="宋体" w:eastAsia="黑体" w:cstheme="minorBidi"/>
          <w:b/>
          <w:bCs/>
          <w:color w:val="auto"/>
          <w:kern w:val="44"/>
          <w:sz w:val="44"/>
          <w:szCs w:val="44"/>
          <w:highlight w:val="none"/>
          <w:lang w:val="en-US" w:eastAsia="zh-CN" w:bidi="ar-SA"/>
        </w:rPr>
      </w:pPr>
    </w:p>
    <w:p w14:paraId="2A512578">
      <w:pPr>
        <w:rPr>
          <w:rFonts w:hint="eastAsia" w:ascii="宋体" w:hAnsi="宋体" w:eastAsia="黑体" w:cstheme="minorBidi"/>
          <w:b/>
          <w:bCs/>
          <w:color w:val="auto"/>
          <w:kern w:val="44"/>
          <w:sz w:val="44"/>
          <w:szCs w:val="44"/>
          <w:highlight w:val="none"/>
          <w:lang w:val="en-US" w:eastAsia="zh-CN" w:bidi="ar-SA"/>
        </w:rPr>
      </w:pPr>
    </w:p>
    <w:p w14:paraId="2C05AF50">
      <w:pPr>
        <w:rPr>
          <w:rFonts w:hint="eastAsia" w:ascii="宋体" w:hAnsi="宋体" w:eastAsia="黑体" w:cstheme="minorBidi"/>
          <w:b/>
          <w:bCs/>
          <w:color w:val="auto"/>
          <w:kern w:val="44"/>
          <w:sz w:val="44"/>
          <w:szCs w:val="44"/>
          <w:highlight w:val="none"/>
          <w:lang w:val="en-US" w:eastAsia="zh-CN" w:bidi="ar-SA"/>
        </w:rPr>
      </w:pPr>
    </w:p>
    <w:p w14:paraId="0A5EC629">
      <w:pPr>
        <w:rPr>
          <w:rFonts w:hint="eastAsia" w:ascii="宋体" w:hAnsi="宋体" w:eastAsia="黑体" w:cstheme="minorBidi"/>
          <w:b/>
          <w:bCs/>
          <w:color w:val="auto"/>
          <w:kern w:val="44"/>
          <w:sz w:val="44"/>
          <w:szCs w:val="44"/>
          <w:highlight w:val="none"/>
          <w:lang w:val="en-US" w:eastAsia="zh-CN" w:bidi="ar-SA"/>
        </w:rPr>
      </w:pPr>
    </w:p>
    <w:p w14:paraId="1700FFCD">
      <w:pPr>
        <w:rPr>
          <w:rFonts w:hint="eastAsia" w:ascii="宋体" w:hAnsi="宋体" w:eastAsia="黑体" w:cstheme="minorBidi"/>
          <w:b/>
          <w:bCs/>
          <w:color w:val="auto"/>
          <w:kern w:val="44"/>
          <w:sz w:val="44"/>
          <w:szCs w:val="44"/>
          <w:highlight w:val="none"/>
          <w:lang w:val="en-US" w:eastAsia="zh-CN" w:bidi="ar-SA"/>
        </w:rPr>
      </w:pPr>
    </w:p>
    <w:p w14:paraId="0B7EB962">
      <w:pPr>
        <w:rPr>
          <w:rFonts w:hint="eastAsia" w:ascii="宋体" w:hAnsi="宋体" w:eastAsia="黑体" w:cstheme="minorBidi"/>
          <w:b/>
          <w:bCs/>
          <w:color w:val="auto"/>
          <w:kern w:val="44"/>
          <w:sz w:val="44"/>
          <w:szCs w:val="44"/>
          <w:highlight w:val="none"/>
          <w:lang w:val="en-US" w:eastAsia="zh-CN" w:bidi="ar-SA"/>
        </w:rPr>
      </w:pPr>
    </w:p>
    <w:p w14:paraId="50291889">
      <w:pPr>
        <w:rPr>
          <w:rFonts w:hint="eastAsia" w:ascii="宋体" w:hAnsi="宋体" w:eastAsia="黑体" w:cstheme="minorBidi"/>
          <w:b/>
          <w:bCs/>
          <w:color w:val="auto"/>
          <w:kern w:val="44"/>
          <w:sz w:val="44"/>
          <w:szCs w:val="44"/>
          <w:highlight w:val="none"/>
          <w:lang w:val="en-US" w:eastAsia="zh-CN" w:bidi="ar-SA"/>
        </w:rPr>
      </w:pPr>
    </w:p>
    <w:p w14:paraId="2419524B">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zh-CN" w:eastAsia="zh-CN" w:bidi="ar-SA"/>
        </w:rPr>
      </w:pPr>
      <w:bookmarkStart w:id="515" w:name="_Toc11717"/>
      <w:r>
        <w:rPr>
          <w:rFonts w:hint="eastAsia" w:ascii="宋体" w:hAnsi="宋体" w:eastAsia="宋体" w:cs="宋体"/>
          <w:b/>
          <w:bCs/>
          <w:color w:val="auto"/>
          <w:kern w:val="44"/>
          <w:sz w:val="36"/>
          <w:szCs w:val="36"/>
          <w:highlight w:val="none"/>
          <w:lang w:val="en-US" w:eastAsia="zh-CN" w:bidi="ar-SA"/>
        </w:rPr>
        <w:t xml:space="preserve">第五章 </w:t>
      </w:r>
      <w:r>
        <w:rPr>
          <w:rFonts w:hint="eastAsia" w:ascii="宋体" w:hAnsi="宋体" w:eastAsia="宋体" w:cs="宋体"/>
          <w:b/>
          <w:bCs/>
          <w:color w:val="auto"/>
          <w:kern w:val="44"/>
          <w:sz w:val="36"/>
          <w:szCs w:val="36"/>
          <w:highlight w:val="none"/>
          <w:lang w:val="zh-CN" w:eastAsia="zh-CN" w:bidi="ar-SA"/>
        </w:rPr>
        <w:t>合同草案</w:t>
      </w:r>
      <w:bookmarkEnd w:id="515"/>
    </w:p>
    <w:p w14:paraId="0F73DEB3">
      <w:pPr>
        <w:wordWrap w:val="0"/>
        <w:jc w:val="center"/>
        <w:rPr>
          <w:rFonts w:hint="eastAsia" w:eastAsia="宋体"/>
          <w:bCs/>
          <w:color w:val="auto"/>
          <w:sz w:val="24"/>
          <w:szCs w:val="24"/>
          <w:highlight w:val="none"/>
          <w:lang w:eastAsia="zh-CN"/>
        </w:rPr>
      </w:pPr>
      <w:r>
        <w:rPr>
          <w:rFonts w:hint="eastAsia"/>
          <w:color w:val="auto"/>
          <w:sz w:val="24"/>
          <w:szCs w:val="24"/>
          <w:highlight w:val="none"/>
          <w:lang w:eastAsia="zh-CN"/>
        </w:rPr>
        <w:t>【</w:t>
      </w:r>
      <w:r>
        <w:rPr>
          <w:rFonts w:hint="eastAsia"/>
          <w:color w:val="auto"/>
          <w:sz w:val="24"/>
          <w:szCs w:val="24"/>
          <w:highlight w:val="none"/>
        </w:rPr>
        <w:t>此合同书仅作为签订正式合同时的参考，正式合同书应包括本参考格式的内容</w:t>
      </w:r>
      <w:r>
        <w:rPr>
          <w:rFonts w:hint="eastAsia"/>
          <w:color w:val="auto"/>
          <w:sz w:val="24"/>
          <w:szCs w:val="24"/>
          <w:highlight w:val="none"/>
          <w:lang w:eastAsia="zh-CN"/>
        </w:rPr>
        <w:t>】</w:t>
      </w:r>
    </w:p>
    <w:p w14:paraId="51E629DD">
      <w:pPr>
        <w:wordWrap w:val="0"/>
        <w:rPr>
          <w:bCs/>
          <w:color w:val="auto"/>
          <w:sz w:val="28"/>
          <w:szCs w:val="28"/>
          <w:highlight w:val="none"/>
        </w:rPr>
      </w:pPr>
      <w:r>
        <w:rPr>
          <w:rFonts w:hint="eastAsia" w:cs="Helvetica"/>
          <w:bCs/>
          <w:color w:val="auto"/>
          <w:sz w:val="24"/>
          <w:szCs w:val="24"/>
          <w:highlight w:val="none"/>
          <w:lang w:val="zh-CN"/>
        </w:rPr>
        <w:t>合同编号：</w:t>
      </w:r>
      <w:r>
        <w:rPr>
          <w:rFonts w:hint="eastAsia" w:cs="Helvetica"/>
          <w:bCs/>
          <w:color w:val="auto"/>
          <w:sz w:val="24"/>
          <w:szCs w:val="24"/>
          <w:highlight w:val="none"/>
          <w:u w:val="single"/>
        </w:rPr>
        <w:t xml:space="preserve">              </w:t>
      </w:r>
    </w:p>
    <w:p w14:paraId="453FD5DE">
      <w:pPr>
        <w:pStyle w:val="11"/>
        <w:spacing w:after="0"/>
        <w:jc w:val="center"/>
        <w:rPr>
          <w:rFonts w:ascii="宋体" w:hAnsi="宋体" w:cs="宋体"/>
          <w:b/>
          <w:bCs/>
          <w:color w:val="auto"/>
          <w:spacing w:val="-20"/>
          <w:kern w:val="44"/>
          <w:sz w:val="48"/>
          <w:szCs w:val="48"/>
          <w:highlight w:val="none"/>
        </w:rPr>
      </w:pPr>
      <w:bookmarkStart w:id="516" w:name="_Toc3995"/>
    </w:p>
    <w:p w14:paraId="4DD54709">
      <w:pPr>
        <w:pStyle w:val="11"/>
        <w:spacing w:after="0"/>
        <w:jc w:val="center"/>
        <w:rPr>
          <w:rFonts w:ascii="宋体" w:hAnsi="宋体" w:cs="宋体"/>
          <w:b/>
          <w:bCs/>
          <w:color w:val="auto"/>
          <w:spacing w:val="-20"/>
          <w:kern w:val="44"/>
          <w:sz w:val="48"/>
          <w:szCs w:val="48"/>
          <w:highlight w:val="none"/>
        </w:rPr>
      </w:pPr>
    </w:p>
    <w:p w14:paraId="1471AFF4">
      <w:pPr>
        <w:pStyle w:val="11"/>
        <w:spacing w:after="0"/>
        <w:jc w:val="center"/>
        <w:rPr>
          <w:rFonts w:ascii="宋体" w:hAnsi="宋体" w:cs="宋体"/>
          <w:b/>
          <w:bCs/>
          <w:color w:val="auto"/>
          <w:spacing w:val="-20"/>
          <w:kern w:val="44"/>
          <w:sz w:val="48"/>
          <w:szCs w:val="48"/>
          <w:highlight w:val="none"/>
        </w:rPr>
      </w:pPr>
    </w:p>
    <w:p w14:paraId="71BEC943">
      <w:pPr>
        <w:pStyle w:val="11"/>
        <w:spacing w:after="0"/>
        <w:jc w:val="center"/>
        <w:rPr>
          <w:rFonts w:hint="eastAsia" w:ascii="宋体" w:hAnsi="宋体" w:eastAsia="宋体" w:cs="宋体"/>
          <w:b/>
          <w:bCs/>
          <w:color w:val="auto"/>
          <w:spacing w:val="-20"/>
          <w:kern w:val="44"/>
          <w:sz w:val="44"/>
          <w:szCs w:val="44"/>
          <w:highlight w:val="none"/>
        </w:rPr>
      </w:pPr>
      <w:r>
        <w:rPr>
          <w:rFonts w:hint="eastAsia" w:ascii="宋体" w:hAnsi="宋体" w:eastAsia="宋体" w:cs="宋体"/>
          <w:b/>
          <w:bCs/>
          <w:color w:val="auto"/>
          <w:spacing w:val="-20"/>
          <w:kern w:val="44"/>
          <w:sz w:val="44"/>
          <w:szCs w:val="44"/>
          <w:highlight w:val="none"/>
        </w:rPr>
        <w:t>政府采购</w:t>
      </w:r>
      <w:r>
        <w:rPr>
          <w:rFonts w:hint="eastAsia" w:ascii="宋体" w:hAnsi="宋体" w:eastAsia="宋体" w:cs="宋体"/>
          <w:b/>
          <w:bCs/>
          <w:color w:val="auto"/>
          <w:spacing w:val="-20"/>
          <w:kern w:val="44"/>
          <w:sz w:val="44"/>
          <w:szCs w:val="44"/>
          <w:highlight w:val="none"/>
          <w:lang w:eastAsia="zh-CN"/>
        </w:rPr>
        <w:t>货物买卖</w:t>
      </w:r>
      <w:r>
        <w:rPr>
          <w:rFonts w:hint="eastAsia" w:ascii="宋体" w:hAnsi="宋体" w:eastAsia="宋体" w:cs="宋体"/>
          <w:b/>
          <w:bCs/>
          <w:color w:val="auto"/>
          <w:spacing w:val="-20"/>
          <w:kern w:val="44"/>
          <w:sz w:val="44"/>
          <w:szCs w:val="44"/>
          <w:highlight w:val="none"/>
        </w:rPr>
        <w:t>合同</w:t>
      </w:r>
    </w:p>
    <w:p w14:paraId="6894012D">
      <w:pPr>
        <w:rPr>
          <w:rFonts w:ascii="宋体" w:hAnsi="宋体" w:cs="宋体"/>
          <w:b/>
          <w:bCs/>
          <w:color w:val="auto"/>
          <w:spacing w:val="-20"/>
          <w:kern w:val="44"/>
          <w:sz w:val="40"/>
          <w:szCs w:val="40"/>
          <w:highlight w:val="none"/>
        </w:rPr>
      </w:pPr>
    </w:p>
    <w:p w14:paraId="30743806">
      <w:pPr>
        <w:rPr>
          <w:rFonts w:ascii="宋体" w:hAnsi="宋体" w:cs="宋体"/>
          <w:b/>
          <w:bCs/>
          <w:color w:val="auto"/>
          <w:spacing w:val="-20"/>
          <w:kern w:val="44"/>
          <w:sz w:val="40"/>
          <w:szCs w:val="40"/>
          <w:highlight w:val="none"/>
        </w:rPr>
      </w:pPr>
    </w:p>
    <w:p w14:paraId="19E9F558">
      <w:pPr>
        <w:rPr>
          <w:rFonts w:ascii="宋体" w:hAnsi="宋体" w:cs="宋体"/>
          <w:b/>
          <w:bCs/>
          <w:color w:val="auto"/>
          <w:spacing w:val="-20"/>
          <w:kern w:val="44"/>
          <w:sz w:val="40"/>
          <w:szCs w:val="40"/>
          <w:highlight w:val="none"/>
        </w:rPr>
      </w:pPr>
    </w:p>
    <w:p w14:paraId="1F202B9E">
      <w:pPr>
        <w:rPr>
          <w:rFonts w:ascii="宋体" w:hAnsi="宋体" w:cs="宋体"/>
          <w:b/>
          <w:bCs/>
          <w:color w:val="auto"/>
          <w:spacing w:val="-20"/>
          <w:kern w:val="44"/>
          <w:sz w:val="40"/>
          <w:szCs w:val="40"/>
          <w:highlight w:val="none"/>
        </w:rPr>
      </w:pPr>
    </w:p>
    <w:p w14:paraId="081AFCCE">
      <w:pPr>
        <w:rPr>
          <w:rFonts w:ascii="宋体" w:hAnsi="宋体" w:cs="宋体"/>
          <w:b/>
          <w:bCs/>
          <w:color w:val="auto"/>
          <w:spacing w:val="-20"/>
          <w:kern w:val="44"/>
          <w:sz w:val="40"/>
          <w:szCs w:val="40"/>
          <w:highlight w:val="none"/>
        </w:rPr>
      </w:pPr>
    </w:p>
    <w:p w14:paraId="098EC355">
      <w:pPr>
        <w:spacing w:line="360" w:lineRule="auto"/>
        <w:ind w:left="480" w:leftChars="200"/>
        <w:rPr>
          <w:color w:val="auto"/>
          <w:sz w:val="36"/>
          <w:szCs w:val="36"/>
          <w:highlight w:val="none"/>
        </w:rPr>
      </w:pPr>
      <w:r>
        <w:rPr>
          <w:rFonts w:hint="eastAsia" w:ascii="宋体" w:hAnsi="宋体" w:cs="宋体"/>
          <w:color w:val="auto"/>
          <w:kern w:val="0"/>
          <w:sz w:val="36"/>
          <w:szCs w:val="36"/>
          <w:highlight w:val="none"/>
        </w:rPr>
        <w:t>项目名称：</w:t>
      </w:r>
      <w:r>
        <w:rPr>
          <w:rFonts w:hint="eastAsia"/>
          <w:color w:val="auto"/>
          <w:sz w:val="36"/>
          <w:szCs w:val="36"/>
          <w:highlight w:val="none"/>
          <w:u w:val="single"/>
        </w:rPr>
        <w:t xml:space="preserve">                             </w:t>
      </w:r>
    </w:p>
    <w:p w14:paraId="23CADBAB">
      <w:pPr>
        <w:spacing w:line="360" w:lineRule="auto"/>
        <w:ind w:left="480" w:leftChars="200"/>
        <w:rPr>
          <w:color w:val="auto"/>
          <w:sz w:val="36"/>
          <w:szCs w:val="36"/>
          <w:highlight w:val="none"/>
          <w:u w:val="single"/>
        </w:rPr>
      </w:pPr>
      <w:r>
        <w:rPr>
          <w:rFonts w:hint="eastAsia"/>
          <w:color w:val="auto"/>
          <w:sz w:val="36"/>
          <w:szCs w:val="36"/>
          <w:highlight w:val="none"/>
        </w:rPr>
        <w:t>合同编号：</w:t>
      </w:r>
      <w:r>
        <w:rPr>
          <w:rFonts w:hint="eastAsia"/>
          <w:color w:val="auto"/>
          <w:sz w:val="36"/>
          <w:szCs w:val="36"/>
          <w:highlight w:val="none"/>
          <w:u w:val="single"/>
        </w:rPr>
        <w:t xml:space="preserve">                             </w:t>
      </w:r>
    </w:p>
    <w:p w14:paraId="75ED7ACB">
      <w:pPr>
        <w:spacing w:line="360" w:lineRule="auto"/>
        <w:ind w:left="480" w:leftChars="200"/>
        <w:rPr>
          <w:color w:val="auto"/>
          <w:sz w:val="36"/>
          <w:szCs w:val="36"/>
          <w:highlight w:val="none"/>
        </w:rPr>
      </w:pPr>
      <w:r>
        <w:rPr>
          <w:rFonts w:hint="eastAsia"/>
          <w:color w:val="auto"/>
          <w:sz w:val="36"/>
          <w:szCs w:val="36"/>
          <w:highlight w:val="none"/>
        </w:rPr>
        <w:t>甲    方：</w:t>
      </w:r>
      <w:r>
        <w:rPr>
          <w:rFonts w:hint="eastAsia"/>
          <w:color w:val="auto"/>
          <w:sz w:val="36"/>
          <w:szCs w:val="36"/>
          <w:highlight w:val="none"/>
          <w:u w:val="single"/>
        </w:rPr>
        <w:t xml:space="preserve">                             </w:t>
      </w:r>
    </w:p>
    <w:p w14:paraId="773FB2EF">
      <w:pPr>
        <w:spacing w:line="360" w:lineRule="auto"/>
        <w:ind w:left="480" w:leftChars="200"/>
        <w:rPr>
          <w:color w:val="auto"/>
          <w:sz w:val="36"/>
          <w:szCs w:val="36"/>
          <w:highlight w:val="none"/>
          <w:u w:val="single"/>
        </w:rPr>
      </w:pPr>
      <w:r>
        <w:rPr>
          <w:rFonts w:hint="eastAsia"/>
          <w:color w:val="auto"/>
          <w:sz w:val="36"/>
          <w:szCs w:val="36"/>
          <w:highlight w:val="none"/>
        </w:rPr>
        <w:t>乙    方：</w:t>
      </w:r>
      <w:r>
        <w:rPr>
          <w:rFonts w:hint="eastAsia"/>
          <w:color w:val="auto"/>
          <w:sz w:val="36"/>
          <w:szCs w:val="36"/>
          <w:highlight w:val="none"/>
          <w:u w:val="single"/>
        </w:rPr>
        <w:t xml:space="preserve">                             </w:t>
      </w:r>
    </w:p>
    <w:p w14:paraId="2CBA5AAC">
      <w:pPr>
        <w:spacing w:line="360" w:lineRule="auto"/>
        <w:ind w:left="480" w:leftChars="200"/>
        <w:rPr>
          <w:color w:val="auto"/>
          <w:sz w:val="36"/>
          <w:szCs w:val="36"/>
          <w:highlight w:val="none"/>
        </w:rPr>
      </w:pPr>
      <w:r>
        <w:rPr>
          <w:rFonts w:hint="eastAsia"/>
          <w:color w:val="auto"/>
          <w:sz w:val="36"/>
          <w:szCs w:val="36"/>
          <w:highlight w:val="none"/>
        </w:rPr>
        <w:t>签订时间：</w:t>
      </w:r>
      <w:r>
        <w:rPr>
          <w:rFonts w:hint="eastAsia"/>
          <w:color w:val="auto"/>
          <w:sz w:val="36"/>
          <w:szCs w:val="36"/>
          <w:highlight w:val="none"/>
          <w:u w:val="single"/>
        </w:rPr>
        <w:t xml:space="preserve">      </w:t>
      </w:r>
      <w:r>
        <w:rPr>
          <w:color w:val="auto"/>
          <w:sz w:val="36"/>
          <w:szCs w:val="36"/>
          <w:highlight w:val="none"/>
          <w:u w:val="single"/>
        </w:rPr>
        <w:t xml:space="preserve">           </w:t>
      </w:r>
      <w:r>
        <w:rPr>
          <w:rFonts w:hint="eastAsia"/>
          <w:color w:val="auto"/>
          <w:sz w:val="36"/>
          <w:szCs w:val="36"/>
          <w:highlight w:val="none"/>
          <w:u w:val="single"/>
        </w:rPr>
        <w:t xml:space="preserve">            </w:t>
      </w:r>
    </w:p>
    <w:p w14:paraId="32D9847D">
      <w:pPr>
        <w:rPr>
          <w:color w:val="auto"/>
          <w:highlight w:val="none"/>
        </w:rPr>
      </w:pPr>
    </w:p>
    <w:p w14:paraId="6DC7E545">
      <w:pPr>
        <w:rPr>
          <w:rFonts w:eastAsia="黑体"/>
          <w:color w:val="auto"/>
          <w:sz w:val="44"/>
          <w:szCs w:val="44"/>
          <w:highlight w:val="none"/>
        </w:rPr>
      </w:pPr>
      <w:r>
        <w:rPr>
          <w:rFonts w:eastAsia="黑体"/>
          <w:color w:val="auto"/>
          <w:sz w:val="44"/>
          <w:szCs w:val="44"/>
          <w:highlight w:val="none"/>
        </w:rPr>
        <w:br w:type="page"/>
      </w:r>
    </w:p>
    <w:p w14:paraId="248E6903">
      <w:pPr>
        <w:rPr>
          <w:rFonts w:eastAsia="黑体"/>
          <w:color w:val="auto"/>
          <w:sz w:val="44"/>
          <w:szCs w:val="44"/>
          <w:highlight w:val="none"/>
        </w:rPr>
      </w:pPr>
    </w:p>
    <w:p w14:paraId="4A7C638C">
      <w:pPr>
        <w:jc w:val="center"/>
        <w:rPr>
          <w:rFonts w:hint="eastAsia" w:ascii="宋体" w:hAnsi="宋体" w:eastAsia="宋体" w:cs="宋体"/>
          <w:b/>
          <w:bCs/>
          <w:color w:val="auto"/>
          <w:sz w:val="36"/>
          <w:szCs w:val="36"/>
          <w:highlight w:val="none"/>
          <w:lang w:eastAsia="zh-CN"/>
        </w:rPr>
      </w:pPr>
      <w:r>
        <w:rPr>
          <w:rFonts w:hint="eastAsia" w:ascii="宋体" w:hAnsi="宋体" w:eastAsia="宋体" w:cs="宋体"/>
          <w:b/>
          <w:bCs/>
          <w:color w:val="auto"/>
          <w:sz w:val="36"/>
          <w:szCs w:val="36"/>
          <w:highlight w:val="none"/>
          <w:lang w:eastAsia="zh-CN"/>
        </w:rPr>
        <w:t>使</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lang w:eastAsia="zh-CN"/>
        </w:rPr>
        <w:t>用</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lang w:eastAsia="zh-CN"/>
        </w:rPr>
        <w:t>说</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lang w:eastAsia="zh-CN"/>
        </w:rPr>
        <w:t>明</w:t>
      </w:r>
    </w:p>
    <w:p w14:paraId="6B592E2F">
      <w:pPr>
        <w:ind w:firstLine="640" w:firstLineChars="200"/>
        <w:rPr>
          <w:rFonts w:hint="eastAsia" w:ascii="仿宋_GB2312" w:hAnsi="仿宋_GB2312" w:eastAsia="仿宋_GB2312" w:cs="仿宋_GB2312"/>
          <w:color w:val="auto"/>
          <w:sz w:val="32"/>
          <w:szCs w:val="32"/>
          <w:highlight w:val="none"/>
          <w:lang w:val="en-US" w:eastAsia="zh-CN"/>
        </w:rPr>
      </w:pPr>
    </w:p>
    <w:p w14:paraId="3CAECAF9">
      <w:pPr>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1.本合同标准文本适用于购买现成货物的采购项目，不包括需要供应商定制开发、创新研发的货物采购项目。</w:t>
      </w:r>
    </w:p>
    <w:p w14:paraId="2627C031">
      <w:pPr>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2.本合同标准文本为政府采购货物买卖合同编制提供参考，可以结合采购项目具体情况，对文本作必要的调整修订后使用。</w:t>
      </w:r>
    </w:p>
    <w:p w14:paraId="1C280F5C">
      <w:pPr>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3.本合同标准文本各条款中，如涉及填写多家供应商、制造商，多种采购标的、分包主要内容等信息的，可根据采购项目具体情况添加信息项。</w:t>
      </w:r>
    </w:p>
    <w:p w14:paraId="5EA3FD07">
      <w:pPr>
        <w:ind w:firstLine="560" w:firstLineChars="200"/>
        <w:rPr>
          <w:rFonts w:hint="eastAsia" w:ascii="宋体" w:hAnsi="宋体" w:eastAsia="宋体" w:cs="宋体"/>
          <w:color w:val="auto"/>
          <w:sz w:val="28"/>
          <w:szCs w:val="28"/>
          <w:highlight w:val="none"/>
          <w:lang w:val="en-US" w:eastAsia="zh-CN"/>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pPr>
    </w:p>
    <w:bookmarkEnd w:id="516"/>
    <w:p w14:paraId="3276BAC0">
      <w:pPr>
        <w:pStyle w:val="3"/>
        <w:adjustRightInd w:val="0"/>
        <w:snapToGrid w:val="0"/>
        <w:spacing w:beforeLines="0" w:line="400" w:lineRule="exact"/>
        <w:jc w:val="center"/>
        <w:rPr>
          <w:rFonts w:hint="eastAsia" w:ascii="宋体" w:hAnsi="宋体" w:eastAsia="宋体" w:cs="宋体"/>
          <w:b/>
          <w:bCs/>
          <w:color w:val="auto"/>
          <w:sz w:val="36"/>
          <w:szCs w:val="36"/>
          <w:highlight w:val="none"/>
        </w:rPr>
      </w:pPr>
      <w:bookmarkStart w:id="517" w:name="_Toc7707"/>
      <w:bookmarkStart w:id="518" w:name="_Toc21569"/>
      <w:bookmarkStart w:id="519" w:name="_Toc22209"/>
      <w:r>
        <w:rPr>
          <w:rFonts w:hint="eastAsia" w:ascii="宋体" w:hAnsi="宋体" w:eastAsia="宋体" w:cs="宋体"/>
          <w:b/>
          <w:bCs/>
          <w:color w:val="auto"/>
          <w:sz w:val="36"/>
          <w:szCs w:val="36"/>
          <w:highlight w:val="none"/>
        </w:rPr>
        <w:t>第一节 政府采购合同协议书</w:t>
      </w:r>
      <w:bookmarkEnd w:id="517"/>
      <w:bookmarkEnd w:id="518"/>
      <w:bookmarkEnd w:id="519"/>
    </w:p>
    <w:p w14:paraId="65911421">
      <w:pPr>
        <w:pStyle w:val="3"/>
        <w:keepNext/>
        <w:keepLines/>
        <w:pageBreakBefore w:val="0"/>
        <w:widowControl w:val="0"/>
        <w:kinsoku/>
        <w:wordWrap/>
        <w:overflowPunct/>
        <w:topLinePunct w:val="0"/>
        <w:autoSpaceDE/>
        <w:autoSpaceDN/>
        <w:bidi w:val="0"/>
        <w:adjustRightInd w:val="0"/>
        <w:snapToGrid w:val="0"/>
        <w:spacing w:before="140" w:beforeLines="0" w:after="140" w:line="400" w:lineRule="exact"/>
        <w:jc w:val="center"/>
        <w:textAlignment w:val="auto"/>
        <w:rPr>
          <w:rFonts w:hint="eastAsia" w:ascii="黑体" w:hAnsi="华文中宋" w:eastAsia="黑体"/>
          <w:b w:val="0"/>
          <w:bCs w:val="0"/>
          <w:color w:val="auto"/>
          <w:sz w:val="28"/>
          <w:szCs w:val="28"/>
          <w:highlight w:val="none"/>
        </w:rPr>
      </w:pPr>
    </w:p>
    <w:p w14:paraId="7749E471">
      <w:pPr>
        <w:adjustRightInd w:val="0"/>
        <w:snapToGrid w:val="0"/>
        <w:spacing w:before="0" w:beforeLines="0" w:line="400" w:lineRule="exact"/>
        <w:ind w:left="4800" w:hanging="4200" w:hangingChars="20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（采购人</w:t>
      </w:r>
      <w:r>
        <w:rPr>
          <w:rFonts w:hint="eastAsia" w:ascii="宋体" w:hAnsi="宋体" w:eastAsia="宋体" w:cs="宋体"/>
          <w:color w:val="auto"/>
          <w:sz w:val="21"/>
          <w:szCs w:val="21"/>
          <w:highlight w:val="none"/>
          <w:lang w:eastAsia="zh-CN"/>
        </w:rPr>
        <w:t>、受采购人委托签订合同的单位</w:t>
      </w:r>
      <w:r>
        <w:rPr>
          <w:rFonts w:hint="eastAsia" w:ascii="宋体" w:hAnsi="宋体" w:eastAsia="宋体" w:cs="宋体"/>
          <w:color w:val="auto"/>
          <w:sz w:val="21"/>
          <w:szCs w:val="21"/>
          <w:highlight w:val="none"/>
        </w:rPr>
        <w:t>或采购文件约定的合同甲方）</w:t>
      </w:r>
    </w:p>
    <w:p w14:paraId="5F8C6ADE">
      <w:pPr>
        <w:adjustRightInd w:val="0"/>
        <w:snapToGrid w:val="0"/>
        <w:spacing w:before="0" w:beforeLines="0"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（供应商）</w:t>
      </w:r>
    </w:p>
    <w:p w14:paraId="294172C4">
      <w:pPr>
        <w:adjustRightInd w:val="0"/>
        <w:snapToGrid w:val="0"/>
        <w:spacing w:before="0" w:beforeLines="0" w:line="400" w:lineRule="exact"/>
        <w:ind w:left="5040" w:hanging="4410" w:hangingChars="2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乙方2（全称）：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（联合体成员供应商或其他合同主体）（如有）</w:t>
      </w:r>
    </w:p>
    <w:p w14:paraId="5F8DC28B">
      <w:pPr>
        <w:adjustRightInd w:val="0"/>
        <w:snapToGrid w:val="0"/>
        <w:spacing w:before="0" w:beforeLines="0" w:line="400" w:lineRule="exact"/>
        <w:ind w:left="5040" w:hanging="4410" w:hangingChars="2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乙方</w:t>
      </w:r>
      <w:r>
        <w:rPr>
          <w:rFonts w:hint="eastAsia" w:ascii="宋体" w:hAnsi="宋体" w:eastAsia="宋体" w:cs="宋体"/>
          <w:color w:val="auto"/>
          <w:sz w:val="21"/>
          <w:szCs w:val="21"/>
          <w:highlight w:val="none"/>
          <w:lang w:val="en-US" w:eastAsia="zh-CN"/>
        </w:rPr>
        <w:t>3（全称）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（联合体成员供应商或其他合同主体）（如有）</w:t>
      </w:r>
    </w:p>
    <w:p w14:paraId="7295A8B9">
      <w:pPr>
        <w:spacing w:beforeLines="0" w:line="400" w:lineRule="exact"/>
        <w:rPr>
          <w:rFonts w:hint="eastAsia" w:ascii="宋体" w:hAnsi="宋体" w:eastAsia="宋体" w:cs="宋体"/>
          <w:color w:val="auto"/>
          <w:sz w:val="21"/>
          <w:szCs w:val="21"/>
          <w:highlight w:val="none"/>
          <w:lang w:val="en-US" w:eastAsia="zh-CN"/>
        </w:rPr>
      </w:pPr>
    </w:p>
    <w:p w14:paraId="73AFFB38">
      <w:pPr>
        <w:pStyle w:val="12"/>
        <w:adjustRightInd w:val="0"/>
        <w:snapToGrid w:val="0"/>
        <w:spacing w:before="0" w:beforeLines="0" w:after="0" w:line="400" w:lineRule="exact"/>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依据《中华人民共和国民法典》</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《中华人民共和国政府采购法》等有关的法律法规，以及</w:t>
      </w:r>
      <w:r>
        <w:rPr>
          <w:rFonts w:hint="eastAsia" w:ascii="宋体" w:hAnsi="宋体" w:eastAsia="宋体" w:cs="宋体"/>
          <w:i w:val="0"/>
          <w:iCs w:val="0"/>
          <w:color w:val="auto"/>
          <w:sz w:val="21"/>
          <w:szCs w:val="21"/>
          <w:highlight w:val="none"/>
          <w:u w:val="none"/>
          <w:lang w:eastAsia="zh-CN"/>
        </w:rPr>
        <w:t>本采购项目</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lang w:val="en-US" w:eastAsia="zh-CN"/>
        </w:rPr>
        <w:t>/</w:t>
      </w:r>
      <w:r>
        <w:rPr>
          <w:rFonts w:hint="eastAsia" w:eastAsia="宋体" w:cs="宋体"/>
          <w:color w:val="auto"/>
          <w:sz w:val="21"/>
          <w:szCs w:val="21"/>
          <w:highlight w:val="none"/>
          <w:lang w:val="en-US" w:eastAsia="zh-CN"/>
        </w:rPr>
        <w:t>磋商</w:t>
      </w:r>
      <w:r>
        <w:rPr>
          <w:rFonts w:hint="eastAsia" w:ascii="宋体" w:hAnsi="宋体" w:eastAsia="宋体" w:cs="宋体"/>
          <w:color w:val="auto"/>
          <w:sz w:val="21"/>
          <w:szCs w:val="21"/>
          <w:highlight w:val="none"/>
          <w:lang w:eastAsia="zh-CN"/>
        </w:rPr>
        <w:t>文件等</w:t>
      </w:r>
      <w:r>
        <w:rPr>
          <w:rFonts w:hint="eastAsia" w:ascii="宋体" w:hAnsi="宋体" w:eastAsia="宋体" w:cs="宋体"/>
          <w:color w:val="auto"/>
          <w:sz w:val="21"/>
          <w:szCs w:val="21"/>
          <w:highlight w:val="none"/>
        </w:rPr>
        <w:t>采购文件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乙方的《投标（响应）文件》及《中标（成交）通知书》，甲乙双方同意签订本合同。具体情况及要求如下：     </w:t>
      </w:r>
    </w:p>
    <w:p w14:paraId="2B03533E">
      <w:pPr>
        <w:numPr>
          <w:ilvl w:val="0"/>
          <w:numId w:val="1"/>
        </w:numPr>
        <w:adjustRightInd w:val="0"/>
        <w:snapToGrid w:val="0"/>
        <w:spacing w:before="0" w:beforeLines="0"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项目信息</w:t>
      </w:r>
    </w:p>
    <w:p w14:paraId="60DDE6F7">
      <w:pPr>
        <w:pStyle w:val="12"/>
        <w:numPr>
          <w:ilvl w:val="0"/>
          <w:numId w:val="2"/>
        </w:numPr>
        <w:adjustRightInd w:val="0"/>
        <w:snapToGrid w:val="0"/>
        <w:spacing w:before="0" w:beforeLines="0" w:after="0" w:line="400" w:lineRule="exact"/>
        <w:ind w:left="0" w:lef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采购项目名称：</w:t>
      </w:r>
      <w:r>
        <w:rPr>
          <w:rFonts w:hint="eastAsia" w:ascii="宋体" w:hAnsi="宋体" w:eastAsia="宋体" w:cs="宋体"/>
          <w:color w:val="auto"/>
          <w:sz w:val="21"/>
          <w:szCs w:val="21"/>
          <w:highlight w:val="none"/>
          <w:u w:val="single"/>
        </w:rPr>
        <w:t xml:space="preserve">                                          </w:t>
      </w:r>
    </w:p>
    <w:p w14:paraId="71185B53">
      <w:pPr>
        <w:pStyle w:val="12"/>
        <w:numPr>
          <w:ilvl w:val="-1"/>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 xml:space="preserve">         采购项目编号</w:t>
      </w:r>
      <w:r>
        <w:rPr>
          <w:rFonts w:hint="eastAsia" w:eastAsia="宋体" w:cs="宋体"/>
          <w:color w:val="auto"/>
          <w:sz w:val="21"/>
          <w:szCs w:val="21"/>
          <w:highlight w:val="none"/>
          <w:u w:val="none"/>
          <w:lang w:val="en-US" w:eastAsia="zh-CN"/>
        </w:rPr>
        <w:t>/包号</w:t>
      </w:r>
      <w:r>
        <w:rPr>
          <w:rFonts w:hint="eastAsia" w:ascii="宋体" w:hAnsi="宋体" w:eastAsia="宋体" w:cs="宋体"/>
          <w:color w:val="auto"/>
          <w:sz w:val="21"/>
          <w:szCs w:val="21"/>
          <w:highlight w:val="none"/>
          <w:u w:val="none"/>
          <w:lang w:val="en-US" w:eastAsia="zh-CN"/>
        </w:rPr>
        <w:t>：</w:t>
      </w:r>
      <w:r>
        <w:rPr>
          <w:rFonts w:hint="eastAsia" w:ascii="宋体" w:hAnsi="宋体" w:eastAsia="宋体" w:cs="宋体"/>
          <w:color w:val="auto"/>
          <w:sz w:val="21"/>
          <w:szCs w:val="21"/>
          <w:highlight w:val="none"/>
          <w:u w:val="single"/>
        </w:rPr>
        <w:t xml:space="preserve">                                          </w:t>
      </w:r>
    </w:p>
    <w:p w14:paraId="29C2DF94">
      <w:pPr>
        <w:pStyle w:val="12"/>
        <w:adjustRightInd w:val="0"/>
        <w:snapToGrid w:val="0"/>
        <w:spacing w:before="0" w:beforeLines="0" w:after="0" w:line="400" w:lineRule="exact"/>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（2）采购计划编号：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51F91617">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（3）项目内容：</w:t>
      </w:r>
    </w:p>
    <w:p w14:paraId="19BD6A2B">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采购标的及数量</w:t>
      </w:r>
      <w:r>
        <w:rPr>
          <w:rFonts w:hint="eastAsia" w:ascii="宋体" w:hAnsi="宋体" w:eastAsia="宋体" w:cs="宋体"/>
          <w:color w:val="auto"/>
          <w:sz w:val="21"/>
          <w:szCs w:val="21"/>
          <w:highlight w:val="none"/>
          <w:lang w:val="en-US" w:eastAsia="zh-CN"/>
        </w:rPr>
        <w:t>（台/套</w:t>
      </w:r>
      <w:r>
        <w:rPr>
          <w:rFonts w:hint="eastAsia" w:ascii="宋体" w:hAnsi="宋体" w:eastAsia="宋体" w:cs="宋体"/>
          <w:color w:val="auto"/>
          <w:sz w:val="21"/>
          <w:szCs w:val="21"/>
          <w:highlight w:val="none"/>
          <w:lang w:val="en" w:eastAsia="zh-CN"/>
        </w:rPr>
        <w:t>/个/架/组等</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2D253C95">
      <w:pPr>
        <w:numPr>
          <w:ilvl w:val="-1"/>
          <w:numId w:val="0"/>
        </w:num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val="en" w:eastAsia="zh-CN"/>
        </w:rPr>
      </w:pP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 w:eastAsia="zh-CN"/>
        </w:rPr>
        <w:t xml:space="preserve">     </w:t>
      </w:r>
      <w:r>
        <w:rPr>
          <w:rFonts w:hint="eastAsia" w:ascii="宋体" w:hAnsi="宋体" w:eastAsia="宋体" w:cs="宋体"/>
          <w:color w:val="auto"/>
          <w:sz w:val="21"/>
          <w:szCs w:val="21"/>
          <w:highlight w:val="none"/>
          <w:lang w:val="en-US" w:eastAsia="zh-CN"/>
        </w:rPr>
        <w:t>规格型号：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 w:eastAsia="zh-CN"/>
        </w:rPr>
        <w:t xml:space="preserve">   </w:t>
      </w:r>
    </w:p>
    <w:p w14:paraId="0A19BCBE">
      <w:pPr>
        <w:adjustRightInd w:val="0"/>
        <w:snapToGrid w:val="0"/>
        <w:spacing w:before="0" w:beforeLines="0" w:line="400" w:lineRule="exact"/>
        <w:ind w:firstLine="945" w:firstLineChars="45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采购标的的技术要求、商务要求具体见附件。</w:t>
      </w:r>
    </w:p>
    <w:p w14:paraId="1EE9A6FC">
      <w:pPr>
        <w:numPr>
          <w:ilvl w:val="-1"/>
          <w:numId w:val="0"/>
        </w:numPr>
        <w:adjustRightInd w:val="0"/>
        <w:snapToGrid w:val="0"/>
        <w:spacing w:before="0" w:beforeLines="0" w:line="400" w:lineRule="exact"/>
        <w:ind w:firstLine="945" w:firstLineChars="45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①涉及信息类产品，请填写该产品关键部件的品牌、型号：</w:t>
      </w:r>
    </w:p>
    <w:p w14:paraId="105F1076">
      <w:pPr>
        <w:numPr>
          <w:ilvl w:val="-1"/>
          <w:numId w:val="0"/>
        </w:numPr>
        <w:adjustRightInd w:val="0"/>
        <w:snapToGrid w:val="0"/>
        <w:spacing w:before="0" w:beforeLines="0" w:line="400" w:lineRule="exact"/>
        <w:ind w:firstLine="420" w:firstLineChars="200"/>
        <w:rPr>
          <w:rFonts w:hint="eastAsia" w:ascii="宋体" w:hAnsi="宋体" w:eastAsia="宋体" w:cs="宋体"/>
          <w:color w:val="auto"/>
          <w:kern w:val="0"/>
          <w:sz w:val="21"/>
          <w:szCs w:val="21"/>
          <w:highlight w:val="none"/>
          <w:u w:val="single"/>
          <w:lang w:val="en-US" w:eastAsia="zh-CN"/>
        </w:rPr>
      </w:pPr>
      <w:r>
        <w:rPr>
          <w:rFonts w:hint="eastAsia" w:ascii="宋体" w:hAnsi="宋体" w:eastAsia="宋体" w:cs="宋体"/>
          <w:color w:val="auto"/>
          <w:sz w:val="21"/>
          <w:szCs w:val="21"/>
          <w:highlight w:val="none"/>
          <w:lang w:val="en-US" w:eastAsia="zh-CN"/>
        </w:rPr>
        <w:t xml:space="preserve">     标的名称：</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single"/>
          <w:lang w:val="en" w:eastAsia="zh-CN"/>
        </w:rPr>
        <w:t xml:space="preserve">               </w:t>
      </w:r>
      <w:r>
        <w:rPr>
          <w:rFonts w:hint="eastAsia" w:ascii="宋体" w:hAnsi="宋体" w:eastAsia="宋体" w:cs="宋体"/>
          <w:color w:val="auto"/>
          <w:kern w:val="0"/>
          <w:sz w:val="21"/>
          <w:szCs w:val="21"/>
          <w:highlight w:val="none"/>
          <w:u w:val="single"/>
          <w:lang w:val="en-US" w:eastAsia="zh-CN"/>
        </w:rPr>
        <w:t xml:space="preserve">    </w:t>
      </w:r>
    </w:p>
    <w:p w14:paraId="36CCB7D0">
      <w:pPr>
        <w:numPr>
          <w:ilvl w:val="-1"/>
          <w:numId w:val="0"/>
        </w:num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7FD83092">
      <w:pPr>
        <w:pStyle w:val="51"/>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0349841B">
      <w:pPr>
        <w:pStyle w:val="51"/>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35222B95">
      <w:pPr>
        <w:pStyle w:val="51"/>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535AD96">
      <w:pPr>
        <w:pStyle w:val="51"/>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②涉及车辆采购，请填写是否属于新能源汽车：</w:t>
      </w:r>
    </w:p>
    <w:p w14:paraId="27BCD974">
      <w:pPr>
        <w:pStyle w:val="51"/>
        <w:numPr>
          <w:ilvl w:val="-1"/>
          <w:numId w:val="0"/>
        </w:numPr>
        <w:adjustRightInd w:val="0"/>
        <w:snapToGrid w:val="0"/>
        <w:spacing w:before="0" w:beforeLines="0" w:line="400" w:lineRule="exact"/>
        <w:ind w:firstLine="0" w:firstLineChars="0"/>
        <w:rPr>
          <w:rFonts w:hint="eastAsia" w:ascii="宋体" w:hAnsi="宋体" w:eastAsia="宋体" w:cs="宋体"/>
          <w:iCs w:val="0"/>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是</w:t>
      </w:r>
      <w:r>
        <w:rPr>
          <w:rFonts w:hint="eastAsia" w:ascii="宋体" w:hAnsi="宋体" w:eastAsia="宋体" w:cs="宋体"/>
          <w:iCs w:val="0"/>
          <w:color w:val="auto"/>
          <w:sz w:val="21"/>
          <w:szCs w:val="21"/>
          <w:highlight w:val="none"/>
          <w:lang w:eastAsia="zh-CN"/>
        </w:rPr>
        <w:t>，《政府采购品目分类目录》底级品目名称</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数量：</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iCs w:val="0"/>
          <w:color w:val="auto"/>
          <w:sz w:val="21"/>
          <w:szCs w:val="21"/>
          <w:highlight w:val="none"/>
          <w:lang w:val="en-US" w:eastAsia="zh-CN"/>
        </w:rPr>
        <w:t xml:space="preserve"> </w:t>
      </w:r>
    </w:p>
    <w:p w14:paraId="58C18C71">
      <w:pPr>
        <w:pStyle w:val="51"/>
        <w:numPr>
          <w:ilvl w:val="-1"/>
          <w:numId w:val="0"/>
        </w:numPr>
        <w:adjustRightInd w:val="0"/>
        <w:snapToGrid w:val="0"/>
        <w:spacing w:before="0" w:beforeLines="0" w:line="400" w:lineRule="exact"/>
        <w:ind w:firstLine="0" w:firstLineChars="0"/>
        <w:rPr>
          <w:rFonts w:hint="eastAsia" w:ascii="宋体" w:hAnsi="宋体" w:eastAsia="宋体" w:cs="宋体"/>
          <w:iCs w:val="0"/>
          <w:color w:val="auto"/>
          <w:sz w:val="21"/>
          <w:szCs w:val="21"/>
          <w:highlight w:val="none"/>
          <w:lang w:eastAsia="zh-CN"/>
        </w:rPr>
      </w:pP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否</w:t>
      </w:r>
    </w:p>
    <w:p w14:paraId="3301B3DD">
      <w:pPr>
        <w:pStyle w:val="51"/>
        <w:numPr>
          <w:ilvl w:val="-1"/>
          <w:numId w:val="0"/>
        </w:numPr>
        <w:adjustRightInd w:val="0"/>
        <w:snapToGrid w:val="0"/>
        <w:spacing w:before="0" w:beforeLines="0" w:line="400" w:lineRule="exact"/>
        <w:ind w:left="0" w:firstLine="0" w:firstLineChars="0"/>
        <w:rPr>
          <w:rFonts w:hint="eastAsia" w:ascii="宋体" w:hAnsi="宋体" w:eastAsia="宋体" w:cs="宋体"/>
          <w:iCs w:val="0"/>
          <w:color w:val="auto"/>
          <w:sz w:val="21"/>
          <w:szCs w:val="21"/>
          <w:highlight w:val="none"/>
          <w:lang w:val="en-US" w:eastAsia="zh-CN"/>
        </w:rPr>
      </w:pP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lang w:val="en" w:eastAsia="zh-CN"/>
        </w:rPr>
        <w:t>4</w:t>
      </w:r>
      <w:r>
        <w:rPr>
          <w:rFonts w:hint="eastAsia" w:ascii="宋体" w:hAnsi="宋体" w:eastAsia="宋体" w:cs="宋体"/>
          <w:iCs w:val="0"/>
          <w:color w:val="auto"/>
          <w:sz w:val="21"/>
          <w:szCs w:val="21"/>
          <w:highlight w:val="none"/>
          <w:lang w:val="en-US" w:eastAsia="zh-CN"/>
        </w:rPr>
        <w:t>）政府采购组织形式：</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政府集中采购</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val="en-US" w:eastAsia="zh-CN"/>
        </w:rPr>
        <w:t xml:space="preserve">部门集中采购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val="en-US" w:eastAsia="zh-CN"/>
        </w:rPr>
        <w:t>分散采购</w:t>
      </w:r>
    </w:p>
    <w:p w14:paraId="51033CAD">
      <w:pPr>
        <w:pStyle w:val="51"/>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lang w:eastAsia="zh-CN"/>
        </w:rPr>
      </w:pPr>
      <w:r>
        <w:rPr>
          <w:rFonts w:hint="eastAsia" w:ascii="宋体" w:hAnsi="宋体" w:eastAsia="宋体" w:cs="宋体"/>
          <w:iCs w:val="0"/>
          <w:color w:val="auto"/>
          <w:sz w:val="21"/>
          <w:szCs w:val="21"/>
          <w:highlight w:val="none"/>
          <w:lang w:val="en-US" w:eastAsia="zh-CN"/>
        </w:rPr>
        <w:t>（</w:t>
      </w:r>
      <w:r>
        <w:rPr>
          <w:rFonts w:hint="eastAsia" w:ascii="宋体" w:hAnsi="宋体" w:eastAsia="宋体" w:cs="宋体"/>
          <w:iCs w:val="0"/>
          <w:color w:val="auto"/>
          <w:sz w:val="21"/>
          <w:szCs w:val="21"/>
          <w:highlight w:val="none"/>
          <w:lang w:val="en" w:eastAsia="zh-CN"/>
        </w:rPr>
        <w:t>5</w:t>
      </w:r>
      <w:r>
        <w:rPr>
          <w:rFonts w:hint="eastAsia" w:ascii="宋体" w:hAnsi="宋体" w:eastAsia="宋体" w:cs="宋体"/>
          <w:iCs w:val="0"/>
          <w:color w:val="auto"/>
          <w:sz w:val="21"/>
          <w:szCs w:val="21"/>
          <w:highlight w:val="none"/>
          <w:lang w:val="en-US" w:eastAsia="zh-CN"/>
        </w:rPr>
        <w:t>）政府采购方式：</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公开招标</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邀请招标</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竞争性谈判</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竞争性磋商</w:t>
      </w:r>
    </w:p>
    <w:p w14:paraId="7B1D1C5B">
      <w:pPr>
        <w:pStyle w:val="51"/>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询价</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单一来源</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框架协议</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556B6728">
      <w:pPr>
        <w:pStyle w:val="51"/>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1636898B">
      <w:pPr>
        <w:pStyle w:val="51"/>
        <w:numPr>
          <w:ilvl w:val="-1"/>
          <w:numId w:val="0"/>
        </w:numPr>
        <w:adjustRightInd w:val="0"/>
        <w:snapToGrid w:val="0"/>
        <w:spacing w:before="0" w:beforeLines="0" w:line="400" w:lineRule="exact"/>
        <w:ind w:firstLine="210" w:firstLineChars="100"/>
        <w:rPr>
          <w:rFonts w:hint="eastAsia" w:ascii="宋体" w:hAnsi="宋体" w:eastAsia="宋体" w:cs="宋体"/>
          <w:color w:val="auto"/>
          <w:w w:val="1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 w:eastAsia="zh-CN"/>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w w:val="100"/>
          <w:kern w:val="2"/>
          <w:sz w:val="21"/>
          <w:szCs w:val="21"/>
          <w:highlight w:val="none"/>
          <w:lang w:val="en-US" w:eastAsia="zh-CN" w:bidi="ar-SA"/>
        </w:rPr>
        <w:t>中标（成交）采购标的制造商是否为中小企业：</w:t>
      </w:r>
      <w:r>
        <w:rPr>
          <w:rFonts w:hint="eastAsia" w:ascii="宋体" w:hAnsi="宋体" w:eastAsia="宋体" w:cs="宋体"/>
          <w:color w:val="auto"/>
          <w:w w:val="100"/>
          <w:kern w:val="2"/>
          <w:sz w:val="21"/>
          <w:szCs w:val="21"/>
          <w:highlight w:val="none"/>
          <w:lang w:val="en-US" w:eastAsia="zh-CN" w:bidi="ar-SA"/>
        </w:rPr>
        <w:sym w:font="Wingdings" w:char="00A8"/>
      </w:r>
      <w:r>
        <w:rPr>
          <w:rFonts w:hint="eastAsia" w:ascii="宋体" w:hAnsi="宋体" w:eastAsia="宋体" w:cs="宋体"/>
          <w:color w:val="auto"/>
          <w:w w:val="100"/>
          <w:kern w:val="2"/>
          <w:sz w:val="21"/>
          <w:szCs w:val="21"/>
          <w:highlight w:val="none"/>
          <w:lang w:val="en-US" w:eastAsia="zh-CN" w:bidi="ar-SA"/>
        </w:rPr>
        <w:t xml:space="preserve">是      </w:t>
      </w:r>
      <w:r>
        <w:rPr>
          <w:rFonts w:hint="eastAsia" w:ascii="宋体" w:hAnsi="宋体" w:eastAsia="宋体" w:cs="宋体"/>
          <w:color w:val="auto"/>
          <w:w w:val="100"/>
          <w:kern w:val="2"/>
          <w:sz w:val="21"/>
          <w:szCs w:val="21"/>
          <w:highlight w:val="none"/>
          <w:lang w:val="en-US" w:eastAsia="zh-CN" w:bidi="ar-SA"/>
        </w:rPr>
        <w:sym w:font="Wingdings" w:char="00A8"/>
      </w:r>
      <w:r>
        <w:rPr>
          <w:rFonts w:hint="eastAsia" w:ascii="宋体" w:hAnsi="宋体" w:eastAsia="宋体" w:cs="宋体"/>
          <w:color w:val="auto"/>
          <w:w w:val="100"/>
          <w:kern w:val="2"/>
          <w:sz w:val="21"/>
          <w:szCs w:val="21"/>
          <w:highlight w:val="none"/>
          <w:lang w:val="en-US" w:eastAsia="zh-CN" w:bidi="ar-SA"/>
        </w:rPr>
        <w:t>否</w:t>
      </w:r>
    </w:p>
    <w:p w14:paraId="61FB4A07">
      <w:pPr>
        <w:numPr>
          <w:ilvl w:val="-1"/>
          <w:numId w:val="0"/>
        </w:numPr>
        <w:adjustRightInd w:val="0"/>
        <w:snapToGrid w:val="0"/>
        <w:spacing w:before="0" w:beforeLines="0" w:line="400" w:lineRule="exact"/>
        <w:ind w:left="0" w:leftChars="0" w:firstLine="0" w:firstLineChars="0"/>
        <w:rPr>
          <w:rFonts w:hint="eastAsia" w:ascii="宋体" w:hAnsi="宋体" w:eastAsia="宋体" w:cs="宋体"/>
          <w:iCs/>
          <w:color w:val="auto"/>
          <w:sz w:val="21"/>
          <w:szCs w:val="21"/>
          <w:highlight w:val="none"/>
        </w:rPr>
      </w:pPr>
      <w:r>
        <w:rPr>
          <w:rFonts w:hint="eastAsia" w:ascii="宋体" w:hAnsi="宋体" w:eastAsia="宋体" w:cs="宋体"/>
          <w:color w:val="auto"/>
          <w:w w:val="100"/>
          <w:sz w:val="21"/>
          <w:szCs w:val="21"/>
          <w:highlight w:val="none"/>
          <w:lang w:val="en-US" w:eastAsia="zh-CN"/>
        </w:rPr>
        <w:t xml:space="preserve">         本合同</w:t>
      </w:r>
      <w:r>
        <w:rPr>
          <w:rFonts w:hint="eastAsia" w:ascii="宋体" w:hAnsi="宋体" w:eastAsia="宋体" w:cs="宋体"/>
          <w:color w:val="auto"/>
          <w:w w:val="100"/>
          <w:sz w:val="21"/>
          <w:szCs w:val="21"/>
          <w:highlight w:val="none"/>
        </w:rPr>
        <w:t>是否</w:t>
      </w:r>
      <w:r>
        <w:rPr>
          <w:rFonts w:hint="eastAsia" w:ascii="宋体" w:hAnsi="宋体" w:eastAsia="宋体" w:cs="宋体"/>
          <w:color w:val="auto"/>
          <w:w w:val="100"/>
          <w:sz w:val="21"/>
          <w:szCs w:val="21"/>
          <w:highlight w:val="none"/>
          <w:lang w:eastAsia="zh-CN"/>
        </w:rPr>
        <w:t>为专门面向</w:t>
      </w:r>
      <w:r>
        <w:rPr>
          <w:rFonts w:hint="eastAsia" w:ascii="宋体" w:hAnsi="宋体" w:eastAsia="宋体" w:cs="宋体"/>
          <w:color w:val="auto"/>
          <w:w w:val="100"/>
          <w:sz w:val="21"/>
          <w:szCs w:val="21"/>
          <w:highlight w:val="none"/>
        </w:rPr>
        <w:t>中小企业</w:t>
      </w:r>
      <w:r>
        <w:rPr>
          <w:rFonts w:hint="eastAsia" w:ascii="宋体" w:hAnsi="宋体" w:eastAsia="宋体" w:cs="宋体"/>
          <w:color w:val="auto"/>
          <w:w w:val="100"/>
          <w:sz w:val="21"/>
          <w:szCs w:val="21"/>
          <w:highlight w:val="none"/>
          <w:lang w:eastAsia="zh-CN"/>
        </w:rPr>
        <w:t>的采</w:t>
      </w:r>
      <w:r>
        <w:rPr>
          <w:rFonts w:hint="eastAsia" w:ascii="宋体" w:hAnsi="宋体" w:eastAsia="宋体" w:cs="宋体"/>
          <w:color w:val="auto"/>
          <w:w w:val="100"/>
          <w:sz w:val="21"/>
          <w:szCs w:val="21"/>
          <w:highlight w:val="none"/>
          <w:shd w:val="clear"/>
          <w:lang w:eastAsia="zh-CN"/>
        </w:rPr>
        <w:t>购</w:t>
      </w:r>
      <w:r>
        <w:rPr>
          <w:rFonts w:hint="eastAsia" w:ascii="宋体" w:hAnsi="宋体" w:eastAsia="宋体" w:cs="宋体"/>
          <w:color w:val="auto"/>
          <w:w w:val="100"/>
          <w:sz w:val="21"/>
          <w:szCs w:val="21"/>
          <w:highlight w:val="none"/>
          <w:shd w:val="clear"/>
        </w:rPr>
        <w:t>合同</w:t>
      </w:r>
      <w:r>
        <w:rPr>
          <w:rFonts w:hint="eastAsia" w:ascii="宋体" w:hAnsi="宋体" w:eastAsia="宋体" w:cs="宋体"/>
          <w:color w:val="auto"/>
          <w:w w:val="100"/>
          <w:sz w:val="21"/>
          <w:szCs w:val="21"/>
          <w:highlight w:val="none"/>
          <w:shd w:val="clear"/>
          <w:lang w:eastAsia="zh-CN"/>
        </w:rPr>
        <w:t>（中小企业预留合同）</w:t>
      </w:r>
      <w:r>
        <w:rPr>
          <w:rFonts w:hint="eastAsia" w:ascii="宋体" w:hAnsi="宋体" w:eastAsia="宋体" w:cs="宋体"/>
          <w:color w:val="auto"/>
          <w:sz w:val="21"/>
          <w:szCs w:val="21"/>
          <w:highlight w:val="none"/>
          <w:shd w:val="clear"/>
        </w:rPr>
        <w:t>：</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是 </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否</w:t>
      </w:r>
    </w:p>
    <w:p w14:paraId="636EFF63">
      <w:pPr>
        <w:numPr>
          <w:ilvl w:val="-1"/>
          <w:numId w:val="0"/>
        </w:numPr>
        <w:adjustRightInd w:val="0"/>
        <w:snapToGrid w:val="0"/>
        <w:spacing w:before="0" w:beforeLines="0" w:line="400" w:lineRule="exact"/>
        <w:ind w:firstLine="0" w:firstLineChars="0"/>
        <w:rPr>
          <w:rFonts w:hint="eastAsia" w:ascii="宋体" w:hAnsi="宋体" w:eastAsia="宋体" w:cs="宋体"/>
          <w:iCs/>
          <w:color w:val="auto"/>
          <w:sz w:val="21"/>
          <w:szCs w:val="21"/>
          <w:highlight w:val="none"/>
        </w:rPr>
      </w:pPr>
      <w:r>
        <w:rPr>
          <w:rFonts w:hint="eastAsia" w:ascii="宋体" w:hAnsi="宋体" w:eastAsia="宋体" w:cs="宋体"/>
          <w:color w:val="auto"/>
          <w:sz w:val="21"/>
          <w:szCs w:val="21"/>
          <w:highlight w:val="none"/>
          <w:lang w:val="en-US" w:eastAsia="zh-CN"/>
        </w:rPr>
        <w:t xml:space="preserve">         若本项目不专门面向中小企业采购，是否给予小微企业评审优惠：</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是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否</w:t>
      </w:r>
    </w:p>
    <w:p w14:paraId="29E43A75">
      <w:pPr>
        <w:numPr>
          <w:ilvl w:val="-1"/>
          <w:numId w:val="0"/>
        </w:numPr>
        <w:adjustRightInd w:val="0"/>
        <w:snapToGrid w:val="0"/>
        <w:spacing w:before="0" w:beforeLines="0" w:line="400" w:lineRule="exact"/>
        <w:ind w:firstLine="0" w:firstLineChars="0"/>
        <w:rPr>
          <w:rFonts w:hint="eastAsia" w:ascii="宋体" w:hAnsi="宋体" w:eastAsia="宋体" w:cs="宋体"/>
          <w:iCs/>
          <w:color w:val="auto"/>
          <w:sz w:val="21"/>
          <w:szCs w:val="21"/>
          <w:highlight w:val="none"/>
        </w:rPr>
      </w:pPr>
      <w:r>
        <w:rPr>
          <w:rFonts w:hint="eastAsia" w:ascii="宋体" w:hAnsi="宋体" w:eastAsia="宋体" w:cs="宋体"/>
          <w:color w:val="auto"/>
          <w:sz w:val="21"/>
          <w:szCs w:val="21"/>
          <w:highlight w:val="none"/>
          <w:lang w:val="en-US" w:eastAsia="zh-CN"/>
        </w:rPr>
        <w:t xml:space="preserve">         中标（成交）采购标的制造商是否为残疾人福利性单位：</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是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否</w:t>
      </w:r>
    </w:p>
    <w:p w14:paraId="0B497E98">
      <w:pPr>
        <w:numPr>
          <w:ilvl w:val="0"/>
          <w:numId w:val="0"/>
        </w:numPr>
        <w:snapToGrid w:val="0"/>
        <w:spacing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中标（成交）采购标的制造商是否为监狱企业：</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是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否</w:t>
      </w:r>
    </w:p>
    <w:p w14:paraId="3BCD1D71">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 w:eastAsia="zh-CN"/>
        </w:rPr>
        <w:t>7</w:t>
      </w:r>
      <w:r>
        <w:rPr>
          <w:rFonts w:hint="eastAsia" w:ascii="宋体" w:hAnsi="宋体" w:eastAsia="宋体" w:cs="宋体"/>
          <w:color w:val="auto"/>
          <w:sz w:val="21"/>
          <w:szCs w:val="21"/>
          <w:highlight w:val="none"/>
        </w:rPr>
        <w:t>）合同是否分包：</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是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否</w:t>
      </w:r>
    </w:p>
    <w:p w14:paraId="6C603DBA">
      <w:pPr>
        <w:adjustRightInd w:val="0"/>
        <w:snapToGrid w:val="0"/>
        <w:spacing w:before="0" w:beforeLines="0" w:line="400" w:lineRule="exact"/>
        <w:ind w:firstLine="840" w:firstLineChars="4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分包主要内容：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42AEBBC">
      <w:pPr>
        <w:adjustRightInd w:val="0"/>
        <w:snapToGrid w:val="0"/>
        <w:spacing w:before="0" w:beforeLines="0" w:line="400" w:lineRule="exact"/>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rPr>
        <w:t>分包供应商</w:t>
      </w:r>
      <w:r>
        <w:rPr>
          <w:rFonts w:hint="eastAsia" w:ascii="宋体" w:hAnsi="宋体" w:eastAsia="宋体" w:cs="宋体"/>
          <w:color w:val="auto"/>
          <w:sz w:val="21"/>
          <w:szCs w:val="21"/>
          <w:highlight w:val="none"/>
          <w:lang w:eastAsia="zh-CN"/>
        </w:rPr>
        <w:t>/制造商</w:t>
      </w:r>
      <w:r>
        <w:rPr>
          <w:rFonts w:hint="eastAsia" w:ascii="宋体" w:hAnsi="宋体" w:eastAsia="宋体" w:cs="宋体"/>
          <w:color w:val="auto"/>
          <w:sz w:val="21"/>
          <w:szCs w:val="21"/>
          <w:highlight w:val="none"/>
        </w:rPr>
        <w:t>名称</w:t>
      </w:r>
      <w:r>
        <w:rPr>
          <w:rFonts w:hint="eastAsia" w:ascii="宋体" w:hAnsi="宋体" w:eastAsia="宋体" w:cs="宋体"/>
          <w:color w:val="auto"/>
          <w:sz w:val="21"/>
          <w:szCs w:val="21"/>
          <w:highlight w:val="none"/>
          <w:lang w:eastAsia="zh-CN"/>
        </w:rPr>
        <w:t>（如供应商和制造商不同，请分别填写）</w:t>
      </w:r>
      <w:r>
        <w:rPr>
          <w:rFonts w:hint="eastAsia" w:ascii="宋体" w:hAnsi="宋体" w:eastAsia="宋体" w:cs="宋体"/>
          <w:color w:val="auto"/>
          <w:sz w:val="21"/>
          <w:szCs w:val="21"/>
          <w:highlight w:val="none"/>
        </w:rPr>
        <w:t>：</w:t>
      </w:r>
    </w:p>
    <w:p w14:paraId="7FA5EA47">
      <w:pPr>
        <w:adjustRightInd w:val="0"/>
        <w:snapToGrid w:val="0"/>
        <w:spacing w:before="0" w:beforeLines="0" w:line="400" w:lineRule="exact"/>
        <w:ind w:firstLine="840" w:firstLineChars="4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p>
    <w:p w14:paraId="1F1D2B04">
      <w:pPr>
        <w:adjustRightInd w:val="0"/>
        <w:snapToGrid w:val="0"/>
        <w:spacing w:before="0" w:beforeLines="0" w:line="400" w:lineRule="exact"/>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分包供应商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制造商</w:t>
      </w:r>
      <w:r>
        <w:rPr>
          <w:rFonts w:hint="eastAsia" w:ascii="宋体" w:hAnsi="宋体" w:eastAsia="宋体" w:cs="宋体"/>
          <w:color w:val="auto"/>
          <w:sz w:val="21"/>
          <w:szCs w:val="21"/>
          <w:highlight w:val="none"/>
        </w:rPr>
        <w:t>类型</w:t>
      </w:r>
      <w:r>
        <w:rPr>
          <w:rFonts w:hint="eastAsia" w:ascii="宋体" w:hAnsi="宋体" w:eastAsia="宋体" w:cs="宋体"/>
          <w:color w:val="auto"/>
          <w:sz w:val="21"/>
          <w:szCs w:val="21"/>
          <w:highlight w:val="none"/>
          <w:lang w:eastAsia="zh-CN"/>
        </w:rPr>
        <w:t>（如果供应商和制造商不同，只填写制造商类型）</w:t>
      </w:r>
      <w:r>
        <w:rPr>
          <w:rFonts w:hint="eastAsia" w:ascii="宋体" w:hAnsi="宋体" w:eastAsia="宋体" w:cs="宋体"/>
          <w:color w:val="auto"/>
          <w:sz w:val="21"/>
          <w:szCs w:val="21"/>
          <w:highlight w:val="none"/>
        </w:rPr>
        <w:t>：</w:t>
      </w:r>
    </w:p>
    <w:p w14:paraId="180ED0E3">
      <w:pPr>
        <w:adjustRightInd w:val="0"/>
        <w:snapToGrid w:val="0"/>
        <w:spacing w:beforeLines="0" w:line="400" w:lineRule="exact"/>
        <w:ind w:firstLine="840" w:firstLineChars="400"/>
        <w:rPr>
          <w:rFonts w:hint="eastAsia" w:ascii="宋体" w:hAnsi="宋体" w:eastAsia="宋体" w:cs="宋体"/>
          <w:iCs/>
          <w:color w:val="auto"/>
          <w:sz w:val="21"/>
          <w:szCs w:val="21"/>
          <w:highlight w:val="none"/>
          <w:lang w:val="en-US" w:eastAsia="zh-CN"/>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大型企业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中型企业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小微型企业</w:t>
      </w:r>
      <w:r>
        <w:rPr>
          <w:rFonts w:hint="eastAsia" w:ascii="宋体" w:hAnsi="宋体" w:eastAsia="宋体" w:cs="宋体"/>
          <w:iCs/>
          <w:color w:val="auto"/>
          <w:sz w:val="21"/>
          <w:szCs w:val="21"/>
          <w:highlight w:val="none"/>
          <w:lang w:val="en-US" w:eastAsia="zh-CN"/>
        </w:rPr>
        <w:t xml:space="preserve">  </w:t>
      </w:r>
    </w:p>
    <w:p w14:paraId="18BF3496">
      <w:pPr>
        <w:adjustRightInd w:val="0"/>
        <w:snapToGrid w:val="0"/>
        <w:spacing w:beforeLines="0" w:line="400" w:lineRule="exact"/>
        <w:ind w:firstLine="840" w:firstLineChars="400"/>
        <w:rPr>
          <w:rFonts w:hint="eastAsia" w:ascii="宋体" w:hAnsi="宋体" w:eastAsia="宋体" w:cs="宋体"/>
          <w:color w:val="auto"/>
          <w:sz w:val="21"/>
          <w:szCs w:val="21"/>
          <w:highlight w:val="none"/>
          <w:u w:val="none"/>
          <w:lang w:val="en-US" w:eastAsia="zh-CN"/>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残疾人福利性单位</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监狱</w:t>
      </w:r>
      <w:r>
        <w:rPr>
          <w:rFonts w:hint="eastAsia" w:ascii="宋体" w:hAnsi="宋体" w:eastAsia="宋体" w:cs="宋体"/>
          <w:iCs/>
          <w:color w:val="auto"/>
          <w:sz w:val="21"/>
          <w:szCs w:val="21"/>
          <w:highlight w:val="none"/>
        </w:rPr>
        <w:t>企业</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其他</w:t>
      </w:r>
    </w:p>
    <w:p w14:paraId="7F2E0B02">
      <w:pPr>
        <w:numPr>
          <w:ilvl w:val="-1"/>
          <w:numId w:val="0"/>
        </w:numPr>
        <w:adjustRightInd w:val="0"/>
        <w:snapToGrid w:val="0"/>
        <w:spacing w:before="0" w:beforeLines="0" w:line="400" w:lineRule="exact"/>
        <w:ind w:left="0" w:leftChars="0" w:firstLine="0" w:firstLineChars="0"/>
        <w:rPr>
          <w:rFonts w:hint="eastAsia" w:ascii="宋体" w:hAnsi="宋体" w:eastAsia="宋体" w:cs="宋体"/>
          <w:iCs/>
          <w:color w:val="auto"/>
          <w:sz w:val="21"/>
          <w:szCs w:val="21"/>
          <w:highlight w:val="none"/>
        </w:rPr>
      </w:pP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u w:val="none"/>
          <w:lang w:val="en" w:eastAsia="zh-CN"/>
        </w:rPr>
        <w:t>8</w:t>
      </w:r>
      <w:r>
        <w:rPr>
          <w:rFonts w:hint="eastAsia" w:ascii="宋体" w:hAnsi="宋体" w:eastAsia="宋体" w:cs="宋体"/>
          <w:color w:val="auto"/>
          <w:sz w:val="21"/>
          <w:szCs w:val="21"/>
          <w:highlight w:val="none"/>
          <w:u w:val="none"/>
          <w:lang w:val="en-US" w:eastAsia="zh-CN"/>
        </w:rPr>
        <w:t>）中标（成交）供应商是否为外商投资企业：</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是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否</w:t>
      </w:r>
    </w:p>
    <w:p w14:paraId="4ADA4F13">
      <w:pPr>
        <w:pStyle w:val="51"/>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3678F9F3">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eastAsia" w:ascii="宋体" w:hAnsi="宋体" w:eastAsia="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158ED47C">
      <w:pPr>
        <w:numPr>
          <w:ilvl w:val="-1"/>
          <w:numId w:val="0"/>
        </w:numPr>
        <w:adjustRightInd w:val="0"/>
        <w:snapToGrid w:val="0"/>
        <w:spacing w:before="0" w:beforeLines="0" w:line="400" w:lineRule="exact"/>
        <w:ind w:firstLine="840" w:firstLineChars="400"/>
        <w:rPr>
          <w:rFonts w:hint="eastAsia" w:ascii="宋体" w:hAnsi="宋体" w:eastAsia="宋体" w:cs="宋体"/>
          <w:color w:val="auto"/>
          <w:sz w:val="21"/>
          <w:szCs w:val="21"/>
          <w:highlight w:val="none"/>
          <w:u w:val="single"/>
          <w:lang w:val="en-US" w:eastAsia="zh-CN"/>
        </w:rPr>
      </w:pP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是</w:t>
      </w:r>
      <w:r>
        <w:rPr>
          <w:rFonts w:hint="eastAsia" w:ascii="宋体" w:hAnsi="宋体" w:eastAsia="宋体" w:cs="宋体"/>
          <w:iCs w:val="0"/>
          <w:color w:val="auto"/>
          <w:sz w:val="21"/>
          <w:szCs w:val="21"/>
          <w:highlight w:val="none"/>
          <w:lang w:eastAsia="zh-CN"/>
        </w:rPr>
        <w:t>，《政府采购品目分类目录》底级品目名称</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p>
    <w:p w14:paraId="3333668C">
      <w:pPr>
        <w:numPr>
          <w:ilvl w:val="-1"/>
          <w:numId w:val="0"/>
        </w:numPr>
        <w:adjustRightInd w:val="0"/>
        <w:snapToGrid w:val="0"/>
        <w:spacing w:before="0" w:beforeLines="0" w:line="400" w:lineRule="exact"/>
        <w:ind w:firstLine="840" w:firstLineChars="400"/>
        <w:rPr>
          <w:rFonts w:hint="eastAsia" w:ascii="宋体" w:hAnsi="宋体" w:eastAsia="宋体" w:cs="宋体"/>
          <w:iCs w:val="0"/>
          <w:color w:val="auto"/>
          <w:sz w:val="21"/>
          <w:szCs w:val="21"/>
          <w:highlight w:val="none"/>
        </w:rPr>
      </w:pPr>
      <w:r>
        <w:rPr>
          <w:rFonts w:hint="eastAsia" w:ascii="宋体" w:hAnsi="宋体" w:eastAsia="宋体" w:cs="宋体"/>
          <w:color w:val="auto"/>
          <w:sz w:val="21"/>
          <w:szCs w:val="21"/>
          <w:highlight w:val="none"/>
          <w:lang w:val="en-US" w:eastAsia="zh-CN"/>
        </w:rPr>
        <w:t xml:space="preserve">        国别：</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规格型号：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iCs w:val="0"/>
          <w:color w:val="auto"/>
          <w:sz w:val="21"/>
          <w:szCs w:val="21"/>
          <w:highlight w:val="none"/>
        </w:rPr>
        <w:t xml:space="preserve">      </w:t>
      </w:r>
    </w:p>
    <w:p w14:paraId="2F868BE1">
      <w:pPr>
        <w:adjustRightInd w:val="0"/>
        <w:snapToGrid w:val="0"/>
        <w:spacing w:before="0" w:beforeLines="0" w:line="400" w:lineRule="exact"/>
        <w:ind w:firstLine="840" w:firstLineChars="400"/>
        <w:rPr>
          <w:rFonts w:hint="eastAsia" w:ascii="宋体" w:hAnsi="宋体" w:eastAsia="宋体" w:cs="宋体"/>
          <w:color w:val="auto"/>
          <w:sz w:val="21"/>
          <w:szCs w:val="21"/>
          <w:highlight w:val="none"/>
          <w:u w:val="none"/>
          <w:lang w:val="en-US" w:eastAsia="zh-CN"/>
        </w:rPr>
      </w:pP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否</w:t>
      </w:r>
    </w:p>
    <w:p w14:paraId="29B30414">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 xml:space="preserve">    （1</w:t>
      </w:r>
      <w:r>
        <w:rPr>
          <w:rFonts w:hint="eastAsia" w:ascii="宋体" w:hAnsi="宋体" w:eastAsia="宋体" w:cs="宋体"/>
          <w:b w:val="0"/>
          <w:bCs w:val="0"/>
          <w:color w:val="auto"/>
          <w:sz w:val="21"/>
          <w:szCs w:val="21"/>
          <w:highlight w:val="none"/>
          <w:u w:val="none"/>
          <w:lang w:val="en" w:eastAsia="zh-CN"/>
        </w:rPr>
        <w:t>0</w:t>
      </w:r>
      <w:r>
        <w:rPr>
          <w:rFonts w:hint="eastAsia" w:ascii="宋体" w:hAnsi="宋体" w:eastAsia="宋体" w:cs="宋体"/>
          <w:b w:val="0"/>
          <w:bCs w:val="0"/>
          <w:color w:val="auto"/>
          <w:sz w:val="21"/>
          <w:szCs w:val="21"/>
          <w:highlight w:val="none"/>
          <w:u w:val="none"/>
          <w:lang w:val="en-US" w:eastAsia="zh-CN"/>
        </w:rPr>
        <w:t>）是否涉及节能产品：</w:t>
      </w:r>
    </w:p>
    <w:p w14:paraId="17BB281F">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1"/>
          <w:szCs w:val="21"/>
          <w:highlight w:val="none"/>
          <w:lang w:val="en-US" w:eastAsia="zh-CN"/>
        </w:rPr>
      </w:pPr>
      <w:r>
        <w:rPr>
          <w:rFonts w:hint="eastAsia" w:ascii="宋体" w:hAnsi="宋体" w:eastAsia="宋体" w:cs="宋体"/>
          <w:b w:val="0"/>
          <w:bCs w:val="0"/>
          <w:color w:val="auto"/>
          <w:sz w:val="21"/>
          <w:szCs w:val="21"/>
          <w:highlight w:val="none"/>
          <w:u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是</w:t>
      </w:r>
      <w:r>
        <w:rPr>
          <w:rFonts w:hint="eastAsia" w:ascii="宋体" w:hAnsi="宋体" w:eastAsia="宋体" w:cs="宋体"/>
          <w:iCs w:val="0"/>
          <w:color w:val="auto"/>
          <w:sz w:val="21"/>
          <w:szCs w:val="21"/>
          <w:highlight w:val="none"/>
          <w:lang w:eastAsia="zh-CN"/>
        </w:rPr>
        <w:t>，《节能产品政府采购品目清单》的底级品目名称：</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iCs/>
          <w:color w:val="auto"/>
          <w:sz w:val="21"/>
          <w:szCs w:val="21"/>
          <w:highlight w:val="none"/>
          <w:lang w:val="en-US" w:eastAsia="zh-CN"/>
        </w:rPr>
        <w:t xml:space="preserve">     </w:t>
      </w:r>
    </w:p>
    <w:p w14:paraId="49DC4FC8">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1"/>
          <w:szCs w:val="21"/>
          <w:highlight w:val="none"/>
          <w:lang w:val="en-US" w:eastAsia="zh-CN"/>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强制采购</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优先采购</w:t>
      </w:r>
      <w:r>
        <w:rPr>
          <w:rFonts w:hint="eastAsia" w:ascii="宋体" w:hAnsi="宋体" w:eastAsia="宋体" w:cs="宋体"/>
          <w:iCs/>
          <w:color w:val="auto"/>
          <w:sz w:val="21"/>
          <w:szCs w:val="21"/>
          <w:highlight w:val="none"/>
          <w:lang w:val="en-US" w:eastAsia="zh-CN"/>
        </w:rPr>
        <w:t xml:space="preserve">    </w:t>
      </w:r>
    </w:p>
    <w:p w14:paraId="7165AD90">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z w:val="21"/>
          <w:szCs w:val="21"/>
          <w:highlight w:val="none"/>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否</w:t>
      </w:r>
    </w:p>
    <w:p w14:paraId="614F1EF5">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 xml:space="preserve">          是否涉及环境标志产品：</w:t>
      </w:r>
    </w:p>
    <w:p w14:paraId="09E05CBA">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z w:val="21"/>
          <w:szCs w:val="21"/>
          <w:highlight w:val="none"/>
          <w:lang w:eastAsia="zh-CN"/>
        </w:rPr>
      </w:pPr>
      <w:r>
        <w:rPr>
          <w:rFonts w:hint="eastAsia" w:ascii="宋体" w:hAnsi="宋体" w:eastAsia="宋体" w:cs="宋体"/>
          <w:b w:val="0"/>
          <w:bCs w:val="0"/>
          <w:color w:val="auto"/>
          <w:sz w:val="21"/>
          <w:szCs w:val="21"/>
          <w:highlight w:val="none"/>
          <w:u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是</w:t>
      </w:r>
      <w:r>
        <w:rPr>
          <w:rFonts w:hint="eastAsia" w:ascii="宋体" w:hAnsi="宋体" w:eastAsia="宋体" w:cs="宋体"/>
          <w:iCs w:val="0"/>
          <w:color w:val="auto"/>
          <w:sz w:val="21"/>
          <w:szCs w:val="21"/>
          <w:highlight w:val="none"/>
          <w:lang w:eastAsia="zh-CN"/>
        </w:rPr>
        <w:t>，《环境标志产品政府采购品目清单》的底级品目名称：</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iCs/>
          <w:color w:val="auto"/>
          <w:sz w:val="21"/>
          <w:szCs w:val="21"/>
          <w:highlight w:val="none"/>
          <w:lang w:val="en-US" w:eastAsia="zh-CN"/>
        </w:rPr>
        <w:t xml:space="preserve"> </w:t>
      </w:r>
    </w:p>
    <w:p w14:paraId="522F082F">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1"/>
          <w:szCs w:val="21"/>
          <w:highlight w:val="none"/>
          <w:lang w:val="en-US" w:eastAsia="zh-CN"/>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强制采购</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优先采购</w:t>
      </w:r>
      <w:r>
        <w:rPr>
          <w:rFonts w:hint="eastAsia" w:ascii="宋体" w:hAnsi="宋体" w:eastAsia="宋体" w:cs="宋体"/>
          <w:iCs/>
          <w:color w:val="auto"/>
          <w:sz w:val="21"/>
          <w:szCs w:val="21"/>
          <w:highlight w:val="none"/>
          <w:lang w:val="en-US" w:eastAsia="zh-CN"/>
        </w:rPr>
        <w:t xml:space="preserve">    </w:t>
      </w:r>
    </w:p>
    <w:p w14:paraId="26D9199E">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否</w:t>
      </w:r>
    </w:p>
    <w:p w14:paraId="76BB6FA7">
      <w:pPr>
        <w:pStyle w:val="51"/>
        <w:numPr>
          <w:ilvl w:val="-1"/>
          <w:numId w:val="0"/>
        </w:numPr>
        <w:adjustRightInd w:val="0"/>
        <w:snapToGrid w:val="0"/>
        <w:spacing w:before="0" w:beforeLines="0" w:line="400" w:lineRule="exact"/>
        <w:ind w:firstLine="0" w:firstLineChars="0"/>
        <w:rPr>
          <w:rFonts w:hint="eastAsia" w:ascii="宋体" w:hAnsi="宋体" w:eastAsia="宋体" w:cs="宋体"/>
          <w:iCs w:val="0"/>
          <w:color w:val="auto"/>
          <w:kern w:val="2"/>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 xml:space="preserve">          </w:t>
      </w:r>
      <w:r>
        <w:rPr>
          <w:rFonts w:hint="eastAsia" w:ascii="宋体" w:hAnsi="宋体" w:eastAsia="宋体" w:cs="宋体"/>
          <w:b w:val="0"/>
          <w:bCs w:val="0"/>
          <w:color w:val="auto"/>
          <w:kern w:val="2"/>
          <w:sz w:val="21"/>
          <w:szCs w:val="21"/>
          <w:highlight w:val="none"/>
          <w:u w:val="none"/>
          <w:lang w:val="en-US" w:eastAsia="zh-CN"/>
        </w:rPr>
        <w:t>是否涉及绿色产品：</w:t>
      </w:r>
      <w:r>
        <w:rPr>
          <w:rFonts w:hint="eastAsia" w:ascii="宋体" w:hAnsi="宋体" w:eastAsia="宋体" w:cs="宋体"/>
          <w:iCs w:val="0"/>
          <w:color w:val="auto"/>
          <w:kern w:val="2"/>
          <w:sz w:val="21"/>
          <w:szCs w:val="21"/>
          <w:highlight w:val="none"/>
          <w:u w:val="none"/>
          <w:lang w:val="en-US" w:eastAsia="zh-CN"/>
        </w:rPr>
        <w:t xml:space="preserve"> </w:t>
      </w:r>
    </w:p>
    <w:p w14:paraId="1965CB32">
      <w:pPr>
        <w:pStyle w:val="51"/>
        <w:spacing w:beforeLines="0"/>
        <w:ind w:firstLine="420" w:firstLineChars="0"/>
        <w:rPr>
          <w:rFonts w:hint="eastAsia" w:ascii="宋体" w:hAnsi="宋体" w:eastAsia="宋体" w:cs="宋体"/>
          <w:color w:val="auto"/>
          <w:sz w:val="21"/>
          <w:szCs w:val="21"/>
          <w:highlight w:val="none"/>
          <w:u w:val="single"/>
          <w:lang w:val="en-US" w:eastAsia="zh-CN"/>
        </w:rPr>
      </w:pPr>
      <w:r>
        <w:rPr>
          <w:rFonts w:hint="eastAsia" w:ascii="宋体" w:hAnsi="宋体" w:eastAsia="宋体" w:cs="宋体"/>
          <w:iCs w:val="0"/>
          <w:color w:val="auto"/>
          <w:kern w:val="2"/>
          <w:sz w:val="21"/>
          <w:szCs w:val="21"/>
          <w:highlight w:val="none"/>
          <w:u w:val="none"/>
          <w:lang w:val="en-US" w:eastAsia="zh-CN"/>
        </w:rPr>
        <w:t xml:space="preserve">     </w:t>
      </w:r>
      <w:r>
        <w:rPr>
          <w:rFonts w:hint="eastAsia" w:ascii="宋体" w:hAnsi="宋体" w:eastAsia="宋体" w:cs="宋体"/>
          <w:iCs w:val="0"/>
          <w:color w:val="auto"/>
          <w:kern w:val="2"/>
          <w:sz w:val="21"/>
          <w:szCs w:val="21"/>
          <w:highlight w:val="none"/>
          <w:u w:val="none"/>
        </w:rPr>
        <w:sym w:font="Wingdings" w:char="00A8"/>
      </w:r>
      <w:r>
        <w:rPr>
          <w:rFonts w:hint="eastAsia" w:ascii="宋体" w:hAnsi="宋体" w:eastAsia="宋体" w:cs="宋体"/>
          <w:iCs w:val="0"/>
          <w:color w:val="auto"/>
          <w:kern w:val="2"/>
          <w:sz w:val="21"/>
          <w:szCs w:val="21"/>
          <w:highlight w:val="none"/>
          <w:u w:val="none"/>
        </w:rPr>
        <w:t>是</w:t>
      </w:r>
      <w:r>
        <w:rPr>
          <w:rFonts w:hint="eastAsia" w:ascii="宋体" w:hAnsi="宋体" w:eastAsia="宋体" w:cs="宋体"/>
          <w:iCs w:val="0"/>
          <w:color w:val="auto"/>
          <w:kern w:val="2"/>
          <w:sz w:val="21"/>
          <w:szCs w:val="21"/>
          <w:highlight w:val="none"/>
          <w:u w:val="none"/>
          <w:lang w:eastAsia="zh-CN"/>
        </w:rPr>
        <w:t>，绿色产品政府采购相关政策确定的底级品目名称：</w:t>
      </w:r>
      <w:r>
        <w:rPr>
          <w:rFonts w:hint="eastAsia" w:ascii="宋体" w:hAnsi="宋体" w:eastAsia="宋体" w:cs="宋体"/>
          <w:color w:val="auto"/>
          <w:sz w:val="21"/>
          <w:szCs w:val="21"/>
          <w:highlight w:val="none"/>
          <w:u w:val="single"/>
          <w:lang w:val="en-US" w:eastAsia="zh-CN"/>
        </w:rPr>
        <w:t xml:space="preserve">         </w:t>
      </w:r>
    </w:p>
    <w:p w14:paraId="01D2B2B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 w:val="21"/>
          <w:szCs w:val="21"/>
          <w:highlight w:val="none"/>
          <w:lang w:val="en-US" w:eastAsia="zh-CN"/>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强制采购</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优先采购</w:t>
      </w:r>
      <w:r>
        <w:rPr>
          <w:rFonts w:hint="eastAsia" w:ascii="宋体" w:hAnsi="宋体" w:eastAsia="宋体" w:cs="宋体"/>
          <w:iCs/>
          <w:color w:val="auto"/>
          <w:sz w:val="21"/>
          <w:szCs w:val="21"/>
          <w:highlight w:val="none"/>
          <w:lang w:val="en-US" w:eastAsia="zh-CN"/>
        </w:rPr>
        <w:t xml:space="preserve">    </w:t>
      </w:r>
    </w:p>
    <w:p w14:paraId="57F0C3BA">
      <w:pPr>
        <w:pStyle w:val="51"/>
        <w:spacing w:beforeLines="0"/>
        <w:ind w:firstLine="42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iCs w:val="0"/>
          <w:color w:val="auto"/>
          <w:kern w:val="2"/>
          <w:sz w:val="21"/>
          <w:szCs w:val="21"/>
          <w:highlight w:val="none"/>
          <w:u w:val="none"/>
          <w:lang w:val="en-US" w:eastAsia="zh-CN"/>
        </w:rPr>
        <w:t xml:space="preserve">     </w:t>
      </w:r>
      <w:r>
        <w:rPr>
          <w:rFonts w:hint="eastAsia" w:ascii="宋体" w:hAnsi="宋体" w:eastAsia="宋体" w:cs="宋体"/>
          <w:iCs w:val="0"/>
          <w:color w:val="auto"/>
          <w:kern w:val="2"/>
          <w:sz w:val="21"/>
          <w:szCs w:val="21"/>
          <w:highlight w:val="none"/>
          <w:u w:val="none"/>
        </w:rPr>
        <w:sym w:font="Wingdings" w:char="00A8"/>
      </w:r>
      <w:r>
        <w:rPr>
          <w:rFonts w:hint="eastAsia" w:ascii="宋体" w:hAnsi="宋体" w:eastAsia="宋体" w:cs="宋体"/>
          <w:iCs w:val="0"/>
          <w:color w:val="auto"/>
          <w:kern w:val="2"/>
          <w:sz w:val="21"/>
          <w:szCs w:val="21"/>
          <w:highlight w:val="none"/>
          <w:u w:val="none"/>
        </w:rPr>
        <w:t>否</w:t>
      </w:r>
    </w:p>
    <w:p w14:paraId="469A8CCD">
      <w:pPr>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（1</w:t>
      </w:r>
      <w:r>
        <w:rPr>
          <w:rFonts w:hint="eastAsia" w:ascii="宋体" w:hAnsi="宋体" w:eastAsia="宋体" w:cs="宋体"/>
          <w:color w:val="auto"/>
          <w:sz w:val="21"/>
          <w:szCs w:val="21"/>
          <w:highlight w:val="none"/>
          <w:lang w:val="en" w:eastAsia="zh-CN"/>
        </w:rPr>
        <w:t>1</w:t>
      </w:r>
      <w:r>
        <w:rPr>
          <w:rFonts w:hint="eastAsia" w:ascii="宋体" w:hAnsi="宋体" w:eastAsia="宋体" w:cs="宋体"/>
          <w:color w:val="auto"/>
          <w:sz w:val="21"/>
          <w:szCs w:val="21"/>
          <w:highlight w:val="none"/>
          <w:lang w:val="en-US" w:eastAsia="zh-CN"/>
        </w:rPr>
        <w:t>）涉及商品包装和快递包装的，是否参考</w:t>
      </w:r>
      <w:r>
        <w:rPr>
          <w:rFonts w:hint="eastAsia" w:ascii="宋体" w:hAnsi="宋体" w:eastAsia="宋体" w:cs="宋体"/>
          <w:color w:val="auto"/>
          <w:sz w:val="21"/>
          <w:szCs w:val="21"/>
          <w:highlight w:val="none"/>
        </w:rPr>
        <w:t>《商品包装政府采购需求标准（试行）》、《快递包装政府采购需求标准（试行）》</w:t>
      </w:r>
      <w:r>
        <w:rPr>
          <w:rFonts w:hint="eastAsia" w:ascii="宋体" w:hAnsi="宋体" w:eastAsia="宋体" w:cs="宋体"/>
          <w:color w:val="auto"/>
          <w:sz w:val="21"/>
          <w:szCs w:val="21"/>
          <w:highlight w:val="none"/>
          <w:lang w:eastAsia="zh-CN"/>
        </w:rPr>
        <w:t>明确产品及相关快递服务的具体包装要求：</w:t>
      </w:r>
    </w:p>
    <w:p w14:paraId="31637B1F">
      <w:pPr>
        <w:numPr>
          <w:ilvl w:val="-1"/>
          <w:numId w:val="0"/>
        </w:numPr>
        <w:adjustRightInd w:val="0"/>
        <w:snapToGrid w:val="0"/>
        <w:spacing w:before="0" w:beforeLines="0" w:line="400" w:lineRule="exact"/>
        <w:ind w:firstLine="1050" w:firstLineChars="500"/>
        <w:rPr>
          <w:rFonts w:hint="eastAsia" w:ascii="宋体" w:hAnsi="宋体" w:eastAsia="宋体" w:cs="宋体"/>
          <w:iCs w:val="0"/>
          <w:color w:val="auto"/>
          <w:sz w:val="21"/>
          <w:szCs w:val="21"/>
          <w:highlight w:val="none"/>
          <w:lang w:val="en-US" w:eastAsia="zh-CN"/>
        </w:rPr>
      </w:pP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 xml:space="preserve">是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否</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不涉及</w:t>
      </w:r>
    </w:p>
    <w:p w14:paraId="3F1BC9E3">
      <w:pPr>
        <w:numPr>
          <w:ilvl w:val="0"/>
          <w:numId w:val="1"/>
        </w:numPr>
        <w:adjustRightInd w:val="0"/>
        <w:snapToGrid w:val="0"/>
        <w:spacing w:before="0" w:beforeLines="0"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合同金额</w:t>
      </w:r>
    </w:p>
    <w:p w14:paraId="3AE20D27">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（1）合同金额小写：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CD6FDFA">
      <w:pPr>
        <w:adjustRightInd w:val="0"/>
        <w:snapToGrid w:val="0"/>
        <w:spacing w:before="0" w:beforeLines="0" w:line="400" w:lineRule="exact"/>
        <w:ind w:left="0" w:firstLine="0" w:firstLineChar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466BEAA">
      <w:pPr>
        <w:adjustRightInd w:val="0"/>
        <w:snapToGrid w:val="0"/>
        <w:spacing w:before="0" w:beforeLines="0"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分包金额</w:t>
      </w:r>
      <w:r>
        <w:rPr>
          <w:rFonts w:hint="eastAsia" w:ascii="宋体" w:hAnsi="宋体" w:eastAsia="宋体" w:cs="宋体"/>
          <w:color w:val="auto"/>
          <w:sz w:val="21"/>
          <w:szCs w:val="21"/>
          <w:highlight w:val="none"/>
          <w:lang w:eastAsia="zh-CN"/>
        </w:rPr>
        <w:t>（如有）</w:t>
      </w:r>
      <w:r>
        <w:rPr>
          <w:rFonts w:hint="eastAsia" w:ascii="宋体" w:hAnsi="宋体" w:eastAsia="宋体" w:cs="宋体"/>
          <w:color w:val="auto"/>
          <w:sz w:val="21"/>
          <w:szCs w:val="21"/>
          <w:highlight w:val="none"/>
        </w:rPr>
        <w:t>小写：</w:t>
      </w:r>
      <w:r>
        <w:rPr>
          <w:rFonts w:hint="eastAsia" w:ascii="宋体" w:hAnsi="宋体" w:eastAsia="宋体" w:cs="宋体"/>
          <w:color w:val="auto"/>
          <w:sz w:val="21"/>
          <w:szCs w:val="21"/>
          <w:highlight w:val="none"/>
          <w:u w:val="single"/>
        </w:rPr>
        <w:t xml:space="preserve">                   </w:t>
      </w:r>
    </w:p>
    <w:p w14:paraId="0C7CE46D">
      <w:pPr>
        <w:adjustRightInd w:val="0"/>
        <w:snapToGrid w:val="0"/>
        <w:spacing w:before="0" w:beforeLines="0" w:line="400" w:lineRule="exact"/>
        <w:ind w:firstLine="0" w:firstLineChar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3F7459D6">
      <w:p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（注：固定单价合同应填写单价和最高限价）</w:t>
      </w:r>
    </w:p>
    <w:p w14:paraId="0CD632B1">
      <w:pPr>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合同定价方式</w:t>
      </w:r>
      <w:r>
        <w:rPr>
          <w:rFonts w:hint="eastAsia" w:ascii="宋体" w:hAnsi="宋体" w:eastAsia="宋体" w:cs="宋体"/>
          <w:color w:val="auto"/>
          <w:sz w:val="21"/>
          <w:szCs w:val="21"/>
          <w:highlight w:val="none"/>
          <w:lang w:eastAsia="zh-CN"/>
        </w:rPr>
        <w:t>（采用组合定价方式的，可以勾选多项）</w:t>
      </w:r>
      <w:r>
        <w:rPr>
          <w:rFonts w:hint="eastAsia" w:ascii="宋体" w:hAnsi="宋体" w:eastAsia="宋体" w:cs="宋体"/>
          <w:color w:val="auto"/>
          <w:sz w:val="21"/>
          <w:szCs w:val="21"/>
          <w:highlight w:val="none"/>
        </w:rPr>
        <w:t>：</w:t>
      </w:r>
    </w:p>
    <w:p w14:paraId="1CCE239E">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固定总价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固定单价</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固定费率</w:t>
      </w:r>
      <w:r>
        <w:rPr>
          <w:rFonts w:hint="eastAsia" w:ascii="宋体" w:hAnsi="宋体" w:eastAsia="宋体" w:cs="宋体"/>
          <w:iCs/>
          <w:color w:val="auto"/>
          <w:sz w:val="21"/>
          <w:szCs w:val="21"/>
          <w:highlight w:val="none"/>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 xml:space="preserve">成本补偿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rPr>
        <w:t>绩效激励</w:t>
      </w:r>
      <w:r>
        <w:rPr>
          <w:rFonts w:hint="eastAsia" w:ascii="宋体" w:hAnsi="宋体" w:eastAsia="宋体" w:cs="宋体"/>
          <w:iCs/>
          <w:color w:val="auto"/>
          <w:sz w:val="21"/>
          <w:szCs w:val="21"/>
          <w:highlight w:val="none"/>
          <w:lang w:val="en-US" w:eastAsia="zh-CN"/>
        </w:rPr>
        <w:t xml:space="preserve">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eastAsia="zh-CN"/>
        </w:rPr>
        <w:t>其他</w:t>
      </w:r>
      <w:r>
        <w:rPr>
          <w:rFonts w:hint="eastAsia" w:ascii="宋体" w:hAnsi="宋体" w:eastAsia="宋体" w:cs="宋体"/>
          <w:color w:val="auto"/>
          <w:sz w:val="21"/>
          <w:szCs w:val="21"/>
          <w:highlight w:val="none"/>
          <w:u w:val="single"/>
        </w:rPr>
        <w:t xml:space="preserve">       </w:t>
      </w:r>
    </w:p>
    <w:p w14:paraId="0F51C916">
      <w:pPr>
        <w:pStyle w:val="67"/>
        <w:spacing w:beforeLines="0"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）付款方式（按项目实际勾选填写）：</w:t>
      </w:r>
    </w:p>
    <w:p w14:paraId="684DBB0F">
      <w:pPr>
        <w:adjustRightInd w:val="0"/>
        <w:snapToGrid w:val="0"/>
        <w:spacing w:before="0" w:beforeLines="0" w:line="400" w:lineRule="exact"/>
        <w:ind w:firstLine="630" w:firstLineChars="3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rPr>
        <w:t>全额付款：</w:t>
      </w:r>
      <w:r>
        <w:rPr>
          <w:rFonts w:hint="eastAsia" w:ascii="宋体" w:hAnsi="宋体" w:eastAsia="宋体" w:cs="宋体"/>
          <w:color w:val="auto"/>
          <w:sz w:val="21"/>
          <w:szCs w:val="21"/>
          <w:highlight w:val="none"/>
          <w:u w:val="single"/>
        </w:rPr>
        <w:t xml:space="preserve">     （应</w:t>
      </w:r>
      <w:r>
        <w:rPr>
          <w:rFonts w:hint="eastAsia" w:ascii="宋体" w:hAnsi="宋体" w:eastAsia="宋体" w:cs="宋体"/>
          <w:color w:val="auto"/>
          <w:sz w:val="21"/>
          <w:szCs w:val="21"/>
          <w:highlight w:val="none"/>
          <w:u w:val="single"/>
          <w:lang w:eastAsia="zh-CN"/>
        </w:rPr>
        <w:t>明确</w:t>
      </w:r>
      <w:r>
        <w:rPr>
          <w:rFonts w:hint="eastAsia" w:ascii="宋体" w:hAnsi="宋体" w:eastAsia="宋体" w:cs="宋体"/>
          <w:color w:val="auto"/>
          <w:sz w:val="21"/>
          <w:szCs w:val="21"/>
          <w:highlight w:val="none"/>
          <w:u w:val="single"/>
        </w:rPr>
        <w:t>一次性支付合同款项</w:t>
      </w:r>
      <w:r>
        <w:rPr>
          <w:rFonts w:hint="eastAsia" w:ascii="宋体" w:hAnsi="宋体" w:eastAsia="宋体" w:cs="宋体"/>
          <w:color w:val="auto"/>
          <w:sz w:val="21"/>
          <w:szCs w:val="21"/>
          <w:highlight w:val="none"/>
          <w:u w:val="single"/>
          <w:lang w:eastAsia="zh-CN"/>
        </w:rPr>
        <w:t>的条件</w:t>
      </w:r>
      <w:r>
        <w:rPr>
          <w:rFonts w:hint="eastAsia" w:ascii="宋体" w:hAnsi="宋体" w:eastAsia="宋体" w:cs="宋体"/>
          <w:color w:val="auto"/>
          <w:sz w:val="21"/>
          <w:szCs w:val="21"/>
          <w:highlight w:val="none"/>
          <w:u w:val="single"/>
        </w:rPr>
        <w:t xml:space="preserve">）                    </w:t>
      </w:r>
    </w:p>
    <w:p w14:paraId="07D32B87">
      <w:pPr>
        <w:snapToGrid w:val="0"/>
        <w:spacing w:beforeLines="0" w:line="400" w:lineRule="exact"/>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rPr>
        <w:t>分期付款：</w:t>
      </w:r>
      <w:r>
        <w:rPr>
          <w:rFonts w:hint="eastAsia" w:ascii="宋体" w:hAnsi="宋体" w:eastAsia="宋体" w:cs="宋体"/>
          <w:color w:val="auto"/>
          <w:sz w:val="21"/>
          <w:szCs w:val="21"/>
          <w:highlight w:val="none"/>
          <w:u w:val="single"/>
        </w:rPr>
        <w:t xml:space="preserve">  （应明确分期支付合同款项的各期比例和支付条件</w:t>
      </w:r>
      <w:r>
        <w:rPr>
          <w:rFonts w:hint="eastAsia" w:ascii="宋体" w:hAnsi="宋体" w:eastAsia="宋体" w:cs="宋体"/>
          <w:color w:val="auto"/>
          <w:sz w:val="21"/>
          <w:szCs w:val="21"/>
          <w:highlight w:val="none"/>
          <w:u w:val="single"/>
          <w:lang w:eastAsia="zh-CN"/>
        </w:rPr>
        <w:t>，各期支付条件应与分期履约验收情况挂钩</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lang w:eastAsia="zh-CN"/>
        </w:rPr>
        <w:t>其中涉及预付款的</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（应明确预付款的支付比例和支付条件） </w:t>
      </w:r>
    </w:p>
    <w:p w14:paraId="0A1A7CCC">
      <w:pPr>
        <w:adjustRightInd w:val="0"/>
        <w:snapToGrid w:val="0"/>
        <w:spacing w:before="0" w:beforeLines="0" w:line="400" w:lineRule="exact"/>
        <w:ind w:firstLine="630" w:firstLineChars="3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rPr>
        <w:t>成本补偿：</w:t>
      </w:r>
      <w:r>
        <w:rPr>
          <w:rFonts w:hint="eastAsia" w:ascii="宋体" w:hAnsi="宋体" w:eastAsia="宋体" w:cs="宋体"/>
          <w:color w:val="auto"/>
          <w:sz w:val="21"/>
          <w:szCs w:val="21"/>
          <w:highlight w:val="none"/>
          <w:u w:val="single"/>
        </w:rPr>
        <w:t xml:space="preserve">      （应明确按照成本补偿方式的支付方式和支付条件）   </w:t>
      </w:r>
    </w:p>
    <w:p w14:paraId="70461483">
      <w:pPr>
        <w:adjustRightInd w:val="0"/>
        <w:snapToGrid w:val="0"/>
        <w:spacing w:before="0" w:beforeLines="0" w:line="400" w:lineRule="exact"/>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rPr>
        <w:t>绩效激励：</w:t>
      </w:r>
      <w:r>
        <w:rPr>
          <w:rFonts w:hint="eastAsia" w:ascii="宋体" w:hAnsi="宋体" w:eastAsia="宋体" w:cs="宋体"/>
          <w:color w:val="auto"/>
          <w:sz w:val="21"/>
          <w:szCs w:val="21"/>
          <w:highlight w:val="none"/>
          <w:u w:val="single"/>
        </w:rPr>
        <w:t xml:space="preserve">      （应明确按照绩效激励方式的支付方式和支付条件）   </w:t>
      </w:r>
    </w:p>
    <w:p w14:paraId="6A27CDEB">
      <w:pPr>
        <w:numPr>
          <w:ilvl w:val="0"/>
          <w:numId w:val="1"/>
        </w:numPr>
        <w:adjustRightInd w:val="0"/>
        <w:snapToGrid w:val="0"/>
        <w:spacing w:before="0" w:beforeLines="0" w:line="400" w:lineRule="exact"/>
        <w:ind w:firstLine="422" w:firstLineChars="200"/>
        <w:rPr>
          <w:rFonts w:hint="eastAsia" w:ascii="宋体" w:hAnsi="宋体" w:eastAsia="宋体" w:cs="宋体"/>
          <w:b/>
          <w:bCs w:val="0"/>
          <w:color w:val="auto"/>
          <w:sz w:val="21"/>
          <w:szCs w:val="21"/>
          <w:highlight w:val="none"/>
          <w:u w:val="single"/>
        </w:rPr>
      </w:pPr>
      <w:r>
        <w:rPr>
          <w:rFonts w:hint="eastAsia" w:ascii="宋体" w:hAnsi="宋体" w:eastAsia="宋体" w:cs="宋体"/>
          <w:b/>
          <w:bCs w:val="0"/>
          <w:color w:val="auto"/>
          <w:sz w:val="21"/>
          <w:szCs w:val="21"/>
          <w:highlight w:val="none"/>
        </w:rPr>
        <w:t>合同履行</w:t>
      </w:r>
    </w:p>
    <w:p w14:paraId="7BB86A0D">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（1）起始日期：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日，完成日期：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1E8AF94E">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履约</w:t>
      </w:r>
      <w:r>
        <w:rPr>
          <w:rFonts w:hint="eastAsia" w:ascii="宋体" w:hAnsi="宋体" w:eastAsia="宋体" w:cs="宋体"/>
          <w:color w:val="auto"/>
          <w:sz w:val="21"/>
          <w:szCs w:val="21"/>
          <w:highlight w:val="none"/>
        </w:rPr>
        <w:t>地点</w:t>
      </w:r>
      <w:r>
        <w:rPr>
          <w:rFonts w:hint="eastAsia" w:ascii="宋体" w:hAnsi="宋体" w:eastAsia="宋体" w:cs="宋体"/>
          <w:b w:val="0"/>
          <w:bCs/>
          <w:color w:val="auto"/>
          <w:sz w:val="21"/>
          <w:szCs w:val="21"/>
          <w:highlight w:val="none"/>
        </w:rPr>
        <w:t>：</w:t>
      </w:r>
      <w:r>
        <w:rPr>
          <w:rFonts w:hint="eastAsia" w:ascii="宋体" w:hAnsi="宋体" w:eastAsia="宋体" w:cs="宋体"/>
          <w:color w:val="auto"/>
          <w:sz w:val="21"/>
          <w:szCs w:val="21"/>
          <w:highlight w:val="none"/>
          <w:u w:val="single"/>
        </w:rPr>
        <w:t xml:space="preserve">                             </w:t>
      </w:r>
    </w:p>
    <w:p w14:paraId="6037687B">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rPr>
        <w:t>（3）履约担保：</w:t>
      </w:r>
      <w:r>
        <w:rPr>
          <w:rFonts w:hint="eastAsia" w:ascii="宋体" w:hAnsi="宋体" w:eastAsia="宋体" w:cs="宋体"/>
          <w:color w:val="auto"/>
          <w:sz w:val="21"/>
          <w:szCs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2F96A3FA">
      <w:pPr>
        <w:pStyle w:val="51"/>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765CCFFC">
      <w:pPr>
        <w:pStyle w:val="51"/>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54E6FED6">
      <w:pPr>
        <w:snapToGrid w:val="0"/>
        <w:spacing w:beforeLines="0" w:line="40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u w:val="none"/>
          <w:lang w:val="en-US" w:eastAsia="zh-CN"/>
        </w:rPr>
        <w:t xml:space="preserve">    履约担保期限</w:t>
      </w: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1D28DC4A">
      <w:p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（4）分期履行要求：</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67696B2E">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bCs/>
          <w:color w:val="auto"/>
          <w:sz w:val="21"/>
          <w:szCs w:val="21"/>
          <w:highlight w:val="none"/>
        </w:rPr>
        <w:t>（5）</w:t>
      </w:r>
      <w:r>
        <w:rPr>
          <w:rFonts w:hint="eastAsia" w:ascii="宋体" w:hAnsi="宋体" w:eastAsia="宋体" w:cs="宋体"/>
          <w:bCs/>
          <w:color w:val="auto"/>
          <w:sz w:val="21"/>
          <w:szCs w:val="21"/>
          <w:highlight w:val="none"/>
          <w:lang w:eastAsia="zh-CN"/>
        </w:rPr>
        <w:t>风险处置措施和替代方案</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u w:val="single"/>
        </w:rPr>
        <w:t xml:space="preserve">                                                               </w:t>
      </w:r>
    </w:p>
    <w:p w14:paraId="08A769C1">
      <w:pPr>
        <w:numPr>
          <w:ilvl w:val="0"/>
          <w:numId w:val="1"/>
        </w:numPr>
        <w:adjustRightInd w:val="0"/>
        <w:snapToGrid w:val="0"/>
        <w:spacing w:before="0" w:beforeLines="0"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合同验收</w:t>
      </w:r>
    </w:p>
    <w:p w14:paraId="06898485">
      <w:pPr>
        <w:numPr>
          <w:ilvl w:val="0"/>
          <w:numId w:val="3"/>
        </w:num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委托第三方组织</w:t>
      </w:r>
    </w:p>
    <w:p w14:paraId="12679905">
      <w:pPr>
        <w:numPr>
          <w:ilvl w:val="0"/>
          <w:numId w:val="0"/>
        </w:numPr>
        <w:adjustRightInd w:val="0"/>
        <w:snapToGrid w:val="0"/>
        <w:spacing w:before="0" w:beforeLines="0" w:line="400" w:lineRule="exac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 xml:space="preserve">         </w:t>
      </w:r>
      <w:r>
        <w:rPr>
          <w:rFonts w:hint="eastAsia" w:ascii="宋体" w:hAnsi="宋体" w:eastAsia="宋体" w:cs="宋体"/>
          <w:bCs/>
          <w:color w:val="auto"/>
          <w:sz w:val="21"/>
          <w:szCs w:val="21"/>
          <w:highlight w:val="none"/>
        </w:rPr>
        <w:t>验收主体：</w:t>
      </w:r>
      <w:r>
        <w:rPr>
          <w:rFonts w:hint="eastAsia" w:ascii="宋体" w:hAnsi="宋体" w:eastAsia="宋体" w:cs="宋体"/>
          <w:bCs/>
          <w:color w:val="auto"/>
          <w:sz w:val="21"/>
          <w:szCs w:val="21"/>
          <w:highlight w:val="none"/>
          <w:u w:val="single"/>
        </w:rPr>
        <w:t xml:space="preserve">                  </w:t>
      </w:r>
    </w:p>
    <w:p w14:paraId="0E278AF1">
      <w:pPr>
        <w:adjustRightInd w:val="0"/>
        <w:snapToGrid w:val="0"/>
        <w:spacing w:before="0" w:beforeLines="0" w:line="400" w:lineRule="exact"/>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 xml:space="preserve">        </w:t>
      </w:r>
      <w:r>
        <w:rPr>
          <w:rFonts w:hint="eastAsia" w:ascii="宋体" w:hAnsi="宋体" w:eastAsia="宋体" w:cs="宋体"/>
          <w:bCs/>
          <w:color w:val="auto"/>
          <w:sz w:val="21"/>
          <w:szCs w:val="21"/>
          <w:highlight w:val="none"/>
        </w:rPr>
        <w:t>是否邀请本项目的其他供应商</w:t>
      </w:r>
      <w:r>
        <w:rPr>
          <w:rFonts w:hint="eastAsia" w:ascii="宋体" w:hAnsi="宋体" w:eastAsia="宋体" w:cs="宋体"/>
          <w:bCs/>
          <w:color w:val="auto"/>
          <w:sz w:val="21"/>
          <w:szCs w:val="21"/>
          <w:highlight w:val="none"/>
          <w:lang w:eastAsia="zh-CN"/>
        </w:rPr>
        <w:t>参加验收</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3B8CF6DF">
      <w:pPr>
        <w:adjustRightInd w:val="0"/>
        <w:snapToGrid w:val="0"/>
        <w:spacing w:before="0" w:beforeLines="0" w:line="400" w:lineRule="exact"/>
        <w:ind w:firstLine="840" w:firstLineChars="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是否邀请专家</w:t>
      </w:r>
      <w:r>
        <w:rPr>
          <w:rFonts w:hint="eastAsia" w:ascii="宋体" w:hAnsi="宋体" w:eastAsia="宋体" w:cs="宋体"/>
          <w:bCs/>
          <w:color w:val="auto"/>
          <w:sz w:val="21"/>
          <w:szCs w:val="21"/>
          <w:highlight w:val="none"/>
          <w:lang w:eastAsia="zh-CN"/>
        </w:rPr>
        <w:t>参加验收</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53FE791D">
      <w:pPr>
        <w:adjustRightInd w:val="0"/>
        <w:snapToGrid w:val="0"/>
        <w:spacing w:before="0" w:beforeLines="0" w:line="400" w:lineRule="exact"/>
        <w:ind w:firstLine="840" w:firstLineChars="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是否邀请服务对象</w:t>
      </w:r>
      <w:r>
        <w:rPr>
          <w:rFonts w:hint="eastAsia" w:ascii="宋体" w:hAnsi="宋体" w:eastAsia="宋体" w:cs="宋体"/>
          <w:bCs/>
          <w:color w:val="auto"/>
          <w:sz w:val="21"/>
          <w:szCs w:val="21"/>
          <w:highlight w:val="none"/>
          <w:lang w:eastAsia="zh-CN"/>
        </w:rPr>
        <w:t>参加验收</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312F90D6">
      <w:pPr>
        <w:adjustRightInd w:val="0"/>
        <w:snapToGrid w:val="0"/>
        <w:spacing w:before="0" w:beforeLines="0" w:line="400" w:lineRule="exact"/>
        <w:ind w:firstLine="840" w:firstLineChars="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是否邀请第三方检测机构</w:t>
      </w:r>
      <w:r>
        <w:rPr>
          <w:rFonts w:hint="eastAsia" w:ascii="宋体" w:hAnsi="宋体" w:eastAsia="宋体" w:cs="宋体"/>
          <w:bCs/>
          <w:color w:val="auto"/>
          <w:sz w:val="21"/>
          <w:szCs w:val="21"/>
          <w:highlight w:val="none"/>
          <w:lang w:eastAsia="zh-CN"/>
        </w:rPr>
        <w:t>参加验收</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411CB732">
      <w:pPr>
        <w:adjustRightInd w:val="0"/>
        <w:snapToGrid w:val="0"/>
        <w:spacing w:before="0" w:beforeLines="0" w:line="400" w:lineRule="exact"/>
        <w:ind w:firstLine="840" w:firstLineChars="4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是</w:t>
      </w:r>
      <w:r>
        <w:rPr>
          <w:rFonts w:hint="eastAsia" w:ascii="宋体" w:hAnsi="宋体" w:eastAsia="宋体" w:cs="宋体"/>
          <w:bCs/>
          <w:color w:val="auto"/>
          <w:sz w:val="21"/>
          <w:szCs w:val="21"/>
          <w:highlight w:val="none"/>
          <w:lang w:eastAsia="zh-CN"/>
        </w:rPr>
        <w:t>，抽查比例：</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451EC1EF">
      <w:pPr>
        <w:adjustRightInd w:val="0"/>
        <w:snapToGrid w:val="0"/>
        <w:spacing w:before="0" w:beforeLines="0" w:line="400" w:lineRule="exact"/>
        <w:ind w:firstLine="840" w:firstLineChars="400"/>
        <w:rPr>
          <w:rFonts w:hint="eastAsia" w:ascii="宋体" w:hAnsi="宋体" w:eastAsia="宋体" w:cs="宋体"/>
          <w:bCs/>
          <w:color w:val="auto"/>
          <w:sz w:val="21"/>
          <w:szCs w:val="21"/>
          <w:highlight w:val="none"/>
          <w:u w:val="single"/>
          <w:lang w:eastAsia="zh-CN"/>
        </w:rPr>
      </w:pPr>
      <w:r>
        <w:rPr>
          <w:rFonts w:hint="eastAsia" w:ascii="宋体" w:hAnsi="宋体" w:eastAsia="宋体" w:cs="宋体"/>
          <w:bCs/>
          <w:color w:val="auto"/>
          <w:sz w:val="21"/>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是</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u w:val="single"/>
          <w:lang w:eastAsia="zh-CN"/>
        </w:rPr>
        <w:t>（应明确对被破坏的检测产品的处理方式）</w:t>
      </w:r>
    </w:p>
    <w:p w14:paraId="6F575199">
      <w:pPr>
        <w:adjustRightInd w:val="0"/>
        <w:snapToGrid w:val="0"/>
        <w:spacing w:before="0" w:beforeLines="0" w:line="400" w:lineRule="exact"/>
        <w:ind w:firstLine="840" w:firstLineChars="40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713A6911">
      <w:pPr>
        <w:adjustRightInd w:val="0"/>
        <w:snapToGrid w:val="0"/>
        <w:spacing w:before="0" w:beforeLines="0" w:line="400" w:lineRule="exact"/>
        <w:ind w:firstLine="840" w:firstLineChars="400"/>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验收组织的其他事项：</w:t>
      </w:r>
      <w:r>
        <w:rPr>
          <w:rFonts w:hint="eastAsia" w:ascii="宋体" w:hAnsi="宋体" w:eastAsia="宋体" w:cs="宋体"/>
          <w:bCs/>
          <w:color w:val="auto"/>
          <w:sz w:val="21"/>
          <w:szCs w:val="21"/>
          <w:highlight w:val="none"/>
          <w:u w:val="single"/>
        </w:rPr>
        <w:t xml:space="preserve">                </w:t>
      </w:r>
    </w:p>
    <w:p w14:paraId="34F035FE">
      <w:p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（2）履约验收时间：</w:t>
      </w:r>
      <w:r>
        <w:rPr>
          <w:rFonts w:hint="eastAsia" w:ascii="宋体" w:hAnsi="宋体" w:eastAsia="宋体" w:cs="宋体"/>
          <w:bCs/>
          <w:color w:val="auto"/>
          <w:sz w:val="21"/>
          <w:szCs w:val="21"/>
          <w:highlight w:val="none"/>
          <w:u w:val="single"/>
        </w:rPr>
        <w:t>（计划于何时验收/供应商提出验收申请之日起   日内组织验收）</w:t>
      </w:r>
      <w:r>
        <w:rPr>
          <w:rFonts w:hint="eastAsia" w:ascii="宋体" w:hAnsi="宋体" w:eastAsia="宋体" w:cs="宋体"/>
          <w:bCs/>
          <w:color w:val="auto"/>
          <w:sz w:val="21"/>
          <w:szCs w:val="21"/>
          <w:highlight w:val="none"/>
          <w:u w:val="single"/>
          <w:lang w:val="en-US" w:eastAsia="zh-CN"/>
        </w:rPr>
        <w:t xml:space="preserve"> </w:t>
      </w:r>
    </w:p>
    <w:p w14:paraId="7AAAB0FB">
      <w:p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一次性验收         </w:t>
      </w:r>
    </w:p>
    <w:p w14:paraId="730E481A">
      <w:pPr>
        <w:adjustRightInd w:val="0"/>
        <w:snapToGrid w:val="0"/>
        <w:spacing w:before="0" w:beforeLines="0" w:line="400" w:lineRule="exact"/>
        <w:ind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分期/分项验收</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eastAsia="zh-CN"/>
        </w:rPr>
        <w:t>（应明确分期</w:t>
      </w:r>
      <w:r>
        <w:rPr>
          <w:rFonts w:hint="eastAsia" w:ascii="宋体" w:hAnsi="宋体" w:eastAsia="宋体" w:cs="宋体"/>
          <w:bCs/>
          <w:color w:val="auto"/>
          <w:sz w:val="21"/>
          <w:szCs w:val="21"/>
          <w:highlight w:val="none"/>
          <w:u w:val="single"/>
          <w:lang w:val="en" w:eastAsia="zh-CN"/>
        </w:rPr>
        <w:t>/分项验收的工作安排</w:t>
      </w:r>
      <w:r>
        <w:rPr>
          <w:rFonts w:hint="eastAsia" w:ascii="宋体" w:hAnsi="宋体" w:eastAsia="宋体" w:cs="宋体"/>
          <w:bCs/>
          <w:color w:val="auto"/>
          <w:sz w:val="21"/>
          <w:szCs w:val="21"/>
          <w:highlight w:val="none"/>
          <w:u w:val="singl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p>
    <w:p w14:paraId="5FED00E5">
      <w:p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（4）履约验收程序：</w:t>
      </w:r>
      <w:r>
        <w:rPr>
          <w:rFonts w:hint="eastAsia" w:ascii="宋体" w:hAnsi="宋体" w:eastAsia="宋体" w:cs="宋体"/>
          <w:bCs/>
          <w:color w:val="auto"/>
          <w:sz w:val="21"/>
          <w:szCs w:val="21"/>
          <w:highlight w:val="none"/>
          <w:u w:val="single"/>
        </w:rPr>
        <w:t xml:space="preserve">                                         </w:t>
      </w:r>
    </w:p>
    <w:p w14:paraId="1036A9B1">
      <w:p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（5）履约验收的内容：</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color w:val="auto"/>
          <w:sz w:val="21"/>
          <w:szCs w:val="21"/>
          <w:highlight w:val="none"/>
          <w:u w:val="single"/>
        </w:rPr>
        <w:t xml:space="preserve">                                      </w:t>
      </w:r>
    </w:p>
    <w:p w14:paraId="004A39AB">
      <w:p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（6）履约验收标准：</w:t>
      </w:r>
      <w:r>
        <w:rPr>
          <w:rFonts w:hint="eastAsia" w:ascii="宋体" w:hAnsi="宋体" w:eastAsia="宋体" w:cs="宋体"/>
          <w:bCs/>
          <w:color w:val="auto"/>
          <w:sz w:val="21"/>
          <w:szCs w:val="21"/>
          <w:highlight w:val="none"/>
          <w:u w:val="single"/>
        </w:rPr>
        <w:t xml:space="preserve">                                         </w:t>
      </w:r>
    </w:p>
    <w:p w14:paraId="09FF201C">
      <w:pPr>
        <w:pStyle w:val="51"/>
        <w:spacing w:beforeLines="0"/>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6B31070E">
      <w:pPr>
        <w:adjustRightInd w:val="0"/>
        <w:snapToGrid w:val="0"/>
        <w:spacing w:before="0" w:beforeLines="0" w:line="400" w:lineRule="exact"/>
        <w:ind w:firstLine="420" w:firstLineChars="200"/>
        <w:rPr>
          <w:rFonts w:hint="eastAsia" w:ascii="宋体" w:hAnsi="宋体" w:eastAsia="宋体" w:cs="宋体"/>
          <w:bCs/>
          <w:color w:val="auto"/>
          <w:sz w:val="21"/>
          <w:szCs w:val="21"/>
          <w:highlight w:val="none"/>
          <w:u w:val="single"/>
        </w:rPr>
      </w:pPr>
      <w:r>
        <w:rPr>
          <w:rFonts w:hint="eastAsia" w:ascii="宋体" w:hAnsi="宋体" w:eastAsia="宋体" w:cs="宋体"/>
          <w:bCs/>
          <w:color w:val="auto"/>
          <w:sz w:val="21"/>
          <w:szCs w:val="21"/>
          <w:highlight w:val="none"/>
        </w:rPr>
        <w:t>（8）履约验收其他事项：</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i w:val="0"/>
          <w:iCs w:val="0"/>
          <w:color w:val="auto"/>
          <w:sz w:val="21"/>
          <w:szCs w:val="21"/>
          <w:highlight w:val="none"/>
          <w:u w:val="single"/>
        </w:rPr>
        <w:t>（产权过户登记等）</w:t>
      </w:r>
      <w:r>
        <w:rPr>
          <w:rFonts w:hint="eastAsia" w:ascii="宋体" w:hAnsi="宋体" w:eastAsia="宋体" w:cs="宋体"/>
          <w:bCs/>
          <w:color w:val="auto"/>
          <w:sz w:val="21"/>
          <w:szCs w:val="21"/>
          <w:highlight w:val="none"/>
          <w:u w:val="single"/>
        </w:rPr>
        <w:t xml:space="preserve">          </w:t>
      </w:r>
    </w:p>
    <w:p w14:paraId="12D12B78">
      <w:pPr>
        <w:numPr>
          <w:ilvl w:val="0"/>
          <w:numId w:val="1"/>
        </w:numPr>
        <w:adjustRightInd w:val="0"/>
        <w:snapToGrid w:val="0"/>
        <w:spacing w:before="0" w:beforeLines="0"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组成合同的文件</w:t>
      </w:r>
    </w:p>
    <w:p w14:paraId="64351A2D">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本协议书与下列文件一起构成合同文件，如下述文件之间有任何抵触、矛盾或歧义，应按以下顺序解释：</w:t>
      </w:r>
    </w:p>
    <w:p w14:paraId="68D4877D">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政府采购</w:t>
      </w:r>
      <w:r>
        <w:rPr>
          <w:rFonts w:hint="eastAsia" w:ascii="宋体" w:hAnsi="宋体" w:eastAsia="宋体" w:cs="宋体"/>
          <w:color w:val="auto"/>
          <w:sz w:val="21"/>
          <w:szCs w:val="21"/>
          <w:highlight w:val="none"/>
        </w:rPr>
        <w:t>合同协议书及其变更、补充</w:t>
      </w:r>
      <w:r>
        <w:rPr>
          <w:rFonts w:hint="eastAsia" w:ascii="宋体" w:hAnsi="宋体" w:eastAsia="宋体" w:cs="宋体"/>
          <w:color w:val="auto"/>
          <w:sz w:val="21"/>
          <w:szCs w:val="21"/>
          <w:highlight w:val="none"/>
          <w:lang w:eastAsia="zh-CN"/>
        </w:rPr>
        <w:t>协议</w:t>
      </w:r>
    </w:p>
    <w:p w14:paraId="44E38EF1">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）政府采购合同专用条款</w:t>
      </w:r>
    </w:p>
    <w:p w14:paraId="7E1D83EA">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）政府采购合同通用条款</w:t>
      </w:r>
    </w:p>
    <w:p w14:paraId="7FF12C16">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）中标</w:t>
      </w:r>
      <w:r>
        <w:rPr>
          <w:rFonts w:hint="eastAsia" w:ascii="宋体" w:hAnsi="宋体" w:eastAsia="宋体" w:cs="宋体"/>
          <w:color w:val="auto"/>
          <w:sz w:val="21"/>
          <w:szCs w:val="21"/>
          <w:highlight w:val="none"/>
          <w:lang w:eastAsia="zh-CN"/>
        </w:rPr>
        <w:t>（成交）</w:t>
      </w:r>
      <w:r>
        <w:rPr>
          <w:rFonts w:hint="eastAsia" w:ascii="宋体" w:hAnsi="宋体" w:eastAsia="宋体" w:cs="宋体"/>
          <w:color w:val="auto"/>
          <w:sz w:val="21"/>
          <w:szCs w:val="21"/>
          <w:highlight w:val="none"/>
        </w:rPr>
        <w:t>通知书</w:t>
      </w:r>
    </w:p>
    <w:p w14:paraId="7A560505">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）投标（响应）文件</w:t>
      </w:r>
    </w:p>
    <w:p w14:paraId="04975BDA">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（6）采购文件</w:t>
      </w:r>
    </w:p>
    <w:p w14:paraId="7372A09D">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（7）有关技术文件，图纸</w:t>
      </w:r>
    </w:p>
    <w:p w14:paraId="6712BEBD">
      <w:pPr>
        <w:pStyle w:val="51"/>
        <w:spacing w:beforeLines="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26F77EB9">
      <w:pPr>
        <w:numPr>
          <w:ilvl w:val="0"/>
          <w:numId w:val="1"/>
        </w:numPr>
        <w:adjustRightInd w:val="0"/>
        <w:snapToGrid w:val="0"/>
        <w:spacing w:before="0" w:beforeLines="0"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合同生效</w:t>
      </w:r>
    </w:p>
    <w:p w14:paraId="488CA610">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本合同自</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生效。</w:t>
      </w:r>
    </w:p>
    <w:p w14:paraId="15F85FF4">
      <w:pPr>
        <w:numPr>
          <w:ilvl w:val="0"/>
          <w:numId w:val="1"/>
        </w:numPr>
        <w:adjustRightInd w:val="0"/>
        <w:snapToGrid w:val="0"/>
        <w:spacing w:before="0" w:beforeLines="0"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合同份数</w:t>
      </w:r>
    </w:p>
    <w:p w14:paraId="18997E31">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本合同一式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执</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w:t>
      </w:r>
      <w:r>
        <w:rPr>
          <w:rFonts w:hint="eastAsia" w:ascii="宋体" w:hAnsi="宋体" w:eastAsia="宋体" w:cs="宋体"/>
          <w:color w:val="auto"/>
          <w:sz w:val="21"/>
          <w:szCs w:val="21"/>
          <w:highlight w:val="none"/>
          <w:lang w:eastAsia="zh-CN"/>
        </w:rPr>
        <w:t>乙方</w:t>
      </w:r>
      <w:r>
        <w:rPr>
          <w:rFonts w:hint="eastAsia" w:ascii="宋体" w:hAnsi="宋体" w:eastAsia="宋体" w:cs="宋体"/>
          <w:color w:val="auto"/>
          <w:sz w:val="21"/>
          <w:szCs w:val="21"/>
          <w:highlight w:val="none"/>
        </w:rPr>
        <w:t>执</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份，均具有同等法律效力。</w:t>
      </w:r>
    </w:p>
    <w:p w14:paraId="0629D407">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合同订立时间：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2DF0FD02">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合同订立地点：</w:t>
      </w:r>
      <w:r>
        <w:rPr>
          <w:rFonts w:hint="eastAsia" w:ascii="宋体" w:hAnsi="宋体" w:eastAsia="宋体" w:cs="宋体"/>
          <w:color w:val="auto"/>
          <w:sz w:val="21"/>
          <w:szCs w:val="21"/>
          <w:highlight w:val="none"/>
          <w:u w:val="single"/>
        </w:rPr>
        <w:t xml:space="preserve">                           </w:t>
      </w:r>
    </w:p>
    <w:p w14:paraId="7CA56739">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附件：具体标</w:t>
      </w:r>
      <w:r>
        <w:rPr>
          <w:rFonts w:hint="eastAsia" w:ascii="宋体" w:hAnsi="宋体" w:eastAsia="宋体" w:cs="宋体"/>
          <w:color w:val="auto"/>
          <w:sz w:val="21"/>
          <w:szCs w:val="21"/>
          <w:highlight w:val="none"/>
          <w:lang w:eastAsia="zh-CN"/>
        </w:rPr>
        <w:t>的及其</w:t>
      </w:r>
      <w:r>
        <w:rPr>
          <w:rFonts w:hint="eastAsia" w:ascii="宋体" w:hAnsi="宋体" w:eastAsia="宋体" w:cs="宋体"/>
          <w:color w:val="auto"/>
          <w:sz w:val="21"/>
          <w:szCs w:val="21"/>
          <w:highlight w:val="none"/>
          <w:u w:val="none"/>
          <w:lang w:val="en-US" w:eastAsia="zh-CN"/>
        </w:rPr>
        <w:t>技术要求和商务要求</w:t>
      </w:r>
      <w:r>
        <w:rPr>
          <w:rFonts w:hint="eastAsia" w:ascii="宋体" w:hAnsi="宋体" w:eastAsia="宋体" w:cs="宋体"/>
          <w:color w:val="auto"/>
          <w:sz w:val="21"/>
          <w:szCs w:val="21"/>
          <w:highlight w:val="none"/>
        </w:rPr>
        <w:t>、联合</w:t>
      </w:r>
      <w:r>
        <w:rPr>
          <w:rFonts w:hint="eastAsia" w:cs="宋体"/>
          <w:color w:val="auto"/>
          <w:sz w:val="21"/>
          <w:szCs w:val="21"/>
          <w:highlight w:val="none"/>
          <w:lang w:val="en-US" w:eastAsia="zh-CN"/>
        </w:rPr>
        <w:t>体</w:t>
      </w:r>
      <w:r>
        <w:rPr>
          <w:rFonts w:hint="eastAsia" w:ascii="宋体" w:hAnsi="宋体" w:eastAsia="宋体" w:cs="宋体"/>
          <w:color w:val="auto"/>
          <w:sz w:val="21"/>
          <w:szCs w:val="21"/>
          <w:highlight w:val="none"/>
        </w:rPr>
        <w:t>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rPr>
        <w:t>、分包</w:t>
      </w:r>
      <w:r>
        <w:rPr>
          <w:rFonts w:hint="eastAsia" w:ascii="宋体" w:hAnsi="宋体" w:eastAsia="宋体" w:cs="宋体"/>
          <w:color w:val="auto"/>
          <w:sz w:val="21"/>
          <w:szCs w:val="21"/>
          <w:highlight w:val="none"/>
          <w:lang w:eastAsia="zh-CN"/>
        </w:rPr>
        <w:t>意向</w:t>
      </w:r>
      <w:r>
        <w:rPr>
          <w:rFonts w:hint="eastAsia" w:ascii="宋体" w:hAnsi="宋体" w:eastAsia="宋体" w:cs="宋体"/>
          <w:color w:val="auto"/>
          <w:sz w:val="21"/>
          <w:szCs w:val="21"/>
          <w:highlight w:val="none"/>
        </w:rPr>
        <w:t>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rPr>
        <w:t>等。</w:t>
      </w:r>
    </w:p>
    <w:p w14:paraId="0D129071">
      <w:pPr>
        <w:pStyle w:val="67"/>
        <w:rPr>
          <w:rFonts w:hint="eastAsia" w:ascii="宋体" w:hAnsi="宋体" w:eastAsia="宋体" w:cs="宋体"/>
          <w:color w:val="auto"/>
          <w:sz w:val="21"/>
          <w:szCs w:val="21"/>
          <w:highlight w:val="none"/>
        </w:rPr>
      </w:pPr>
    </w:p>
    <w:p w14:paraId="5CEC79C0">
      <w:pPr>
        <w:pStyle w:val="67"/>
        <w:rPr>
          <w:rFonts w:hint="eastAsia" w:ascii="宋体" w:hAnsi="宋体" w:eastAsia="宋体" w:cs="宋体"/>
          <w:color w:val="auto"/>
          <w:sz w:val="21"/>
          <w:szCs w:val="21"/>
          <w:highlight w:val="none"/>
        </w:rPr>
      </w:pPr>
    </w:p>
    <w:p w14:paraId="4FAD25FD">
      <w:pPr>
        <w:pStyle w:val="67"/>
        <w:rPr>
          <w:rFonts w:hint="eastAsia" w:ascii="宋体" w:hAnsi="宋体" w:eastAsia="宋体" w:cs="宋体"/>
          <w:color w:val="auto"/>
          <w:sz w:val="21"/>
          <w:szCs w:val="21"/>
          <w:highlight w:val="none"/>
        </w:rPr>
      </w:pPr>
    </w:p>
    <w:p w14:paraId="10A85BCA">
      <w:pPr>
        <w:pStyle w:val="67"/>
        <w:rPr>
          <w:rFonts w:hint="eastAsia" w:ascii="宋体" w:hAnsi="宋体" w:eastAsia="宋体" w:cs="宋体"/>
          <w:color w:val="auto"/>
          <w:sz w:val="21"/>
          <w:szCs w:val="21"/>
          <w:highlight w:val="none"/>
        </w:rPr>
      </w:pPr>
    </w:p>
    <w:p w14:paraId="75233267">
      <w:pPr>
        <w:pStyle w:val="67"/>
        <w:rPr>
          <w:rFonts w:hint="eastAsia" w:ascii="宋体" w:hAnsi="宋体" w:eastAsia="宋体" w:cs="宋体"/>
          <w:color w:val="auto"/>
          <w:sz w:val="21"/>
          <w:szCs w:val="21"/>
          <w:highlight w:val="none"/>
        </w:rPr>
      </w:pPr>
    </w:p>
    <w:p w14:paraId="5409D989">
      <w:pPr>
        <w:pStyle w:val="67"/>
        <w:rPr>
          <w:rFonts w:hint="eastAsia" w:ascii="宋体" w:hAnsi="宋体" w:eastAsia="宋体" w:cs="宋体"/>
          <w:color w:val="auto"/>
          <w:sz w:val="21"/>
          <w:szCs w:val="21"/>
          <w:highlight w:val="none"/>
        </w:rPr>
      </w:pPr>
    </w:p>
    <w:p w14:paraId="15B355E6">
      <w:pPr>
        <w:pStyle w:val="67"/>
        <w:rPr>
          <w:rFonts w:hint="eastAsia" w:ascii="宋体" w:hAnsi="宋体" w:eastAsia="宋体" w:cs="宋体"/>
          <w:color w:val="auto"/>
          <w:sz w:val="21"/>
          <w:szCs w:val="21"/>
          <w:highlight w:val="none"/>
        </w:rPr>
      </w:pPr>
    </w:p>
    <w:p w14:paraId="1287727F">
      <w:pPr>
        <w:pStyle w:val="67"/>
        <w:rPr>
          <w:rFonts w:hint="eastAsia" w:ascii="宋体" w:hAnsi="宋体" w:eastAsia="宋体" w:cs="宋体"/>
          <w:color w:val="auto"/>
          <w:sz w:val="21"/>
          <w:szCs w:val="21"/>
          <w:highlight w:val="none"/>
        </w:rPr>
      </w:pPr>
    </w:p>
    <w:tbl>
      <w:tblPr>
        <w:tblStyle w:val="27"/>
        <w:tblW w:w="4868" w:type="pct"/>
        <w:tblInd w:w="10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145"/>
        <w:gridCol w:w="2053"/>
        <w:gridCol w:w="1978"/>
        <w:gridCol w:w="2121"/>
      </w:tblGrid>
      <w:tr w14:paraId="30EEA2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30" w:type="pct"/>
            <w:gridSpan w:val="2"/>
            <w:tcBorders>
              <w:bottom w:val="single" w:color="auto" w:sz="2" w:space="0"/>
              <w:right w:val="single" w:color="auto" w:sz="2" w:space="0"/>
            </w:tcBorders>
            <w:vAlign w:val="center"/>
          </w:tcPr>
          <w:p w14:paraId="122EEEC5">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甲方（采购人</w:t>
            </w:r>
            <w:r>
              <w:rPr>
                <w:rFonts w:hint="eastAsia" w:ascii="宋体" w:hAnsi="宋体" w:eastAsia="宋体" w:cs="宋体"/>
                <w:color w:val="auto"/>
                <w:sz w:val="21"/>
                <w:szCs w:val="21"/>
                <w:highlight w:val="none"/>
                <w:lang w:eastAsia="zh-CN"/>
              </w:rPr>
              <w:t>、受采购人委托签订合同的单位</w:t>
            </w:r>
            <w:r>
              <w:rPr>
                <w:rFonts w:hint="eastAsia" w:ascii="宋体" w:hAnsi="宋体" w:eastAsia="宋体" w:cs="宋体"/>
                <w:color w:val="auto"/>
                <w:sz w:val="21"/>
                <w:szCs w:val="21"/>
                <w:highlight w:val="none"/>
              </w:rPr>
              <w:t>或采购文件约定的合同甲方）</w:t>
            </w:r>
          </w:p>
        </w:tc>
        <w:tc>
          <w:tcPr>
            <w:tcW w:w="2469" w:type="pct"/>
            <w:gridSpan w:val="2"/>
            <w:tcBorders>
              <w:left w:val="single" w:color="auto" w:sz="2" w:space="0"/>
              <w:bottom w:val="single" w:color="auto" w:sz="2" w:space="0"/>
            </w:tcBorders>
            <w:vAlign w:val="center"/>
          </w:tcPr>
          <w:p w14:paraId="1ADB6644">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乙方（供应商）</w:t>
            </w:r>
          </w:p>
        </w:tc>
      </w:tr>
      <w:tr w14:paraId="73D34EF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293" w:type="pct"/>
            <w:tcBorders>
              <w:top w:val="single" w:color="auto" w:sz="2" w:space="0"/>
              <w:bottom w:val="single" w:color="auto" w:sz="2" w:space="0"/>
              <w:right w:val="single" w:color="auto" w:sz="2" w:space="0"/>
            </w:tcBorders>
            <w:vAlign w:val="center"/>
          </w:tcPr>
          <w:p w14:paraId="2893D5B0">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单位名称（公章</w:t>
            </w:r>
            <w:r>
              <w:rPr>
                <w:rFonts w:hint="eastAsia" w:ascii="宋体" w:hAnsi="宋体" w:eastAsia="宋体" w:cs="宋体"/>
                <w:color w:val="auto"/>
                <w:sz w:val="21"/>
                <w:szCs w:val="21"/>
                <w:highlight w:val="none"/>
                <w:lang w:eastAsia="zh-CN"/>
              </w:rPr>
              <w:t>或合同章</w:t>
            </w:r>
            <w:r>
              <w:rPr>
                <w:rFonts w:hint="eastAsia" w:ascii="宋体" w:hAnsi="宋体" w:eastAsia="宋体" w:cs="宋体"/>
                <w:color w:val="auto"/>
                <w:sz w:val="21"/>
                <w:szCs w:val="21"/>
                <w:highlight w:val="none"/>
              </w:rPr>
              <w:t>）</w:t>
            </w:r>
          </w:p>
        </w:tc>
        <w:tc>
          <w:tcPr>
            <w:tcW w:w="1236" w:type="pct"/>
            <w:tcBorders>
              <w:top w:val="single" w:color="auto" w:sz="2" w:space="0"/>
              <w:left w:val="single" w:color="auto" w:sz="2" w:space="0"/>
              <w:bottom w:val="single" w:color="auto" w:sz="2" w:space="0"/>
              <w:right w:val="single" w:color="auto" w:sz="2" w:space="0"/>
            </w:tcBorders>
            <w:vAlign w:val="center"/>
          </w:tcPr>
          <w:p w14:paraId="55E33E36">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0CD156FD">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单位名称（公章</w:t>
            </w:r>
            <w:r>
              <w:rPr>
                <w:rFonts w:hint="eastAsia" w:ascii="宋体" w:hAnsi="宋体" w:eastAsia="宋体" w:cs="宋体"/>
                <w:color w:val="auto"/>
                <w:sz w:val="21"/>
                <w:szCs w:val="21"/>
                <w:highlight w:val="none"/>
                <w:lang w:eastAsia="zh-CN"/>
              </w:rPr>
              <w:t>或合同章</w:t>
            </w:r>
            <w:r>
              <w:rPr>
                <w:rFonts w:hint="eastAsia" w:ascii="宋体" w:hAnsi="宋体" w:eastAsia="宋体" w:cs="宋体"/>
                <w:color w:val="auto"/>
                <w:sz w:val="21"/>
                <w:szCs w:val="21"/>
                <w:highlight w:val="none"/>
              </w:rPr>
              <w:t>）</w:t>
            </w:r>
          </w:p>
        </w:tc>
        <w:tc>
          <w:tcPr>
            <w:tcW w:w="1277" w:type="pct"/>
            <w:tcBorders>
              <w:top w:val="single" w:color="auto" w:sz="2" w:space="0"/>
              <w:left w:val="single" w:color="auto" w:sz="2" w:space="0"/>
              <w:bottom w:val="single" w:color="auto" w:sz="2" w:space="0"/>
            </w:tcBorders>
            <w:vAlign w:val="center"/>
          </w:tcPr>
          <w:p w14:paraId="33BA3691">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1AF345D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293" w:type="pct"/>
            <w:vMerge w:val="restart"/>
            <w:tcBorders>
              <w:top w:val="single" w:color="auto" w:sz="2" w:space="0"/>
              <w:right w:val="single" w:color="auto" w:sz="2" w:space="0"/>
            </w:tcBorders>
            <w:vAlign w:val="center"/>
          </w:tcPr>
          <w:p w14:paraId="36476D95">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p>
          <w:p w14:paraId="13B8614E">
            <w:pPr>
              <w:adjustRightInd w:val="0"/>
              <w:snapToGrid w:val="0"/>
              <w:spacing w:line="300" w:lineRule="exact"/>
              <w:ind w:firstLine="100" w:firstLineChars="48"/>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或其委托代理人（签章）</w:t>
            </w:r>
          </w:p>
        </w:tc>
        <w:tc>
          <w:tcPr>
            <w:tcW w:w="1236" w:type="pct"/>
            <w:vMerge w:val="restart"/>
            <w:tcBorders>
              <w:top w:val="single" w:color="auto" w:sz="2" w:space="0"/>
              <w:left w:val="single" w:color="auto" w:sz="2" w:space="0"/>
              <w:right w:val="single" w:color="auto" w:sz="2" w:space="0"/>
            </w:tcBorders>
            <w:vAlign w:val="center"/>
          </w:tcPr>
          <w:p w14:paraId="1898CF89">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right w:val="single" w:color="auto" w:sz="2" w:space="0"/>
            </w:tcBorders>
            <w:vAlign w:val="center"/>
          </w:tcPr>
          <w:p w14:paraId="5838F6CE">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p>
          <w:p w14:paraId="7DCF0669">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或其委托代理人（签章）</w:t>
            </w:r>
          </w:p>
        </w:tc>
        <w:tc>
          <w:tcPr>
            <w:tcW w:w="1277" w:type="pct"/>
            <w:tcBorders>
              <w:top w:val="single" w:color="auto" w:sz="2" w:space="0"/>
              <w:left w:val="single" w:color="auto" w:sz="2" w:space="0"/>
              <w:bottom w:val="single" w:color="auto" w:sz="2" w:space="0"/>
            </w:tcBorders>
            <w:vAlign w:val="center"/>
          </w:tcPr>
          <w:p w14:paraId="28DBBD99">
            <w:pPr>
              <w:adjustRightInd w:val="0"/>
              <w:snapToGrid w:val="0"/>
              <w:spacing w:line="300" w:lineRule="exact"/>
              <w:jc w:val="center"/>
              <w:rPr>
                <w:rFonts w:hint="eastAsia" w:ascii="宋体" w:hAnsi="宋体" w:eastAsia="宋体" w:cs="宋体"/>
                <w:color w:val="auto"/>
                <w:sz w:val="21"/>
                <w:szCs w:val="21"/>
                <w:highlight w:val="none"/>
              </w:rPr>
            </w:pPr>
          </w:p>
        </w:tc>
      </w:tr>
      <w:tr w14:paraId="73DF28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vMerge w:val="continue"/>
            <w:tcBorders>
              <w:bottom w:val="single" w:color="auto" w:sz="2" w:space="0"/>
              <w:right w:val="single" w:color="auto" w:sz="2" w:space="0"/>
            </w:tcBorders>
            <w:vAlign w:val="center"/>
          </w:tcPr>
          <w:p w14:paraId="79741DED">
            <w:pPr>
              <w:adjustRightInd w:val="0"/>
              <w:snapToGrid w:val="0"/>
              <w:spacing w:line="300" w:lineRule="exact"/>
              <w:jc w:val="center"/>
              <w:rPr>
                <w:rFonts w:hint="eastAsia" w:ascii="宋体" w:hAnsi="宋体" w:eastAsia="宋体" w:cs="宋体"/>
                <w:color w:val="auto"/>
                <w:sz w:val="21"/>
                <w:szCs w:val="21"/>
                <w:highlight w:val="none"/>
              </w:rPr>
            </w:pPr>
          </w:p>
        </w:tc>
        <w:tc>
          <w:tcPr>
            <w:tcW w:w="1236" w:type="pct"/>
            <w:vMerge w:val="continue"/>
            <w:tcBorders>
              <w:left w:val="single" w:color="auto" w:sz="2" w:space="0"/>
              <w:bottom w:val="single" w:color="auto" w:sz="2" w:space="0"/>
              <w:right w:val="single" w:color="auto" w:sz="2" w:space="0"/>
            </w:tcBorders>
            <w:vAlign w:val="center"/>
          </w:tcPr>
          <w:p w14:paraId="109C2527">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5999D7D6">
            <w:pPr>
              <w:adjustRightInd w:val="0"/>
              <w:snapToGrid w:val="0"/>
              <w:spacing w:line="3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拥有者性别</w:t>
            </w:r>
          </w:p>
        </w:tc>
        <w:tc>
          <w:tcPr>
            <w:tcW w:w="1277" w:type="pct"/>
            <w:tcBorders>
              <w:top w:val="single" w:color="auto" w:sz="2" w:space="0"/>
              <w:left w:val="single" w:color="auto" w:sz="2" w:space="0"/>
              <w:bottom w:val="single" w:color="auto" w:sz="2" w:space="0"/>
            </w:tcBorders>
            <w:vAlign w:val="center"/>
          </w:tcPr>
          <w:p w14:paraId="4D49D8D4">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06DB702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4C781B48">
            <w:pPr>
              <w:adjustRightInd w:val="0"/>
              <w:snapToGrid w:val="0"/>
              <w:spacing w:line="3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住</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所</w:t>
            </w:r>
          </w:p>
        </w:tc>
        <w:tc>
          <w:tcPr>
            <w:tcW w:w="1236" w:type="pct"/>
            <w:tcBorders>
              <w:top w:val="single" w:color="auto" w:sz="2" w:space="0"/>
              <w:left w:val="single" w:color="auto" w:sz="2" w:space="0"/>
              <w:bottom w:val="single" w:color="auto" w:sz="2" w:space="0"/>
              <w:right w:val="single" w:color="auto" w:sz="2" w:space="0"/>
            </w:tcBorders>
            <w:vAlign w:val="center"/>
          </w:tcPr>
          <w:p w14:paraId="2944E6ED">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7286588E">
            <w:pPr>
              <w:adjustRightInd w:val="0"/>
              <w:snapToGrid w:val="0"/>
              <w:spacing w:line="3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住</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所</w:t>
            </w:r>
          </w:p>
        </w:tc>
        <w:tc>
          <w:tcPr>
            <w:tcW w:w="1277" w:type="pct"/>
            <w:tcBorders>
              <w:top w:val="single" w:color="auto" w:sz="2" w:space="0"/>
              <w:left w:val="single" w:color="auto" w:sz="2" w:space="0"/>
              <w:bottom w:val="single" w:color="auto" w:sz="2" w:space="0"/>
            </w:tcBorders>
            <w:vAlign w:val="center"/>
          </w:tcPr>
          <w:p w14:paraId="099028D8">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64298F7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293" w:type="pct"/>
            <w:tcBorders>
              <w:top w:val="single" w:color="auto" w:sz="2" w:space="0"/>
              <w:bottom w:val="single" w:color="auto" w:sz="2" w:space="0"/>
              <w:right w:val="single" w:color="auto" w:sz="2" w:space="0"/>
            </w:tcBorders>
            <w:vAlign w:val="center"/>
          </w:tcPr>
          <w:p w14:paraId="3BF37A91">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 系 人</w:t>
            </w:r>
          </w:p>
        </w:tc>
        <w:tc>
          <w:tcPr>
            <w:tcW w:w="1236" w:type="pct"/>
            <w:tcBorders>
              <w:top w:val="single" w:color="auto" w:sz="2" w:space="0"/>
              <w:left w:val="single" w:color="auto" w:sz="2" w:space="0"/>
              <w:bottom w:val="single" w:color="auto" w:sz="2" w:space="0"/>
              <w:right w:val="single" w:color="auto" w:sz="2" w:space="0"/>
            </w:tcBorders>
            <w:vAlign w:val="center"/>
          </w:tcPr>
          <w:p w14:paraId="21E566CF">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1D2D0DC3">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 系 人</w:t>
            </w:r>
          </w:p>
        </w:tc>
        <w:tc>
          <w:tcPr>
            <w:tcW w:w="1277" w:type="pct"/>
            <w:tcBorders>
              <w:top w:val="single" w:color="auto" w:sz="2" w:space="0"/>
              <w:left w:val="single" w:color="auto" w:sz="2" w:space="0"/>
              <w:bottom w:val="single" w:color="auto" w:sz="2" w:space="0"/>
            </w:tcBorders>
            <w:vAlign w:val="center"/>
          </w:tcPr>
          <w:p w14:paraId="1D856A85">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77E0987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024CB895">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c>
          <w:tcPr>
            <w:tcW w:w="1236" w:type="pct"/>
            <w:tcBorders>
              <w:top w:val="single" w:color="auto" w:sz="2" w:space="0"/>
              <w:left w:val="single" w:color="auto" w:sz="2" w:space="0"/>
              <w:bottom w:val="single" w:color="auto" w:sz="2" w:space="0"/>
              <w:right w:val="single" w:color="auto" w:sz="2" w:space="0"/>
            </w:tcBorders>
            <w:vAlign w:val="center"/>
          </w:tcPr>
          <w:p w14:paraId="4C498000">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7B4134DE">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c>
          <w:tcPr>
            <w:tcW w:w="1277" w:type="pct"/>
            <w:tcBorders>
              <w:top w:val="single" w:color="auto" w:sz="2" w:space="0"/>
              <w:left w:val="single" w:color="auto" w:sz="2" w:space="0"/>
              <w:bottom w:val="single" w:color="auto" w:sz="2" w:space="0"/>
            </w:tcBorders>
            <w:vAlign w:val="center"/>
          </w:tcPr>
          <w:p w14:paraId="701C890C">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1179D0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6410AC1E">
            <w:pPr>
              <w:adjustRightInd w:val="0"/>
              <w:snapToGrid w:val="0"/>
              <w:spacing w:line="3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通信地址</w:t>
            </w:r>
          </w:p>
        </w:tc>
        <w:tc>
          <w:tcPr>
            <w:tcW w:w="1236" w:type="pct"/>
            <w:tcBorders>
              <w:top w:val="single" w:color="auto" w:sz="2" w:space="0"/>
              <w:left w:val="single" w:color="auto" w:sz="2" w:space="0"/>
              <w:bottom w:val="single" w:color="auto" w:sz="2" w:space="0"/>
              <w:right w:val="single" w:color="auto" w:sz="2" w:space="0"/>
            </w:tcBorders>
            <w:vAlign w:val="center"/>
          </w:tcPr>
          <w:p w14:paraId="4A52DBDF">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161E99B8">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通信地址</w:t>
            </w:r>
          </w:p>
        </w:tc>
        <w:tc>
          <w:tcPr>
            <w:tcW w:w="1277" w:type="pct"/>
            <w:tcBorders>
              <w:top w:val="single" w:color="auto" w:sz="2" w:space="0"/>
              <w:left w:val="single" w:color="auto" w:sz="2" w:space="0"/>
              <w:bottom w:val="single" w:color="auto" w:sz="2" w:space="0"/>
            </w:tcBorders>
            <w:vAlign w:val="center"/>
          </w:tcPr>
          <w:p w14:paraId="7733D880">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18397F8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359FB791">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tc>
        <w:tc>
          <w:tcPr>
            <w:tcW w:w="1236" w:type="pct"/>
            <w:tcBorders>
              <w:top w:val="single" w:color="auto" w:sz="2" w:space="0"/>
              <w:left w:val="single" w:color="auto" w:sz="2" w:space="0"/>
              <w:bottom w:val="single" w:color="auto" w:sz="2" w:space="0"/>
              <w:right w:val="single" w:color="auto" w:sz="2" w:space="0"/>
            </w:tcBorders>
            <w:vAlign w:val="center"/>
          </w:tcPr>
          <w:p w14:paraId="694C6AF3">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00FEBFA1">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tc>
        <w:tc>
          <w:tcPr>
            <w:tcW w:w="1277" w:type="pct"/>
            <w:tcBorders>
              <w:top w:val="single" w:color="auto" w:sz="2" w:space="0"/>
              <w:left w:val="single" w:color="auto" w:sz="2" w:space="0"/>
              <w:bottom w:val="single" w:color="auto" w:sz="2" w:space="0"/>
            </w:tcBorders>
            <w:vAlign w:val="center"/>
          </w:tcPr>
          <w:p w14:paraId="70981218">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550E399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437B108A">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电子邮箱</w:t>
            </w:r>
          </w:p>
        </w:tc>
        <w:tc>
          <w:tcPr>
            <w:tcW w:w="1236" w:type="pct"/>
            <w:tcBorders>
              <w:top w:val="single" w:color="auto" w:sz="2" w:space="0"/>
              <w:left w:val="single" w:color="auto" w:sz="2" w:space="0"/>
              <w:bottom w:val="single" w:color="auto" w:sz="2" w:space="0"/>
              <w:right w:val="single" w:color="auto" w:sz="2" w:space="0"/>
            </w:tcBorders>
            <w:vAlign w:val="center"/>
          </w:tcPr>
          <w:p w14:paraId="1C96C6AF">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55B991CE">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电子邮箱</w:t>
            </w:r>
          </w:p>
        </w:tc>
        <w:tc>
          <w:tcPr>
            <w:tcW w:w="1277" w:type="pct"/>
            <w:tcBorders>
              <w:top w:val="single" w:color="auto" w:sz="2" w:space="0"/>
              <w:left w:val="single" w:color="auto" w:sz="2" w:space="0"/>
              <w:bottom w:val="single" w:color="auto" w:sz="2" w:space="0"/>
            </w:tcBorders>
            <w:vAlign w:val="center"/>
          </w:tcPr>
          <w:p w14:paraId="0DC85DC3">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0271A5A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2F3AE2AD">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统一社会信用代码</w:t>
            </w:r>
          </w:p>
        </w:tc>
        <w:tc>
          <w:tcPr>
            <w:tcW w:w="1236" w:type="pct"/>
            <w:tcBorders>
              <w:top w:val="single" w:color="auto" w:sz="2" w:space="0"/>
              <w:left w:val="single" w:color="auto" w:sz="2" w:space="0"/>
              <w:bottom w:val="single" w:color="auto" w:sz="2" w:space="0"/>
              <w:right w:val="single" w:color="auto" w:sz="2" w:space="0"/>
            </w:tcBorders>
            <w:vAlign w:val="center"/>
          </w:tcPr>
          <w:p w14:paraId="179974F2">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0EBD6FBE">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统一社会信用代码</w:t>
            </w:r>
          </w:p>
        </w:tc>
        <w:tc>
          <w:tcPr>
            <w:tcW w:w="1277" w:type="pct"/>
            <w:tcBorders>
              <w:top w:val="single" w:color="auto" w:sz="2" w:space="0"/>
              <w:left w:val="single" w:color="auto" w:sz="2" w:space="0"/>
              <w:bottom w:val="single" w:color="auto" w:sz="2" w:space="0"/>
            </w:tcBorders>
            <w:vAlign w:val="center"/>
          </w:tcPr>
          <w:p w14:paraId="3663A1A2">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61E3156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33AB1682">
            <w:pPr>
              <w:adjustRightInd w:val="0"/>
              <w:snapToGrid w:val="0"/>
              <w:spacing w:line="300" w:lineRule="exact"/>
              <w:jc w:val="center"/>
              <w:rPr>
                <w:rFonts w:hint="eastAsia" w:ascii="宋体" w:hAnsi="宋体" w:eastAsia="宋体" w:cs="宋体"/>
                <w:color w:val="auto"/>
                <w:sz w:val="21"/>
                <w:szCs w:val="21"/>
                <w:highlight w:val="none"/>
              </w:rPr>
            </w:pPr>
          </w:p>
        </w:tc>
        <w:tc>
          <w:tcPr>
            <w:tcW w:w="1236" w:type="pct"/>
            <w:tcBorders>
              <w:top w:val="single" w:color="auto" w:sz="2" w:space="0"/>
              <w:left w:val="single" w:color="auto" w:sz="2" w:space="0"/>
              <w:bottom w:val="single" w:color="auto" w:sz="2" w:space="0"/>
              <w:right w:val="single" w:color="auto" w:sz="2" w:space="0"/>
            </w:tcBorders>
            <w:vAlign w:val="center"/>
          </w:tcPr>
          <w:p w14:paraId="704563A5">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3E23BC3A">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开户名称</w:t>
            </w:r>
          </w:p>
        </w:tc>
        <w:tc>
          <w:tcPr>
            <w:tcW w:w="1277" w:type="pct"/>
            <w:tcBorders>
              <w:top w:val="single" w:color="auto" w:sz="2" w:space="0"/>
              <w:left w:val="single" w:color="auto" w:sz="2" w:space="0"/>
              <w:bottom w:val="single" w:color="auto" w:sz="2" w:space="0"/>
            </w:tcBorders>
            <w:vAlign w:val="center"/>
          </w:tcPr>
          <w:p w14:paraId="6E184549">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3F5912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7EDA1AFE">
            <w:pPr>
              <w:adjustRightInd w:val="0"/>
              <w:snapToGrid w:val="0"/>
              <w:spacing w:line="300" w:lineRule="exact"/>
              <w:jc w:val="center"/>
              <w:rPr>
                <w:rFonts w:hint="eastAsia" w:ascii="宋体" w:hAnsi="宋体" w:eastAsia="宋体" w:cs="宋体"/>
                <w:color w:val="auto"/>
                <w:sz w:val="21"/>
                <w:szCs w:val="21"/>
                <w:highlight w:val="none"/>
              </w:rPr>
            </w:pPr>
          </w:p>
        </w:tc>
        <w:tc>
          <w:tcPr>
            <w:tcW w:w="1236" w:type="pct"/>
            <w:tcBorders>
              <w:top w:val="single" w:color="auto" w:sz="2" w:space="0"/>
              <w:left w:val="single" w:color="auto" w:sz="2" w:space="0"/>
              <w:bottom w:val="single" w:color="auto" w:sz="2" w:space="0"/>
              <w:right w:val="single" w:color="auto" w:sz="2" w:space="0"/>
            </w:tcBorders>
            <w:vAlign w:val="center"/>
          </w:tcPr>
          <w:p w14:paraId="7ABB2AC7">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35806D87">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p>
        </w:tc>
        <w:tc>
          <w:tcPr>
            <w:tcW w:w="1277" w:type="pct"/>
            <w:tcBorders>
              <w:top w:val="single" w:color="auto" w:sz="2" w:space="0"/>
              <w:left w:val="single" w:color="auto" w:sz="2" w:space="0"/>
              <w:bottom w:val="single" w:color="auto" w:sz="2" w:space="0"/>
            </w:tcBorders>
            <w:vAlign w:val="center"/>
          </w:tcPr>
          <w:p w14:paraId="740EC35E">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77429C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3" w:type="pct"/>
            <w:tcBorders>
              <w:top w:val="single" w:color="auto" w:sz="2" w:space="0"/>
              <w:bottom w:val="single" w:color="auto" w:sz="2" w:space="0"/>
              <w:right w:val="single" w:color="auto" w:sz="2" w:space="0"/>
            </w:tcBorders>
            <w:vAlign w:val="center"/>
          </w:tcPr>
          <w:p w14:paraId="68178CC3">
            <w:pPr>
              <w:adjustRightInd w:val="0"/>
              <w:snapToGrid w:val="0"/>
              <w:spacing w:line="300" w:lineRule="exact"/>
              <w:jc w:val="center"/>
              <w:rPr>
                <w:rFonts w:hint="eastAsia" w:ascii="宋体" w:hAnsi="宋体" w:eastAsia="宋体" w:cs="宋体"/>
                <w:color w:val="auto"/>
                <w:sz w:val="21"/>
                <w:szCs w:val="21"/>
                <w:highlight w:val="none"/>
              </w:rPr>
            </w:pPr>
          </w:p>
        </w:tc>
        <w:tc>
          <w:tcPr>
            <w:tcW w:w="1236" w:type="pct"/>
            <w:tcBorders>
              <w:top w:val="single" w:color="auto" w:sz="2" w:space="0"/>
              <w:left w:val="single" w:color="auto" w:sz="2" w:space="0"/>
              <w:bottom w:val="single" w:color="auto" w:sz="2" w:space="0"/>
              <w:right w:val="single" w:color="auto" w:sz="2" w:space="0"/>
            </w:tcBorders>
            <w:vAlign w:val="center"/>
          </w:tcPr>
          <w:p w14:paraId="5607259C">
            <w:pPr>
              <w:adjustRightInd w:val="0"/>
              <w:snapToGrid w:val="0"/>
              <w:spacing w:line="300" w:lineRule="exact"/>
              <w:jc w:val="center"/>
              <w:rPr>
                <w:rFonts w:hint="eastAsia" w:ascii="宋体" w:hAnsi="宋体" w:eastAsia="宋体" w:cs="宋体"/>
                <w:color w:val="auto"/>
                <w:sz w:val="21"/>
                <w:szCs w:val="21"/>
                <w:highlight w:val="none"/>
              </w:rPr>
            </w:pPr>
          </w:p>
        </w:tc>
        <w:tc>
          <w:tcPr>
            <w:tcW w:w="1192" w:type="pct"/>
            <w:tcBorders>
              <w:top w:val="single" w:color="auto" w:sz="2" w:space="0"/>
              <w:left w:val="single" w:color="auto" w:sz="2" w:space="0"/>
              <w:bottom w:val="single" w:color="auto" w:sz="2" w:space="0"/>
              <w:right w:val="single" w:color="auto" w:sz="2" w:space="0"/>
            </w:tcBorders>
            <w:vAlign w:val="center"/>
          </w:tcPr>
          <w:p w14:paraId="68B30708">
            <w:pPr>
              <w:adjustRightInd w:val="0"/>
              <w:snapToGrid w:val="0"/>
              <w:spacing w:line="3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银行账号</w:t>
            </w:r>
          </w:p>
        </w:tc>
        <w:tc>
          <w:tcPr>
            <w:tcW w:w="1277" w:type="pct"/>
            <w:tcBorders>
              <w:top w:val="single" w:color="auto" w:sz="2" w:space="0"/>
              <w:left w:val="single" w:color="auto" w:sz="2" w:space="0"/>
              <w:bottom w:val="single" w:color="auto" w:sz="2" w:space="0"/>
            </w:tcBorders>
            <w:vAlign w:val="center"/>
          </w:tcPr>
          <w:p w14:paraId="48E686BC">
            <w:pPr>
              <w:adjustRightInd w:val="0"/>
              <w:snapToGrid w:val="0"/>
              <w:spacing w:line="300" w:lineRule="exact"/>
              <w:jc w:val="center"/>
              <w:rPr>
                <w:rFonts w:hint="eastAsia" w:ascii="宋体" w:hAnsi="宋体" w:eastAsia="宋体" w:cs="宋体"/>
                <w:color w:val="auto"/>
                <w:spacing w:val="20"/>
                <w:sz w:val="21"/>
                <w:szCs w:val="21"/>
                <w:highlight w:val="none"/>
              </w:rPr>
            </w:pPr>
          </w:p>
        </w:tc>
      </w:tr>
      <w:tr w14:paraId="694FCC6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63BA60FE">
            <w:pPr>
              <w:pStyle w:val="12"/>
              <w:adjustRightInd w:val="0"/>
              <w:snapToGrid w:val="0"/>
              <w:spacing w:before="156" w:beforeLines="50" w:after="0" w:line="360" w:lineRule="auto"/>
              <w:ind w:left="0" w:leftChars="0"/>
              <w:jc w:val="left"/>
              <w:rPr>
                <w:rFonts w:hint="eastAsia" w:ascii="宋体" w:hAnsi="宋体" w:eastAsia="宋体" w:cs="宋体"/>
                <w:color w:val="auto"/>
                <w:spacing w:val="20"/>
                <w:sz w:val="21"/>
                <w:szCs w:val="21"/>
                <w:highlight w:val="none"/>
              </w:rPr>
            </w:pPr>
            <w:r>
              <w:rPr>
                <w:rFonts w:hint="eastAsia" w:ascii="宋体" w:hAnsi="宋体" w:eastAsia="宋体" w:cs="宋体"/>
                <w:color w:val="auto"/>
                <w:sz w:val="21"/>
                <w:szCs w:val="21"/>
                <w:highlight w:val="none"/>
              </w:rPr>
              <w:t>注：涉及联合体或其他合同主体的信息应按上表格式加列。</w:t>
            </w:r>
          </w:p>
        </w:tc>
      </w:tr>
    </w:tbl>
    <w:p w14:paraId="4938941A">
      <w:pPr>
        <w:pStyle w:val="3"/>
        <w:keepNext/>
        <w:keepLines/>
        <w:pageBreakBefore w:val="0"/>
        <w:widowControl w:val="0"/>
        <w:kinsoku/>
        <w:wordWrap/>
        <w:overflowPunct/>
        <w:topLinePunct w:val="0"/>
        <w:autoSpaceDE/>
        <w:autoSpaceDN/>
        <w:bidi w:val="0"/>
        <w:adjustRightInd w:val="0"/>
        <w:snapToGrid w:val="0"/>
        <w:spacing w:before="156" w:beforeLines="50" w:after="157" w:afterLines="50" w:line="240" w:lineRule="auto"/>
        <w:jc w:val="center"/>
        <w:textAlignment w:val="auto"/>
        <w:rPr>
          <w:rFonts w:hint="eastAsia" w:ascii="宋体" w:hAnsi="宋体" w:eastAsia="宋体" w:cs="宋体"/>
          <w:b/>
          <w:bCs/>
          <w:color w:val="auto"/>
          <w:sz w:val="36"/>
          <w:szCs w:val="36"/>
          <w:highlight w:val="none"/>
        </w:rPr>
      </w:pPr>
      <w:r>
        <w:rPr>
          <w:rFonts w:hint="eastAsia" w:ascii="宋体" w:hAnsi="宋体" w:eastAsia="宋体" w:cs="宋体"/>
          <w:color w:val="auto"/>
          <w:sz w:val="21"/>
          <w:szCs w:val="21"/>
          <w:highlight w:val="none"/>
          <w:u w:val="single"/>
        </w:rPr>
        <w:br w:type="page"/>
      </w:r>
      <w:bookmarkStart w:id="520" w:name="_Toc19384"/>
      <w:bookmarkStart w:id="521" w:name="_Toc27624"/>
      <w:bookmarkStart w:id="522" w:name="_Toc1333"/>
      <w:r>
        <w:rPr>
          <w:rFonts w:hint="eastAsia" w:ascii="宋体" w:hAnsi="宋体" w:eastAsia="宋体" w:cs="宋体"/>
          <w:b/>
          <w:bCs/>
          <w:color w:val="auto"/>
          <w:sz w:val="36"/>
          <w:szCs w:val="36"/>
          <w:highlight w:val="none"/>
        </w:rPr>
        <w:t>第二节 政府采购合同通用条款</w:t>
      </w:r>
      <w:bookmarkEnd w:id="520"/>
      <w:bookmarkEnd w:id="521"/>
      <w:bookmarkEnd w:id="522"/>
    </w:p>
    <w:p w14:paraId="04059302">
      <w:pPr>
        <w:tabs>
          <w:tab w:val="left" w:pos="8820"/>
          <w:tab w:val="left" w:pos="9345"/>
          <w:tab w:val="left" w:pos="9765"/>
        </w:tabs>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1.</w:t>
      </w: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bCs/>
          <w:color w:val="auto"/>
          <w:sz w:val="21"/>
          <w:szCs w:val="21"/>
          <w:highlight w:val="none"/>
        </w:rPr>
        <w:t>定义</w:t>
      </w:r>
    </w:p>
    <w:p w14:paraId="1EA126DD">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1.1合同当事人</w:t>
      </w:r>
    </w:p>
    <w:p w14:paraId="1B278EF8">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（1）采购人（以下称甲方）是指使用财政性资金，通过政府采购方式向供应商购买货物</w:t>
      </w:r>
      <w:r>
        <w:rPr>
          <w:rFonts w:hint="eastAsia" w:ascii="宋体" w:hAnsi="宋体" w:eastAsia="宋体" w:cs="宋体"/>
          <w:color w:val="auto"/>
          <w:sz w:val="21"/>
          <w:szCs w:val="21"/>
          <w:highlight w:val="none"/>
          <w:lang w:val="en-US" w:eastAsia="zh-CN"/>
        </w:rPr>
        <w:t>及其相关服务的</w:t>
      </w:r>
      <w:r>
        <w:rPr>
          <w:rFonts w:hint="eastAsia" w:ascii="宋体" w:hAnsi="宋体" w:eastAsia="宋体" w:cs="宋体"/>
          <w:color w:val="auto"/>
          <w:sz w:val="21"/>
          <w:szCs w:val="21"/>
          <w:highlight w:val="none"/>
        </w:rPr>
        <w:t>国家机关、事业单位、团体组织。</w:t>
      </w:r>
    </w:p>
    <w:p w14:paraId="4A104EEB">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（2）供应商（以下称</w:t>
      </w:r>
      <w:r>
        <w:rPr>
          <w:rFonts w:hint="eastAsia" w:ascii="宋体" w:hAnsi="宋体" w:eastAsia="宋体" w:cs="宋体"/>
          <w:color w:val="auto"/>
          <w:sz w:val="21"/>
          <w:szCs w:val="21"/>
          <w:highlight w:val="none"/>
          <w:lang w:eastAsia="zh-CN"/>
        </w:rPr>
        <w:t>乙</w:t>
      </w:r>
      <w:r>
        <w:rPr>
          <w:rFonts w:hint="eastAsia" w:ascii="宋体" w:hAnsi="宋体" w:eastAsia="宋体" w:cs="宋体"/>
          <w:color w:val="auto"/>
          <w:sz w:val="21"/>
          <w:szCs w:val="21"/>
          <w:highlight w:val="none"/>
        </w:rPr>
        <w:t>方）是指参加政府采购活动并且中标（成交），向采购人提供</w:t>
      </w:r>
      <w:r>
        <w:rPr>
          <w:rFonts w:hint="eastAsia" w:ascii="宋体" w:hAnsi="宋体" w:eastAsia="宋体" w:cs="宋体"/>
          <w:color w:val="auto"/>
          <w:sz w:val="21"/>
          <w:szCs w:val="21"/>
          <w:highlight w:val="none"/>
          <w:lang w:val="en-US" w:eastAsia="zh-CN"/>
        </w:rPr>
        <w:t>合同约定的货物及其相关服务的法人、非法人组织或者自然人</w:t>
      </w:r>
      <w:r>
        <w:rPr>
          <w:rFonts w:hint="eastAsia" w:ascii="宋体" w:hAnsi="宋体" w:eastAsia="宋体" w:cs="宋体"/>
          <w:color w:val="auto"/>
          <w:sz w:val="21"/>
          <w:szCs w:val="21"/>
          <w:highlight w:val="none"/>
        </w:rPr>
        <w:t>。</w:t>
      </w:r>
    </w:p>
    <w:p w14:paraId="4087E705">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（3）其他合同主体是指除采购人和供应商以外，</w:t>
      </w:r>
      <w:r>
        <w:rPr>
          <w:rFonts w:hint="eastAsia" w:ascii="宋体" w:hAnsi="宋体" w:eastAsia="宋体" w:cs="宋体"/>
          <w:bCs/>
          <w:color w:val="auto"/>
          <w:sz w:val="21"/>
          <w:szCs w:val="21"/>
          <w:highlight w:val="none"/>
        </w:rPr>
        <w:t>依法参与合同缔结或履行，享有权利、承担义务的合同当事人</w:t>
      </w:r>
      <w:r>
        <w:rPr>
          <w:rFonts w:hint="eastAsia" w:ascii="宋体" w:hAnsi="宋体" w:eastAsia="宋体" w:cs="宋体"/>
          <w:color w:val="auto"/>
          <w:sz w:val="21"/>
          <w:szCs w:val="21"/>
          <w:highlight w:val="none"/>
        </w:rPr>
        <w:t>。</w:t>
      </w:r>
    </w:p>
    <w:p w14:paraId="0DBF17DC">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1.2本合同下列术语应解释为：</w:t>
      </w:r>
    </w:p>
    <w:p w14:paraId="7A7C9AB5">
      <w:pPr>
        <w:adjustRightInd w:val="0"/>
        <w:snapToGrid w:val="0"/>
        <w:spacing w:before="0" w:beforeLines="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（1）“合同”系指</w:t>
      </w:r>
      <w:r>
        <w:rPr>
          <w:rFonts w:hint="eastAsia" w:ascii="宋体" w:hAnsi="宋体" w:eastAsia="宋体" w:cs="宋体"/>
          <w:bCs/>
          <w:color w:val="auto"/>
          <w:sz w:val="21"/>
          <w:szCs w:val="21"/>
          <w:highlight w:val="none"/>
        </w:rPr>
        <w:t>合同当事人意思表示达成一致的任何协议，包括签署的</w:t>
      </w:r>
      <w:r>
        <w:rPr>
          <w:rFonts w:hint="eastAsia" w:ascii="宋体" w:hAnsi="宋体" w:eastAsia="宋体" w:cs="宋体"/>
          <w:color w:val="auto"/>
          <w:sz w:val="21"/>
          <w:szCs w:val="21"/>
          <w:highlight w:val="none"/>
          <w:lang w:eastAsia="zh-CN"/>
        </w:rPr>
        <w:t>政府采购</w:t>
      </w:r>
      <w:r>
        <w:rPr>
          <w:rFonts w:hint="eastAsia" w:ascii="宋体" w:hAnsi="宋体" w:eastAsia="宋体" w:cs="宋体"/>
          <w:color w:val="auto"/>
          <w:sz w:val="21"/>
          <w:szCs w:val="21"/>
          <w:highlight w:val="none"/>
        </w:rPr>
        <w:t>合同协议书及其变更、补充</w:t>
      </w:r>
      <w:r>
        <w:rPr>
          <w:rFonts w:hint="eastAsia" w:ascii="宋体" w:hAnsi="宋体" w:eastAsia="宋体" w:cs="宋体"/>
          <w:color w:val="auto"/>
          <w:sz w:val="21"/>
          <w:szCs w:val="21"/>
          <w:highlight w:val="none"/>
          <w:lang w:eastAsia="zh-CN"/>
        </w:rPr>
        <w:t>协议，</w:t>
      </w:r>
      <w:r>
        <w:rPr>
          <w:rFonts w:hint="eastAsia" w:ascii="宋体" w:hAnsi="宋体" w:eastAsia="宋体" w:cs="宋体"/>
          <w:color w:val="auto"/>
          <w:sz w:val="21"/>
          <w:szCs w:val="21"/>
          <w:highlight w:val="none"/>
        </w:rPr>
        <w:t>政府采购合同专用条款</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政府采购合同通用条款</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中标</w:t>
      </w:r>
      <w:r>
        <w:rPr>
          <w:rFonts w:hint="eastAsia" w:ascii="宋体" w:hAnsi="宋体" w:eastAsia="宋体" w:cs="宋体"/>
          <w:color w:val="auto"/>
          <w:sz w:val="21"/>
          <w:szCs w:val="21"/>
          <w:highlight w:val="none"/>
          <w:lang w:eastAsia="zh-CN"/>
        </w:rPr>
        <w:t>（成交）</w:t>
      </w:r>
      <w:r>
        <w:rPr>
          <w:rFonts w:hint="eastAsia" w:ascii="宋体" w:hAnsi="宋体" w:eastAsia="宋体" w:cs="宋体"/>
          <w:color w:val="auto"/>
          <w:sz w:val="21"/>
          <w:szCs w:val="21"/>
          <w:highlight w:val="none"/>
        </w:rPr>
        <w:t>通知书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投标（响应）文件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采购文件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有关技术文件</w:t>
      </w:r>
      <w:r>
        <w:rPr>
          <w:rFonts w:hint="eastAsia" w:ascii="宋体" w:hAnsi="宋体" w:eastAsia="宋体" w:cs="宋体"/>
          <w:color w:val="auto"/>
          <w:sz w:val="21"/>
          <w:szCs w:val="21"/>
          <w:highlight w:val="none"/>
          <w:lang w:eastAsia="zh-CN"/>
        </w:rPr>
        <w:t>和</w:t>
      </w:r>
      <w:r>
        <w:rPr>
          <w:rFonts w:hint="eastAsia" w:ascii="宋体" w:hAnsi="宋体" w:eastAsia="宋体" w:cs="宋体"/>
          <w:color w:val="auto"/>
          <w:sz w:val="21"/>
          <w:szCs w:val="21"/>
          <w:highlight w:val="none"/>
        </w:rPr>
        <w:t>图纸</w:t>
      </w:r>
      <w:r>
        <w:rPr>
          <w:rFonts w:hint="eastAsia" w:ascii="宋体" w:hAnsi="宋体" w:eastAsia="宋体" w:cs="宋体"/>
          <w:color w:val="auto"/>
          <w:sz w:val="21"/>
          <w:szCs w:val="21"/>
          <w:highlight w:val="none"/>
          <w:lang w:eastAsia="zh-CN"/>
        </w:rPr>
        <w:t>，以及国家法律、行政法规和规章制度规定或合同约定的作为合同组成部分的其他文件</w:t>
      </w:r>
      <w:r>
        <w:rPr>
          <w:rFonts w:hint="eastAsia" w:ascii="宋体" w:hAnsi="宋体" w:eastAsia="宋体" w:cs="宋体"/>
          <w:color w:val="auto"/>
          <w:sz w:val="21"/>
          <w:szCs w:val="21"/>
          <w:highlight w:val="none"/>
        </w:rPr>
        <w:t>。</w:t>
      </w:r>
    </w:p>
    <w:p w14:paraId="6E703C0F">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）“合同价</w:t>
      </w:r>
      <w:r>
        <w:rPr>
          <w:rFonts w:hint="eastAsia" w:ascii="宋体" w:hAnsi="宋体" w:eastAsia="宋体" w:cs="宋体"/>
          <w:color w:val="auto"/>
          <w:sz w:val="21"/>
          <w:szCs w:val="21"/>
          <w:highlight w:val="none"/>
          <w:lang w:val="en-US" w:eastAsia="zh-CN"/>
        </w:rPr>
        <w:t>款</w:t>
      </w:r>
      <w:r>
        <w:rPr>
          <w:rFonts w:hint="eastAsia" w:ascii="宋体" w:hAnsi="宋体" w:eastAsia="宋体" w:cs="宋体"/>
          <w:color w:val="auto"/>
          <w:sz w:val="21"/>
          <w:szCs w:val="21"/>
          <w:highlight w:val="none"/>
        </w:rPr>
        <w:t>”系指根据本合同规定乙方在全面履行合同义务后甲方应支付给乙方的价款。</w:t>
      </w:r>
    </w:p>
    <w:p w14:paraId="09C60E06">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）“货物”系指乙方根据本合同规定须向甲方提供的各种形态和种类的物品，包括原材料、设备、产品（包括软件）及相关的其备品备件、工具、手册及</w:t>
      </w:r>
      <w:r>
        <w:rPr>
          <w:rFonts w:hint="eastAsia" w:ascii="宋体" w:hAnsi="宋体" w:eastAsia="宋体" w:cs="宋体"/>
          <w:color w:val="auto"/>
          <w:sz w:val="21"/>
          <w:szCs w:val="21"/>
          <w:highlight w:val="none"/>
          <w:lang w:val="en"/>
        </w:rPr>
        <w:t>其他</w:t>
      </w:r>
      <w:r>
        <w:rPr>
          <w:rFonts w:hint="eastAsia" w:ascii="宋体" w:hAnsi="宋体" w:eastAsia="宋体" w:cs="宋体"/>
          <w:color w:val="auto"/>
          <w:sz w:val="21"/>
          <w:szCs w:val="21"/>
          <w:highlight w:val="none"/>
        </w:rPr>
        <w:t>技术资料和材料</w:t>
      </w:r>
      <w:r>
        <w:rPr>
          <w:rFonts w:hint="eastAsia" w:ascii="宋体" w:hAnsi="宋体" w:eastAsia="宋体" w:cs="宋体"/>
          <w:color w:val="auto"/>
          <w:sz w:val="21"/>
          <w:szCs w:val="21"/>
          <w:highlight w:val="none"/>
          <w:lang w:eastAsia="zh-CN"/>
        </w:rPr>
        <w:t>等</w:t>
      </w:r>
      <w:r>
        <w:rPr>
          <w:rFonts w:hint="eastAsia" w:ascii="宋体" w:hAnsi="宋体" w:eastAsia="宋体" w:cs="宋体"/>
          <w:color w:val="auto"/>
          <w:sz w:val="21"/>
          <w:szCs w:val="21"/>
          <w:highlight w:val="none"/>
        </w:rPr>
        <w:t>。</w:t>
      </w:r>
    </w:p>
    <w:p w14:paraId="18749100">
      <w:pPr>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相关</w:t>
      </w:r>
      <w:r>
        <w:rPr>
          <w:rFonts w:hint="eastAsia" w:ascii="宋体" w:hAnsi="宋体" w:eastAsia="宋体" w:cs="宋体"/>
          <w:color w:val="auto"/>
          <w:sz w:val="21"/>
          <w:szCs w:val="21"/>
          <w:highlight w:val="none"/>
        </w:rPr>
        <w:t>服务”系指根据合同规定，乙方应提供的</w:t>
      </w:r>
      <w:r>
        <w:rPr>
          <w:rFonts w:hint="eastAsia" w:ascii="宋体" w:hAnsi="宋体" w:eastAsia="宋体" w:cs="宋体"/>
          <w:color w:val="auto"/>
          <w:sz w:val="21"/>
          <w:szCs w:val="21"/>
          <w:highlight w:val="none"/>
          <w:lang w:val="en-US" w:eastAsia="zh-CN"/>
        </w:rPr>
        <w:t>与货物有关的</w:t>
      </w:r>
      <w:r>
        <w:rPr>
          <w:rFonts w:hint="eastAsia" w:ascii="宋体" w:hAnsi="宋体" w:eastAsia="宋体" w:cs="宋体"/>
          <w:color w:val="auto"/>
          <w:sz w:val="21"/>
          <w:szCs w:val="21"/>
          <w:highlight w:val="none"/>
        </w:rPr>
        <w:t>技术、管理和</w:t>
      </w:r>
      <w:r>
        <w:rPr>
          <w:rFonts w:hint="eastAsia" w:ascii="宋体" w:hAnsi="宋体" w:eastAsia="宋体" w:cs="宋体"/>
          <w:color w:val="auto"/>
          <w:sz w:val="21"/>
          <w:szCs w:val="21"/>
          <w:highlight w:val="none"/>
          <w:lang w:val="en"/>
        </w:rPr>
        <w:t>其他</w:t>
      </w:r>
      <w:r>
        <w:rPr>
          <w:rFonts w:hint="eastAsia" w:ascii="宋体" w:hAnsi="宋体" w:eastAsia="宋体" w:cs="宋体"/>
          <w:color w:val="auto"/>
          <w:sz w:val="21"/>
          <w:szCs w:val="21"/>
          <w:highlight w:val="none"/>
        </w:rPr>
        <w:t>服务，包括但不限于：管理和质量保证、运输、保险、检验、现场准备、安装、集成、调试、培训、维修、</w:t>
      </w:r>
      <w:r>
        <w:rPr>
          <w:rFonts w:hint="eastAsia" w:ascii="宋体" w:hAnsi="宋体" w:eastAsia="宋体" w:cs="宋体"/>
          <w:color w:val="auto"/>
          <w:sz w:val="21"/>
          <w:szCs w:val="21"/>
          <w:highlight w:val="none"/>
          <w:lang w:eastAsia="zh-CN"/>
        </w:rPr>
        <w:t>废弃处置、</w:t>
      </w:r>
      <w:r>
        <w:rPr>
          <w:rFonts w:hint="eastAsia" w:ascii="宋体" w:hAnsi="宋体" w:eastAsia="宋体" w:cs="宋体"/>
          <w:color w:val="auto"/>
          <w:sz w:val="21"/>
          <w:szCs w:val="21"/>
          <w:highlight w:val="none"/>
        </w:rPr>
        <w:t>技术支持等以及合同中规定乙方应承担的</w:t>
      </w:r>
      <w:r>
        <w:rPr>
          <w:rFonts w:hint="eastAsia" w:ascii="宋体" w:hAnsi="宋体" w:eastAsia="宋体" w:cs="宋体"/>
          <w:color w:val="auto"/>
          <w:sz w:val="21"/>
          <w:szCs w:val="21"/>
          <w:highlight w:val="none"/>
          <w:lang w:val="en"/>
        </w:rPr>
        <w:t>其他</w:t>
      </w:r>
      <w:r>
        <w:rPr>
          <w:rFonts w:hint="eastAsia" w:ascii="宋体" w:hAnsi="宋体" w:eastAsia="宋体" w:cs="宋体"/>
          <w:color w:val="auto"/>
          <w:sz w:val="21"/>
          <w:szCs w:val="21"/>
          <w:highlight w:val="none"/>
        </w:rPr>
        <w:t>义务。</w:t>
      </w:r>
    </w:p>
    <w:p w14:paraId="60403AB0">
      <w:pPr>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）“分包”系指中标</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成交</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供应商按采购文件、投标（响应）文件的规定，根据分包意向协议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rPr>
        <w:t>，将中标</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成交</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项目中的部分履约内容，分给具有相应资质条件的供应商履行合同的行为。</w:t>
      </w:r>
    </w:p>
    <w:p w14:paraId="4287798A">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）“联合体”系指</w:t>
      </w:r>
      <w:r>
        <w:rPr>
          <w:rFonts w:hint="eastAsia" w:ascii="宋体" w:hAnsi="宋体" w:eastAsia="宋体" w:cs="宋体"/>
          <w:color w:val="auto"/>
          <w:sz w:val="21"/>
          <w:szCs w:val="21"/>
          <w:highlight w:val="none"/>
          <w:lang w:eastAsia="zh-CN"/>
        </w:rPr>
        <w:t>由</w:t>
      </w:r>
      <w:r>
        <w:rPr>
          <w:rFonts w:hint="eastAsia" w:ascii="宋体" w:hAnsi="宋体" w:eastAsia="宋体" w:cs="宋体"/>
          <w:color w:val="auto"/>
          <w:sz w:val="21"/>
          <w:szCs w:val="21"/>
          <w:highlight w:val="none"/>
        </w:rPr>
        <w:t>两个以上的自然人、法人或者</w:t>
      </w:r>
      <w:r>
        <w:rPr>
          <w:rFonts w:hint="eastAsia" w:ascii="宋体" w:hAnsi="宋体" w:eastAsia="宋体" w:cs="宋体"/>
          <w:color w:val="auto"/>
          <w:sz w:val="21"/>
          <w:szCs w:val="21"/>
          <w:highlight w:val="none"/>
          <w:lang w:val="en-US" w:eastAsia="zh-CN"/>
        </w:rPr>
        <w:t>非法人</w:t>
      </w:r>
      <w:r>
        <w:rPr>
          <w:rFonts w:hint="eastAsia" w:ascii="宋体" w:hAnsi="宋体" w:eastAsia="宋体" w:cs="宋体"/>
          <w:color w:val="auto"/>
          <w:sz w:val="21"/>
          <w:szCs w:val="21"/>
          <w:highlight w:val="none"/>
        </w:rPr>
        <w:t>组织组成，</w:t>
      </w:r>
      <w:r>
        <w:rPr>
          <w:rFonts w:hint="eastAsia" w:ascii="宋体" w:hAnsi="宋体" w:eastAsia="宋体" w:cs="宋体"/>
          <w:color w:val="auto"/>
          <w:sz w:val="21"/>
          <w:szCs w:val="21"/>
          <w:highlight w:val="none"/>
          <w:lang w:eastAsia="zh-CN"/>
        </w:rPr>
        <w:t>以一个供应商的身份共同参加政府采购的主体。</w:t>
      </w:r>
      <w:r>
        <w:rPr>
          <w:rFonts w:hint="eastAsia" w:ascii="宋体" w:hAnsi="宋体" w:eastAsia="宋体" w:cs="宋体"/>
          <w:color w:val="auto"/>
          <w:sz w:val="21"/>
          <w:szCs w:val="21"/>
          <w:highlight w:val="none"/>
        </w:rPr>
        <w:t>联合体各方应在签订合同协议书前向甲方提交联合</w:t>
      </w:r>
      <w:r>
        <w:rPr>
          <w:rFonts w:hint="eastAsia" w:cs="宋体"/>
          <w:color w:val="auto"/>
          <w:sz w:val="21"/>
          <w:szCs w:val="21"/>
          <w:highlight w:val="none"/>
          <w:lang w:val="en-US" w:eastAsia="zh-CN"/>
        </w:rPr>
        <w:t>体</w:t>
      </w:r>
      <w:r>
        <w:rPr>
          <w:rFonts w:hint="eastAsia" w:ascii="宋体" w:hAnsi="宋体" w:eastAsia="宋体" w:cs="宋体"/>
          <w:color w:val="auto"/>
          <w:sz w:val="21"/>
          <w:szCs w:val="21"/>
          <w:highlight w:val="none"/>
        </w:rPr>
        <w:t>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rPr>
        <w:t>，且明确牵头人及各成员单位的工作分工、权利、义务、责任，联合体各方应共同与甲方签订合同，就合同约定的事项对</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承担连带责任。联合体具体要求见【</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w:t>
      </w:r>
    </w:p>
    <w:p w14:paraId="100463ED">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）其他术语解释，见【</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w:t>
      </w:r>
    </w:p>
    <w:p w14:paraId="2671A925">
      <w:pPr>
        <w:numPr>
          <w:ilvl w:val="0"/>
          <w:numId w:val="4"/>
        </w:num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合同标的及金额</w:t>
      </w:r>
    </w:p>
    <w:p w14:paraId="518EE407">
      <w:pPr>
        <w:autoSpaceDE w:val="0"/>
        <w:autoSpaceDN w:val="0"/>
        <w:adjustRightInd w:val="0"/>
        <w:snapToGrid w:val="0"/>
        <w:spacing w:before="0" w:line="400" w:lineRule="exact"/>
        <w:ind w:firstLine="420" w:firstLineChars="200"/>
        <w:jc w:val="left"/>
        <w:rPr>
          <w:rFonts w:hint="eastAsia" w:ascii="宋体" w:hAnsi="宋体" w:eastAsia="宋体" w:cs="宋体"/>
          <w:b/>
          <w:bCs/>
          <w:i/>
          <w:iCs/>
          <w:color w:val="auto"/>
          <w:sz w:val="21"/>
          <w:szCs w:val="21"/>
          <w:highlight w:val="none"/>
        </w:rPr>
      </w:pPr>
      <w:r>
        <w:rPr>
          <w:rFonts w:hint="eastAsia" w:ascii="宋体" w:hAnsi="宋体" w:eastAsia="宋体" w:cs="宋体"/>
          <w:color w:val="auto"/>
          <w:sz w:val="21"/>
          <w:szCs w:val="21"/>
          <w:highlight w:val="none"/>
          <w:lang w:eastAsia="zh-CN"/>
        </w:rPr>
        <w:t>2</w:t>
      </w:r>
      <w:r>
        <w:rPr>
          <w:rFonts w:hint="eastAsia" w:ascii="宋体" w:hAnsi="宋体" w:eastAsia="宋体" w:cs="宋体"/>
          <w:color w:val="auto"/>
          <w:sz w:val="21"/>
          <w:szCs w:val="21"/>
          <w:highlight w:val="none"/>
        </w:rPr>
        <w:t>.1 合同标的及金额应与中标（成交）结果一致。乙方为履行本合同而发生的所有费用均应包含在合同</w:t>
      </w:r>
      <w:r>
        <w:rPr>
          <w:rFonts w:hint="eastAsia" w:ascii="宋体" w:hAnsi="宋体" w:eastAsia="宋体" w:cs="宋体"/>
          <w:color w:val="auto"/>
          <w:sz w:val="21"/>
          <w:szCs w:val="21"/>
          <w:highlight w:val="none"/>
          <w:lang w:eastAsia="zh-CN"/>
        </w:rPr>
        <w:t>价款</w:t>
      </w:r>
      <w:r>
        <w:rPr>
          <w:rFonts w:hint="eastAsia" w:ascii="宋体" w:hAnsi="宋体" w:eastAsia="宋体" w:cs="宋体"/>
          <w:color w:val="auto"/>
          <w:sz w:val="21"/>
          <w:szCs w:val="21"/>
          <w:highlight w:val="none"/>
        </w:rPr>
        <w:t>中，甲方不再另行支付</w:t>
      </w:r>
      <w:r>
        <w:rPr>
          <w:rFonts w:hint="eastAsia" w:ascii="宋体" w:hAnsi="宋体" w:eastAsia="宋体" w:cs="宋体"/>
          <w:color w:val="auto"/>
          <w:sz w:val="21"/>
          <w:szCs w:val="21"/>
          <w:highlight w:val="none"/>
          <w:lang w:val="en"/>
        </w:rPr>
        <w:t>其他</w:t>
      </w:r>
      <w:r>
        <w:rPr>
          <w:rFonts w:hint="eastAsia" w:ascii="宋体" w:hAnsi="宋体" w:eastAsia="宋体" w:cs="宋体"/>
          <w:color w:val="auto"/>
          <w:sz w:val="21"/>
          <w:szCs w:val="21"/>
          <w:highlight w:val="none"/>
        </w:rPr>
        <w:t>任何费用。</w:t>
      </w:r>
    </w:p>
    <w:p w14:paraId="49B81678">
      <w:pPr>
        <w:adjustRightInd w:val="0"/>
        <w:snapToGrid w:val="0"/>
        <w:spacing w:before="0" w:line="400" w:lineRule="exact"/>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3</w:t>
      </w: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color w:val="auto"/>
          <w:sz w:val="21"/>
          <w:szCs w:val="21"/>
          <w:highlight w:val="none"/>
        </w:rPr>
        <w:t>履行合同的时间、地点和方式</w:t>
      </w:r>
    </w:p>
    <w:p w14:paraId="41F3C043">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3</w:t>
      </w:r>
      <w:r>
        <w:rPr>
          <w:rFonts w:hint="eastAsia" w:ascii="宋体" w:hAnsi="宋体" w:eastAsia="宋体" w:cs="宋体"/>
          <w:color w:val="auto"/>
          <w:sz w:val="21"/>
          <w:szCs w:val="21"/>
          <w:highlight w:val="none"/>
        </w:rPr>
        <w:t>.1 乙方应当在约定的时间、地点</w:t>
      </w:r>
      <w:r>
        <w:rPr>
          <w:rFonts w:hint="eastAsia" w:ascii="宋体" w:hAnsi="宋体" w:eastAsia="宋体" w:cs="宋体"/>
          <w:color w:val="auto"/>
          <w:sz w:val="21"/>
          <w:szCs w:val="21"/>
          <w:highlight w:val="none"/>
          <w:lang w:eastAsia="zh-CN"/>
        </w:rPr>
        <w:t>，按照约定</w:t>
      </w:r>
      <w:r>
        <w:rPr>
          <w:rFonts w:hint="eastAsia" w:ascii="宋体" w:hAnsi="宋体" w:eastAsia="宋体" w:cs="宋体"/>
          <w:color w:val="auto"/>
          <w:sz w:val="21"/>
          <w:szCs w:val="21"/>
          <w:highlight w:val="none"/>
        </w:rPr>
        <w:t>方式履行合同。</w:t>
      </w:r>
    </w:p>
    <w:p w14:paraId="2BA5AAC4">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甲方的权利和义务</w:t>
      </w:r>
    </w:p>
    <w:p w14:paraId="5036A58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4</w:t>
      </w:r>
      <w:r>
        <w:rPr>
          <w:rFonts w:hint="eastAsia" w:ascii="宋体" w:hAnsi="宋体" w:eastAsia="宋体" w:cs="宋体"/>
          <w:color w:val="auto"/>
          <w:sz w:val="21"/>
          <w:szCs w:val="21"/>
          <w:highlight w:val="none"/>
        </w:rPr>
        <w:t>.1 签署合同后，甲方</w:t>
      </w:r>
      <w:r>
        <w:rPr>
          <w:rFonts w:hint="eastAsia" w:ascii="宋体" w:hAnsi="宋体" w:eastAsia="宋体" w:cs="宋体"/>
          <w:color w:val="auto"/>
          <w:sz w:val="21"/>
          <w:szCs w:val="21"/>
          <w:highlight w:val="none"/>
          <w:lang w:eastAsia="zh-CN"/>
        </w:rPr>
        <w:t>应</w:t>
      </w:r>
      <w:r>
        <w:rPr>
          <w:rFonts w:hint="eastAsia" w:ascii="宋体" w:hAnsi="宋体" w:eastAsia="宋体" w:cs="宋体"/>
          <w:color w:val="auto"/>
          <w:sz w:val="21"/>
          <w:szCs w:val="21"/>
          <w:highlight w:val="none"/>
        </w:rPr>
        <w:t>确定</w:t>
      </w:r>
      <w:r>
        <w:rPr>
          <w:rFonts w:hint="eastAsia" w:ascii="宋体" w:hAnsi="宋体" w:eastAsia="宋体" w:cs="宋体"/>
          <w:color w:val="auto"/>
          <w:sz w:val="21"/>
          <w:szCs w:val="21"/>
          <w:highlight w:val="none"/>
          <w:lang w:val="en-US" w:eastAsia="zh-CN"/>
        </w:rPr>
        <w:t>项目负责人（或项目联系人）</w:t>
      </w:r>
      <w:r>
        <w:rPr>
          <w:rFonts w:hint="eastAsia" w:ascii="宋体" w:hAnsi="宋体" w:eastAsia="宋体" w:cs="宋体"/>
          <w:color w:val="auto"/>
          <w:sz w:val="21"/>
          <w:szCs w:val="21"/>
          <w:highlight w:val="none"/>
        </w:rPr>
        <w:t>，负责与本合同有关的事务。甲方有权对乙方的履约行为进行检查，并及时确认乙方提交的事项。甲方应当配合乙方完成相关项目实施工作。</w:t>
      </w:r>
    </w:p>
    <w:p w14:paraId="27256267">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4</w:t>
      </w:r>
      <w:r>
        <w:rPr>
          <w:rFonts w:hint="eastAsia" w:ascii="宋体" w:hAnsi="宋体" w:eastAsia="宋体" w:cs="宋体"/>
          <w:color w:val="auto"/>
          <w:sz w:val="21"/>
          <w:szCs w:val="21"/>
          <w:highlight w:val="none"/>
        </w:rPr>
        <w:t>.2 甲方有权要求乙方按时提交各阶段有关安排计划，并有权定期核对乙方提供货物数量、规格、质量等内容。甲方有权督促乙方工作并要求乙方更换不符合要求的货物。</w:t>
      </w:r>
    </w:p>
    <w:p w14:paraId="0A7B80A7">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4</w:t>
      </w:r>
      <w:r>
        <w:rPr>
          <w:rFonts w:hint="eastAsia" w:ascii="宋体" w:hAnsi="宋体" w:eastAsia="宋体" w:cs="宋体"/>
          <w:color w:val="auto"/>
          <w:sz w:val="21"/>
          <w:szCs w:val="21"/>
          <w:highlight w:val="none"/>
        </w:rPr>
        <w:t>.3 甲方有权要求乙方对缺陷部分予以修复，并按合同约定享有货物保修及其他合同约定的权利。</w:t>
      </w:r>
    </w:p>
    <w:p w14:paraId="1436C60C">
      <w:pPr>
        <w:snapToGrid w:val="0"/>
        <w:spacing w:line="40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4.4 甲方应当按照合同约定及时对交付的货物进行验收，</w:t>
      </w:r>
      <w:r>
        <w:rPr>
          <w:rFonts w:hint="eastAsia" w:ascii="宋体" w:hAnsi="宋体" w:eastAsia="宋体" w:cs="宋体"/>
          <w:b w:val="0"/>
          <w:bCs w:val="0"/>
          <w:color w:val="auto"/>
          <w:sz w:val="21"/>
          <w:szCs w:val="21"/>
          <w:highlight w:val="none"/>
          <w:lang w:eastAsia="zh-CN"/>
        </w:rPr>
        <w:t>未</w:t>
      </w:r>
      <w:r>
        <w:rPr>
          <w:rFonts w:hint="eastAsia" w:ascii="宋体" w:hAnsi="宋体" w:eastAsia="宋体" w:cs="宋体"/>
          <w:color w:val="auto"/>
          <w:sz w:val="21"/>
          <w:szCs w:val="21"/>
          <w:highlight w:val="none"/>
          <w:lang w:val="en-US" w:eastAsia="zh-CN"/>
        </w:rPr>
        <w:t>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b w:val="0"/>
          <w:bCs w:val="0"/>
          <w:color w:val="auto"/>
          <w:sz w:val="21"/>
          <w:szCs w:val="21"/>
          <w:highlight w:val="none"/>
          <w:lang w:eastAsia="zh-CN"/>
        </w:rPr>
        <w:t>约定的期限内对乙方履约提出任何异议或者向乙方作出任何说明的，</w:t>
      </w:r>
      <w:r>
        <w:rPr>
          <w:rFonts w:hint="eastAsia" w:ascii="宋体" w:hAnsi="宋体" w:eastAsia="宋体" w:cs="宋体"/>
          <w:color w:val="auto"/>
          <w:sz w:val="21"/>
          <w:szCs w:val="21"/>
          <w:highlight w:val="none"/>
          <w:lang w:val="en-US" w:eastAsia="zh-CN"/>
        </w:rPr>
        <w:t>视为验收通过。</w:t>
      </w:r>
    </w:p>
    <w:p w14:paraId="5BD30BF8">
      <w:pPr>
        <w:autoSpaceDE w:val="0"/>
        <w:autoSpaceDN w:val="0"/>
        <w:adjustRightInd w:val="0"/>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4</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 xml:space="preserve"> 甲方应当根据合同约定</w:t>
      </w:r>
      <w:r>
        <w:rPr>
          <w:rFonts w:hint="eastAsia" w:ascii="宋体" w:hAnsi="宋体" w:eastAsia="宋体" w:cs="宋体"/>
          <w:color w:val="auto"/>
          <w:sz w:val="21"/>
          <w:szCs w:val="21"/>
          <w:highlight w:val="none"/>
          <w:lang w:eastAsia="zh-CN"/>
        </w:rPr>
        <w:t>及</w:t>
      </w:r>
      <w:r>
        <w:rPr>
          <w:rFonts w:hint="eastAsia" w:ascii="宋体" w:hAnsi="宋体" w:eastAsia="宋体" w:cs="宋体"/>
          <w:color w:val="auto"/>
          <w:sz w:val="21"/>
          <w:szCs w:val="21"/>
          <w:highlight w:val="none"/>
        </w:rPr>
        <w:t>时向乙方支付</w:t>
      </w:r>
      <w:r>
        <w:rPr>
          <w:rFonts w:hint="eastAsia" w:ascii="宋体" w:hAnsi="宋体" w:eastAsia="宋体" w:cs="宋体"/>
          <w:color w:val="auto"/>
          <w:sz w:val="21"/>
          <w:szCs w:val="21"/>
          <w:highlight w:val="none"/>
          <w:lang w:eastAsia="zh-CN"/>
        </w:rPr>
        <w:t>合同价款，不得以内部人员变更、履行内部付款流程等为由，拒绝或迟延支付。</w:t>
      </w:r>
    </w:p>
    <w:p w14:paraId="00EFC633">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4</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 xml:space="preserve"> 国家法律法规规定</w:t>
      </w:r>
      <w:r>
        <w:rPr>
          <w:rFonts w:hint="eastAsia" w:ascii="宋体" w:hAnsi="宋体" w:eastAsia="宋体" w:cs="宋体"/>
          <w:color w:val="auto"/>
          <w:sz w:val="21"/>
          <w:szCs w:val="21"/>
          <w:highlight w:val="none"/>
          <w:lang w:eastAsia="zh-CN"/>
        </w:rPr>
        <w:t>及</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lang w:eastAsia="zh-CN"/>
        </w:rPr>
        <w:t>约定应</w:t>
      </w:r>
      <w:r>
        <w:rPr>
          <w:rFonts w:hint="eastAsia" w:ascii="宋体" w:hAnsi="宋体" w:eastAsia="宋体" w:cs="宋体"/>
          <w:color w:val="auto"/>
          <w:sz w:val="21"/>
          <w:szCs w:val="21"/>
          <w:highlight w:val="none"/>
        </w:rPr>
        <w:t>由甲方承担的其他义务和责任。</w:t>
      </w:r>
    </w:p>
    <w:p w14:paraId="5FF83E7D">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5</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乙方的权利和义务</w:t>
      </w:r>
    </w:p>
    <w:p w14:paraId="40807E9C">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rPr>
        <w:t>.1 签署合同后，乙方</w:t>
      </w:r>
      <w:r>
        <w:rPr>
          <w:rFonts w:hint="eastAsia" w:ascii="宋体" w:hAnsi="宋体" w:eastAsia="宋体" w:cs="宋体"/>
          <w:color w:val="auto"/>
          <w:sz w:val="21"/>
          <w:szCs w:val="21"/>
          <w:highlight w:val="none"/>
          <w:lang w:eastAsia="zh-CN"/>
        </w:rPr>
        <w:t>应</w:t>
      </w:r>
      <w:r>
        <w:rPr>
          <w:rFonts w:hint="eastAsia" w:ascii="宋体" w:hAnsi="宋体" w:eastAsia="宋体" w:cs="宋体"/>
          <w:color w:val="auto"/>
          <w:sz w:val="21"/>
          <w:szCs w:val="21"/>
          <w:highlight w:val="none"/>
        </w:rPr>
        <w:t>确定</w:t>
      </w:r>
      <w:r>
        <w:rPr>
          <w:rFonts w:hint="eastAsia" w:ascii="宋体" w:hAnsi="宋体" w:eastAsia="宋体" w:cs="宋体"/>
          <w:color w:val="auto"/>
          <w:sz w:val="21"/>
          <w:szCs w:val="21"/>
          <w:highlight w:val="none"/>
          <w:lang w:val="en-US" w:eastAsia="zh-CN"/>
        </w:rPr>
        <w:t>项目负责人（或项目联系人）</w:t>
      </w:r>
      <w:r>
        <w:rPr>
          <w:rFonts w:hint="eastAsia" w:ascii="宋体" w:hAnsi="宋体" w:eastAsia="宋体" w:cs="宋体"/>
          <w:color w:val="auto"/>
          <w:sz w:val="21"/>
          <w:szCs w:val="21"/>
          <w:highlight w:val="none"/>
        </w:rPr>
        <w:t>，负责与本合同有关的事务。</w:t>
      </w:r>
    </w:p>
    <w:p w14:paraId="5994D8F8">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rPr>
        <w:t>.2 乙方应按照合同要求履约，充分合理安排，确保提供的货物</w:t>
      </w:r>
      <w:r>
        <w:rPr>
          <w:rFonts w:hint="eastAsia" w:ascii="宋体" w:hAnsi="宋体" w:eastAsia="宋体" w:cs="宋体"/>
          <w:color w:val="auto"/>
          <w:sz w:val="21"/>
          <w:szCs w:val="21"/>
          <w:highlight w:val="none"/>
          <w:lang w:eastAsia="zh-CN"/>
        </w:rPr>
        <w:t>及相关</w:t>
      </w:r>
      <w:r>
        <w:rPr>
          <w:rFonts w:hint="eastAsia" w:ascii="宋体" w:hAnsi="宋体" w:eastAsia="宋体" w:cs="宋体"/>
          <w:color w:val="auto"/>
          <w:sz w:val="21"/>
          <w:szCs w:val="21"/>
          <w:highlight w:val="none"/>
        </w:rPr>
        <w:t>服务符合合同</w:t>
      </w:r>
      <w:r>
        <w:rPr>
          <w:rFonts w:hint="eastAsia" w:ascii="宋体" w:hAnsi="宋体" w:eastAsia="宋体" w:cs="宋体"/>
          <w:color w:val="auto"/>
          <w:sz w:val="21"/>
          <w:szCs w:val="21"/>
          <w:highlight w:val="none"/>
          <w:lang w:eastAsia="zh-CN"/>
        </w:rPr>
        <w:t>有关</w:t>
      </w:r>
      <w:r>
        <w:rPr>
          <w:rFonts w:hint="eastAsia" w:ascii="宋体" w:hAnsi="宋体" w:eastAsia="宋体" w:cs="宋体"/>
          <w:color w:val="auto"/>
          <w:sz w:val="21"/>
          <w:szCs w:val="21"/>
          <w:highlight w:val="none"/>
        </w:rPr>
        <w:t>要求。接受项目行业管理部门及政府有关部门的指导，配合甲方的履约检查</w:t>
      </w:r>
      <w:r>
        <w:rPr>
          <w:rFonts w:hint="eastAsia" w:ascii="宋体" w:hAnsi="宋体" w:eastAsia="宋体" w:cs="宋体"/>
          <w:color w:val="auto"/>
          <w:sz w:val="21"/>
          <w:szCs w:val="21"/>
          <w:highlight w:val="none"/>
          <w:lang w:eastAsia="zh-CN"/>
        </w:rPr>
        <w:t>及验收</w:t>
      </w:r>
      <w:r>
        <w:rPr>
          <w:rFonts w:hint="eastAsia" w:ascii="宋体" w:hAnsi="宋体" w:eastAsia="宋体" w:cs="宋体"/>
          <w:color w:val="auto"/>
          <w:sz w:val="21"/>
          <w:szCs w:val="21"/>
          <w:highlight w:val="none"/>
        </w:rPr>
        <w:t>，并负责项目实施过程中的所有协调工作。</w:t>
      </w:r>
    </w:p>
    <w:p w14:paraId="5DEB8004">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5.3乙方有权根据合同约定向甲方收取合同价款。</w:t>
      </w:r>
    </w:p>
    <w:p w14:paraId="508BC066">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5.4国家法律法规规定及</w:t>
      </w:r>
      <w:r>
        <w:rPr>
          <w:rFonts w:hint="eastAsia" w:ascii="宋体" w:hAnsi="宋体" w:eastAsia="宋体" w:cs="宋体"/>
          <w:b/>
          <w:bCs/>
          <w:color w:val="auto"/>
          <w:sz w:val="21"/>
          <w:szCs w:val="21"/>
          <w:highlight w:val="none"/>
          <w:lang w:eastAsia="zh-CN"/>
        </w:rPr>
        <w:t>【政府采购合同专用条款】</w:t>
      </w:r>
      <w:r>
        <w:rPr>
          <w:rFonts w:hint="eastAsia" w:ascii="宋体" w:hAnsi="宋体" w:eastAsia="宋体" w:cs="宋体"/>
          <w:color w:val="auto"/>
          <w:sz w:val="21"/>
          <w:szCs w:val="21"/>
          <w:highlight w:val="none"/>
          <w:lang w:eastAsia="zh-CN"/>
        </w:rPr>
        <w:t>约定应由乙方承担的其他义务和责任。</w:t>
      </w:r>
    </w:p>
    <w:p w14:paraId="2D4D98A1">
      <w:pPr>
        <w:numPr>
          <w:ilvl w:val="0"/>
          <w:numId w:val="5"/>
        </w:num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合同履</w:t>
      </w:r>
      <w:r>
        <w:rPr>
          <w:rFonts w:hint="eastAsia" w:ascii="宋体" w:hAnsi="宋体" w:eastAsia="宋体" w:cs="宋体"/>
          <w:b/>
          <w:bCs/>
          <w:color w:val="auto"/>
          <w:sz w:val="21"/>
          <w:szCs w:val="21"/>
          <w:highlight w:val="none"/>
          <w:lang w:val="en-US" w:eastAsia="zh-CN"/>
        </w:rPr>
        <w:t>行</w:t>
      </w:r>
    </w:p>
    <w:p w14:paraId="23888F12">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6</w:t>
      </w:r>
      <w:r>
        <w:rPr>
          <w:rFonts w:hint="eastAsia" w:ascii="宋体" w:hAnsi="宋体" w:eastAsia="宋体" w:cs="宋体"/>
          <w:color w:val="auto"/>
          <w:sz w:val="21"/>
          <w:szCs w:val="21"/>
          <w:highlight w:val="none"/>
        </w:rPr>
        <w:t>.1 甲乙双方应当按照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约定顺序履行合同义务；如果没有先后顺序的，应当同时履行。</w:t>
      </w:r>
    </w:p>
    <w:p w14:paraId="3443A7A6">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6</w:t>
      </w:r>
      <w:r>
        <w:rPr>
          <w:rFonts w:hint="eastAsia" w:ascii="宋体" w:hAnsi="宋体" w:eastAsia="宋体" w:cs="宋体"/>
          <w:color w:val="auto"/>
          <w:sz w:val="21"/>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6FDCDA6B">
      <w:pPr>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7</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货物包装、运输</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保险</w:t>
      </w:r>
      <w:r>
        <w:rPr>
          <w:rFonts w:hint="eastAsia" w:ascii="宋体" w:hAnsi="宋体" w:eastAsia="宋体" w:cs="宋体"/>
          <w:b/>
          <w:bCs/>
          <w:color w:val="auto"/>
          <w:sz w:val="21"/>
          <w:szCs w:val="21"/>
          <w:highlight w:val="none"/>
          <w:lang w:eastAsia="zh-CN"/>
        </w:rPr>
        <w:t>和交付</w:t>
      </w:r>
      <w:r>
        <w:rPr>
          <w:rFonts w:hint="eastAsia" w:ascii="宋体" w:hAnsi="宋体" w:eastAsia="宋体" w:cs="宋体"/>
          <w:b/>
          <w:bCs/>
          <w:color w:val="auto"/>
          <w:sz w:val="21"/>
          <w:szCs w:val="21"/>
          <w:highlight w:val="none"/>
        </w:rPr>
        <w:t>要求</w:t>
      </w:r>
    </w:p>
    <w:p w14:paraId="64BDD4AC">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rPr>
        <w:t>.1 本合同</w:t>
      </w:r>
      <w:r>
        <w:rPr>
          <w:rFonts w:hint="eastAsia" w:ascii="宋体" w:hAnsi="宋体" w:eastAsia="宋体" w:cs="宋体"/>
          <w:bCs/>
          <w:color w:val="auto"/>
          <w:sz w:val="21"/>
          <w:szCs w:val="21"/>
          <w:highlight w:val="none"/>
        </w:rPr>
        <w:t>涉及商品包装</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快递包装的，</w:t>
      </w:r>
      <w:r>
        <w:rPr>
          <w:rFonts w:hint="eastAsia" w:ascii="宋体" w:hAnsi="宋体" w:eastAsia="宋体" w:cs="宋体"/>
          <w:color w:val="auto"/>
          <w:sz w:val="21"/>
          <w:szCs w:val="21"/>
          <w:highlight w:val="none"/>
        </w:rPr>
        <w:t>除</w:t>
      </w:r>
      <w:r>
        <w:rPr>
          <w:rFonts w:hint="eastAsia" w:ascii="宋体" w:hAnsi="宋体" w:eastAsia="宋体" w:cs="宋体"/>
          <w:b/>
          <w:color w:val="auto"/>
          <w:sz w:val="21"/>
          <w:szCs w:val="21"/>
          <w:highlight w:val="none"/>
        </w:rPr>
        <w:t>【政府采购合同专用条款】</w:t>
      </w:r>
      <w:r>
        <w:rPr>
          <w:rFonts w:hint="eastAsia" w:ascii="宋体" w:hAnsi="宋体" w:eastAsia="宋体" w:cs="宋体"/>
          <w:bCs/>
          <w:color w:val="auto"/>
          <w:sz w:val="21"/>
          <w:szCs w:val="21"/>
          <w:highlight w:val="none"/>
        </w:rPr>
        <w:t>另有</w:t>
      </w:r>
      <w:r>
        <w:rPr>
          <w:rFonts w:hint="eastAsia" w:ascii="宋体" w:hAnsi="宋体" w:eastAsia="宋体" w:cs="宋体"/>
          <w:bCs/>
          <w:color w:val="auto"/>
          <w:sz w:val="21"/>
          <w:szCs w:val="21"/>
          <w:highlight w:val="none"/>
          <w:lang w:eastAsia="zh-CN"/>
        </w:rPr>
        <w:t>约</w:t>
      </w:r>
      <w:r>
        <w:rPr>
          <w:rFonts w:hint="eastAsia" w:ascii="宋体" w:hAnsi="宋体" w:eastAsia="宋体" w:cs="宋体"/>
          <w:bCs/>
          <w:color w:val="auto"/>
          <w:sz w:val="21"/>
          <w:szCs w:val="21"/>
          <w:highlight w:val="none"/>
        </w:rPr>
        <w:t>定</w:t>
      </w:r>
      <w:r>
        <w:rPr>
          <w:rFonts w:hint="eastAsia" w:ascii="宋体" w:hAnsi="宋体" w:eastAsia="宋体" w:cs="宋体"/>
          <w:bCs/>
          <w:color w:val="auto"/>
          <w:sz w:val="21"/>
          <w:szCs w:val="21"/>
          <w:highlight w:val="none"/>
          <w:lang w:eastAsia="zh-CN"/>
        </w:rPr>
        <w:t>外</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t>包装应适应远距离运输、防潮、防震、防锈和防野蛮装卸等要求，确保货物安全无损地运抵</w:t>
      </w:r>
      <w:r>
        <w:rPr>
          <w:rFonts w:hint="eastAsia" w:ascii="宋体" w:hAnsi="宋体" w:eastAsia="宋体" w:cs="宋体"/>
          <w:b/>
          <w:color w:val="auto"/>
          <w:sz w:val="21"/>
          <w:szCs w:val="21"/>
          <w:highlight w:val="none"/>
        </w:rPr>
        <w:t>【政府采购合同专用条款】</w:t>
      </w:r>
      <w:r>
        <w:rPr>
          <w:rFonts w:hint="eastAsia" w:ascii="宋体" w:hAnsi="宋体" w:eastAsia="宋体" w:cs="宋体"/>
          <w:b w:val="0"/>
          <w:bCs/>
          <w:color w:val="auto"/>
          <w:sz w:val="21"/>
          <w:szCs w:val="21"/>
          <w:highlight w:val="none"/>
          <w:lang w:eastAsia="zh-CN"/>
        </w:rPr>
        <w:t>约定的</w:t>
      </w:r>
      <w:r>
        <w:rPr>
          <w:rFonts w:hint="eastAsia" w:ascii="宋体" w:hAnsi="宋体" w:eastAsia="宋体" w:cs="宋体"/>
          <w:color w:val="auto"/>
          <w:sz w:val="21"/>
          <w:szCs w:val="21"/>
          <w:highlight w:val="none"/>
        </w:rPr>
        <w:t>指定现场。</w:t>
      </w:r>
    </w:p>
    <w:p w14:paraId="00DED015">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rPr>
        <w:t>.2 除</w:t>
      </w:r>
      <w:r>
        <w:rPr>
          <w:rFonts w:hint="eastAsia" w:ascii="宋体" w:hAnsi="宋体" w:eastAsia="宋体" w:cs="宋体"/>
          <w:b/>
          <w:color w:val="auto"/>
          <w:sz w:val="21"/>
          <w:szCs w:val="21"/>
          <w:highlight w:val="none"/>
        </w:rPr>
        <w:t>【政府采购合同专用条款】</w:t>
      </w:r>
      <w:r>
        <w:rPr>
          <w:rFonts w:hint="eastAsia" w:ascii="宋体" w:hAnsi="宋体" w:eastAsia="宋体" w:cs="宋体"/>
          <w:bCs/>
          <w:color w:val="auto"/>
          <w:sz w:val="21"/>
          <w:szCs w:val="21"/>
          <w:highlight w:val="none"/>
        </w:rPr>
        <w:t>另有</w:t>
      </w:r>
      <w:r>
        <w:rPr>
          <w:rFonts w:hint="eastAsia" w:ascii="宋体" w:hAnsi="宋体" w:eastAsia="宋体" w:cs="宋体"/>
          <w:bCs/>
          <w:color w:val="auto"/>
          <w:sz w:val="21"/>
          <w:szCs w:val="21"/>
          <w:highlight w:val="none"/>
          <w:lang w:eastAsia="zh-CN"/>
        </w:rPr>
        <w:t>约</w:t>
      </w:r>
      <w:r>
        <w:rPr>
          <w:rFonts w:hint="eastAsia" w:ascii="宋体" w:hAnsi="宋体" w:eastAsia="宋体" w:cs="宋体"/>
          <w:bCs/>
          <w:color w:val="auto"/>
          <w:sz w:val="21"/>
          <w:szCs w:val="21"/>
          <w:highlight w:val="none"/>
        </w:rPr>
        <w:t>定</w:t>
      </w:r>
      <w:r>
        <w:rPr>
          <w:rFonts w:hint="eastAsia" w:ascii="宋体" w:hAnsi="宋体" w:eastAsia="宋体" w:cs="宋体"/>
          <w:bCs/>
          <w:color w:val="auto"/>
          <w:sz w:val="21"/>
          <w:szCs w:val="21"/>
          <w:highlight w:val="none"/>
          <w:lang w:eastAsia="zh-CN"/>
        </w:rPr>
        <w:t>外</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t>乙方负责办理将货物运抵本合同规定的交货地点</w:t>
      </w:r>
      <w:r>
        <w:rPr>
          <w:rFonts w:hint="eastAsia" w:ascii="宋体" w:hAnsi="宋体" w:eastAsia="宋体" w:cs="宋体"/>
          <w:color w:val="auto"/>
          <w:sz w:val="21"/>
          <w:szCs w:val="21"/>
          <w:highlight w:val="none"/>
          <w:lang w:eastAsia="zh-CN"/>
        </w:rPr>
        <w:t>，并装卸、交付至甲方</w:t>
      </w:r>
      <w:r>
        <w:rPr>
          <w:rFonts w:hint="eastAsia" w:ascii="宋体" w:hAnsi="宋体" w:eastAsia="宋体" w:cs="宋体"/>
          <w:color w:val="auto"/>
          <w:sz w:val="21"/>
          <w:szCs w:val="21"/>
          <w:highlight w:val="none"/>
        </w:rPr>
        <w:t>的一切运输事项，相关费用应</w:t>
      </w:r>
      <w:r>
        <w:rPr>
          <w:rFonts w:hint="eastAsia" w:ascii="宋体" w:hAnsi="宋体" w:eastAsia="宋体" w:cs="宋体"/>
          <w:color w:val="auto"/>
          <w:sz w:val="21"/>
          <w:szCs w:val="21"/>
          <w:highlight w:val="none"/>
          <w:lang w:eastAsia="zh-CN"/>
        </w:rPr>
        <w:t>包含</w:t>
      </w:r>
      <w:r>
        <w:rPr>
          <w:rFonts w:hint="eastAsia" w:ascii="宋体" w:hAnsi="宋体" w:eastAsia="宋体" w:cs="宋体"/>
          <w:color w:val="auto"/>
          <w:sz w:val="21"/>
          <w:szCs w:val="21"/>
          <w:highlight w:val="none"/>
        </w:rPr>
        <w:t>在合同</w:t>
      </w:r>
      <w:r>
        <w:rPr>
          <w:rFonts w:hint="eastAsia" w:ascii="宋体" w:hAnsi="宋体" w:eastAsia="宋体" w:cs="宋体"/>
          <w:color w:val="auto"/>
          <w:sz w:val="21"/>
          <w:szCs w:val="21"/>
          <w:highlight w:val="none"/>
          <w:lang w:eastAsia="zh-CN"/>
        </w:rPr>
        <w:t>价款</w:t>
      </w:r>
      <w:r>
        <w:rPr>
          <w:rFonts w:hint="eastAsia" w:ascii="宋体" w:hAnsi="宋体" w:eastAsia="宋体" w:cs="宋体"/>
          <w:color w:val="auto"/>
          <w:sz w:val="21"/>
          <w:szCs w:val="21"/>
          <w:highlight w:val="none"/>
        </w:rPr>
        <w:t>中。</w:t>
      </w:r>
    </w:p>
    <w:p w14:paraId="6EA7B5BC">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rPr>
        <w:t>.3 货物保险要求按</w:t>
      </w:r>
      <w:r>
        <w:rPr>
          <w:rFonts w:hint="eastAsia" w:ascii="宋体" w:hAnsi="宋体" w:eastAsia="宋体" w:cs="宋体"/>
          <w:b/>
          <w:color w:val="auto"/>
          <w:sz w:val="21"/>
          <w:szCs w:val="21"/>
          <w:highlight w:val="none"/>
        </w:rPr>
        <w:t>【政府采购合同专用条款】</w:t>
      </w:r>
      <w:r>
        <w:rPr>
          <w:rFonts w:hint="eastAsia" w:ascii="宋体" w:hAnsi="宋体" w:eastAsia="宋体" w:cs="宋体"/>
          <w:bCs/>
          <w:color w:val="auto"/>
          <w:sz w:val="21"/>
          <w:szCs w:val="21"/>
          <w:highlight w:val="none"/>
        </w:rPr>
        <w:t>规定执行</w:t>
      </w:r>
      <w:r>
        <w:rPr>
          <w:rFonts w:hint="eastAsia" w:ascii="宋体" w:hAnsi="宋体" w:eastAsia="宋体" w:cs="宋体"/>
          <w:color w:val="auto"/>
          <w:sz w:val="21"/>
          <w:szCs w:val="21"/>
          <w:highlight w:val="none"/>
        </w:rPr>
        <w:t>。</w:t>
      </w:r>
    </w:p>
    <w:p w14:paraId="648BE1CE">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rPr>
        <w:t xml:space="preserve">.4 </w:t>
      </w:r>
      <w:r>
        <w:rPr>
          <w:rFonts w:hint="eastAsia" w:ascii="宋体" w:hAnsi="宋体" w:eastAsia="宋体" w:cs="宋体"/>
          <w:color w:val="auto"/>
          <w:sz w:val="21"/>
          <w:szCs w:val="21"/>
          <w:highlight w:val="none"/>
          <w:lang w:val="en-US" w:eastAsia="zh-CN"/>
        </w:rPr>
        <w:t>除采购活动</w:t>
      </w:r>
      <w:r>
        <w:rPr>
          <w:rFonts w:hint="eastAsia" w:ascii="宋体" w:hAnsi="宋体" w:eastAsia="宋体" w:cs="宋体"/>
          <w:color w:val="auto"/>
          <w:sz w:val="21"/>
          <w:szCs w:val="21"/>
          <w:highlight w:val="none"/>
        </w:rPr>
        <w:t>对商品包装</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快递包装</w:t>
      </w:r>
      <w:r>
        <w:rPr>
          <w:rFonts w:hint="eastAsia" w:ascii="宋体" w:hAnsi="宋体" w:eastAsia="宋体" w:cs="宋体"/>
          <w:color w:val="auto"/>
          <w:sz w:val="21"/>
          <w:szCs w:val="21"/>
          <w:highlight w:val="none"/>
          <w:lang w:val="en-US" w:eastAsia="zh-CN"/>
        </w:rPr>
        <w:t>达成具体约定外</w:t>
      </w:r>
      <w:r>
        <w:rPr>
          <w:rFonts w:hint="eastAsia" w:ascii="宋体" w:hAnsi="宋体" w:eastAsia="宋体" w:cs="宋体"/>
          <w:color w:val="auto"/>
          <w:sz w:val="21"/>
          <w:szCs w:val="21"/>
          <w:highlight w:val="none"/>
        </w:rPr>
        <w:t>，乙方提供产品及相关快递服务</w:t>
      </w:r>
      <w:r>
        <w:rPr>
          <w:rFonts w:hint="eastAsia" w:ascii="宋体" w:hAnsi="宋体" w:eastAsia="宋体" w:cs="宋体"/>
          <w:color w:val="auto"/>
          <w:sz w:val="21"/>
          <w:szCs w:val="21"/>
          <w:highlight w:val="none"/>
          <w:lang w:val="en-US" w:eastAsia="zh-CN"/>
        </w:rPr>
        <w:t>涉及到</w:t>
      </w:r>
      <w:r>
        <w:rPr>
          <w:rFonts w:hint="eastAsia" w:ascii="宋体" w:hAnsi="宋体" w:eastAsia="宋体" w:cs="宋体"/>
          <w:color w:val="auto"/>
          <w:sz w:val="21"/>
          <w:szCs w:val="21"/>
          <w:highlight w:val="none"/>
        </w:rPr>
        <w:t>具体包装要求</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应</w:t>
      </w:r>
      <w:r>
        <w:rPr>
          <w:rFonts w:hint="eastAsia" w:ascii="宋体" w:hAnsi="宋体" w:eastAsia="宋体" w:cs="宋体"/>
          <w:color w:val="auto"/>
          <w:sz w:val="21"/>
          <w:szCs w:val="21"/>
          <w:highlight w:val="none"/>
          <w:lang w:val="en-US" w:eastAsia="zh-CN"/>
        </w:rPr>
        <w:t>不低于</w:t>
      </w:r>
      <w:r>
        <w:rPr>
          <w:rFonts w:hint="eastAsia" w:ascii="宋体" w:hAnsi="宋体" w:eastAsia="宋体" w:cs="宋体"/>
          <w:color w:val="auto"/>
          <w:sz w:val="21"/>
          <w:szCs w:val="21"/>
          <w:highlight w:val="none"/>
        </w:rPr>
        <w:t>《商品包装政府采购需求标准（试行）</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快递包装政府采购需求标准（试行）》</w:t>
      </w:r>
      <w:r>
        <w:rPr>
          <w:rFonts w:hint="eastAsia" w:ascii="宋体" w:hAnsi="宋体" w:eastAsia="宋体" w:cs="宋体"/>
          <w:color w:val="auto"/>
          <w:sz w:val="21"/>
          <w:szCs w:val="21"/>
          <w:highlight w:val="none"/>
          <w:lang w:val="en-US" w:eastAsia="zh-CN"/>
        </w:rPr>
        <w:t>标准</w:t>
      </w:r>
      <w:r>
        <w:rPr>
          <w:rFonts w:hint="eastAsia" w:ascii="宋体" w:hAnsi="宋体" w:eastAsia="宋体" w:cs="宋体"/>
          <w:color w:val="auto"/>
          <w:sz w:val="21"/>
          <w:szCs w:val="21"/>
          <w:highlight w:val="none"/>
        </w:rPr>
        <w:t>，并作为履约验收的内容，必要时甲方可以要求乙方在履约验收环节出具检测报告。</w:t>
      </w:r>
    </w:p>
    <w:p w14:paraId="45153740">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7.5 </w:t>
      </w:r>
      <w:r>
        <w:rPr>
          <w:rFonts w:hint="eastAsia" w:ascii="宋体" w:hAnsi="宋体" w:eastAsia="宋体" w:cs="宋体"/>
          <w:color w:val="auto"/>
          <w:sz w:val="21"/>
          <w:szCs w:val="21"/>
          <w:highlight w:val="none"/>
        </w:rPr>
        <w:t>乙方在运输到达之前</w:t>
      </w:r>
      <w:r>
        <w:rPr>
          <w:rFonts w:hint="eastAsia" w:ascii="宋体" w:hAnsi="宋体" w:eastAsia="宋体" w:cs="宋体"/>
          <w:color w:val="auto"/>
          <w:sz w:val="21"/>
          <w:szCs w:val="21"/>
          <w:highlight w:val="none"/>
          <w:lang w:eastAsia="zh-CN"/>
        </w:rPr>
        <w:t>应</w:t>
      </w:r>
      <w:r>
        <w:rPr>
          <w:rFonts w:hint="eastAsia" w:ascii="宋体" w:hAnsi="宋体" w:eastAsia="宋体" w:cs="宋体"/>
          <w:color w:val="auto"/>
          <w:sz w:val="21"/>
          <w:szCs w:val="21"/>
          <w:highlight w:val="none"/>
        </w:rPr>
        <w:t>提前通知</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，并提示货物运输装卸的注意事项</w:t>
      </w:r>
      <w:r>
        <w:rPr>
          <w:rFonts w:hint="eastAsia" w:ascii="宋体" w:hAnsi="宋体" w:eastAsia="宋体" w:cs="宋体"/>
          <w:color w:val="auto"/>
          <w:sz w:val="21"/>
          <w:szCs w:val="21"/>
          <w:highlight w:val="none"/>
          <w:lang w:eastAsia="zh-CN"/>
        </w:rPr>
        <w:t>，甲方配合乙方做好货物的接收工作。</w:t>
      </w:r>
    </w:p>
    <w:p w14:paraId="0444A18D">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7.6 如因包装、运输问题导致货物损毁、丢失或者品质下降，甲方有权要求降价、换货、拒收部分或整批货物，由此产生的费用和损失，均由乙方承担。</w:t>
      </w:r>
    </w:p>
    <w:p w14:paraId="34E309DD">
      <w:pPr>
        <w:adjustRightInd w:val="0"/>
        <w:snapToGrid w:val="0"/>
        <w:spacing w:before="0" w:line="400" w:lineRule="exact"/>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8</w:t>
      </w: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color w:val="auto"/>
          <w:sz w:val="21"/>
          <w:szCs w:val="21"/>
          <w:highlight w:val="none"/>
        </w:rPr>
        <w:t>质量标准和保证</w:t>
      </w:r>
    </w:p>
    <w:p w14:paraId="7B1679E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8.1 质量标准</w:t>
      </w:r>
    </w:p>
    <w:p w14:paraId="67385228">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（1）本合同下</w:t>
      </w:r>
      <w:r>
        <w:rPr>
          <w:rFonts w:hint="eastAsia" w:ascii="宋体" w:hAnsi="宋体" w:eastAsia="宋体" w:cs="宋体"/>
          <w:color w:val="auto"/>
          <w:sz w:val="21"/>
          <w:szCs w:val="21"/>
          <w:highlight w:val="none"/>
          <w:lang w:eastAsia="zh-CN"/>
        </w:rPr>
        <w:t>提供</w:t>
      </w:r>
      <w:r>
        <w:rPr>
          <w:rFonts w:hint="eastAsia" w:ascii="宋体" w:hAnsi="宋体" w:eastAsia="宋体" w:cs="宋体"/>
          <w:color w:val="auto"/>
          <w:sz w:val="21"/>
          <w:szCs w:val="21"/>
          <w:highlight w:val="none"/>
        </w:rPr>
        <w:t>的货物应符合</w:t>
      </w:r>
      <w:r>
        <w:rPr>
          <w:rFonts w:hint="eastAsia" w:ascii="宋体" w:hAnsi="宋体" w:eastAsia="宋体" w:cs="宋体"/>
          <w:color w:val="auto"/>
          <w:sz w:val="21"/>
          <w:szCs w:val="21"/>
          <w:highlight w:val="none"/>
          <w:lang w:eastAsia="zh-CN"/>
        </w:rPr>
        <w:t>合同约</w:t>
      </w:r>
      <w:r>
        <w:rPr>
          <w:rFonts w:hint="eastAsia" w:ascii="宋体" w:hAnsi="宋体" w:eastAsia="宋体" w:cs="宋体"/>
          <w:color w:val="auto"/>
          <w:sz w:val="21"/>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 w:val="21"/>
          <w:szCs w:val="21"/>
          <w:highlight w:val="none"/>
          <w:lang w:eastAsia="zh-CN"/>
        </w:rPr>
        <w:t>。</w:t>
      </w:r>
    </w:p>
    <w:p w14:paraId="08D66C60">
      <w:pPr>
        <w:pStyle w:val="15"/>
        <w:adjustRightInd w:val="0"/>
        <w:snapToGrid w:val="0"/>
        <w:spacing w:before="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（2）采用中华人民共和国法定计量单位。</w:t>
      </w:r>
    </w:p>
    <w:p w14:paraId="2960FA6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（3）乙方所</w:t>
      </w:r>
      <w:r>
        <w:rPr>
          <w:rFonts w:hint="eastAsia" w:ascii="宋体" w:hAnsi="宋体" w:eastAsia="宋体" w:cs="宋体"/>
          <w:color w:val="auto"/>
          <w:sz w:val="21"/>
          <w:szCs w:val="21"/>
          <w:highlight w:val="none"/>
          <w:lang w:eastAsia="zh-CN"/>
        </w:rPr>
        <w:t>提供</w:t>
      </w:r>
      <w:r>
        <w:rPr>
          <w:rFonts w:hint="eastAsia" w:ascii="宋体" w:hAnsi="宋体" w:eastAsia="宋体" w:cs="宋体"/>
          <w:color w:val="auto"/>
          <w:sz w:val="21"/>
          <w:szCs w:val="21"/>
          <w:highlight w:val="none"/>
        </w:rPr>
        <w:t>的货物应符合国家有关安全、环保、卫生</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规定。</w:t>
      </w:r>
    </w:p>
    <w:p w14:paraId="7D7DFC4C">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（4）乙方应向甲方提交所</w:t>
      </w:r>
      <w:r>
        <w:rPr>
          <w:rFonts w:hint="eastAsia" w:ascii="宋体" w:hAnsi="宋体" w:eastAsia="宋体" w:cs="宋体"/>
          <w:color w:val="auto"/>
          <w:sz w:val="21"/>
          <w:szCs w:val="21"/>
          <w:highlight w:val="none"/>
          <w:lang w:eastAsia="zh-CN"/>
        </w:rPr>
        <w:t>提供</w:t>
      </w:r>
      <w:r>
        <w:rPr>
          <w:rFonts w:hint="eastAsia" w:ascii="宋体" w:hAnsi="宋体" w:eastAsia="宋体" w:cs="宋体"/>
          <w:color w:val="auto"/>
          <w:sz w:val="21"/>
          <w:szCs w:val="21"/>
          <w:highlight w:val="none"/>
        </w:rPr>
        <w:t>货物的技术文件，包括相应的中文技术文件，如：产品目录、图纸、操作手册、使用说明、维护手册或服务指南</w:t>
      </w:r>
      <w:r>
        <w:rPr>
          <w:rFonts w:hint="eastAsia" w:ascii="宋体" w:hAnsi="宋体" w:eastAsia="宋体" w:cs="宋体"/>
          <w:color w:val="auto"/>
          <w:sz w:val="21"/>
          <w:szCs w:val="21"/>
          <w:highlight w:val="none"/>
          <w:lang w:eastAsia="zh-CN"/>
        </w:rPr>
        <w:t>等</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上述</w:t>
      </w:r>
      <w:r>
        <w:rPr>
          <w:rFonts w:hint="eastAsia" w:ascii="宋体" w:hAnsi="宋体" w:eastAsia="宋体" w:cs="宋体"/>
          <w:color w:val="auto"/>
          <w:sz w:val="21"/>
          <w:szCs w:val="21"/>
          <w:highlight w:val="none"/>
        </w:rPr>
        <w:t>文件应包装好随货物一同发运。</w:t>
      </w:r>
    </w:p>
    <w:p w14:paraId="7CE2FA54">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8</w:t>
      </w:r>
      <w:r>
        <w:rPr>
          <w:rFonts w:hint="eastAsia" w:ascii="宋体" w:hAnsi="宋体" w:eastAsia="宋体" w:cs="宋体"/>
          <w:color w:val="auto"/>
          <w:sz w:val="21"/>
          <w:szCs w:val="21"/>
          <w:highlight w:val="none"/>
        </w:rPr>
        <w:t>.2 保证</w:t>
      </w:r>
    </w:p>
    <w:p w14:paraId="38428A1F">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（1）乙方应保证</w:t>
      </w:r>
      <w:r>
        <w:rPr>
          <w:rFonts w:hint="eastAsia" w:ascii="宋体" w:hAnsi="宋体" w:eastAsia="宋体" w:cs="宋体"/>
          <w:color w:val="auto"/>
          <w:sz w:val="21"/>
          <w:szCs w:val="21"/>
          <w:highlight w:val="none"/>
          <w:lang w:eastAsia="zh-CN"/>
        </w:rPr>
        <w:t>提供的货物</w:t>
      </w:r>
      <w:r>
        <w:rPr>
          <w:rFonts w:hint="eastAsia" w:ascii="宋体" w:hAnsi="宋体" w:eastAsia="宋体" w:cs="宋体"/>
          <w:color w:val="auto"/>
          <w:sz w:val="21"/>
          <w:szCs w:val="21"/>
          <w:highlight w:val="none"/>
        </w:rPr>
        <w:t>完全符合合同规定的质量、规格和性能要求。乙方应保证货物在正确安装、正常使用和保养条件下，在其使用寿命期内具</w:t>
      </w:r>
      <w:r>
        <w:rPr>
          <w:rFonts w:hint="eastAsia" w:ascii="宋体" w:hAnsi="宋体" w:eastAsia="宋体" w:cs="宋体"/>
          <w:color w:val="auto"/>
          <w:sz w:val="21"/>
          <w:szCs w:val="21"/>
          <w:highlight w:val="none"/>
          <w:lang w:eastAsia="zh-CN"/>
        </w:rPr>
        <w:t>备合同约定</w:t>
      </w:r>
      <w:r>
        <w:rPr>
          <w:rFonts w:hint="eastAsia" w:ascii="宋体" w:hAnsi="宋体" w:eastAsia="宋体" w:cs="宋体"/>
          <w:color w:val="auto"/>
          <w:sz w:val="21"/>
          <w:szCs w:val="21"/>
          <w:highlight w:val="none"/>
        </w:rPr>
        <w:t>的性能。</w:t>
      </w:r>
      <w:r>
        <w:rPr>
          <w:rFonts w:hint="eastAsia" w:ascii="宋体" w:hAnsi="宋体" w:eastAsia="宋体" w:cs="宋体"/>
          <w:color w:val="auto"/>
          <w:sz w:val="21"/>
          <w:szCs w:val="21"/>
          <w:highlight w:val="none"/>
          <w:lang w:eastAsia="zh-CN"/>
        </w:rPr>
        <w:t>存在</w:t>
      </w:r>
      <w:r>
        <w:rPr>
          <w:rFonts w:hint="eastAsia" w:ascii="宋体" w:hAnsi="宋体" w:eastAsia="宋体" w:cs="宋体"/>
          <w:color w:val="auto"/>
          <w:sz w:val="21"/>
          <w:szCs w:val="21"/>
          <w:highlight w:val="none"/>
        </w:rPr>
        <w:t>质量保证期的，货物最终交付验收</w:t>
      </w:r>
      <w:r>
        <w:rPr>
          <w:rFonts w:hint="eastAsia" w:ascii="宋体" w:hAnsi="宋体" w:eastAsia="宋体" w:cs="宋体"/>
          <w:color w:val="auto"/>
          <w:sz w:val="21"/>
          <w:szCs w:val="21"/>
          <w:highlight w:val="none"/>
          <w:lang w:eastAsia="zh-CN"/>
        </w:rPr>
        <w:t>合格</w:t>
      </w:r>
      <w:r>
        <w:rPr>
          <w:rFonts w:hint="eastAsia" w:ascii="宋体" w:hAnsi="宋体" w:eastAsia="宋体" w:cs="宋体"/>
          <w:color w:val="auto"/>
          <w:sz w:val="21"/>
          <w:szCs w:val="21"/>
          <w:highlight w:val="none"/>
        </w:rPr>
        <w:t>后</w:t>
      </w:r>
      <w:r>
        <w:rPr>
          <w:rFonts w:hint="eastAsia" w:ascii="宋体" w:hAnsi="宋体" w:eastAsia="宋体" w:cs="宋体"/>
          <w:color w:val="auto"/>
          <w:sz w:val="21"/>
          <w:szCs w:val="21"/>
          <w:highlight w:val="none"/>
          <w:lang w:eastAsia="zh-CN"/>
        </w:rPr>
        <w:t>在</w:t>
      </w:r>
      <w:r>
        <w:rPr>
          <w:rFonts w:hint="eastAsia" w:ascii="宋体" w:hAnsi="宋体" w:eastAsia="宋体" w:cs="宋体"/>
          <w:b/>
          <w:color w:val="auto"/>
          <w:sz w:val="21"/>
          <w:szCs w:val="21"/>
          <w:highlight w:val="none"/>
        </w:rPr>
        <w:t>【政府采购合同专用条款】</w:t>
      </w:r>
      <w:r>
        <w:rPr>
          <w:rFonts w:hint="eastAsia" w:ascii="宋体" w:hAnsi="宋体" w:eastAsia="宋体" w:cs="宋体"/>
          <w:color w:val="auto"/>
          <w:sz w:val="21"/>
          <w:szCs w:val="21"/>
          <w:highlight w:val="none"/>
        </w:rPr>
        <w:t>规定或乙方</w:t>
      </w:r>
      <w:r>
        <w:rPr>
          <w:rFonts w:hint="eastAsia" w:ascii="宋体" w:hAnsi="宋体" w:eastAsia="宋体" w:cs="宋体"/>
          <w:color w:val="auto"/>
          <w:sz w:val="21"/>
          <w:szCs w:val="21"/>
          <w:highlight w:val="none"/>
          <w:lang w:eastAsia="zh-CN"/>
        </w:rPr>
        <w:t>书面</w:t>
      </w:r>
      <w:r>
        <w:rPr>
          <w:rFonts w:hint="eastAsia" w:ascii="宋体" w:hAnsi="宋体" w:eastAsia="宋体" w:cs="宋体"/>
          <w:color w:val="auto"/>
          <w:sz w:val="21"/>
          <w:szCs w:val="21"/>
          <w:highlight w:val="none"/>
        </w:rPr>
        <w:t>承诺（两者以较长的为准）的质量保证期内，本保证保持有效。</w:t>
      </w:r>
    </w:p>
    <w:p w14:paraId="1C3269A8">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（2）在质量保证期内所发现的缺陷，甲方应尽快以书面形式通知乙方。</w:t>
      </w:r>
    </w:p>
    <w:p w14:paraId="7003483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（3）乙方收到通知后</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应在</w:t>
      </w:r>
      <w:r>
        <w:rPr>
          <w:rFonts w:hint="eastAsia" w:ascii="宋体" w:hAnsi="宋体" w:eastAsia="宋体" w:cs="宋体"/>
          <w:b/>
          <w:color w:val="auto"/>
          <w:sz w:val="21"/>
          <w:szCs w:val="21"/>
          <w:highlight w:val="none"/>
        </w:rPr>
        <w:t>【政府采购合同专用条款】</w:t>
      </w:r>
      <w:r>
        <w:rPr>
          <w:rFonts w:hint="eastAsia" w:ascii="宋体" w:hAnsi="宋体" w:eastAsia="宋体" w:cs="宋体"/>
          <w:color w:val="auto"/>
          <w:sz w:val="21"/>
          <w:szCs w:val="21"/>
          <w:highlight w:val="none"/>
        </w:rPr>
        <w:t>规定的响应时间内以合理的速度免费维修或更换有缺陷的货物或部件。</w:t>
      </w:r>
    </w:p>
    <w:p w14:paraId="7092578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.1条规定以书面形式</w:t>
      </w:r>
      <w:r>
        <w:rPr>
          <w:rFonts w:hint="eastAsia" w:ascii="宋体" w:hAnsi="宋体" w:eastAsia="宋体" w:cs="宋体"/>
          <w:color w:val="auto"/>
          <w:sz w:val="21"/>
          <w:szCs w:val="21"/>
          <w:highlight w:val="none"/>
          <w:lang w:eastAsia="zh-CN"/>
        </w:rPr>
        <w:t>追究</w:t>
      </w:r>
      <w:r>
        <w:rPr>
          <w:rFonts w:hint="eastAsia" w:ascii="宋体" w:hAnsi="宋体" w:eastAsia="宋体" w:cs="宋体"/>
          <w:color w:val="auto"/>
          <w:sz w:val="21"/>
          <w:szCs w:val="21"/>
          <w:highlight w:val="none"/>
        </w:rPr>
        <w:t>乙方</w:t>
      </w:r>
      <w:r>
        <w:rPr>
          <w:rFonts w:hint="eastAsia" w:ascii="宋体" w:hAnsi="宋体" w:eastAsia="宋体" w:cs="宋体"/>
          <w:color w:val="auto"/>
          <w:sz w:val="21"/>
          <w:szCs w:val="21"/>
          <w:highlight w:val="none"/>
          <w:lang w:eastAsia="zh-CN"/>
        </w:rPr>
        <w:t>的违约责任</w:t>
      </w:r>
      <w:r>
        <w:rPr>
          <w:rFonts w:hint="eastAsia" w:ascii="宋体" w:hAnsi="宋体" w:eastAsia="宋体" w:cs="宋体"/>
          <w:color w:val="auto"/>
          <w:sz w:val="21"/>
          <w:szCs w:val="21"/>
          <w:highlight w:val="none"/>
        </w:rPr>
        <w:t>。</w:t>
      </w:r>
    </w:p>
    <w:p w14:paraId="47BD646C">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（5）乙方在约定的时间内未能弥补缺陷，甲方可采取必要的补救措施，但其风险和费用将由乙方承担，甲方根据合同</w:t>
      </w:r>
      <w:r>
        <w:rPr>
          <w:rFonts w:hint="eastAsia" w:ascii="宋体" w:hAnsi="宋体" w:eastAsia="宋体" w:cs="宋体"/>
          <w:color w:val="auto"/>
          <w:sz w:val="21"/>
          <w:szCs w:val="21"/>
          <w:highlight w:val="none"/>
          <w:lang w:eastAsia="zh-CN"/>
        </w:rPr>
        <w:t>约定</w:t>
      </w:r>
      <w:r>
        <w:rPr>
          <w:rFonts w:hint="eastAsia" w:ascii="宋体" w:hAnsi="宋体" w:eastAsia="宋体" w:cs="宋体"/>
          <w:color w:val="auto"/>
          <w:sz w:val="21"/>
          <w:szCs w:val="21"/>
          <w:highlight w:val="none"/>
        </w:rPr>
        <w:t>对乙方行使的其他权利不受影响。</w:t>
      </w:r>
    </w:p>
    <w:p w14:paraId="3ABE3F30">
      <w:pPr>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9</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权利瑕疵担保</w:t>
      </w:r>
    </w:p>
    <w:p w14:paraId="3AF250E0">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9</w:t>
      </w:r>
      <w:r>
        <w:rPr>
          <w:rFonts w:hint="eastAsia" w:ascii="宋体" w:hAnsi="宋体" w:eastAsia="宋体" w:cs="宋体"/>
          <w:color w:val="auto"/>
          <w:sz w:val="21"/>
          <w:szCs w:val="21"/>
          <w:highlight w:val="none"/>
        </w:rPr>
        <w:t>.1 乙方保证对其出售的货物享有合法的权利。</w:t>
      </w:r>
    </w:p>
    <w:p w14:paraId="3EF70828">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9</w:t>
      </w:r>
      <w:r>
        <w:rPr>
          <w:rFonts w:hint="eastAsia" w:ascii="宋体" w:hAnsi="宋体" w:eastAsia="宋体" w:cs="宋体"/>
          <w:color w:val="auto"/>
          <w:sz w:val="21"/>
          <w:szCs w:val="21"/>
          <w:highlight w:val="none"/>
        </w:rPr>
        <w:t>.2 乙方保证在交付的货物上不存在抵押权等担保物权。</w:t>
      </w:r>
    </w:p>
    <w:p w14:paraId="523ED870">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9</w:t>
      </w:r>
      <w:r>
        <w:rPr>
          <w:rFonts w:hint="eastAsia" w:ascii="宋体" w:hAnsi="宋体" w:eastAsia="宋体" w:cs="宋体"/>
          <w:color w:val="auto"/>
          <w:sz w:val="21"/>
          <w:szCs w:val="21"/>
          <w:highlight w:val="none"/>
        </w:rPr>
        <w:t>.3 如甲方使用</w:t>
      </w:r>
      <w:r>
        <w:rPr>
          <w:rFonts w:hint="eastAsia" w:ascii="宋体" w:hAnsi="宋体" w:eastAsia="宋体" w:cs="宋体"/>
          <w:color w:val="auto"/>
          <w:sz w:val="21"/>
          <w:szCs w:val="21"/>
          <w:highlight w:val="none"/>
          <w:lang w:val="en-US" w:eastAsia="zh-CN"/>
        </w:rPr>
        <w:t>上述</w:t>
      </w:r>
      <w:r>
        <w:rPr>
          <w:rFonts w:hint="eastAsia" w:ascii="宋体" w:hAnsi="宋体" w:eastAsia="宋体" w:cs="宋体"/>
          <w:color w:val="auto"/>
          <w:sz w:val="21"/>
          <w:szCs w:val="21"/>
          <w:highlight w:val="none"/>
        </w:rPr>
        <w:t>货物构成</w:t>
      </w:r>
      <w:r>
        <w:rPr>
          <w:rFonts w:hint="eastAsia" w:ascii="宋体" w:hAnsi="宋体" w:eastAsia="宋体" w:cs="宋体"/>
          <w:color w:val="auto"/>
          <w:sz w:val="21"/>
          <w:szCs w:val="21"/>
          <w:highlight w:val="none"/>
          <w:lang w:val="en-US" w:eastAsia="zh-CN"/>
        </w:rPr>
        <w:t>对第三人</w:t>
      </w:r>
      <w:r>
        <w:rPr>
          <w:rFonts w:hint="eastAsia" w:ascii="宋体" w:hAnsi="宋体" w:eastAsia="宋体" w:cs="宋体"/>
          <w:color w:val="auto"/>
          <w:sz w:val="21"/>
          <w:szCs w:val="21"/>
          <w:highlight w:val="none"/>
        </w:rPr>
        <w:t>侵权的，则由乙方承担全部责任。</w:t>
      </w:r>
    </w:p>
    <w:p w14:paraId="0B2C947F">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0</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知识产权保护</w:t>
      </w:r>
    </w:p>
    <w:p w14:paraId="6BEBA90A">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0</w:t>
      </w:r>
      <w:r>
        <w:rPr>
          <w:rFonts w:hint="eastAsia" w:ascii="宋体" w:hAnsi="宋体" w:eastAsia="宋体" w:cs="宋体"/>
          <w:color w:val="auto"/>
          <w:sz w:val="21"/>
          <w:szCs w:val="21"/>
          <w:highlight w:val="none"/>
        </w:rPr>
        <w:t>.1 乙方对其所销售的货物应当享有知识产权或经权利人合法授权，保证没有侵犯任何第三人的知识产权等权利。</w:t>
      </w:r>
      <w:bookmarkStart w:id="523" w:name="_Hlk163047038"/>
      <w:r>
        <w:rPr>
          <w:rFonts w:hint="eastAsia" w:ascii="宋体" w:hAnsi="宋体" w:eastAsia="宋体" w:cs="宋体"/>
          <w:color w:val="auto"/>
          <w:sz w:val="21"/>
          <w:szCs w:val="21"/>
          <w:highlight w:val="none"/>
        </w:rPr>
        <w:t>因违反前述约定对第三人构成侵权的，应当由乙方向第三人承担法律责任；甲方依法向第三人赔偿后，有权向乙方追偿。甲方有其他损失的，乙方应当赔偿</w:t>
      </w:r>
      <w:bookmarkEnd w:id="523"/>
      <w:r>
        <w:rPr>
          <w:rFonts w:hint="eastAsia" w:ascii="宋体" w:hAnsi="宋体" w:eastAsia="宋体" w:cs="宋体"/>
          <w:color w:val="auto"/>
          <w:sz w:val="21"/>
          <w:szCs w:val="21"/>
          <w:highlight w:val="none"/>
        </w:rPr>
        <w:t>。</w:t>
      </w:r>
    </w:p>
    <w:p w14:paraId="285A4656">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1</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保密义务</w:t>
      </w:r>
    </w:p>
    <w:p w14:paraId="14983EC6">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11.1 </w:t>
      </w:r>
      <w:r>
        <w:rPr>
          <w:rFonts w:hint="eastAsia" w:ascii="宋体" w:hAnsi="宋体" w:eastAsia="宋体" w:cs="宋体"/>
          <w:color w:val="auto"/>
          <w:sz w:val="21"/>
          <w:szCs w:val="21"/>
          <w:highlight w:val="none"/>
        </w:rPr>
        <w:t>甲、乙双方</w:t>
      </w:r>
      <w:r>
        <w:rPr>
          <w:rFonts w:hint="eastAsia" w:ascii="宋体" w:hAnsi="宋体" w:eastAsia="宋体" w:cs="宋体"/>
          <w:color w:val="auto"/>
          <w:sz w:val="21"/>
          <w:szCs w:val="21"/>
          <w:highlight w:val="none"/>
          <w:lang w:eastAsia="zh-CN"/>
        </w:rPr>
        <w:t>对</w:t>
      </w:r>
      <w:r>
        <w:rPr>
          <w:rFonts w:hint="eastAsia" w:ascii="宋体" w:hAnsi="宋体" w:eastAsia="宋体" w:cs="宋体"/>
          <w:color w:val="auto"/>
          <w:sz w:val="21"/>
          <w:szCs w:val="21"/>
          <w:highlight w:val="none"/>
        </w:rPr>
        <w:t>采购和合同履行过程中所获悉的</w:t>
      </w:r>
      <w:r>
        <w:rPr>
          <w:rFonts w:hint="eastAsia" w:ascii="宋体" w:hAnsi="宋体" w:eastAsia="宋体" w:cs="宋体"/>
          <w:color w:val="auto"/>
          <w:sz w:val="21"/>
          <w:szCs w:val="21"/>
          <w:highlight w:val="none"/>
          <w:lang w:eastAsia="zh-CN"/>
        </w:rPr>
        <w:t>国家秘密、工作秘密、</w:t>
      </w:r>
      <w:r>
        <w:rPr>
          <w:rFonts w:hint="eastAsia" w:ascii="宋体" w:hAnsi="宋体" w:eastAsia="宋体" w:cs="宋体"/>
          <w:color w:val="auto"/>
          <w:sz w:val="21"/>
          <w:szCs w:val="21"/>
          <w:highlight w:val="none"/>
        </w:rPr>
        <w:t>商业秘密或者其他应当保密的信息，均有保密义务</w:t>
      </w:r>
      <w:r>
        <w:rPr>
          <w:rFonts w:hint="eastAsia" w:ascii="宋体" w:hAnsi="宋体" w:eastAsia="宋体" w:cs="宋体"/>
          <w:color w:val="auto"/>
          <w:sz w:val="21"/>
          <w:szCs w:val="21"/>
          <w:highlight w:val="none"/>
          <w:lang w:eastAsia="zh-CN"/>
        </w:rPr>
        <w:t>且不受合同有效期所限，直至该信息成为公开信息</w:t>
      </w:r>
      <w:r>
        <w:rPr>
          <w:rFonts w:hint="eastAsia" w:ascii="宋体" w:hAnsi="宋体" w:eastAsia="宋体" w:cs="宋体"/>
          <w:color w:val="auto"/>
          <w:sz w:val="21"/>
          <w:szCs w:val="21"/>
          <w:highlight w:val="none"/>
        </w:rPr>
        <w:t>。泄露、不正当地使用</w:t>
      </w:r>
      <w:r>
        <w:rPr>
          <w:rFonts w:hint="eastAsia" w:ascii="宋体" w:hAnsi="宋体" w:eastAsia="宋体" w:cs="宋体"/>
          <w:color w:val="auto"/>
          <w:sz w:val="21"/>
          <w:szCs w:val="21"/>
          <w:highlight w:val="none"/>
          <w:lang w:eastAsia="zh-CN"/>
        </w:rPr>
        <w:t>国家秘密、工作秘密、</w:t>
      </w:r>
      <w:r>
        <w:rPr>
          <w:rFonts w:hint="eastAsia" w:ascii="宋体" w:hAnsi="宋体" w:eastAsia="宋体" w:cs="宋体"/>
          <w:color w:val="auto"/>
          <w:sz w:val="21"/>
          <w:szCs w:val="21"/>
          <w:highlight w:val="none"/>
        </w:rPr>
        <w:t>商业秘密或者</w:t>
      </w:r>
      <w:r>
        <w:rPr>
          <w:rFonts w:hint="eastAsia" w:ascii="宋体" w:hAnsi="宋体" w:eastAsia="宋体" w:cs="宋体"/>
          <w:color w:val="auto"/>
          <w:sz w:val="21"/>
          <w:szCs w:val="21"/>
          <w:highlight w:val="none"/>
          <w:lang w:eastAsia="zh-CN"/>
        </w:rPr>
        <w:t>其他应当保密的</w:t>
      </w:r>
      <w:r>
        <w:rPr>
          <w:rFonts w:hint="eastAsia" w:ascii="宋体" w:hAnsi="宋体" w:eastAsia="宋体" w:cs="宋体"/>
          <w:color w:val="auto"/>
          <w:sz w:val="21"/>
          <w:szCs w:val="21"/>
          <w:highlight w:val="none"/>
        </w:rPr>
        <w:t>信息，应当承担</w:t>
      </w:r>
      <w:r>
        <w:rPr>
          <w:rFonts w:hint="eastAsia" w:ascii="宋体" w:hAnsi="宋体" w:eastAsia="宋体" w:cs="宋体"/>
          <w:color w:val="auto"/>
          <w:sz w:val="21"/>
          <w:szCs w:val="21"/>
          <w:highlight w:val="none"/>
          <w:lang w:eastAsia="zh-CN"/>
        </w:rPr>
        <w:t>相应</w:t>
      </w:r>
      <w:r>
        <w:rPr>
          <w:rFonts w:hint="eastAsia" w:ascii="宋体" w:hAnsi="宋体" w:eastAsia="宋体" w:cs="宋体"/>
          <w:color w:val="auto"/>
          <w:sz w:val="21"/>
          <w:szCs w:val="21"/>
          <w:highlight w:val="none"/>
        </w:rPr>
        <w:t>责任。其他应当保密的信息由双方在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中约定。</w:t>
      </w:r>
    </w:p>
    <w:p w14:paraId="4357F417">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2</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合同价款支付</w:t>
      </w:r>
    </w:p>
    <w:p w14:paraId="5F0D06E6">
      <w:pPr>
        <w:autoSpaceDE/>
        <w:autoSpaceDN/>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2</w:t>
      </w:r>
      <w:r>
        <w:rPr>
          <w:rFonts w:hint="eastAsia" w:ascii="宋体" w:hAnsi="宋体" w:eastAsia="宋体" w:cs="宋体"/>
          <w:color w:val="auto"/>
          <w:sz w:val="21"/>
          <w:szCs w:val="21"/>
          <w:highlight w:val="none"/>
        </w:rPr>
        <w:t xml:space="preserve">.1 </w:t>
      </w:r>
      <w:r>
        <w:rPr>
          <w:rFonts w:hint="eastAsia" w:ascii="宋体" w:hAnsi="宋体" w:eastAsia="宋体" w:cs="宋体"/>
          <w:color w:val="auto"/>
          <w:sz w:val="21"/>
          <w:szCs w:val="21"/>
          <w:highlight w:val="none"/>
          <w:lang w:eastAsia="zh-CN"/>
        </w:rPr>
        <w:t>合同价款支付</w:t>
      </w:r>
      <w:r>
        <w:rPr>
          <w:rFonts w:hint="eastAsia" w:ascii="宋体" w:hAnsi="宋体" w:eastAsia="宋体" w:cs="宋体"/>
          <w:color w:val="auto"/>
          <w:sz w:val="21"/>
          <w:szCs w:val="21"/>
          <w:highlight w:val="none"/>
        </w:rPr>
        <w:t>按照国库集中支付</w:t>
      </w:r>
      <w:r>
        <w:rPr>
          <w:rFonts w:hint="eastAsia" w:ascii="宋体" w:hAnsi="宋体" w:eastAsia="宋体" w:cs="宋体"/>
          <w:color w:val="auto"/>
          <w:sz w:val="21"/>
          <w:szCs w:val="21"/>
          <w:highlight w:val="none"/>
          <w:lang w:eastAsia="zh-CN"/>
        </w:rPr>
        <w:t>制度及财政管理相关</w:t>
      </w:r>
      <w:r>
        <w:rPr>
          <w:rFonts w:hint="eastAsia" w:ascii="宋体" w:hAnsi="宋体" w:eastAsia="宋体" w:cs="宋体"/>
          <w:color w:val="auto"/>
          <w:sz w:val="21"/>
          <w:szCs w:val="21"/>
          <w:highlight w:val="none"/>
        </w:rPr>
        <w:t>规定执行。</w:t>
      </w:r>
    </w:p>
    <w:p w14:paraId="10A930D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12.2 对于满足合同约定支付条件的，甲方原则上应当自收到发票后10个工作日内将资</w:t>
      </w:r>
      <w:r>
        <w:rPr>
          <w:rFonts w:hint="eastAsia" w:ascii="宋体" w:hAnsi="宋体" w:eastAsia="宋体" w:cs="宋体"/>
          <w:color w:val="auto"/>
          <w:sz w:val="21"/>
          <w:szCs w:val="21"/>
          <w:highlight w:val="none"/>
        </w:rPr>
        <w:t>金支付到合同约定的</w:t>
      </w:r>
      <w:r>
        <w:rPr>
          <w:rFonts w:hint="eastAsia" w:ascii="宋体" w:hAnsi="宋体" w:eastAsia="宋体" w:cs="宋体"/>
          <w:color w:val="auto"/>
          <w:sz w:val="21"/>
          <w:szCs w:val="21"/>
          <w:highlight w:val="none"/>
          <w:lang w:eastAsia="zh-CN"/>
        </w:rPr>
        <w:t>乙方</w:t>
      </w:r>
      <w:r>
        <w:rPr>
          <w:rFonts w:hint="eastAsia" w:ascii="宋体" w:hAnsi="宋体" w:eastAsia="宋体" w:cs="宋体"/>
          <w:color w:val="auto"/>
          <w:sz w:val="21"/>
          <w:szCs w:val="21"/>
          <w:highlight w:val="none"/>
        </w:rPr>
        <w:t>账户，不得以机构变动、人员更替、政策调整等为由迟延付款，不得将采购文件和合同中未规定的义务作为向</w:t>
      </w:r>
      <w:r>
        <w:rPr>
          <w:rFonts w:hint="eastAsia" w:ascii="宋体" w:hAnsi="宋体" w:eastAsia="宋体" w:cs="宋体"/>
          <w:color w:val="auto"/>
          <w:sz w:val="21"/>
          <w:szCs w:val="21"/>
          <w:highlight w:val="none"/>
          <w:lang w:val="en-US" w:eastAsia="zh-CN"/>
        </w:rPr>
        <w:t>乙方</w:t>
      </w:r>
      <w:r>
        <w:rPr>
          <w:rFonts w:hint="eastAsia" w:ascii="宋体" w:hAnsi="宋体" w:eastAsia="宋体" w:cs="宋体"/>
          <w:color w:val="auto"/>
          <w:sz w:val="21"/>
          <w:szCs w:val="21"/>
          <w:highlight w:val="none"/>
        </w:rPr>
        <w:t>付款的条件。具体合同价款支付时间在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中</w:t>
      </w:r>
      <w:r>
        <w:rPr>
          <w:rFonts w:hint="eastAsia" w:ascii="宋体" w:hAnsi="宋体" w:eastAsia="宋体" w:cs="宋体"/>
          <w:color w:val="auto"/>
          <w:sz w:val="21"/>
          <w:szCs w:val="21"/>
          <w:highlight w:val="none"/>
          <w:lang w:eastAsia="zh-CN"/>
        </w:rPr>
        <w:t>约</w:t>
      </w:r>
      <w:r>
        <w:rPr>
          <w:rFonts w:hint="eastAsia" w:ascii="宋体" w:hAnsi="宋体" w:eastAsia="宋体" w:cs="宋体"/>
          <w:color w:val="auto"/>
          <w:sz w:val="21"/>
          <w:szCs w:val="21"/>
          <w:highlight w:val="none"/>
        </w:rPr>
        <w:t>定。</w:t>
      </w:r>
    </w:p>
    <w:p w14:paraId="75F87D91">
      <w:pPr>
        <w:pStyle w:val="11"/>
        <w:spacing w:after="0" w:line="40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3</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履约保证金</w:t>
      </w:r>
    </w:p>
    <w:p w14:paraId="7A856DB3">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3</w:t>
      </w:r>
      <w:r>
        <w:rPr>
          <w:rFonts w:hint="eastAsia" w:ascii="宋体" w:hAnsi="宋体" w:eastAsia="宋体" w:cs="宋体"/>
          <w:color w:val="auto"/>
          <w:sz w:val="21"/>
          <w:szCs w:val="21"/>
          <w:highlight w:val="none"/>
        </w:rPr>
        <w:t>.1 乙方应当以支票、汇票、本票或者金融机构、担保机构出具的保函等非现金形式提交。</w:t>
      </w:r>
    </w:p>
    <w:p w14:paraId="0AC21C23">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3</w:t>
      </w:r>
      <w:r>
        <w:rPr>
          <w:rFonts w:hint="eastAsia" w:ascii="宋体" w:hAnsi="宋体" w:eastAsia="宋体" w:cs="宋体"/>
          <w:color w:val="auto"/>
          <w:sz w:val="21"/>
          <w:szCs w:val="21"/>
          <w:highlight w:val="none"/>
        </w:rPr>
        <w:t>.2 如果乙方</w:t>
      </w:r>
      <w:r>
        <w:rPr>
          <w:rFonts w:hint="eastAsia" w:ascii="宋体" w:hAnsi="宋体" w:eastAsia="宋体" w:cs="宋体"/>
          <w:color w:val="auto"/>
          <w:sz w:val="21"/>
          <w:szCs w:val="21"/>
          <w:highlight w:val="none"/>
          <w:lang w:eastAsia="zh-CN"/>
        </w:rPr>
        <w:t>出现</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b w:val="0"/>
          <w:bCs w:val="0"/>
          <w:color w:val="auto"/>
          <w:sz w:val="21"/>
          <w:szCs w:val="21"/>
          <w:highlight w:val="none"/>
          <w:lang w:eastAsia="zh-CN"/>
        </w:rPr>
        <w:t>约定情形的</w:t>
      </w:r>
      <w:r>
        <w:rPr>
          <w:rFonts w:hint="eastAsia" w:ascii="宋体" w:hAnsi="宋体" w:eastAsia="宋体" w:cs="宋体"/>
          <w:color w:val="auto"/>
          <w:sz w:val="21"/>
          <w:szCs w:val="21"/>
          <w:highlight w:val="none"/>
        </w:rPr>
        <w:t>，履约保证金不予退还；如果乙方未能按合同约定全面履行义务，甲方有权从履约保证金中取得补偿或赔偿，</w:t>
      </w:r>
      <w:r>
        <w:rPr>
          <w:rFonts w:hint="eastAsia" w:ascii="宋体" w:hAnsi="宋体" w:eastAsia="宋体" w:cs="宋体"/>
          <w:color w:val="auto"/>
          <w:sz w:val="21"/>
          <w:szCs w:val="21"/>
          <w:highlight w:val="none"/>
          <w:lang w:eastAsia="zh-CN"/>
        </w:rPr>
        <w:t>且</w:t>
      </w:r>
      <w:r>
        <w:rPr>
          <w:rFonts w:hint="eastAsia" w:ascii="宋体" w:hAnsi="宋体" w:eastAsia="宋体" w:cs="宋体"/>
          <w:color w:val="auto"/>
          <w:sz w:val="21"/>
          <w:szCs w:val="21"/>
          <w:highlight w:val="none"/>
        </w:rPr>
        <w:t>不影响甲方要求乙方承担合同约定的超过履约保证金的违约责任的权利。</w:t>
      </w:r>
    </w:p>
    <w:p w14:paraId="3E3A5073">
      <w:pPr>
        <w:spacing w:line="400" w:lineRule="exac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3</w:t>
      </w:r>
      <w:r>
        <w:rPr>
          <w:rFonts w:hint="eastAsia" w:ascii="宋体" w:hAnsi="宋体" w:eastAsia="宋体" w:cs="宋体"/>
          <w:color w:val="auto"/>
          <w:sz w:val="21"/>
          <w:szCs w:val="21"/>
          <w:highlight w:val="none"/>
        </w:rPr>
        <w:t>.3 甲方在项目通过验收后按照</w:t>
      </w:r>
      <w:r>
        <w:rPr>
          <w:rFonts w:hint="eastAsia" w:ascii="宋体" w:hAnsi="宋体" w:eastAsia="宋体" w:cs="宋体"/>
          <w:b/>
          <w:color w:val="auto"/>
          <w:sz w:val="21"/>
          <w:szCs w:val="21"/>
          <w:highlight w:val="none"/>
        </w:rPr>
        <w:t>【政府采购合同专用条款】</w:t>
      </w:r>
      <w:r>
        <w:rPr>
          <w:rFonts w:hint="eastAsia" w:ascii="宋体" w:hAnsi="宋体" w:eastAsia="宋体" w:cs="宋体"/>
          <w:color w:val="auto"/>
          <w:sz w:val="21"/>
          <w:szCs w:val="21"/>
          <w:highlight w:val="none"/>
        </w:rPr>
        <w:t>规定的时间内将履约保证金退还乙方；逾期退还的，乙方可要求甲方支付违约金，违约金按照</w:t>
      </w:r>
      <w:r>
        <w:rPr>
          <w:rFonts w:hint="eastAsia" w:ascii="宋体" w:hAnsi="宋体" w:eastAsia="宋体" w:cs="宋体"/>
          <w:b/>
          <w:color w:val="auto"/>
          <w:sz w:val="21"/>
          <w:szCs w:val="21"/>
          <w:highlight w:val="none"/>
        </w:rPr>
        <w:t>【政府采购合同专用条款】</w:t>
      </w:r>
      <w:r>
        <w:rPr>
          <w:rFonts w:hint="eastAsia" w:ascii="宋体" w:hAnsi="宋体" w:eastAsia="宋体" w:cs="宋体"/>
          <w:color w:val="auto"/>
          <w:sz w:val="21"/>
          <w:szCs w:val="21"/>
          <w:highlight w:val="none"/>
        </w:rPr>
        <w:t>规定支付。</w:t>
      </w:r>
    </w:p>
    <w:p w14:paraId="5C52840D">
      <w:pPr>
        <w:autoSpaceDE w:val="0"/>
        <w:autoSpaceDN w:val="0"/>
        <w:adjustRightInd w:val="0"/>
        <w:snapToGrid w:val="0"/>
        <w:spacing w:before="0" w:line="400" w:lineRule="exact"/>
        <w:jc w:val="left"/>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color w:val="auto"/>
          <w:sz w:val="21"/>
          <w:szCs w:val="21"/>
          <w:highlight w:val="none"/>
        </w:rPr>
        <w:t>售后服务</w:t>
      </w:r>
    </w:p>
    <w:p w14:paraId="0DBFA9B3">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4</w:t>
      </w:r>
      <w:r>
        <w:rPr>
          <w:rFonts w:hint="eastAsia" w:ascii="宋体" w:hAnsi="宋体" w:eastAsia="宋体" w:cs="宋体"/>
          <w:color w:val="auto"/>
          <w:sz w:val="21"/>
          <w:szCs w:val="21"/>
          <w:highlight w:val="none"/>
        </w:rPr>
        <w:t>.1 除项目不涉及或采购活动中明确约定无须承担外，乙方还应提供下列服务：</w:t>
      </w:r>
    </w:p>
    <w:p w14:paraId="32A34A35">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（1）货物的现场移动、安装、调试、启动监督及技术支持；</w:t>
      </w:r>
    </w:p>
    <w:p w14:paraId="4D1AC4AE">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（2）提供货物组装和维修所需的专用工具和辅助材料；</w:t>
      </w:r>
    </w:p>
    <w:p w14:paraId="7F66AE27">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lang w:eastAsia="zh-CN"/>
        </w:rPr>
        <w:t>约定</w:t>
      </w:r>
      <w:r>
        <w:rPr>
          <w:rFonts w:hint="eastAsia" w:ascii="宋体" w:hAnsi="宋体" w:eastAsia="宋体" w:cs="宋体"/>
          <w:color w:val="auto"/>
          <w:sz w:val="21"/>
          <w:szCs w:val="21"/>
          <w:highlight w:val="none"/>
        </w:rPr>
        <w:t>的期限内对所有的货物实施运行监督、维修，但前提条件是该服务并不能免除乙方在质量保证期内所承担的义务；</w:t>
      </w:r>
    </w:p>
    <w:p w14:paraId="3C583C4C">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（4）在制造商</w:t>
      </w:r>
      <w:r>
        <w:rPr>
          <w:rFonts w:hint="eastAsia" w:ascii="宋体" w:hAnsi="宋体" w:eastAsia="宋体" w:cs="宋体"/>
          <w:color w:val="auto"/>
          <w:sz w:val="21"/>
          <w:szCs w:val="21"/>
          <w:highlight w:val="none"/>
          <w:lang w:eastAsia="zh-CN"/>
        </w:rPr>
        <w:t>所在地</w:t>
      </w:r>
      <w:r>
        <w:rPr>
          <w:rFonts w:hint="eastAsia" w:ascii="宋体" w:hAnsi="宋体" w:eastAsia="宋体" w:cs="宋体"/>
          <w:color w:val="auto"/>
          <w:sz w:val="21"/>
          <w:szCs w:val="21"/>
          <w:highlight w:val="none"/>
        </w:rPr>
        <w:t>或</w:t>
      </w:r>
      <w:r>
        <w:rPr>
          <w:rFonts w:hint="eastAsia" w:ascii="宋体" w:hAnsi="宋体" w:eastAsia="宋体" w:cs="宋体"/>
          <w:color w:val="auto"/>
          <w:sz w:val="21"/>
          <w:szCs w:val="21"/>
          <w:highlight w:val="none"/>
          <w:lang w:eastAsia="zh-CN"/>
        </w:rPr>
        <w:t>指定</w:t>
      </w:r>
      <w:r>
        <w:rPr>
          <w:rFonts w:hint="eastAsia" w:ascii="宋体" w:hAnsi="宋体" w:eastAsia="宋体" w:cs="宋体"/>
          <w:color w:val="auto"/>
          <w:sz w:val="21"/>
          <w:szCs w:val="21"/>
          <w:highlight w:val="none"/>
        </w:rPr>
        <w:t>现场就货物的安装、启动、运营、维护</w:t>
      </w:r>
      <w:r>
        <w:rPr>
          <w:rFonts w:hint="eastAsia" w:ascii="宋体" w:hAnsi="宋体" w:eastAsia="宋体" w:cs="宋体"/>
          <w:color w:val="auto"/>
          <w:sz w:val="21"/>
          <w:szCs w:val="21"/>
          <w:highlight w:val="none"/>
          <w:lang w:eastAsia="zh-CN"/>
        </w:rPr>
        <w:t>、废弃处置等</w:t>
      </w:r>
      <w:r>
        <w:rPr>
          <w:rFonts w:hint="eastAsia" w:ascii="宋体" w:hAnsi="宋体" w:eastAsia="宋体" w:cs="宋体"/>
          <w:color w:val="auto"/>
          <w:sz w:val="21"/>
          <w:szCs w:val="21"/>
          <w:highlight w:val="none"/>
        </w:rPr>
        <w:t>对甲方操作人员进行培训</w:t>
      </w:r>
      <w:r>
        <w:rPr>
          <w:rFonts w:hint="eastAsia" w:ascii="宋体" w:hAnsi="宋体" w:eastAsia="宋体" w:cs="宋体"/>
          <w:color w:val="auto"/>
          <w:sz w:val="21"/>
          <w:szCs w:val="21"/>
          <w:highlight w:val="none"/>
          <w:lang w:eastAsia="zh-CN"/>
        </w:rPr>
        <w:t>；</w:t>
      </w:r>
    </w:p>
    <w:p w14:paraId="3C45C3CF">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2B45129B">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w:t>
      </w:r>
      <w:r>
        <w:rPr>
          <w:rFonts w:hint="eastAsia" w:ascii="宋体" w:hAnsi="宋体" w:eastAsia="宋体" w:cs="宋体"/>
          <w:b/>
          <w:color w:val="auto"/>
          <w:sz w:val="21"/>
          <w:szCs w:val="21"/>
          <w:highlight w:val="none"/>
        </w:rPr>
        <w:t>【政府采购合同专用条款】</w:t>
      </w:r>
      <w:r>
        <w:rPr>
          <w:rFonts w:hint="eastAsia" w:ascii="宋体" w:hAnsi="宋体" w:eastAsia="宋体" w:cs="宋体"/>
          <w:color w:val="auto"/>
          <w:sz w:val="21"/>
          <w:szCs w:val="21"/>
          <w:highlight w:val="none"/>
        </w:rPr>
        <w:t>规定由乙方提供的其他服务。</w:t>
      </w:r>
    </w:p>
    <w:p w14:paraId="5E62DA26">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.2 乙方提供的</w:t>
      </w:r>
      <w:r>
        <w:rPr>
          <w:rFonts w:hint="eastAsia" w:ascii="宋体" w:hAnsi="宋体" w:eastAsia="宋体" w:cs="宋体"/>
          <w:color w:val="auto"/>
          <w:sz w:val="21"/>
          <w:szCs w:val="21"/>
          <w:highlight w:val="none"/>
          <w:lang w:eastAsia="zh-CN"/>
        </w:rPr>
        <w:t>售后</w:t>
      </w:r>
      <w:r>
        <w:rPr>
          <w:rFonts w:hint="eastAsia" w:ascii="宋体" w:hAnsi="宋体" w:eastAsia="宋体" w:cs="宋体"/>
          <w:color w:val="auto"/>
          <w:sz w:val="21"/>
          <w:szCs w:val="21"/>
          <w:highlight w:val="none"/>
        </w:rPr>
        <w:t>服务的费用</w:t>
      </w:r>
      <w:r>
        <w:rPr>
          <w:rFonts w:hint="eastAsia" w:ascii="宋体" w:hAnsi="宋体" w:eastAsia="宋体" w:cs="宋体"/>
          <w:color w:val="auto"/>
          <w:sz w:val="21"/>
          <w:szCs w:val="21"/>
          <w:highlight w:val="none"/>
          <w:lang w:val="en-US" w:eastAsia="zh-CN"/>
        </w:rPr>
        <w:t>已</w:t>
      </w:r>
      <w:r>
        <w:rPr>
          <w:rFonts w:hint="eastAsia" w:ascii="宋体" w:hAnsi="宋体" w:eastAsia="宋体" w:cs="宋体"/>
          <w:color w:val="auto"/>
          <w:sz w:val="21"/>
          <w:szCs w:val="21"/>
          <w:highlight w:val="none"/>
        </w:rPr>
        <w:t>包含在合同价款中，甲方不再另行支付。</w:t>
      </w:r>
    </w:p>
    <w:p w14:paraId="49E78840">
      <w:pPr>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5</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违约责任</w:t>
      </w:r>
    </w:p>
    <w:p w14:paraId="1BB91689">
      <w:pPr>
        <w:adjustRightInd w:val="0"/>
        <w:snapToGrid w:val="0"/>
        <w:spacing w:before="0" w:line="400" w:lineRule="exact"/>
        <w:ind w:firstLine="420" w:firstLineChars="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eastAsia="zh-CN"/>
        </w:rPr>
        <w:t>5</w:t>
      </w:r>
      <w:r>
        <w:rPr>
          <w:rFonts w:hint="eastAsia" w:ascii="宋体" w:hAnsi="宋体" w:eastAsia="宋体" w:cs="宋体"/>
          <w:bCs/>
          <w:color w:val="auto"/>
          <w:sz w:val="21"/>
          <w:szCs w:val="21"/>
          <w:highlight w:val="none"/>
        </w:rPr>
        <w:t>.1质量瑕疵的</w:t>
      </w:r>
      <w:r>
        <w:rPr>
          <w:rFonts w:hint="eastAsia" w:ascii="宋体" w:hAnsi="宋体" w:eastAsia="宋体" w:cs="宋体"/>
          <w:bCs/>
          <w:color w:val="auto"/>
          <w:sz w:val="21"/>
          <w:szCs w:val="21"/>
          <w:highlight w:val="none"/>
          <w:lang w:eastAsia="zh-CN"/>
        </w:rPr>
        <w:t>违约责任</w:t>
      </w:r>
    </w:p>
    <w:p w14:paraId="45E147DB">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w:t>
      </w:r>
      <w:r>
        <w:rPr>
          <w:rFonts w:hint="eastAsia" w:ascii="宋体" w:hAnsi="宋体" w:eastAsia="宋体" w:cs="宋体"/>
          <w:color w:val="auto"/>
          <w:sz w:val="21"/>
          <w:szCs w:val="21"/>
          <w:highlight w:val="none"/>
          <w:lang w:eastAsia="zh-CN"/>
        </w:rPr>
        <w:t>提供</w:t>
      </w:r>
      <w:r>
        <w:rPr>
          <w:rFonts w:hint="eastAsia" w:ascii="宋体" w:hAnsi="宋体" w:eastAsia="宋体" w:cs="宋体"/>
          <w:color w:val="auto"/>
          <w:sz w:val="21"/>
          <w:szCs w:val="21"/>
          <w:highlight w:val="none"/>
        </w:rPr>
        <w:t>的产品不符合</w:t>
      </w:r>
      <w:r>
        <w:rPr>
          <w:rFonts w:hint="eastAsia" w:ascii="宋体" w:hAnsi="宋体" w:eastAsia="宋体" w:cs="宋体"/>
          <w:color w:val="auto"/>
          <w:sz w:val="21"/>
          <w:szCs w:val="21"/>
          <w:highlight w:val="none"/>
          <w:lang w:eastAsia="zh-CN"/>
        </w:rPr>
        <w:t>合同约定的</w:t>
      </w:r>
      <w:r>
        <w:rPr>
          <w:rFonts w:hint="eastAsia" w:ascii="宋体" w:hAnsi="宋体" w:eastAsia="宋体" w:cs="宋体"/>
          <w:color w:val="auto"/>
          <w:sz w:val="21"/>
          <w:szCs w:val="21"/>
          <w:highlight w:val="none"/>
        </w:rPr>
        <w:t>质量标准或存在产品质量缺陷，</w:t>
      </w:r>
      <w:r>
        <w:rPr>
          <w:rFonts w:hint="eastAsia" w:ascii="宋体" w:hAnsi="宋体" w:eastAsia="宋体" w:cs="宋体"/>
          <w:color w:val="auto"/>
          <w:sz w:val="21"/>
          <w:szCs w:val="21"/>
          <w:highlight w:val="none"/>
          <w:lang w:eastAsia="zh-CN"/>
        </w:rPr>
        <w:t>甲方有权要求乙方根据</w:t>
      </w:r>
      <w:r>
        <w:rPr>
          <w:rFonts w:hint="eastAsia" w:ascii="宋体" w:hAnsi="宋体" w:eastAsia="宋体" w:cs="宋体"/>
          <w:b/>
          <w:color w:val="auto"/>
          <w:sz w:val="21"/>
          <w:szCs w:val="21"/>
          <w:highlight w:val="none"/>
        </w:rPr>
        <w:t>【政府采购合同专用条款】</w:t>
      </w:r>
      <w:r>
        <w:rPr>
          <w:rFonts w:hint="eastAsia" w:ascii="宋体" w:hAnsi="宋体" w:eastAsia="宋体" w:cs="宋体"/>
          <w:b w:val="0"/>
          <w:bCs/>
          <w:color w:val="auto"/>
          <w:sz w:val="21"/>
          <w:szCs w:val="21"/>
          <w:highlight w:val="none"/>
          <w:lang w:eastAsia="zh-CN"/>
        </w:rPr>
        <w:t>要求</w:t>
      </w:r>
      <w:r>
        <w:rPr>
          <w:rFonts w:hint="eastAsia" w:ascii="宋体" w:hAnsi="宋体" w:eastAsia="宋体" w:cs="宋体"/>
          <w:color w:val="auto"/>
          <w:sz w:val="21"/>
          <w:szCs w:val="21"/>
          <w:highlight w:val="none"/>
          <w:lang w:eastAsia="zh-CN"/>
        </w:rPr>
        <w:t>及时修理、重作、更换，并承担由此给甲</w:t>
      </w:r>
      <w:r>
        <w:rPr>
          <w:rFonts w:hint="eastAsia" w:ascii="宋体" w:hAnsi="宋体" w:eastAsia="宋体" w:cs="宋体"/>
          <w:color w:val="auto"/>
          <w:sz w:val="21"/>
          <w:szCs w:val="21"/>
          <w:highlight w:val="none"/>
        </w:rPr>
        <w:t>方</w:t>
      </w:r>
      <w:r>
        <w:rPr>
          <w:rFonts w:hint="eastAsia" w:ascii="宋体" w:hAnsi="宋体" w:eastAsia="宋体" w:cs="宋体"/>
          <w:color w:val="auto"/>
          <w:sz w:val="21"/>
          <w:szCs w:val="21"/>
          <w:highlight w:val="none"/>
          <w:lang w:eastAsia="zh-CN"/>
        </w:rPr>
        <w:t>造成的损失</w:t>
      </w:r>
      <w:r>
        <w:rPr>
          <w:rFonts w:hint="eastAsia" w:ascii="宋体" w:hAnsi="宋体" w:eastAsia="宋体" w:cs="宋体"/>
          <w:color w:val="auto"/>
          <w:sz w:val="21"/>
          <w:szCs w:val="21"/>
          <w:highlight w:val="none"/>
        </w:rPr>
        <w:t>。</w:t>
      </w:r>
    </w:p>
    <w:p w14:paraId="3B3A2F81">
      <w:pPr>
        <w:autoSpaceDE w:val="0"/>
        <w:autoSpaceDN w:val="0"/>
        <w:adjustRightInd w:val="0"/>
        <w:snapToGrid w:val="0"/>
        <w:spacing w:before="0" w:line="400" w:lineRule="exact"/>
        <w:ind w:firstLine="420" w:firstLineChars="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eastAsia="zh-CN"/>
        </w:rPr>
        <w:t>5</w:t>
      </w:r>
      <w:r>
        <w:rPr>
          <w:rFonts w:hint="eastAsia" w:ascii="宋体" w:hAnsi="宋体" w:eastAsia="宋体" w:cs="宋体"/>
          <w:bCs/>
          <w:color w:val="auto"/>
          <w:sz w:val="21"/>
          <w:szCs w:val="21"/>
          <w:highlight w:val="none"/>
        </w:rPr>
        <w:t>.2 迟延交货的违约责任</w:t>
      </w:r>
    </w:p>
    <w:p w14:paraId="4D6C3035">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（1）乙方应按照本合同规定的时间、地点交货和提供</w:t>
      </w:r>
      <w:r>
        <w:rPr>
          <w:rFonts w:hint="eastAsia" w:ascii="宋体" w:hAnsi="宋体" w:eastAsia="宋体" w:cs="宋体"/>
          <w:color w:val="auto"/>
          <w:sz w:val="21"/>
          <w:szCs w:val="21"/>
          <w:highlight w:val="none"/>
          <w:lang w:eastAsia="zh-CN"/>
        </w:rPr>
        <w:t>相关</w:t>
      </w:r>
      <w:r>
        <w:rPr>
          <w:rFonts w:hint="eastAsia" w:ascii="宋体" w:hAnsi="宋体" w:eastAsia="宋体" w:cs="宋体"/>
          <w:color w:val="auto"/>
          <w:sz w:val="21"/>
          <w:szCs w:val="21"/>
          <w:highlight w:val="none"/>
        </w:rPr>
        <w:t>服务。在履行合同过程中，如果乙方遇到可能</w:t>
      </w:r>
      <w:r>
        <w:rPr>
          <w:rFonts w:hint="eastAsia" w:ascii="宋体" w:hAnsi="宋体" w:eastAsia="宋体" w:cs="宋体"/>
          <w:color w:val="auto"/>
          <w:sz w:val="21"/>
          <w:szCs w:val="21"/>
          <w:highlight w:val="none"/>
          <w:lang w:eastAsia="zh-CN"/>
        </w:rPr>
        <w:t>影响</w:t>
      </w:r>
      <w:r>
        <w:rPr>
          <w:rFonts w:hint="eastAsia" w:ascii="宋体" w:hAnsi="宋体" w:eastAsia="宋体" w:cs="宋体"/>
          <w:color w:val="auto"/>
          <w:sz w:val="21"/>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 w:val="21"/>
          <w:szCs w:val="21"/>
          <w:highlight w:val="none"/>
          <w:lang w:eastAsia="zh-CN"/>
        </w:rPr>
        <w:t>长</w:t>
      </w:r>
      <w:r>
        <w:rPr>
          <w:rFonts w:hint="eastAsia" w:ascii="宋体" w:hAnsi="宋体" w:eastAsia="宋体" w:cs="宋体"/>
          <w:color w:val="auto"/>
          <w:sz w:val="21"/>
          <w:szCs w:val="21"/>
          <w:highlight w:val="none"/>
        </w:rPr>
        <w:t>交货时间或延期提供服务。</w:t>
      </w:r>
    </w:p>
    <w:p w14:paraId="590DD4EF">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（2）如果乙方没有按照合同规定的时间交货和提供</w:t>
      </w:r>
      <w:r>
        <w:rPr>
          <w:rFonts w:hint="eastAsia" w:ascii="宋体" w:hAnsi="宋体" w:eastAsia="宋体" w:cs="宋体"/>
          <w:color w:val="auto"/>
          <w:sz w:val="21"/>
          <w:szCs w:val="21"/>
          <w:highlight w:val="none"/>
          <w:lang w:eastAsia="zh-CN"/>
        </w:rPr>
        <w:t>相关</w:t>
      </w:r>
      <w:r>
        <w:rPr>
          <w:rFonts w:hint="eastAsia" w:ascii="宋体" w:hAnsi="宋体" w:eastAsia="宋体" w:cs="宋体"/>
          <w:color w:val="auto"/>
          <w:sz w:val="21"/>
          <w:szCs w:val="21"/>
          <w:highlight w:val="none"/>
        </w:rPr>
        <w:t>服务，甲方有权从货款中扣除误期赔偿费而不影响合同项下的其他补救方法，赔偿费按</w:t>
      </w:r>
      <w:r>
        <w:rPr>
          <w:rFonts w:hint="eastAsia" w:ascii="宋体" w:hAnsi="宋体" w:eastAsia="宋体" w:cs="宋体"/>
          <w:b/>
          <w:color w:val="auto"/>
          <w:sz w:val="21"/>
          <w:szCs w:val="21"/>
          <w:highlight w:val="none"/>
        </w:rPr>
        <w:t>【政府采购合同专用条款】</w:t>
      </w:r>
      <w:r>
        <w:rPr>
          <w:rFonts w:hint="eastAsia" w:ascii="宋体" w:hAnsi="宋体" w:eastAsia="宋体" w:cs="宋体"/>
          <w:color w:val="auto"/>
          <w:sz w:val="21"/>
          <w:szCs w:val="21"/>
          <w:highlight w:val="none"/>
        </w:rPr>
        <w:t>规定执行。如果涉及公共利益，且赔偿金额无法弥补公共利益损失，</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可要求继续履行或者</w:t>
      </w:r>
      <w:r>
        <w:rPr>
          <w:rFonts w:hint="eastAsia" w:ascii="宋体" w:hAnsi="宋体" w:eastAsia="宋体" w:cs="宋体"/>
          <w:color w:val="auto"/>
          <w:sz w:val="21"/>
          <w:szCs w:val="21"/>
          <w:highlight w:val="none"/>
          <w:lang w:eastAsia="zh-CN"/>
        </w:rPr>
        <w:t>采取其他补救措施</w:t>
      </w:r>
      <w:r>
        <w:rPr>
          <w:rFonts w:hint="eastAsia" w:ascii="宋体" w:hAnsi="宋体" w:eastAsia="宋体" w:cs="宋体"/>
          <w:color w:val="auto"/>
          <w:sz w:val="21"/>
          <w:szCs w:val="21"/>
          <w:highlight w:val="none"/>
        </w:rPr>
        <w:t>。</w:t>
      </w:r>
    </w:p>
    <w:p w14:paraId="3E573CC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rPr>
        <w:t>.3 迟延支付的违约责任</w:t>
      </w:r>
    </w:p>
    <w:p w14:paraId="3ED807CB">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甲方存在迟延支付乙方合同款项的，应当承担</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规定的逾期付款利息。</w:t>
      </w:r>
    </w:p>
    <w:p w14:paraId="7371855D">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eastAsia="zh-CN"/>
        </w:rPr>
        <w:t>5</w:t>
      </w:r>
      <w:r>
        <w:rPr>
          <w:rFonts w:hint="eastAsia" w:ascii="宋体" w:hAnsi="宋体" w:eastAsia="宋体" w:cs="宋体"/>
          <w:bCs/>
          <w:color w:val="auto"/>
          <w:sz w:val="21"/>
          <w:szCs w:val="21"/>
          <w:highlight w:val="none"/>
        </w:rPr>
        <w:t>.4其他违约责任根据项目实际需要按</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规定执行。</w:t>
      </w:r>
    </w:p>
    <w:p w14:paraId="152936FF">
      <w:pPr>
        <w:numPr>
          <w:ilvl w:val="0"/>
          <w:numId w:val="6"/>
        </w:numPr>
        <w:autoSpaceDE w:val="0"/>
        <w:autoSpaceDN w:val="0"/>
        <w:adjustRightInd w:val="0"/>
        <w:snapToGrid w:val="0"/>
        <w:spacing w:before="0" w:line="400" w:lineRule="exact"/>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合同变更</w:t>
      </w:r>
      <w:r>
        <w:rPr>
          <w:rFonts w:hint="eastAsia" w:ascii="宋体" w:hAnsi="宋体" w:eastAsia="宋体" w:cs="宋体"/>
          <w:b/>
          <w:color w:val="auto"/>
          <w:sz w:val="21"/>
          <w:szCs w:val="21"/>
          <w:highlight w:val="none"/>
          <w:lang w:eastAsia="zh-CN"/>
        </w:rPr>
        <w:t>、中止与终止</w:t>
      </w:r>
    </w:p>
    <w:p w14:paraId="28C474DB">
      <w:pPr>
        <w:autoSpaceDE/>
        <w:autoSpaceDN/>
        <w:adjustRightInd w:val="0"/>
        <w:snapToGrid w:val="0"/>
        <w:spacing w:before="0" w:line="400" w:lineRule="exact"/>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.1合同的</w:t>
      </w:r>
      <w:r>
        <w:rPr>
          <w:rFonts w:hint="eastAsia" w:ascii="宋体" w:hAnsi="宋体" w:eastAsia="宋体" w:cs="宋体"/>
          <w:color w:val="auto"/>
          <w:sz w:val="21"/>
          <w:szCs w:val="21"/>
          <w:highlight w:val="none"/>
          <w:lang w:eastAsia="zh-CN"/>
        </w:rPr>
        <w:t>变更</w:t>
      </w:r>
    </w:p>
    <w:p w14:paraId="019E6119">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政府采购合同履行中，</w:t>
      </w:r>
      <w:r>
        <w:rPr>
          <w:rFonts w:hint="eastAsia" w:ascii="宋体" w:hAnsi="宋体" w:eastAsia="宋体" w:cs="宋体"/>
          <w:color w:val="auto"/>
          <w:sz w:val="21"/>
          <w:szCs w:val="21"/>
          <w:highlight w:val="none"/>
        </w:rPr>
        <w:t>在不改变合同其他条款的前提下，甲方可以在合同价款10%的范围内追加与合同标的相同的货物，并就此与乙方协商</w:t>
      </w:r>
      <w:r>
        <w:rPr>
          <w:rFonts w:hint="eastAsia" w:ascii="宋体" w:hAnsi="宋体" w:eastAsia="宋体" w:cs="宋体"/>
          <w:color w:val="auto"/>
          <w:sz w:val="21"/>
          <w:szCs w:val="21"/>
          <w:highlight w:val="none"/>
          <w:lang w:eastAsia="zh-CN"/>
        </w:rPr>
        <w:t>一致后</w:t>
      </w:r>
      <w:r>
        <w:rPr>
          <w:rFonts w:hint="eastAsia" w:ascii="宋体" w:hAnsi="宋体" w:eastAsia="宋体" w:cs="宋体"/>
          <w:color w:val="auto"/>
          <w:sz w:val="21"/>
          <w:szCs w:val="21"/>
          <w:highlight w:val="none"/>
        </w:rPr>
        <w:t>签订补充协议。</w:t>
      </w:r>
    </w:p>
    <w:p w14:paraId="23532E82">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合同的中止</w:t>
      </w:r>
    </w:p>
    <w:p w14:paraId="6730C3F0">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（1）合同履行过程中因供应商就采购文件、采购过程或结果提起投诉的，甲方认为有必要的，</w:t>
      </w:r>
      <w:r>
        <w:rPr>
          <w:rFonts w:hint="eastAsia" w:ascii="宋体" w:hAnsi="宋体" w:eastAsia="宋体" w:cs="宋体"/>
          <w:color w:val="auto"/>
          <w:sz w:val="21"/>
          <w:szCs w:val="21"/>
          <w:highlight w:val="none"/>
          <w:lang w:eastAsia="zh-CN"/>
        </w:rPr>
        <w:t>可以</w:t>
      </w:r>
      <w:r>
        <w:rPr>
          <w:rFonts w:hint="eastAsia" w:ascii="宋体" w:hAnsi="宋体" w:eastAsia="宋体" w:cs="宋体"/>
          <w:color w:val="auto"/>
          <w:sz w:val="21"/>
          <w:szCs w:val="21"/>
          <w:highlight w:val="none"/>
        </w:rPr>
        <w:t>中止合同的履行。</w:t>
      </w:r>
    </w:p>
    <w:p w14:paraId="706E465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合同履行过程中，</w:t>
      </w:r>
      <w:r>
        <w:rPr>
          <w:rFonts w:hint="eastAsia" w:ascii="宋体" w:hAnsi="宋体" w:eastAsia="宋体" w:cs="宋体"/>
          <w:color w:val="auto"/>
          <w:sz w:val="21"/>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 w:val="21"/>
          <w:szCs w:val="21"/>
          <w:highlight w:val="none"/>
          <w:lang w:eastAsia="zh-CN"/>
        </w:rPr>
        <w:t>，乙方有义务及时告知甲方</w:t>
      </w:r>
      <w:r>
        <w:rPr>
          <w:rFonts w:hint="eastAsia" w:ascii="宋体" w:hAnsi="宋体" w:eastAsia="宋体" w:cs="宋体"/>
          <w:color w:val="auto"/>
          <w:sz w:val="21"/>
          <w:szCs w:val="21"/>
          <w:highlight w:val="none"/>
        </w:rPr>
        <w:t>。甲方</w:t>
      </w:r>
      <w:r>
        <w:rPr>
          <w:rFonts w:hint="eastAsia" w:ascii="宋体" w:hAnsi="宋体" w:eastAsia="宋体" w:cs="宋体"/>
          <w:color w:val="auto"/>
          <w:sz w:val="21"/>
          <w:szCs w:val="21"/>
          <w:highlight w:val="none"/>
          <w:lang w:eastAsia="zh-CN"/>
        </w:rPr>
        <w:t>有权</w:t>
      </w:r>
      <w:r>
        <w:rPr>
          <w:rFonts w:hint="eastAsia" w:ascii="宋体" w:hAnsi="宋体" w:eastAsia="宋体" w:cs="宋体"/>
          <w:color w:val="auto"/>
          <w:sz w:val="21"/>
          <w:szCs w:val="21"/>
          <w:highlight w:val="none"/>
        </w:rPr>
        <w:t>以书面形式通知乙方中止合同</w:t>
      </w:r>
      <w:r>
        <w:rPr>
          <w:rFonts w:hint="eastAsia" w:ascii="宋体" w:hAnsi="宋体" w:eastAsia="宋体" w:cs="宋体"/>
          <w:color w:val="auto"/>
          <w:sz w:val="21"/>
          <w:szCs w:val="21"/>
          <w:highlight w:val="none"/>
          <w:lang w:eastAsia="zh-CN"/>
        </w:rPr>
        <w:t>并要求乙方在合理期限内消除相关情形或者提供适当担保。</w:t>
      </w:r>
      <w:r>
        <w:rPr>
          <w:rFonts w:hint="eastAsia" w:ascii="宋体" w:hAnsi="宋体" w:eastAsia="宋体" w:cs="宋体"/>
          <w:color w:val="auto"/>
          <w:sz w:val="21"/>
          <w:szCs w:val="21"/>
          <w:highlight w:val="none"/>
        </w:rPr>
        <w:t>乙方提供适当担保的，</w:t>
      </w:r>
      <w:r>
        <w:rPr>
          <w:rFonts w:hint="eastAsia" w:ascii="宋体" w:hAnsi="宋体" w:eastAsia="宋体" w:cs="宋体"/>
          <w:color w:val="auto"/>
          <w:sz w:val="21"/>
          <w:szCs w:val="21"/>
          <w:highlight w:val="none"/>
          <w:lang w:eastAsia="zh-CN"/>
        </w:rPr>
        <w:t>合同继续</w:t>
      </w:r>
      <w:r>
        <w:rPr>
          <w:rFonts w:hint="eastAsia" w:ascii="宋体" w:hAnsi="宋体" w:eastAsia="宋体" w:cs="宋体"/>
          <w:color w:val="auto"/>
          <w:sz w:val="21"/>
          <w:szCs w:val="21"/>
          <w:highlight w:val="none"/>
        </w:rPr>
        <w:t>履行</w:t>
      </w:r>
      <w:r>
        <w:rPr>
          <w:rFonts w:hint="eastAsia" w:ascii="宋体" w:hAnsi="宋体" w:eastAsia="宋体" w:cs="宋体"/>
          <w:color w:val="auto"/>
          <w:sz w:val="21"/>
          <w:szCs w:val="21"/>
          <w:highlight w:val="none"/>
          <w:lang w:eastAsia="zh-CN"/>
        </w:rPr>
        <w:t>；乙</w:t>
      </w:r>
      <w:r>
        <w:rPr>
          <w:rFonts w:hint="eastAsia" w:ascii="宋体" w:hAnsi="宋体" w:eastAsia="宋体" w:cs="宋体"/>
          <w:color w:val="auto"/>
          <w:sz w:val="21"/>
          <w:szCs w:val="21"/>
          <w:highlight w:val="none"/>
        </w:rPr>
        <w:t>方在合理期限内未恢复履约能力且未提供适当担保的，视为拒绝</w:t>
      </w:r>
      <w:r>
        <w:rPr>
          <w:rFonts w:hint="eastAsia" w:ascii="宋体" w:hAnsi="宋体" w:eastAsia="宋体" w:cs="宋体"/>
          <w:color w:val="auto"/>
          <w:sz w:val="21"/>
          <w:szCs w:val="21"/>
          <w:highlight w:val="none"/>
          <w:lang w:eastAsia="zh-CN"/>
        </w:rPr>
        <w:t>继续</w:t>
      </w:r>
      <w:r>
        <w:rPr>
          <w:rFonts w:hint="eastAsia" w:ascii="宋体" w:hAnsi="宋体" w:eastAsia="宋体" w:cs="宋体"/>
          <w:color w:val="auto"/>
          <w:sz w:val="21"/>
          <w:szCs w:val="21"/>
          <w:highlight w:val="none"/>
        </w:rPr>
        <w:t>履约，甲方</w:t>
      </w:r>
      <w:r>
        <w:rPr>
          <w:rFonts w:hint="eastAsia" w:ascii="宋体" w:hAnsi="宋体" w:eastAsia="宋体" w:cs="宋体"/>
          <w:color w:val="auto"/>
          <w:sz w:val="21"/>
          <w:szCs w:val="21"/>
          <w:highlight w:val="none"/>
          <w:lang w:eastAsia="zh-CN"/>
        </w:rPr>
        <w:t>有权</w:t>
      </w:r>
      <w:r>
        <w:rPr>
          <w:rFonts w:hint="eastAsia" w:ascii="宋体" w:hAnsi="宋体" w:eastAsia="宋体" w:cs="宋体"/>
          <w:color w:val="auto"/>
          <w:sz w:val="21"/>
          <w:szCs w:val="21"/>
          <w:highlight w:val="none"/>
        </w:rPr>
        <w:t>解除合同并要求乙方承担</w:t>
      </w:r>
      <w:r>
        <w:rPr>
          <w:rFonts w:hint="eastAsia" w:ascii="宋体" w:hAnsi="宋体" w:eastAsia="宋体" w:cs="宋体"/>
          <w:color w:val="auto"/>
          <w:sz w:val="21"/>
          <w:szCs w:val="21"/>
          <w:highlight w:val="none"/>
          <w:lang w:eastAsia="zh-CN"/>
        </w:rPr>
        <w:t>由此给甲方造成的损失</w:t>
      </w:r>
      <w:r>
        <w:rPr>
          <w:rFonts w:hint="eastAsia" w:ascii="宋体" w:hAnsi="宋体" w:eastAsia="宋体" w:cs="宋体"/>
          <w:color w:val="auto"/>
          <w:sz w:val="21"/>
          <w:szCs w:val="21"/>
          <w:highlight w:val="none"/>
        </w:rPr>
        <w:t>。</w:t>
      </w:r>
    </w:p>
    <w:p w14:paraId="5CD80FD9">
      <w:pPr>
        <w:pStyle w:val="51"/>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（3）乙方分立、合并或者变更住所的，应当及时以书面形式告知甲方。乙方没有及时告知甲方，致使合同履行发生困难的，甲方可以中止合同履行并要求乙方承担由此给甲方造成的损失。</w:t>
      </w:r>
    </w:p>
    <w:p w14:paraId="3BCAED40">
      <w:pPr>
        <w:snapToGri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）甲方不得以行政区划调整、政府换届、机构或者职能调整以及相关责任人更替为由中止合同。</w:t>
      </w:r>
    </w:p>
    <w:p w14:paraId="56F1AC42">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合同的终止</w:t>
      </w:r>
    </w:p>
    <w:p w14:paraId="3848BADB">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（1）合同因有效期限届满而终止；</w:t>
      </w:r>
    </w:p>
    <w:p w14:paraId="2AF06312">
      <w:pPr>
        <w:snapToGrid w:val="0"/>
        <w:spacing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（2）乙方未</w:t>
      </w:r>
      <w:r>
        <w:rPr>
          <w:rFonts w:hint="eastAsia" w:ascii="宋体" w:hAnsi="宋体" w:eastAsia="宋体" w:cs="宋体"/>
          <w:color w:val="auto"/>
          <w:sz w:val="21"/>
          <w:szCs w:val="21"/>
          <w:highlight w:val="none"/>
          <w:lang w:eastAsia="zh-CN"/>
        </w:rPr>
        <w:t>按</w:t>
      </w:r>
      <w:r>
        <w:rPr>
          <w:rFonts w:hint="eastAsia" w:ascii="宋体" w:hAnsi="宋体" w:eastAsia="宋体" w:cs="宋体"/>
          <w:color w:val="auto"/>
          <w:sz w:val="21"/>
          <w:szCs w:val="21"/>
          <w:highlight w:val="none"/>
        </w:rPr>
        <w:t>合同约定履行，构成根本性违约的，甲方有权终止合同</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并追究乙方的违约责</w:t>
      </w:r>
      <w:r>
        <w:rPr>
          <w:rFonts w:hint="eastAsia" w:ascii="宋体" w:hAnsi="宋体" w:eastAsia="宋体" w:cs="宋体"/>
          <w:color w:val="auto"/>
          <w:sz w:val="21"/>
          <w:szCs w:val="21"/>
          <w:highlight w:val="none"/>
          <w:lang w:val="en-US" w:eastAsia="zh-CN"/>
        </w:rPr>
        <w:t>任</w:t>
      </w:r>
      <w:r>
        <w:rPr>
          <w:rFonts w:hint="eastAsia" w:ascii="宋体" w:hAnsi="宋体" w:eastAsia="宋体" w:cs="宋体"/>
          <w:color w:val="auto"/>
          <w:sz w:val="21"/>
          <w:szCs w:val="21"/>
          <w:highlight w:val="none"/>
        </w:rPr>
        <w:t>。</w:t>
      </w:r>
    </w:p>
    <w:p w14:paraId="3F0ADFC8">
      <w:pPr>
        <w:pStyle w:val="51"/>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16.4 涉及国家利益、社会公共利益的情形</w:t>
      </w:r>
    </w:p>
    <w:p w14:paraId="15580053">
      <w:pPr>
        <w:pStyle w:val="51"/>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政府采购合同继续履行将损害国家利益和社会公共利益的，双方当事人应当变更、中止或者终止合同。有过错的一方应当承担赔偿责任，双方都有过错的，各自承担相应的责任。</w:t>
      </w:r>
    </w:p>
    <w:p w14:paraId="5C2AA675">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val="en-US" w:eastAsia="zh-CN"/>
        </w:rPr>
        <w:t>7</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合同分包</w:t>
      </w:r>
    </w:p>
    <w:p w14:paraId="4EF84233">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.1 乙方不得</w:t>
      </w:r>
      <w:r>
        <w:rPr>
          <w:rFonts w:hint="eastAsia" w:ascii="宋体" w:hAnsi="宋体" w:eastAsia="宋体" w:cs="宋体"/>
          <w:color w:val="auto"/>
          <w:sz w:val="21"/>
          <w:szCs w:val="21"/>
          <w:highlight w:val="none"/>
          <w:lang w:eastAsia="zh-CN"/>
        </w:rPr>
        <w:t>将合同转包给其他供应商。涉及合同分包的，乙方</w:t>
      </w:r>
      <w:r>
        <w:rPr>
          <w:rFonts w:hint="eastAsia" w:ascii="宋体" w:hAnsi="宋体" w:eastAsia="宋体" w:cs="宋体"/>
          <w:color w:val="auto"/>
          <w:sz w:val="21"/>
          <w:szCs w:val="21"/>
          <w:highlight w:val="none"/>
          <w:lang w:val="en-US" w:eastAsia="zh-CN"/>
        </w:rPr>
        <w:t>应</w:t>
      </w:r>
      <w:r>
        <w:rPr>
          <w:rFonts w:hint="eastAsia" w:ascii="宋体" w:hAnsi="宋体" w:eastAsia="宋体" w:cs="宋体"/>
          <w:color w:val="auto"/>
          <w:sz w:val="21"/>
          <w:szCs w:val="21"/>
          <w:highlight w:val="none"/>
          <w:lang w:eastAsia="zh-CN"/>
        </w:rPr>
        <w:t>根据采购文件和投标（响应）文件规定进行</w:t>
      </w:r>
      <w:r>
        <w:rPr>
          <w:rFonts w:hint="eastAsia" w:ascii="宋体" w:hAnsi="宋体" w:eastAsia="宋体" w:cs="宋体"/>
          <w:color w:val="auto"/>
          <w:sz w:val="21"/>
          <w:szCs w:val="21"/>
          <w:highlight w:val="none"/>
        </w:rPr>
        <w:t>合同分包。</w:t>
      </w:r>
    </w:p>
    <w:p w14:paraId="19F98564">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.2 乙方执行政府采购政策向中小企业依法分包的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乙方应当按采购文件</w:t>
      </w:r>
      <w:r>
        <w:rPr>
          <w:rFonts w:hint="eastAsia" w:ascii="宋体" w:hAnsi="宋体" w:eastAsia="宋体" w:cs="宋体"/>
          <w:color w:val="auto"/>
          <w:sz w:val="21"/>
          <w:szCs w:val="21"/>
          <w:highlight w:val="none"/>
          <w:lang w:eastAsia="zh-CN"/>
        </w:rPr>
        <w:t>和</w:t>
      </w:r>
      <w:r>
        <w:rPr>
          <w:rFonts w:hint="eastAsia" w:ascii="宋体" w:hAnsi="宋体" w:eastAsia="宋体" w:cs="宋体"/>
          <w:color w:val="auto"/>
          <w:sz w:val="21"/>
          <w:szCs w:val="21"/>
          <w:highlight w:val="none"/>
        </w:rPr>
        <w:t>投标（响应）文件签订分包</w:t>
      </w:r>
      <w:r>
        <w:rPr>
          <w:rFonts w:hint="eastAsia" w:ascii="宋体" w:hAnsi="宋体" w:eastAsia="宋体" w:cs="宋体"/>
          <w:color w:val="auto"/>
          <w:sz w:val="21"/>
          <w:szCs w:val="21"/>
          <w:highlight w:val="none"/>
          <w:lang w:eastAsia="zh-CN"/>
        </w:rPr>
        <w:t>意向</w:t>
      </w:r>
      <w:r>
        <w:rPr>
          <w:rFonts w:hint="eastAsia" w:ascii="宋体" w:hAnsi="宋体" w:eastAsia="宋体" w:cs="宋体"/>
          <w:color w:val="auto"/>
          <w:sz w:val="21"/>
          <w:szCs w:val="21"/>
          <w:highlight w:val="none"/>
        </w:rPr>
        <w:t>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rPr>
        <w:t>，分包</w:t>
      </w:r>
      <w:r>
        <w:rPr>
          <w:rFonts w:hint="eastAsia" w:ascii="宋体" w:hAnsi="宋体" w:eastAsia="宋体" w:cs="宋体"/>
          <w:color w:val="auto"/>
          <w:sz w:val="21"/>
          <w:szCs w:val="21"/>
          <w:highlight w:val="none"/>
          <w:lang w:eastAsia="zh-CN"/>
        </w:rPr>
        <w:t>意向</w:t>
      </w:r>
      <w:r>
        <w:rPr>
          <w:rFonts w:hint="eastAsia" w:ascii="宋体" w:hAnsi="宋体" w:eastAsia="宋体" w:cs="宋体"/>
          <w:color w:val="auto"/>
          <w:sz w:val="21"/>
          <w:szCs w:val="21"/>
          <w:highlight w:val="none"/>
        </w:rPr>
        <w:t>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rPr>
        <w:t>属于本合同组成部分。</w:t>
      </w:r>
    </w:p>
    <w:p w14:paraId="6E9E40FB">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1</w:t>
      </w:r>
      <w:r>
        <w:rPr>
          <w:rFonts w:hint="eastAsia" w:ascii="宋体" w:hAnsi="宋体" w:eastAsia="宋体" w:cs="宋体"/>
          <w:b/>
          <w:bCs/>
          <w:color w:val="auto"/>
          <w:sz w:val="21"/>
          <w:szCs w:val="21"/>
          <w:highlight w:val="none"/>
          <w:lang w:val="en-US" w:eastAsia="zh-CN"/>
        </w:rPr>
        <w:t>8</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不可抗力</w:t>
      </w:r>
    </w:p>
    <w:p w14:paraId="3A0D10E3">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1</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.1 不可抗力是指合同双方不能预见、不能避免且不能克服的客观情况。</w:t>
      </w:r>
    </w:p>
    <w:p w14:paraId="7334AEE7">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1</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.2 任何一方对由于不可抗力造成的部分或全部不能履行合同不承担违约责任。但迟延履行后发生不可抗力的，不能免除责任。</w:t>
      </w:r>
    </w:p>
    <w:p w14:paraId="5B43D4C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1</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.3 遇有不可抗力的一方，应及时将事件情况以书面形式</w:t>
      </w:r>
      <w:r>
        <w:rPr>
          <w:rFonts w:hint="eastAsia" w:ascii="宋体" w:hAnsi="宋体" w:eastAsia="宋体" w:cs="宋体"/>
          <w:color w:val="auto"/>
          <w:sz w:val="21"/>
          <w:szCs w:val="21"/>
          <w:highlight w:val="none"/>
          <w:lang w:eastAsia="zh-CN"/>
        </w:rPr>
        <w:t>告</w:t>
      </w:r>
      <w:r>
        <w:rPr>
          <w:rFonts w:hint="eastAsia" w:ascii="宋体" w:hAnsi="宋体" w:eastAsia="宋体" w:cs="宋体"/>
          <w:color w:val="auto"/>
          <w:sz w:val="21"/>
          <w:szCs w:val="21"/>
          <w:highlight w:val="none"/>
        </w:rPr>
        <w:t>知另一方，并在事件发生后及时向另一方提交合同不能履行或部分不能履行或需要延期履行</w:t>
      </w:r>
      <w:r>
        <w:rPr>
          <w:rFonts w:hint="eastAsia" w:ascii="宋体" w:hAnsi="宋体" w:eastAsia="宋体" w:cs="宋体"/>
          <w:color w:val="auto"/>
          <w:sz w:val="21"/>
          <w:szCs w:val="21"/>
          <w:highlight w:val="none"/>
          <w:lang w:eastAsia="zh-CN"/>
        </w:rPr>
        <w:t>的详细</w:t>
      </w:r>
      <w:r>
        <w:rPr>
          <w:rFonts w:hint="eastAsia" w:ascii="宋体" w:hAnsi="宋体" w:eastAsia="宋体" w:cs="宋体"/>
          <w:color w:val="auto"/>
          <w:sz w:val="21"/>
          <w:szCs w:val="21"/>
          <w:highlight w:val="none"/>
        </w:rPr>
        <w:t>报告</w:t>
      </w:r>
      <w:r>
        <w:rPr>
          <w:rFonts w:hint="eastAsia" w:ascii="宋体" w:hAnsi="宋体" w:eastAsia="宋体" w:cs="宋体"/>
          <w:color w:val="auto"/>
          <w:sz w:val="21"/>
          <w:szCs w:val="21"/>
          <w:highlight w:val="none"/>
          <w:lang w:eastAsia="zh-CN"/>
        </w:rPr>
        <w:t>，以</w:t>
      </w:r>
      <w:r>
        <w:rPr>
          <w:rFonts w:hint="eastAsia" w:ascii="宋体" w:hAnsi="宋体" w:eastAsia="宋体" w:cs="宋体"/>
          <w:color w:val="auto"/>
          <w:sz w:val="21"/>
          <w:szCs w:val="21"/>
          <w:highlight w:val="none"/>
          <w:lang w:val="en-US" w:eastAsia="zh-CN"/>
        </w:rPr>
        <w:t>及证明不可抗力发生及其持续时间的证据</w:t>
      </w:r>
      <w:r>
        <w:rPr>
          <w:rFonts w:hint="eastAsia" w:ascii="宋体" w:hAnsi="宋体" w:eastAsia="宋体" w:cs="宋体"/>
          <w:color w:val="auto"/>
          <w:sz w:val="21"/>
          <w:szCs w:val="21"/>
          <w:highlight w:val="none"/>
        </w:rPr>
        <w:t>。</w:t>
      </w:r>
    </w:p>
    <w:p w14:paraId="1ACB0169">
      <w:pPr>
        <w:autoSpaceDE w:val="0"/>
        <w:autoSpaceDN w:val="0"/>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19</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解决争议的方法</w:t>
      </w:r>
    </w:p>
    <w:p w14:paraId="4268DE97">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19</w:t>
      </w:r>
      <w:r>
        <w:rPr>
          <w:rFonts w:hint="eastAsia" w:ascii="宋体" w:hAnsi="宋体" w:eastAsia="宋体" w:cs="宋体"/>
          <w:color w:val="auto"/>
          <w:sz w:val="21"/>
          <w:szCs w:val="21"/>
          <w:highlight w:val="none"/>
          <w:lang w:eastAsia="zh-CN"/>
        </w:rPr>
        <w:t>.1 因本合同及合同有关事项发生的争议，由甲乙双方友好协商解决。协商不成时，可以向有关组织申请调解。合同一方或双方不愿调解或调解不成的，可以通过仲裁或诉讼的方式解决争议。</w:t>
      </w:r>
    </w:p>
    <w:p w14:paraId="414115B8">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19.2 选择仲裁的，应在</w:t>
      </w:r>
      <w:r>
        <w:rPr>
          <w:rFonts w:hint="eastAsia" w:ascii="宋体" w:hAnsi="宋体" w:eastAsia="宋体" w:cs="宋体"/>
          <w:b/>
          <w:bCs/>
          <w:color w:val="auto"/>
          <w:sz w:val="21"/>
          <w:szCs w:val="21"/>
          <w:highlight w:val="none"/>
          <w:lang w:val="en-US" w:eastAsia="zh-CN"/>
        </w:rPr>
        <w:t>【政府采购合同专用条款】</w:t>
      </w:r>
      <w:r>
        <w:rPr>
          <w:rFonts w:hint="eastAsia" w:ascii="宋体" w:hAnsi="宋体" w:eastAsia="宋体" w:cs="宋体"/>
          <w:color w:val="auto"/>
          <w:sz w:val="21"/>
          <w:szCs w:val="21"/>
          <w:highlight w:val="none"/>
          <w:lang w:val="en-US" w:eastAsia="zh-CN"/>
        </w:rPr>
        <w:t>中明确仲裁机构及仲裁地；通过诉讼方式解决的，可以在</w:t>
      </w:r>
      <w:r>
        <w:rPr>
          <w:rFonts w:hint="eastAsia" w:ascii="宋体" w:hAnsi="宋体" w:eastAsia="宋体" w:cs="宋体"/>
          <w:b/>
          <w:bCs/>
          <w:color w:val="auto"/>
          <w:sz w:val="21"/>
          <w:szCs w:val="21"/>
          <w:highlight w:val="none"/>
          <w:lang w:val="en-US" w:eastAsia="zh-CN"/>
        </w:rPr>
        <w:t>【政府采购合同专用条款】</w:t>
      </w:r>
      <w:r>
        <w:rPr>
          <w:rFonts w:hint="eastAsia" w:ascii="宋体" w:hAnsi="宋体" w:eastAsia="宋体" w:cs="宋体"/>
          <w:color w:val="auto"/>
          <w:sz w:val="21"/>
          <w:szCs w:val="21"/>
          <w:highlight w:val="none"/>
          <w:lang w:val="en-US" w:eastAsia="zh-CN"/>
        </w:rPr>
        <w:t>中进一步约定选择与争议有实际联系的地点的人民法院管辖，但管辖法院的约定不得违反级别管辖和专属管辖的规定。</w:t>
      </w:r>
    </w:p>
    <w:p w14:paraId="404A2EBD">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19.3 如甲乙双方有争议的事项不影响合同其他部分的履行，在争议解决期间，合同其他部分应当继续履行。</w:t>
      </w:r>
    </w:p>
    <w:p w14:paraId="1EE4C3A5">
      <w:pPr>
        <w:autoSpaceDE w:val="0"/>
        <w:autoSpaceDN w:val="0"/>
        <w:adjustRightInd w:val="0"/>
        <w:snapToGrid w:val="0"/>
        <w:spacing w:before="0" w:line="400" w:lineRule="exact"/>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20</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color w:val="auto"/>
          <w:sz w:val="21"/>
          <w:szCs w:val="21"/>
          <w:highlight w:val="none"/>
        </w:rPr>
        <w:t>政府采购政策</w:t>
      </w:r>
    </w:p>
    <w:p w14:paraId="5E7E62BF">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20.1 </w:t>
      </w:r>
      <w:r>
        <w:rPr>
          <w:rFonts w:hint="eastAsia" w:ascii="宋体" w:hAnsi="宋体" w:eastAsia="宋体" w:cs="宋体"/>
          <w:color w:val="auto"/>
          <w:sz w:val="21"/>
          <w:szCs w:val="21"/>
          <w:highlight w:val="none"/>
          <w:lang w:val="en-GB"/>
        </w:rPr>
        <w:t>本合同应当按照规定执行政府采购政策。</w:t>
      </w:r>
    </w:p>
    <w:p w14:paraId="078691A2">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 xml:space="preserve"> 本合同依法执行政府采购政策的方式和内容，属于合同履约验收的范围。</w:t>
      </w:r>
      <w:r>
        <w:rPr>
          <w:rFonts w:hint="eastAsia" w:ascii="宋体" w:hAnsi="宋体" w:eastAsia="宋体" w:cs="宋体"/>
          <w:color w:val="auto"/>
          <w:sz w:val="21"/>
          <w:szCs w:val="21"/>
          <w:highlight w:val="none"/>
          <w:lang w:eastAsia="zh-CN"/>
        </w:rPr>
        <w:t>甲乙双方</w:t>
      </w:r>
      <w:r>
        <w:rPr>
          <w:rFonts w:hint="eastAsia" w:ascii="宋体" w:hAnsi="宋体" w:eastAsia="宋体" w:cs="宋体"/>
          <w:color w:val="auto"/>
          <w:sz w:val="21"/>
          <w:szCs w:val="21"/>
          <w:highlight w:val="none"/>
          <w:lang w:val="en-GB"/>
        </w:rPr>
        <w:t>未按规定要求执行政府采购政策造成损失的</w:t>
      </w:r>
      <w:r>
        <w:rPr>
          <w:rFonts w:hint="eastAsia" w:ascii="宋体" w:hAnsi="宋体" w:eastAsia="宋体" w:cs="宋体"/>
          <w:color w:val="auto"/>
          <w:sz w:val="21"/>
          <w:szCs w:val="21"/>
          <w:highlight w:val="none"/>
        </w:rPr>
        <w:t>，有过错的一方应当承</w:t>
      </w:r>
      <w:r>
        <w:rPr>
          <w:rFonts w:hint="eastAsia" w:ascii="宋体" w:hAnsi="宋体" w:eastAsia="宋体" w:cs="宋体"/>
          <w:color w:val="auto"/>
          <w:sz w:val="21"/>
          <w:szCs w:val="21"/>
          <w:highlight w:val="none"/>
          <w:lang w:val="en-US" w:eastAsia="zh-CN"/>
        </w:rPr>
        <w:t>担赔偿责任，双方都有过错的，各自承担相应的责任。</w:t>
      </w:r>
    </w:p>
    <w:p w14:paraId="15F6DED7">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w:t>
      </w:r>
      <w:r>
        <w:rPr>
          <w:rFonts w:hint="eastAsia" w:cs="宋体"/>
          <w:color w:val="auto"/>
          <w:sz w:val="21"/>
          <w:szCs w:val="21"/>
          <w:highlight w:val="none"/>
          <w:lang w:val="en-US" w:eastAsia="zh-CN"/>
        </w:rPr>
        <w:t>体</w:t>
      </w:r>
      <w:r>
        <w:rPr>
          <w:rFonts w:hint="eastAsia" w:ascii="宋体" w:hAnsi="宋体" w:eastAsia="宋体" w:cs="宋体"/>
          <w:color w:val="auto"/>
          <w:sz w:val="21"/>
          <w:szCs w:val="21"/>
          <w:highlight w:val="none"/>
          <w:lang w:val="en-US" w:eastAsia="zh-CN"/>
        </w:rPr>
        <w:t>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lang w:val="en-US" w:eastAsia="zh-CN"/>
        </w:rPr>
        <w:t>或者分包意向协议</w:t>
      </w:r>
      <w:r>
        <w:rPr>
          <w:rFonts w:hint="eastAsia" w:cs="宋体"/>
          <w:color w:val="auto"/>
          <w:sz w:val="21"/>
          <w:szCs w:val="21"/>
          <w:highlight w:val="none"/>
          <w:lang w:val="en-US" w:eastAsia="zh-CN"/>
        </w:rPr>
        <w:t>书</w:t>
      </w:r>
      <w:r>
        <w:rPr>
          <w:rFonts w:hint="eastAsia" w:ascii="宋体" w:hAnsi="宋体" w:eastAsia="宋体" w:cs="宋体"/>
          <w:color w:val="auto"/>
          <w:sz w:val="21"/>
          <w:szCs w:val="21"/>
          <w:highlight w:val="none"/>
          <w:lang w:val="en-US" w:eastAsia="zh-CN"/>
        </w:rPr>
        <w:t>作为采购合同的组成部分。</w:t>
      </w:r>
    </w:p>
    <w:p w14:paraId="4DDDC0EC">
      <w:pPr>
        <w:autoSpaceDE w:val="0"/>
        <w:autoSpaceDN w:val="0"/>
        <w:adjustRightInd w:val="0"/>
        <w:snapToGrid w:val="0"/>
        <w:spacing w:before="0" w:line="400" w:lineRule="exact"/>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w:t>
      </w:r>
      <w:r>
        <w:rPr>
          <w:rFonts w:hint="eastAsia" w:ascii="宋体" w:hAnsi="宋体" w:eastAsia="宋体" w:cs="宋体"/>
          <w:b/>
          <w:color w:val="auto"/>
          <w:sz w:val="21"/>
          <w:szCs w:val="21"/>
          <w:highlight w:val="none"/>
          <w:lang w:val="en-US" w:eastAsia="zh-CN"/>
        </w:rPr>
        <w:t>1</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color w:val="auto"/>
          <w:sz w:val="21"/>
          <w:szCs w:val="21"/>
          <w:highlight w:val="none"/>
        </w:rPr>
        <w:t>法律适用</w:t>
      </w:r>
    </w:p>
    <w:p w14:paraId="77D8A65D">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21.1 本合同的订立、生效、解释、履行及与本合同有关的争议解决，均适用法律、行政法规。</w:t>
      </w:r>
    </w:p>
    <w:p w14:paraId="0781C6DB">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21.2 本合同条款与法律、行政法规的强制性规定不一致的，双方当事人应按照法律、行政法规的强制性规定修改本合同的相关条款。</w:t>
      </w:r>
    </w:p>
    <w:p w14:paraId="4D96B473">
      <w:pPr>
        <w:numPr>
          <w:ilvl w:val="-1"/>
          <w:numId w:val="0"/>
        </w:numPr>
        <w:autoSpaceDE w:val="0"/>
        <w:autoSpaceDN w:val="0"/>
        <w:adjustRightInd w:val="0"/>
        <w:snapToGrid w:val="0"/>
        <w:spacing w:before="0" w:line="400" w:lineRule="exact"/>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 xml:space="preserve">22. </w:t>
      </w:r>
      <w:r>
        <w:rPr>
          <w:rFonts w:hint="eastAsia" w:ascii="宋体" w:hAnsi="宋体" w:eastAsia="宋体" w:cs="宋体"/>
          <w:b/>
          <w:color w:val="auto"/>
          <w:sz w:val="21"/>
          <w:szCs w:val="21"/>
          <w:highlight w:val="none"/>
        </w:rPr>
        <w:t>通知</w:t>
      </w:r>
    </w:p>
    <w:p w14:paraId="02B583B6">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22.1 本合同任何一方向对方发出的通知、信件、数据电文等，应当发送至本合同第一部分《政府采购合同协议书》所约定的通讯地址、联系人、联系电话或电子邮箱。</w:t>
      </w:r>
    </w:p>
    <w:p w14:paraId="62217161">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22.2 一方当事人变更名称、住所、联系人、联系电话或电子邮箱等信息的，应当在变更后3日内及时书面通知对方，对方实际收到变更通知前的送达仍为有效送达。</w:t>
      </w:r>
    </w:p>
    <w:p w14:paraId="6F20297A">
      <w:pPr>
        <w:autoSpaceDE w:val="0"/>
        <w:autoSpaceDN w:val="0"/>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22.3本合同一方给另一方的通知均应采用书面形式，传真或快递送到本合</w:t>
      </w:r>
      <w:r>
        <w:rPr>
          <w:rFonts w:hint="eastAsia" w:ascii="宋体" w:hAnsi="宋体" w:eastAsia="宋体" w:cs="宋体"/>
          <w:color w:val="auto"/>
          <w:sz w:val="21"/>
          <w:szCs w:val="21"/>
          <w:highlight w:val="none"/>
        </w:rPr>
        <w:t>同中规定的对方的地址和办理签收手续。</w:t>
      </w:r>
    </w:p>
    <w:p w14:paraId="4579FC6E">
      <w:pPr>
        <w:adjustRightInd w:val="0"/>
        <w:snapToGrid w:val="0"/>
        <w:spacing w:before="0"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通知以送达之日或通知书中规定的生效之日起生效，两者中以较迟之日为准。</w:t>
      </w:r>
    </w:p>
    <w:p w14:paraId="4A5EC7F9">
      <w:pPr>
        <w:numPr>
          <w:ilvl w:val="0"/>
          <w:numId w:val="7"/>
        </w:numPr>
        <w:adjustRightInd w:val="0"/>
        <w:snapToGrid w:val="0"/>
        <w:spacing w:before="0" w:line="40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合同未尽事项</w:t>
      </w:r>
    </w:p>
    <w:p w14:paraId="1776E49F">
      <w:pPr>
        <w:adjustRightInd w:val="0"/>
        <w:snapToGrid w:val="0"/>
        <w:spacing w:before="0" w:line="400" w:lineRule="exact"/>
        <w:ind w:firstLine="420" w:firstLineChars="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.1合同未尽事项见</w:t>
      </w:r>
      <w:r>
        <w:rPr>
          <w:rFonts w:hint="eastAsia" w:ascii="宋体" w:hAnsi="宋体" w:eastAsia="宋体" w:cs="宋体"/>
          <w:b/>
          <w:color w:val="auto"/>
          <w:sz w:val="21"/>
          <w:szCs w:val="21"/>
          <w:highlight w:val="none"/>
        </w:rPr>
        <w:t>【政府采购合同专用条款】</w:t>
      </w:r>
      <w:r>
        <w:rPr>
          <w:rFonts w:hint="eastAsia" w:ascii="宋体" w:hAnsi="宋体" w:eastAsia="宋体" w:cs="宋体"/>
          <w:bCs/>
          <w:color w:val="auto"/>
          <w:sz w:val="21"/>
          <w:szCs w:val="21"/>
          <w:highlight w:val="none"/>
        </w:rPr>
        <w:t>。</w:t>
      </w:r>
    </w:p>
    <w:p w14:paraId="332543E9">
      <w:pPr>
        <w:adjustRightInd w:val="0"/>
        <w:snapToGrid w:val="0"/>
        <w:spacing w:line="400" w:lineRule="exact"/>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val="en-US" w:eastAsia="zh-CN"/>
        </w:rPr>
        <w:t xml:space="preserve">    23.2 合同附件与合同正文具有同等的法律效力。</w:t>
      </w:r>
      <w:bookmarkStart w:id="524" w:name="_Toc20313"/>
    </w:p>
    <w:p w14:paraId="7C5346BC">
      <w:pPr>
        <w:adjustRightInd w:val="0"/>
        <w:snapToGrid w:val="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3F5074B6">
      <w:pPr>
        <w:pStyle w:val="3"/>
        <w:adjustRightInd w:val="0"/>
        <w:snapToGrid w:val="0"/>
        <w:spacing w:beforeLines="0" w:line="400" w:lineRule="exact"/>
        <w:jc w:val="center"/>
        <w:rPr>
          <w:rFonts w:hint="eastAsia" w:ascii="宋体" w:hAnsi="宋体" w:eastAsia="宋体" w:cs="宋体"/>
          <w:b/>
          <w:bCs/>
          <w:color w:val="auto"/>
          <w:sz w:val="36"/>
          <w:szCs w:val="36"/>
          <w:highlight w:val="none"/>
        </w:rPr>
      </w:pPr>
      <w:bookmarkStart w:id="525" w:name="_Toc1597"/>
      <w:bookmarkStart w:id="526" w:name="_Toc4826"/>
      <w:r>
        <w:rPr>
          <w:rFonts w:hint="eastAsia" w:ascii="宋体" w:hAnsi="宋体" w:eastAsia="宋体" w:cs="宋体"/>
          <w:b/>
          <w:bCs/>
          <w:color w:val="auto"/>
          <w:sz w:val="36"/>
          <w:szCs w:val="36"/>
          <w:highlight w:val="none"/>
        </w:rPr>
        <w:t>第三节 政府采购合同专用条款</w:t>
      </w:r>
      <w:bookmarkEnd w:id="524"/>
      <w:bookmarkEnd w:id="525"/>
      <w:bookmarkEnd w:id="526"/>
    </w:p>
    <w:tbl>
      <w:tblPr>
        <w:tblStyle w:val="27"/>
        <w:tblW w:w="8557" w:type="dxa"/>
        <w:tblInd w:w="-13"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07"/>
        <w:gridCol w:w="2233"/>
        <w:gridCol w:w="4617"/>
      </w:tblGrid>
      <w:tr w14:paraId="267507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2DB7081F">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0EADDA0F">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2233" w:type="dxa"/>
            <w:vAlign w:val="center"/>
          </w:tcPr>
          <w:p w14:paraId="5FE396F1">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4617" w:type="dxa"/>
            <w:vAlign w:val="center"/>
          </w:tcPr>
          <w:p w14:paraId="0CAEE7E4">
            <w:pPr>
              <w:adjustRightInd w:val="0"/>
              <w:snapToGrid w:val="0"/>
              <w:jc w:val="left"/>
              <w:rPr>
                <w:rFonts w:ascii="宋体" w:hAnsi="宋体"/>
                <w:color w:val="auto"/>
                <w:szCs w:val="21"/>
                <w:highlight w:val="none"/>
              </w:rPr>
            </w:pPr>
          </w:p>
        </w:tc>
      </w:tr>
      <w:tr w14:paraId="02A6B4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07" w:type="dxa"/>
            <w:vAlign w:val="center"/>
          </w:tcPr>
          <w:p w14:paraId="173F44F4">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4098608A">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2233" w:type="dxa"/>
            <w:vAlign w:val="center"/>
          </w:tcPr>
          <w:p w14:paraId="2ECD481F">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4617" w:type="dxa"/>
            <w:vAlign w:val="center"/>
          </w:tcPr>
          <w:p w14:paraId="0BD8D8FD">
            <w:pPr>
              <w:adjustRightInd w:val="0"/>
              <w:snapToGrid w:val="0"/>
              <w:jc w:val="left"/>
              <w:rPr>
                <w:rFonts w:ascii="宋体" w:hAnsi="宋体" w:eastAsia="宋体" w:cs="Times New Roman"/>
                <w:color w:val="auto"/>
                <w:kern w:val="2"/>
                <w:sz w:val="21"/>
                <w:szCs w:val="21"/>
                <w:highlight w:val="none"/>
                <w:lang w:val="en-US" w:eastAsia="zh-CN" w:bidi="ar-SA"/>
              </w:rPr>
            </w:pPr>
          </w:p>
        </w:tc>
      </w:tr>
      <w:tr w14:paraId="2FFA10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53AB415E">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1E31FC3E">
            <w:pPr>
              <w:keepNext w:val="0"/>
              <w:keepLines w:val="0"/>
              <w:pageBreakBefore w:val="0"/>
              <w:kinsoku/>
              <w:wordWrap/>
              <w:overflowPunct/>
              <w:topLinePunct w:val="0"/>
              <w:bidi w:val="0"/>
              <w:adjustRightInd w:val="0"/>
              <w:snapToGrid w:val="0"/>
              <w:spacing w:line="240" w:lineRule="auto"/>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2233" w:type="dxa"/>
            <w:vAlign w:val="center"/>
          </w:tcPr>
          <w:p w14:paraId="4F86094C">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4617" w:type="dxa"/>
            <w:vAlign w:val="center"/>
          </w:tcPr>
          <w:p w14:paraId="237B690C">
            <w:pPr>
              <w:adjustRightInd w:val="0"/>
              <w:snapToGrid w:val="0"/>
              <w:jc w:val="left"/>
              <w:rPr>
                <w:rFonts w:ascii="宋体" w:hAnsi="宋体" w:eastAsia="宋体" w:cs="Times New Roman"/>
                <w:color w:val="auto"/>
                <w:kern w:val="2"/>
                <w:sz w:val="21"/>
                <w:szCs w:val="21"/>
                <w:highlight w:val="none"/>
                <w:lang w:val="en-US" w:eastAsia="zh-CN" w:bidi="ar-SA"/>
              </w:rPr>
            </w:pPr>
          </w:p>
        </w:tc>
      </w:tr>
      <w:tr w14:paraId="632152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7A9DB471">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675BCC22">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2233" w:type="dxa"/>
            <w:vAlign w:val="center"/>
          </w:tcPr>
          <w:p w14:paraId="5DF6184D">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4617" w:type="dxa"/>
            <w:vAlign w:val="center"/>
          </w:tcPr>
          <w:p w14:paraId="5B558C36">
            <w:pPr>
              <w:adjustRightInd w:val="0"/>
              <w:snapToGrid w:val="0"/>
              <w:jc w:val="left"/>
              <w:rPr>
                <w:rFonts w:ascii="宋体" w:hAnsi="宋体" w:eastAsia="宋体" w:cs="Times New Roman"/>
                <w:color w:val="auto"/>
                <w:kern w:val="2"/>
                <w:sz w:val="21"/>
                <w:szCs w:val="21"/>
                <w:highlight w:val="none"/>
                <w:lang w:val="en-US" w:eastAsia="zh-CN" w:bidi="ar-SA"/>
              </w:rPr>
            </w:pPr>
          </w:p>
        </w:tc>
      </w:tr>
      <w:tr w14:paraId="58E922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1FC7872C">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0599EE97">
            <w:pPr>
              <w:keepNext w:val="0"/>
              <w:keepLines w:val="0"/>
              <w:pageBreakBefore w:val="0"/>
              <w:kinsoku/>
              <w:wordWrap/>
              <w:overflowPunct/>
              <w:topLinePunct w:val="0"/>
              <w:bidi w:val="0"/>
              <w:snapToGrid w:val="0"/>
              <w:spacing w:line="240" w:lineRule="auto"/>
              <w:jc w:val="center"/>
              <w:textAlignment w:val="auto"/>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2233" w:type="dxa"/>
            <w:vAlign w:val="center"/>
          </w:tcPr>
          <w:p w14:paraId="4D94B515">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4617" w:type="dxa"/>
            <w:vAlign w:val="center"/>
          </w:tcPr>
          <w:p w14:paraId="1EEA1A78">
            <w:pPr>
              <w:adjustRightInd w:val="0"/>
              <w:snapToGrid w:val="0"/>
              <w:jc w:val="left"/>
              <w:rPr>
                <w:rFonts w:ascii="宋体" w:hAnsi="宋体" w:eastAsia="宋体" w:cs="Times New Roman"/>
                <w:color w:val="auto"/>
                <w:kern w:val="2"/>
                <w:sz w:val="21"/>
                <w:szCs w:val="21"/>
                <w:highlight w:val="none"/>
                <w:lang w:val="en-US" w:eastAsia="zh-CN" w:bidi="ar-SA"/>
              </w:rPr>
            </w:pPr>
          </w:p>
        </w:tc>
      </w:tr>
      <w:tr w14:paraId="2B538E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532FAE66">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17183B86">
            <w:pPr>
              <w:keepNext w:val="0"/>
              <w:keepLines w:val="0"/>
              <w:pageBreakBefore w:val="0"/>
              <w:kinsoku/>
              <w:wordWrap/>
              <w:overflowPunct/>
              <w:topLinePunct w:val="0"/>
              <w:bidi w:val="0"/>
              <w:snapToGrid w:val="0"/>
              <w:spacing w:line="240" w:lineRule="auto"/>
              <w:jc w:val="center"/>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2233" w:type="dxa"/>
            <w:vAlign w:val="center"/>
          </w:tcPr>
          <w:p w14:paraId="62601F39">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4617" w:type="dxa"/>
            <w:vAlign w:val="center"/>
          </w:tcPr>
          <w:p w14:paraId="7410CCA4">
            <w:pPr>
              <w:adjustRightInd w:val="0"/>
              <w:snapToGrid w:val="0"/>
              <w:jc w:val="left"/>
              <w:rPr>
                <w:rFonts w:ascii="宋体" w:hAnsi="宋体" w:eastAsia="宋体" w:cs="Times New Roman"/>
                <w:color w:val="auto"/>
                <w:kern w:val="2"/>
                <w:sz w:val="21"/>
                <w:szCs w:val="21"/>
                <w:highlight w:val="none"/>
                <w:lang w:val="en-US" w:eastAsia="zh-CN" w:bidi="ar-SA"/>
              </w:rPr>
            </w:pPr>
          </w:p>
        </w:tc>
      </w:tr>
      <w:tr w14:paraId="32A444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07" w:type="dxa"/>
            <w:vMerge w:val="restart"/>
            <w:vAlign w:val="center"/>
          </w:tcPr>
          <w:p w14:paraId="15DF615B">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6881C524">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2233" w:type="dxa"/>
            <w:vAlign w:val="center"/>
          </w:tcPr>
          <w:p w14:paraId="00425EE9">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4617" w:type="dxa"/>
            <w:vAlign w:val="center"/>
          </w:tcPr>
          <w:p w14:paraId="3694B338">
            <w:pPr>
              <w:rPr>
                <w:color w:val="auto"/>
                <w:highlight w:val="none"/>
              </w:rPr>
            </w:pPr>
          </w:p>
        </w:tc>
      </w:tr>
      <w:tr w14:paraId="6A47A3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667" w:hRule="atLeast"/>
        </w:trPr>
        <w:tc>
          <w:tcPr>
            <w:tcW w:w="1707" w:type="dxa"/>
            <w:vMerge w:val="continue"/>
            <w:vAlign w:val="center"/>
          </w:tcPr>
          <w:p w14:paraId="7896138A">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p>
        </w:tc>
        <w:tc>
          <w:tcPr>
            <w:tcW w:w="2233" w:type="dxa"/>
            <w:vAlign w:val="center"/>
          </w:tcPr>
          <w:p w14:paraId="20626CAF">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4617" w:type="dxa"/>
            <w:vAlign w:val="center"/>
          </w:tcPr>
          <w:p w14:paraId="19BEE7A3">
            <w:pPr>
              <w:rPr>
                <w:rFonts w:hint="eastAsia"/>
                <w:color w:val="auto"/>
                <w:highlight w:val="none"/>
              </w:rPr>
            </w:pPr>
          </w:p>
        </w:tc>
      </w:tr>
      <w:tr w14:paraId="5A3F96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07" w:type="dxa"/>
            <w:vAlign w:val="center"/>
          </w:tcPr>
          <w:p w14:paraId="065C74FA">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5690E34D">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2233" w:type="dxa"/>
            <w:vAlign w:val="center"/>
          </w:tcPr>
          <w:p w14:paraId="04141831">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4617" w:type="dxa"/>
            <w:vAlign w:val="center"/>
          </w:tcPr>
          <w:p w14:paraId="353A3E17">
            <w:pPr>
              <w:rPr>
                <w:rFonts w:hint="eastAsia"/>
                <w:color w:val="auto"/>
                <w:highlight w:val="none"/>
              </w:rPr>
            </w:pPr>
          </w:p>
        </w:tc>
      </w:tr>
      <w:tr w14:paraId="2CF651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07" w:type="dxa"/>
            <w:vAlign w:val="center"/>
          </w:tcPr>
          <w:p w14:paraId="42E89B4D">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2D65CF60">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2233" w:type="dxa"/>
            <w:vAlign w:val="center"/>
          </w:tcPr>
          <w:p w14:paraId="75CDC4EC">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4617" w:type="dxa"/>
            <w:vAlign w:val="center"/>
          </w:tcPr>
          <w:p w14:paraId="0E9BEF29">
            <w:pPr>
              <w:rPr>
                <w:rFonts w:hint="eastAsia"/>
                <w:color w:val="auto"/>
                <w:highlight w:val="none"/>
              </w:rPr>
            </w:pPr>
          </w:p>
        </w:tc>
      </w:tr>
      <w:tr w14:paraId="1FBE24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0764B232">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4A611543">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2233" w:type="dxa"/>
            <w:vAlign w:val="center"/>
          </w:tcPr>
          <w:p w14:paraId="3392AF86">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rPr>
              <w:t>质量保证期</w:t>
            </w:r>
          </w:p>
        </w:tc>
        <w:tc>
          <w:tcPr>
            <w:tcW w:w="4617" w:type="dxa"/>
            <w:vAlign w:val="center"/>
          </w:tcPr>
          <w:p w14:paraId="74113B72">
            <w:pPr>
              <w:autoSpaceDE w:val="0"/>
              <w:autoSpaceDN w:val="0"/>
              <w:adjustRightInd w:val="0"/>
              <w:snapToGrid w:val="0"/>
              <w:ind w:firstLine="480" w:firstLineChars="200"/>
              <w:jc w:val="left"/>
              <w:rPr>
                <w:rFonts w:ascii="宋体" w:hAnsi="宋体"/>
                <w:color w:val="auto"/>
                <w:szCs w:val="21"/>
                <w:highlight w:val="none"/>
              </w:rPr>
            </w:pPr>
          </w:p>
        </w:tc>
      </w:tr>
      <w:tr w14:paraId="4A7F95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4CD74A73">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41064226">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2233" w:type="dxa"/>
            <w:vAlign w:val="center"/>
          </w:tcPr>
          <w:p w14:paraId="7A62DE3A">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1EC14C95">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rPr>
              <w:t>响应时间</w:t>
            </w:r>
          </w:p>
        </w:tc>
        <w:tc>
          <w:tcPr>
            <w:tcW w:w="4617" w:type="dxa"/>
            <w:vAlign w:val="center"/>
          </w:tcPr>
          <w:p w14:paraId="2A52495B">
            <w:pPr>
              <w:adjustRightInd w:val="0"/>
              <w:snapToGrid w:val="0"/>
              <w:jc w:val="left"/>
              <w:rPr>
                <w:rFonts w:ascii="宋体" w:hAnsi="宋体"/>
                <w:color w:val="auto"/>
                <w:szCs w:val="21"/>
                <w:highlight w:val="none"/>
              </w:rPr>
            </w:pPr>
          </w:p>
        </w:tc>
      </w:tr>
      <w:tr w14:paraId="59FF9C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35EA8AE2">
            <w:pPr>
              <w:keepNext w:val="0"/>
              <w:keepLines w:val="0"/>
              <w:pageBreakBefore w:val="0"/>
              <w:kinsoku/>
              <w:wordWrap/>
              <w:overflowPunct/>
              <w:topLinePunct w:val="0"/>
              <w:bidi w:val="0"/>
              <w:snapToGrid w:val="0"/>
              <w:spacing w:line="240" w:lineRule="auto"/>
              <w:jc w:val="center"/>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668B64F8">
            <w:pPr>
              <w:pStyle w:val="51"/>
              <w:keepNext w:val="0"/>
              <w:keepLines w:val="0"/>
              <w:pageBreakBefore w:val="0"/>
              <w:kinsoku/>
              <w:wordWrap/>
              <w:overflowPunct/>
              <w:topLinePunct w:val="0"/>
              <w:bidi w:val="0"/>
              <w:spacing w:line="240" w:lineRule="auto"/>
              <w:ind w:firstLine="0" w:firstLineChars="0"/>
              <w:jc w:val="center"/>
              <w:textAlignment w:val="auto"/>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2233" w:type="dxa"/>
            <w:vAlign w:val="center"/>
          </w:tcPr>
          <w:p w14:paraId="21EDE87D">
            <w:pPr>
              <w:keepNext w:val="0"/>
              <w:keepLines w:val="0"/>
              <w:pageBreakBefore w:val="0"/>
              <w:kinsoku/>
              <w:wordWrap/>
              <w:overflowPunct/>
              <w:topLinePunct w:val="0"/>
              <w:bidi w:val="0"/>
              <w:adjustRightInd w:val="0"/>
              <w:snapToGrid w:val="0"/>
              <w:spacing w:line="240" w:lineRule="auto"/>
              <w:jc w:val="both"/>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4617" w:type="dxa"/>
            <w:vAlign w:val="center"/>
          </w:tcPr>
          <w:p w14:paraId="78E7A6D8">
            <w:pPr>
              <w:adjustRightInd w:val="0"/>
              <w:snapToGrid w:val="0"/>
              <w:jc w:val="left"/>
              <w:rPr>
                <w:rFonts w:ascii="宋体" w:hAnsi="宋体"/>
                <w:color w:val="auto"/>
                <w:szCs w:val="21"/>
                <w:highlight w:val="none"/>
              </w:rPr>
            </w:pPr>
          </w:p>
        </w:tc>
      </w:tr>
      <w:tr w14:paraId="3C1B3F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07" w:type="dxa"/>
            <w:vAlign w:val="center"/>
          </w:tcPr>
          <w:p w14:paraId="45EAA1D8">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3ED786D1">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2233" w:type="dxa"/>
            <w:vAlign w:val="center"/>
          </w:tcPr>
          <w:p w14:paraId="64A177C1">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4617" w:type="dxa"/>
            <w:vAlign w:val="center"/>
          </w:tcPr>
          <w:p w14:paraId="19ACE1AC">
            <w:pPr>
              <w:adjustRightInd w:val="0"/>
              <w:snapToGrid w:val="0"/>
              <w:jc w:val="left"/>
              <w:rPr>
                <w:rFonts w:ascii="宋体" w:hAnsi="宋体"/>
                <w:color w:val="auto"/>
                <w:szCs w:val="21"/>
                <w:highlight w:val="none"/>
              </w:rPr>
            </w:pPr>
          </w:p>
        </w:tc>
      </w:tr>
      <w:tr w14:paraId="7F0855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07" w:type="dxa"/>
            <w:vAlign w:val="center"/>
          </w:tcPr>
          <w:p w14:paraId="7E532211">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第二节</w:t>
            </w:r>
          </w:p>
          <w:p w14:paraId="57A60EC6">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2233" w:type="dxa"/>
            <w:vAlign w:val="center"/>
          </w:tcPr>
          <w:p w14:paraId="55BFCEBB">
            <w:pPr>
              <w:keepNext w:val="0"/>
              <w:keepLines w:val="0"/>
              <w:pageBreakBefore w:val="0"/>
              <w:kinsoku/>
              <w:wordWrap/>
              <w:overflowPunct/>
              <w:topLinePunct w:val="0"/>
              <w:bidi w:val="0"/>
              <w:adjustRightInd w:val="0"/>
              <w:snapToGrid w:val="0"/>
              <w:spacing w:line="240" w:lineRule="auto"/>
              <w:jc w:val="left"/>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4617" w:type="dxa"/>
            <w:vAlign w:val="center"/>
          </w:tcPr>
          <w:p w14:paraId="3B059075">
            <w:pPr>
              <w:adjustRightInd w:val="0"/>
              <w:snapToGrid w:val="0"/>
              <w:jc w:val="left"/>
              <w:rPr>
                <w:rFonts w:ascii="宋体" w:hAnsi="宋体"/>
                <w:color w:val="auto"/>
                <w:szCs w:val="21"/>
                <w:highlight w:val="none"/>
              </w:rPr>
            </w:pPr>
          </w:p>
        </w:tc>
      </w:tr>
      <w:tr w14:paraId="2B3DCD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387699EE">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第二节</w:t>
            </w:r>
          </w:p>
          <w:p w14:paraId="4B032476">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2233" w:type="dxa"/>
            <w:vAlign w:val="center"/>
          </w:tcPr>
          <w:p w14:paraId="54040FA1">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4617" w:type="dxa"/>
            <w:vAlign w:val="center"/>
          </w:tcPr>
          <w:p w14:paraId="347592D5">
            <w:pPr>
              <w:adjustRightInd w:val="0"/>
              <w:snapToGrid w:val="0"/>
              <w:jc w:val="left"/>
              <w:rPr>
                <w:rFonts w:ascii="宋体" w:hAnsi="宋体"/>
                <w:color w:val="auto"/>
                <w:szCs w:val="21"/>
                <w:highlight w:val="none"/>
              </w:rPr>
            </w:pPr>
          </w:p>
        </w:tc>
      </w:tr>
      <w:tr w14:paraId="5AAB91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07" w:type="dxa"/>
            <w:vAlign w:val="center"/>
          </w:tcPr>
          <w:p w14:paraId="72BEAD95">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71C710BD">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2233" w:type="dxa"/>
            <w:vAlign w:val="center"/>
          </w:tcPr>
          <w:p w14:paraId="6DA2DA84">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4617" w:type="dxa"/>
            <w:vAlign w:val="center"/>
          </w:tcPr>
          <w:p w14:paraId="50D906D6">
            <w:pPr>
              <w:adjustRightInd w:val="0"/>
              <w:snapToGrid w:val="0"/>
              <w:jc w:val="left"/>
              <w:rPr>
                <w:rFonts w:ascii="宋体" w:hAnsi="宋体"/>
                <w:color w:val="auto"/>
                <w:szCs w:val="21"/>
                <w:highlight w:val="none"/>
              </w:rPr>
            </w:pPr>
          </w:p>
        </w:tc>
      </w:tr>
      <w:tr w14:paraId="552EA0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07" w:type="dxa"/>
            <w:vAlign w:val="center"/>
          </w:tcPr>
          <w:p w14:paraId="3E35BD08">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1F30CB9D">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2233" w:type="dxa"/>
            <w:vAlign w:val="center"/>
          </w:tcPr>
          <w:p w14:paraId="3B13D05A">
            <w:pPr>
              <w:keepNext w:val="0"/>
              <w:keepLines w:val="0"/>
              <w:pageBreakBefore w:val="0"/>
              <w:kinsoku/>
              <w:wordWrap/>
              <w:overflowPunct/>
              <w:topLinePunct w:val="0"/>
              <w:bidi w:val="0"/>
              <w:adjustRightInd w:val="0"/>
              <w:snapToGrid w:val="0"/>
              <w:spacing w:line="240" w:lineRule="auto"/>
              <w:jc w:val="left"/>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4617" w:type="dxa"/>
            <w:vAlign w:val="center"/>
          </w:tcPr>
          <w:p w14:paraId="3F6BFC2D">
            <w:pPr>
              <w:adjustRightInd w:val="0"/>
              <w:snapToGrid w:val="0"/>
              <w:jc w:val="left"/>
              <w:rPr>
                <w:rFonts w:ascii="宋体" w:hAnsi="宋体"/>
                <w:color w:val="auto"/>
                <w:szCs w:val="21"/>
                <w:highlight w:val="none"/>
              </w:rPr>
            </w:pPr>
          </w:p>
        </w:tc>
      </w:tr>
      <w:tr w14:paraId="7599E6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41B304A7">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50C862B0">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2233" w:type="dxa"/>
            <w:vAlign w:val="center"/>
          </w:tcPr>
          <w:p w14:paraId="408D4E8A">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rPr>
              <w:t>乙方提供的其他服务</w:t>
            </w:r>
          </w:p>
        </w:tc>
        <w:tc>
          <w:tcPr>
            <w:tcW w:w="4617" w:type="dxa"/>
            <w:vAlign w:val="center"/>
          </w:tcPr>
          <w:p w14:paraId="2C32E2AE">
            <w:pPr>
              <w:adjustRightInd w:val="0"/>
              <w:snapToGrid w:val="0"/>
              <w:jc w:val="left"/>
              <w:rPr>
                <w:rFonts w:ascii="宋体" w:hAnsi="宋体"/>
                <w:color w:val="auto"/>
                <w:szCs w:val="21"/>
                <w:highlight w:val="none"/>
              </w:rPr>
            </w:pPr>
          </w:p>
        </w:tc>
      </w:tr>
      <w:tr w14:paraId="690BEE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399DC64E">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6B2E6050">
            <w:pPr>
              <w:keepNext w:val="0"/>
              <w:keepLines w:val="0"/>
              <w:pageBreakBefore w:val="0"/>
              <w:kinsoku/>
              <w:wordWrap/>
              <w:overflowPunct/>
              <w:topLinePunct w:val="0"/>
              <w:bidi w:val="0"/>
              <w:adjustRightInd w:val="0"/>
              <w:snapToGrid w:val="0"/>
              <w:spacing w:line="240" w:lineRule="auto"/>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2233" w:type="dxa"/>
            <w:vAlign w:val="center"/>
          </w:tcPr>
          <w:p w14:paraId="1C5461E0">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4617" w:type="dxa"/>
            <w:vAlign w:val="center"/>
          </w:tcPr>
          <w:p w14:paraId="27D2F587">
            <w:pPr>
              <w:adjustRightInd w:val="0"/>
              <w:snapToGrid w:val="0"/>
              <w:jc w:val="left"/>
              <w:rPr>
                <w:rFonts w:ascii="宋体" w:hAnsi="宋体"/>
                <w:color w:val="auto"/>
                <w:szCs w:val="21"/>
                <w:highlight w:val="none"/>
              </w:rPr>
            </w:pPr>
          </w:p>
        </w:tc>
      </w:tr>
      <w:tr w14:paraId="5A7799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67EA198D">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2FAA4F03">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2233" w:type="dxa"/>
            <w:vAlign w:val="center"/>
          </w:tcPr>
          <w:p w14:paraId="6CCB9C34">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rPr>
              <w:t>迟延交货赔偿费</w:t>
            </w:r>
          </w:p>
        </w:tc>
        <w:tc>
          <w:tcPr>
            <w:tcW w:w="4617" w:type="dxa"/>
            <w:vAlign w:val="center"/>
          </w:tcPr>
          <w:p w14:paraId="70280E71">
            <w:pPr>
              <w:adjustRightInd w:val="0"/>
              <w:snapToGrid w:val="0"/>
              <w:jc w:val="left"/>
              <w:rPr>
                <w:rFonts w:ascii="宋体" w:hAnsi="宋体"/>
                <w:color w:val="auto"/>
                <w:szCs w:val="21"/>
                <w:highlight w:val="none"/>
                <w:u w:val="single"/>
              </w:rPr>
            </w:pPr>
          </w:p>
        </w:tc>
      </w:tr>
      <w:tr w14:paraId="4A6404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07" w:type="dxa"/>
            <w:vAlign w:val="center"/>
          </w:tcPr>
          <w:p w14:paraId="724A673C">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0534525C">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2233" w:type="dxa"/>
            <w:vAlign w:val="center"/>
          </w:tcPr>
          <w:p w14:paraId="2C233818">
            <w:pPr>
              <w:keepNext w:val="0"/>
              <w:keepLines w:val="0"/>
              <w:pageBreakBefore w:val="0"/>
              <w:kinsoku/>
              <w:wordWrap/>
              <w:overflowPunct/>
              <w:topLinePunct w:val="0"/>
              <w:bidi w:val="0"/>
              <w:adjustRightInd w:val="0"/>
              <w:snapToGrid w:val="0"/>
              <w:spacing w:line="240" w:lineRule="auto"/>
              <w:jc w:val="left"/>
              <w:textAlignment w:val="auto"/>
              <w:rPr>
                <w:rFonts w:hint="eastAsia" w:ascii="宋体" w:hAnsi="宋体"/>
                <w:color w:val="auto"/>
                <w:szCs w:val="21"/>
                <w:highlight w:val="none"/>
              </w:rPr>
            </w:pPr>
            <w:r>
              <w:rPr>
                <w:rFonts w:hint="eastAsia" w:ascii="宋体" w:hAnsi="宋体"/>
                <w:color w:val="auto"/>
                <w:szCs w:val="21"/>
                <w:highlight w:val="none"/>
              </w:rPr>
              <w:t>逾期付款利息</w:t>
            </w:r>
          </w:p>
        </w:tc>
        <w:tc>
          <w:tcPr>
            <w:tcW w:w="4617" w:type="dxa"/>
            <w:vAlign w:val="center"/>
          </w:tcPr>
          <w:p w14:paraId="3A0C3F19">
            <w:pPr>
              <w:adjustRightInd w:val="0"/>
              <w:snapToGrid w:val="0"/>
              <w:jc w:val="left"/>
              <w:rPr>
                <w:rFonts w:ascii="宋体" w:hAnsi="宋体"/>
                <w:color w:val="auto"/>
                <w:szCs w:val="21"/>
                <w:highlight w:val="none"/>
                <w:u w:val="single"/>
              </w:rPr>
            </w:pPr>
          </w:p>
        </w:tc>
      </w:tr>
      <w:tr w14:paraId="348216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07" w:type="dxa"/>
            <w:tcBorders>
              <w:bottom w:val="single" w:color="auto" w:sz="2" w:space="0"/>
              <w:right w:val="single" w:color="auto" w:sz="2" w:space="0"/>
            </w:tcBorders>
            <w:vAlign w:val="center"/>
          </w:tcPr>
          <w:p w14:paraId="45AA05DB">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5D78F5E5">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2233" w:type="dxa"/>
            <w:tcBorders>
              <w:left w:val="single" w:color="auto" w:sz="2" w:space="0"/>
              <w:bottom w:val="single" w:color="auto" w:sz="2" w:space="0"/>
              <w:right w:val="single" w:color="auto" w:sz="2" w:space="0"/>
            </w:tcBorders>
            <w:vAlign w:val="center"/>
          </w:tcPr>
          <w:p w14:paraId="1138734C">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rPr>
              <w:t>其他违约责任</w:t>
            </w:r>
          </w:p>
        </w:tc>
        <w:tc>
          <w:tcPr>
            <w:tcW w:w="4617" w:type="dxa"/>
            <w:tcBorders>
              <w:left w:val="single" w:color="auto" w:sz="2" w:space="0"/>
              <w:bottom w:val="single" w:color="auto" w:sz="2" w:space="0"/>
            </w:tcBorders>
            <w:vAlign w:val="center"/>
          </w:tcPr>
          <w:p w14:paraId="219760E1">
            <w:pPr>
              <w:adjustRightInd w:val="0"/>
              <w:snapToGrid w:val="0"/>
              <w:jc w:val="left"/>
              <w:rPr>
                <w:rFonts w:ascii="宋体" w:hAnsi="宋体"/>
                <w:color w:val="auto"/>
                <w:szCs w:val="21"/>
                <w:highlight w:val="none"/>
                <w:u w:val="single"/>
              </w:rPr>
            </w:pPr>
          </w:p>
        </w:tc>
      </w:tr>
      <w:tr w14:paraId="0A2090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07" w:type="dxa"/>
            <w:tcBorders>
              <w:top w:val="single" w:color="auto" w:sz="2" w:space="0"/>
              <w:right w:val="single" w:color="auto" w:sz="2" w:space="0"/>
            </w:tcBorders>
            <w:vAlign w:val="center"/>
          </w:tcPr>
          <w:p w14:paraId="177F4FBF">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5CFE048F">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2233" w:type="dxa"/>
            <w:tcBorders>
              <w:top w:val="single" w:color="auto" w:sz="2" w:space="0"/>
              <w:left w:val="single" w:color="auto" w:sz="2" w:space="0"/>
              <w:right w:val="single" w:color="auto" w:sz="2" w:space="0"/>
            </w:tcBorders>
            <w:vAlign w:val="center"/>
          </w:tcPr>
          <w:p w14:paraId="5351737D">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4617" w:type="dxa"/>
            <w:tcBorders>
              <w:top w:val="single" w:color="auto" w:sz="2" w:space="0"/>
              <w:left w:val="single" w:color="auto" w:sz="2" w:space="0"/>
            </w:tcBorders>
            <w:vAlign w:val="center"/>
          </w:tcPr>
          <w:p w14:paraId="0812CAF3">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66960E2A">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2A1D3AA7">
            <w:pPr>
              <w:adjustRightInd w:val="0"/>
              <w:snapToGrid w:val="0"/>
              <w:ind w:firstLine="0" w:firstLineChars="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05C29C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07" w:type="dxa"/>
            <w:vAlign w:val="center"/>
          </w:tcPr>
          <w:p w14:paraId="464253B9">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第二节</w:t>
            </w:r>
          </w:p>
          <w:p w14:paraId="6F24106A">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2233" w:type="dxa"/>
            <w:vAlign w:val="center"/>
          </w:tcPr>
          <w:p w14:paraId="6180F86D">
            <w:pPr>
              <w:keepNext w:val="0"/>
              <w:keepLines w:val="0"/>
              <w:pageBreakBefore w:val="0"/>
              <w:kinsoku/>
              <w:wordWrap/>
              <w:overflowPunct/>
              <w:topLinePunct w:val="0"/>
              <w:bidi w:val="0"/>
              <w:adjustRightInd w:val="0"/>
              <w:snapToGrid w:val="0"/>
              <w:spacing w:line="240" w:lineRule="auto"/>
              <w:jc w:val="left"/>
              <w:textAlignment w:val="auto"/>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4617" w:type="dxa"/>
            <w:vAlign w:val="center"/>
          </w:tcPr>
          <w:p w14:paraId="08227F34">
            <w:pPr>
              <w:adjustRightInd w:val="0"/>
              <w:snapToGrid w:val="0"/>
              <w:jc w:val="left"/>
              <w:rPr>
                <w:rFonts w:hint="default" w:ascii="宋体" w:hAnsi="宋体" w:eastAsia="宋体"/>
                <w:color w:val="auto"/>
                <w:szCs w:val="21"/>
                <w:highlight w:val="none"/>
                <w:lang w:val="en-US" w:eastAsia="zh-CN"/>
              </w:rPr>
            </w:pPr>
          </w:p>
        </w:tc>
      </w:tr>
    </w:tbl>
    <w:p w14:paraId="273AC562">
      <w:pPr>
        <w:rPr>
          <w:color w:val="auto"/>
          <w:highlight w:val="none"/>
        </w:rPr>
      </w:pPr>
    </w:p>
    <w:p w14:paraId="7360A251">
      <w:pPr>
        <w:rPr>
          <w:color w:val="auto"/>
          <w:highlight w:val="none"/>
        </w:rPr>
      </w:pPr>
    </w:p>
    <w:p w14:paraId="59C8CB5D">
      <w:pPr>
        <w:rPr>
          <w:color w:val="auto"/>
          <w:highlight w:val="none"/>
          <w:lang w:val="zh-CN"/>
        </w:rPr>
      </w:pPr>
    </w:p>
    <w:p w14:paraId="707E4722">
      <w:pPr>
        <w:rPr>
          <w:color w:val="auto"/>
          <w:highlight w:val="none"/>
        </w:rPr>
        <w:sectPr>
          <w:pgSz w:w="11906" w:h="16838"/>
          <w:pgMar w:top="1440" w:right="1800" w:bottom="1440" w:left="1800" w:header="851" w:footer="992" w:gutter="0"/>
          <w:pgNumType w:fmt="numberInDash"/>
          <w:cols w:space="425" w:num="1"/>
          <w:docGrid w:type="lines" w:linePitch="312" w:charSpace="0"/>
        </w:sectPr>
      </w:pPr>
    </w:p>
    <w:p w14:paraId="25B1FD2B">
      <w:pPr>
        <w:pStyle w:val="2"/>
        <w:numPr>
          <w:ilvl w:val="0"/>
          <w:numId w:val="0"/>
        </w:numPr>
        <w:jc w:val="both"/>
        <w:rPr>
          <w:rFonts w:hint="eastAsia" w:ascii="宋体" w:hAnsi="宋体" w:eastAsia="黑体" w:cstheme="minorBidi"/>
          <w:b/>
          <w:bCs/>
          <w:color w:val="auto"/>
          <w:kern w:val="44"/>
          <w:sz w:val="44"/>
          <w:szCs w:val="44"/>
          <w:highlight w:val="none"/>
          <w:lang w:val="en-US" w:eastAsia="zh-CN" w:bidi="ar-SA"/>
        </w:rPr>
      </w:pPr>
    </w:p>
    <w:p w14:paraId="1EBBB031">
      <w:pPr>
        <w:pStyle w:val="2"/>
        <w:numPr>
          <w:ilvl w:val="0"/>
          <w:numId w:val="0"/>
        </w:numPr>
        <w:ind w:left="420" w:leftChars="0" w:hanging="420" w:firstLineChars="0"/>
        <w:rPr>
          <w:rFonts w:hint="eastAsia" w:ascii="宋体" w:hAnsi="宋体" w:eastAsia="宋体" w:cs="宋体"/>
          <w:color w:val="auto"/>
          <w:sz w:val="36"/>
          <w:szCs w:val="36"/>
          <w:highlight w:val="none"/>
        </w:rPr>
      </w:pPr>
      <w:bookmarkStart w:id="527" w:name="_Toc3807"/>
      <w:r>
        <w:rPr>
          <w:rFonts w:hint="eastAsia" w:ascii="宋体" w:hAnsi="宋体" w:eastAsia="宋体" w:cs="宋体"/>
          <w:b/>
          <w:bCs/>
          <w:color w:val="auto"/>
          <w:kern w:val="44"/>
          <w:sz w:val="36"/>
          <w:szCs w:val="36"/>
          <w:highlight w:val="none"/>
          <w:lang w:val="en-US" w:eastAsia="zh-CN" w:bidi="ar-SA"/>
        </w:rPr>
        <w:t xml:space="preserve">第六章 </w:t>
      </w:r>
      <w:r>
        <w:rPr>
          <w:rFonts w:hint="eastAsia" w:ascii="宋体" w:hAnsi="宋体" w:eastAsia="宋体" w:cs="宋体"/>
          <w:color w:val="auto"/>
          <w:sz w:val="36"/>
          <w:szCs w:val="36"/>
          <w:highlight w:val="none"/>
        </w:rPr>
        <w:t>响应文件的格式</w:t>
      </w:r>
      <w:bookmarkEnd w:id="527"/>
    </w:p>
    <w:p w14:paraId="6EC4C082">
      <w:pPr>
        <w:ind w:firstLine="480" w:firstLineChars="200"/>
        <w:rPr>
          <w:rFonts w:hint="eastAsia" w:cs="仿宋_GB2312"/>
          <w:color w:val="auto"/>
          <w:highlight w:val="none"/>
          <w:lang w:val="zh-CN"/>
        </w:rPr>
      </w:pPr>
    </w:p>
    <w:p w14:paraId="66F9DB6D">
      <w:pPr>
        <w:ind w:firstLine="480" w:firstLineChars="200"/>
        <w:rPr>
          <w:rFonts w:hint="eastAsia" w:cs="仿宋_GB2312"/>
          <w:color w:val="auto"/>
          <w:highlight w:val="none"/>
          <w:lang w:val="zh-CN"/>
        </w:rPr>
      </w:pPr>
    </w:p>
    <w:p w14:paraId="0F1E5057">
      <w:pPr>
        <w:ind w:firstLine="480" w:firstLineChars="200"/>
        <w:rPr>
          <w:rFonts w:hint="eastAsia" w:cs="仿宋_GB2312"/>
          <w:color w:val="auto"/>
          <w:highlight w:val="none"/>
          <w:lang w:val="zh-CN"/>
        </w:rPr>
      </w:pPr>
    </w:p>
    <w:p w14:paraId="02C1CDE2">
      <w:pPr>
        <w:ind w:firstLine="480" w:firstLineChars="200"/>
        <w:rPr>
          <w:rFonts w:hint="eastAsia" w:cs="仿宋_GB2312"/>
          <w:color w:val="auto"/>
          <w:highlight w:val="none"/>
          <w:lang w:val="zh-CN"/>
        </w:rPr>
      </w:pPr>
    </w:p>
    <w:p w14:paraId="5FD4F8BE">
      <w:pPr>
        <w:ind w:firstLine="480" w:firstLineChars="200"/>
        <w:rPr>
          <w:rFonts w:hint="eastAsia" w:cs="仿宋_GB2312"/>
          <w:color w:val="auto"/>
          <w:highlight w:val="none"/>
          <w:lang w:val="zh-CN"/>
        </w:rPr>
      </w:pPr>
    </w:p>
    <w:p w14:paraId="40FD170D">
      <w:pPr>
        <w:ind w:firstLine="480" w:firstLineChars="200"/>
        <w:rPr>
          <w:rFonts w:hint="eastAsia" w:cs="仿宋_GB2312"/>
          <w:color w:val="auto"/>
          <w:highlight w:val="none"/>
          <w:lang w:val="zh-CN"/>
        </w:rPr>
      </w:pPr>
    </w:p>
    <w:p w14:paraId="333C12D2">
      <w:pPr>
        <w:ind w:firstLine="480" w:firstLineChars="200"/>
        <w:rPr>
          <w:rFonts w:hint="eastAsia" w:cs="仿宋_GB2312"/>
          <w:color w:val="auto"/>
          <w:highlight w:val="none"/>
          <w:lang w:val="zh-CN"/>
        </w:rPr>
      </w:pPr>
    </w:p>
    <w:p w14:paraId="0DC5F5FB">
      <w:pPr>
        <w:ind w:firstLine="480" w:firstLineChars="200"/>
        <w:rPr>
          <w:rFonts w:hint="eastAsia" w:cs="仿宋_GB2312"/>
          <w:color w:val="auto"/>
          <w:highlight w:val="none"/>
          <w:lang w:val="zh-CN"/>
        </w:rPr>
      </w:pPr>
    </w:p>
    <w:p w14:paraId="7D5CE0DF">
      <w:pPr>
        <w:ind w:firstLine="480" w:firstLineChars="200"/>
        <w:rPr>
          <w:rFonts w:hint="eastAsia" w:cs="仿宋_GB2312"/>
          <w:color w:val="auto"/>
          <w:highlight w:val="none"/>
          <w:lang w:val="zh-CN"/>
        </w:rPr>
      </w:pPr>
    </w:p>
    <w:p w14:paraId="226FEC9F">
      <w:pPr>
        <w:ind w:firstLine="480" w:firstLineChars="200"/>
        <w:rPr>
          <w:rFonts w:hint="eastAsia" w:cs="仿宋_GB2312"/>
          <w:color w:val="auto"/>
          <w:highlight w:val="none"/>
          <w:lang w:val="zh-CN"/>
        </w:rPr>
      </w:pPr>
    </w:p>
    <w:p w14:paraId="3B193948">
      <w:pPr>
        <w:ind w:firstLine="480" w:firstLineChars="200"/>
        <w:rPr>
          <w:rFonts w:hint="eastAsia" w:cs="仿宋_GB2312"/>
          <w:color w:val="auto"/>
          <w:highlight w:val="none"/>
          <w:lang w:val="zh-CN"/>
        </w:rPr>
      </w:pPr>
    </w:p>
    <w:p w14:paraId="25528327">
      <w:pPr>
        <w:ind w:firstLine="480" w:firstLineChars="200"/>
        <w:rPr>
          <w:rFonts w:hint="eastAsia" w:cs="仿宋_GB2312"/>
          <w:color w:val="auto"/>
          <w:highlight w:val="none"/>
          <w:lang w:val="zh-CN"/>
        </w:rPr>
      </w:pPr>
    </w:p>
    <w:p w14:paraId="6F2846A3">
      <w:pPr>
        <w:ind w:firstLine="480" w:firstLineChars="200"/>
        <w:rPr>
          <w:rFonts w:hint="eastAsia" w:cs="仿宋_GB2312"/>
          <w:color w:val="auto"/>
          <w:highlight w:val="none"/>
          <w:lang w:val="zh-CN"/>
        </w:rPr>
      </w:pPr>
    </w:p>
    <w:p w14:paraId="6D7EA01B">
      <w:pPr>
        <w:ind w:firstLine="480" w:firstLineChars="200"/>
        <w:rPr>
          <w:rFonts w:hint="eastAsia" w:cs="仿宋_GB2312"/>
          <w:color w:val="auto"/>
          <w:highlight w:val="none"/>
          <w:lang w:val="zh-CN"/>
        </w:rPr>
      </w:pPr>
    </w:p>
    <w:p w14:paraId="1FA1C6E4">
      <w:pPr>
        <w:ind w:firstLine="480" w:firstLineChars="200"/>
        <w:rPr>
          <w:rFonts w:hint="eastAsia" w:cs="仿宋_GB2312"/>
          <w:color w:val="auto"/>
          <w:highlight w:val="none"/>
          <w:lang w:val="zh-CN"/>
        </w:rPr>
      </w:pPr>
    </w:p>
    <w:p w14:paraId="7080018F">
      <w:pPr>
        <w:ind w:firstLine="480" w:firstLineChars="200"/>
        <w:rPr>
          <w:rFonts w:hint="eastAsia" w:cs="仿宋_GB2312"/>
          <w:color w:val="auto"/>
          <w:highlight w:val="none"/>
          <w:lang w:val="zh-CN"/>
        </w:rPr>
      </w:pPr>
    </w:p>
    <w:p w14:paraId="4B79049E">
      <w:pPr>
        <w:ind w:firstLine="480" w:firstLineChars="200"/>
        <w:rPr>
          <w:rFonts w:hint="eastAsia" w:cs="仿宋_GB2312"/>
          <w:color w:val="auto"/>
          <w:highlight w:val="none"/>
          <w:lang w:val="zh-CN"/>
        </w:rPr>
      </w:pPr>
    </w:p>
    <w:p w14:paraId="690F05F4">
      <w:pPr>
        <w:ind w:firstLine="480" w:firstLineChars="200"/>
        <w:rPr>
          <w:rFonts w:hint="eastAsia" w:cs="仿宋_GB2312"/>
          <w:color w:val="auto"/>
          <w:highlight w:val="none"/>
          <w:lang w:val="zh-CN"/>
        </w:rPr>
      </w:pPr>
    </w:p>
    <w:p w14:paraId="6ED94B89">
      <w:pPr>
        <w:ind w:firstLine="480" w:firstLineChars="200"/>
        <w:rPr>
          <w:rFonts w:hint="eastAsia" w:cs="仿宋_GB2312"/>
          <w:color w:val="auto"/>
          <w:highlight w:val="none"/>
          <w:lang w:val="zh-CN"/>
        </w:rPr>
      </w:pPr>
    </w:p>
    <w:p w14:paraId="7DE59651">
      <w:pPr>
        <w:ind w:firstLine="480" w:firstLineChars="200"/>
        <w:rPr>
          <w:rFonts w:hint="eastAsia" w:cs="仿宋_GB2312"/>
          <w:color w:val="auto"/>
          <w:highlight w:val="none"/>
          <w:lang w:val="zh-CN"/>
        </w:rPr>
      </w:pPr>
    </w:p>
    <w:p w14:paraId="0D899E1D">
      <w:pPr>
        <w:ind w:firstLine="480" w:firstLineChars="200"/>
        <w:rPr>
          <w:rFonts w:hint="eastAsia" w:cs="仿宋_GB2312"/>
          <w:color w:val="auto"/>
          <w:highlight w:val="none"/>
          <w:lang w:val="zh-CN"/>
        </w:rPr>
      </w:pPr>
    </w:p>
    <w:p w14:paraId="6EA0DF60">
      <w:pPr>
        <w:ind w:firstLine="480" w:firstLineChars="200"/>
        <w:rPr>
          <w:rFonts w:hint="eastAsia" w:cs="仿宋_GB2312"/>
          <w:color w:val="auto"/>
          <w:highlight w:val="none"/>
          <w:lang w:val="zh-CN"/>
        </w:rPr>
      </w:pPr>
    </w:p>
    <w:p w14:paraId="0EAD2D3B">
      <w:pPr>
        <w:ind w:firstLine="480" w:firstLineChars="200"/>
        <w:rPr>
          <w:rFonts w:hint="eastAsia" w:cs="仿宋_GB2312"/>
          <w:color w:val="auto"/>
          <w:highlight w:val="none"/>
          <w:lang w:val="zh-CN"/>
        </w:rPr>
      </w:pPr>
    </w:p>
    <w:p w14:paraId="470AE675">
      <w:pPr>
        <w:ind w:firstLine="480" w:firstLineChars="200"/>
        <w:rPr>
          <w:rFonts w:hint="eastAsia" w:cs="仿宋_GB2312"/>
          <w:color w:val="auto"/>
          <w:highlight w:val="none"/>
          <w:lang w:val="zh-CN"/>
        </w:rPr>
      </w:pPr>
    </w:p>
    <w:p w14:paraId="3D40132F">
      <w:pPr>
        <w:ind w:firstLine="480" w:firstLineChars="200"/>
        <w:rPr>
          <w:rFonts w:hint="eastAsia" w:cs="仿宋_GB2312"/>
          <w:color w:val="auto"/>
          <w:szCs w:val="24"/>
          <w:highlight w:val="none"/>
          <w:lang w:val="zh-CN"/>
        </w:rPr>
      </w:pPr>
    </w:p>
    <w:p w14:paraId="6DC90E3C">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202803F7">
      <w:pPr>
        <w:autoSpaceDE w:val="0"/>
        <w:autoSpaceDN w:val="0"/>
        <w:adjustRightInd w:val="0"/>
        <w:rPr>
          <w:color w:val="auto"/>
          <w:sz w:val="21"/>
          <w:szCs w:val="24"/>
          <w:highlight w:val="none"/>
        </w:rPr>
      </w:pPr>
    </w:p>
    <w:p w14:paraId="73B11C8A">
      <w:pPr>
        <w:autoSpaceDE w:val="0"/>
        <w:autoSpaceDN w:val="0"/>
        <w:adjustRightInd w:val="0"/>
        <w:rPr>
          <w:color w:val="auto"/>
          <w:sz w:val="21"/>
          <w:szCs w:val="24"/>
          <w:highlight w:val="none"/>
        </w:rPr>
      </w:pPr>
    </w:p>
    <w:p w14:paraId="36DF3F4E">
      <w:pPr>
        <w:autoSpaceDE w:val="0"/>
        <w:autoSpaceDN w:val="0"/>
        <w:adjustRightInd w:val="0"/>
        <w:jc w:val="center"/>
        <w:rPr>
          <w:color w:val="auto"/>
          <w:sz w:val="21"/>
          <w:szCs w:val="24"/>
          <w:highlight w:val="none"/>
        </w:rPr>
      </w:pPr>
    </w:p>
    <w:p w14:paraId="336E03FA">
      <w:pPr>
        <w:pStyle w:val="3"/>
        <w:bidi w:val="0"/>
        <w:jc w:val="center"/>
        <w:rPr>
          <w:sz w:val="72"/>
          <w:szCs w:val="72"/>
          <w:highlight w:val="none"/>
        </w:rPr>
      </w:pPr>
      <w:bookmarkStart w:id="528" w:name="_Toc15252"/>
      <w:r>
        <w:rPr>
          <w:rFonts w:hint="eastAsia"/>
          <w:sz w:val="72"/>
          <w:szCs w:val="72"/>
          <w:highlight w:val="none"/>
          <w:lang w:val="en-US" w:eastAsia="zh-CN"/>
        </w:rPr>
        <w:t>响</w:t>
      </w:r>
      <w:r>
        <w:rPr>
          <w:rFonts w:hint="eastAsia"/>
          <w:sz w:val="72"/>
          <w:szCs w:val="72"/>
          <w:highlight w:val="none"/>
        </w:rPr>
        <w:t xml:space="preserve"> </w:t>
      </w:r>
      <w:r>
        <w:rPr>
          <w:rFonts w:hint="eastAsia"/>
          <w:sz w:val="72"/>
          <w:szCs w:val="72"/>
          <w:highlight w:val="none"/>
          <w:lang w:val="en-US" w:eastAsia="zh-CN"/>
        </w:rPr>
        <w:t>应</w:t>
      </w:r>
      <w:r>
        <w:rPr>
          <w:rFonts w:hint="eastAsia"/>
          <w:sz w:val="72"/>
          <w:szCs w:val="72"/>
          <w:highlight w:val="none"/>
        </w:rPr>
        <w:t xml:space="preserve"> 文 件</w:t>
      </w:r>
      <w:bookmarkEnd w:id="528"/>
    </w:p>
    <w:p w14:paraId="7053976A">
      <w:pPr>
        <w:pStyle w:val="3"/>
        <w:bidi w:val="0"/>
        <w:jc w:val="center"/>
        <w:rPr>
          <w:sz w:val="56"/>
          <w:szCs w:val="56"/>
          <w:highlight w:val="none"/>
        </w:rPr>
      </w:pPr>
      <w:bookmarkStart w:id="529" w:name="_Toc21528"/>
      <w:r>
        <w:rPr>
          <w:rFonts w:hint="eastAsia"/>
          <w:sz w:val="56"/>
          <w:szCs w:val="56"/>
          <w:highlight w:val="none"/>
        </w:rPr>
        <w:t>资格证明文件</w:t>
      </w:r>
      <w:bookmarkEnd w:id="529"/>
    </w:p>
    <w:p w14:paraId="11B2218D">
      <w:pPr>
        <w:autoSpaceDE w:val="0"/>
        <w:autoSpaceDN w:val="0"/>
        <w:adjustRightInd w:val="0"/>
        <w:rPr>
          <w:b/>
          <w:bCs/>
          <w:color w:val="auto"/>
          <w:sz w:val="22"/>
          <w:highlight w:val="none"/>
        </w:rPr>
      </w:pPr>
    </w:p>
    <w:p w14:paraId="7EDE7CD9">
      <w:pPr>
        <w:autoSpaceDE w:val="0"/>
        <w:autoSpaceDN w:val="0"/>
        <w:adjustRightInd w:val="0"/>
        <w:rPr>
          <w:color w:val="auto"/>
          <w:sz w:val="21"/>
          <w:szCs w:val="21"/>
          <w:highlight w:val="none"/>
        </w:rPr>
      </w:pPr>
    </w:p>
    <w:p w14:paraId="24FE86C5">
      <w:pPr>
        <w:autoSpaceDE w:val="0"/>
        <w:autoSpaceDN w:val="0"/>
        <w:adjustRightInd w:val="0"/>
        <w:rPr>
          <w:color w:val="auto"/>
          <w:sz w:val="21"/>
          <w:szCs w:val="21"/>
          <w:highlight w:val="none"/>
        </w:rPr>
      </w:pPr>
    </w:p>
    <w:p w14:paraId="42DB1859">
      <w:pPr>
        <w:pStyle w:val="3"/>
        <w:rPr>
          <w:color w:val="auto"/>
          <w:highlight w:val="none"/>
        </w:rPr>
      </w:pPr>
    </w:p>
    <w:p w14:paraId="30EB22E6">
      <w:pPr>
        <w:autoSpaceDE w:val="0"/>
        <w:autoSpaceDN w:val="0"/>
        <w:adjustRightInd w:val="0"/>
        <w:rPr>
          <w:color w:val="auto"/>
          <w:sz w:val="21"/>
          <w:szCs w:val="21"/>
          <w:highlight w:val="none"/>
        </w:rPr>
      </w:pPr>
    </w:p>
    <w:p w14:paraId="0D158554">
      <w:pPr>
        <w:autoSpaceDE w:val="0"/>
        <w:autoSpaceDN w:val="0"/>
        <w:adjustRightInd w:val="0"/>
        <w:rPr>
          <w:color w:val="auto"/>
          <w:sz w:val="21"/>
          <w:szCs w:val="21"/>
          <w:highlight w:val="none"/>
        </w:rPr>
      </w:pPr>
    </w:p>
    <w:p w14:paraId="01B855BF">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7E0530D8">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4281C2EA">
      <w:pPr>
        <w:ind w:left="420" w:leftChars="175"/>
        <w:rPr>
          <w:rFonts w:hint="eastAsia" w:ascii="宋体" w:hAnsi="宋体" w:eastAsia="宋体" w:cs="宋体"/>
          <w:color w:val="auto"/>
          <w:sz w:val="36"/>
          <w:szCs w:val="36"/>
          <w:highlight w:val="none"/>
        </w:rPr>
      </w:pPr>
      <w:r>
        <w:rPr>
          <w:rFonts w:hint="eastAsia" w:cs="宋体"/>
          <w:color w:val="auto"/>
          <w:sz w:val="36"/>
          <w:szCs w:val="36"/>
          <w:highlight w:val="none"/>
          <w:lang w:val="en-US" w:eastAsia="zh-CN"/>
        </w:rPr>
        <w:t>供 应 商</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7DB2DE4">
      <w:pPr>
        <w:ind w:left="840" w:firstLine="420"/>
        <w:rPr>
          <w:b/>
          <w:bCs/>
          <w:color w:val="auto"/>
          <w:sz w:val="28"/>
          <w:szCs w:val="28"/>
          <w:highlight w:val="none"/>
        </w:rPr>
      </w:pPr>
    </w:p>
    <w:p w14:paraId="1D6D546F">
      <w:pPr>
        <w:ind w:left="840" w:firstLine="420"/>
        <w:rPr>
          <w:b/>
          <w:bCs/>
          <w:color w:val="auto"/>
          <w:sz w:val="28"/>
          <w:szCs w:val="28"/>
          <w:highlight w:val="none"/>
        </w:rPr>
      </w:pPr>
    </w:p>
    <w:p w14:paraId="167EF277">
      <w:pPr>
        <w:ind w:left="840" w:firstLine="420"/>
        <w:rPr>
          <w:b/>
          <w:bCs/>
          <w:color w:val="auto"/>
          <w:sz w:val="28"/>
          <w:szCs w:val="28"/>
          <w:highlight w:val="none"/>
        </w:rPr>
      </w:pPr>
    </w:p>
    <w:p w14:paraId="44B4D6D4">
      <w:pPr>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39BD53E8">
      <w:pPr>
        <w:jc w:val="center"/>
        <w:rPr>
          <w:b/>
          <w:bCs/>
          <w:color w:val="auto"/>
          <w:sz w:val="28"/>
          <w:szCs w:val="28"/>
          <w:highlight w:val="none"/>
        </w:rPr>
      </w:pPr>
      <w:r>
        <w:rPr>
          <w:b/>
          <w:bCs/>
          <w:color w:val="auto"/>
          <w:sz w:val="28"/>
          <w:szCs w:val="28"/>
          <w:highlight w:val="none"/>
        </w:rPr>
        <w:br w:type="page"/>
      </w:r>
    </w:p>
    <w:p w14:paraId="6DBE2CDA">
      <w:pPr>
        <w:rPr>
          <w:color w:val="auto"/>
          <w:highlight w:val="none"/>
          <w:lang w:val="zh-CN"/>
        </w:rPr>
      </w:pPr>
      <w:bookmarkStart w:id="530" w:name="_Toc155185928"/>
      <w:bookmarkStart w:id="531" w:name="_Toc163492922"/>
      <w:bookmarkStart w:id="532" w:name="_Toc163493643"/>
    </w:p>
    <w:p w14:paraId="1582779F">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533" w:name="_Toc5971"/>
      <w:bookmarkStart w:id="534" w:name="_Toc155185927"/>
      <w:r>
        <w:rPr>
          <w:rFonts w:hint="eastAsia" w:eastAsia="宋体" w:asciiTheme="majorHAnsi" w:hAnsiTheme="majorHAnsi" w:cstheme="majorBidi"/>
          <w:b/>
          <w:bCs/>
          <w:color w:val="auto"/>
          <w:kern w:val="2"/>
          <w:sz w:val="28"/>
          <w:szCs w:val="28"/>
          <w:highlight w:val="none"/>
          <w:lang w:val="en-US" w:eastAsia="zh-CN" w:bidi="ar-SA"/>
        </w:rPr>
        <w:t>一、满足《中华人民共和国政府采购法》第二十二条规定</w:t>
      </w:r>
      <w:bookmarkEnd w:id="533"/>
    </w:p>
    <w:bookmarkEnd w:id="534"/>
    <w:p w14:paraId="6B7B06FF">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（一）法人、其他组织或者自然人的证明文件</w:t>
      </w:r>
    </w:p>
    <w:p w14:paraId="18B0578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1、供应商</w:t>
      </w:r>
      <w:r>
        <w:rPr>
          <w:rFonts w:hint="eastAsia" w:ascii="宋体" w:hAnsi="宋体" w:eastAsia="宋体" w:cs="宋体"/>
          <w:b w:val="0"/>
          <w:bCs w:val="0"/>
          <w:color w:val="auto"/>
          <w:kern w:val="0"/>
          <w:sz w:val="24"/>
          <w:szCs w:val="24"/>
          <w:highlight w:val="none"/>
          <w:lang w:val="en-US" w:eastAsia="zh-CN"/>
        </w:rPr>
        <w:t>为企业（包括合伙企业）的，应提供有效的“营业执照”；</w:t>
      </w:r>
    </w:p>
    <w:p w14:paraId="1D91F81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2、供应商</w:t>
      </w:r>
      <w:r>
        <w:rPr>
          <w:rFonts w:hint="eastAsia" w:ascii="宋体" w:hAnsi="宋体" w:eastAsia="宋体" w:cs="宋体"/>
          <w:b w:val="0"/>
          <w:bCs w:val="0"/>
          <w:color w:val="auto"/>
          <w:kern w:val="0"/>
          <w:sz w:val="24"/>
          <w:szCs w:val="24"/>
          <w:highlight w:val="none"/>
          <w:lang w:val="en-US" w:eastAsia="zh-CN"/>
        </w:rPr>
        <w:t>为事业单位的，应提供有效的“事业单位法人证书”；</w:t>
      </w:r>
    </w:p>
    <w:p w14:paraId="11EBB2B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3、供应商</w:t>
      </w:r>
      <w:r>
        <w:rPr>
          <w:rFonts w:hint="eastAsia" w:ascii="宋体" w:hAnsi="宋体" w:eastAsia="宋体" w:cs="宋体"/>
          <w:b w:val="0"/>
          <w:bCs w:val="0"/>
          <w:color w:val="auto"/>
          <w:kern w:val="0"/>
          <w:sz w:val="24"/>
          <w:szCs w:val="24"/>
          <w:highlight w:val="none"/>
          <w:lang w:val="en-US" w:eastAsia="zh-CN"/>
        </w:rPr>
        <w:t>为非企业机构的，应提供有效的“执业许可证”、“登记证书”等证明文件；</w:t>
      </w:r>
    </w:p>
    <w:p w14:paraId="783D095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4、供应商</w:t>
      </w:r>
      <w:r>
        <w:rPr>
          <w:rFonts w:hint="eastAsia" w:ascii="宋体" w:hAnsi="宋体" w:eastAsia="宋体" w:cs="宋体"/>
          <w:b w:val="0"/>
          <w:bCs w:val="0"/>
          <w:color w:val="auto"/>
          <w:kern w:val="0"/>
          <w:sz w:val="24"/>
          <w:szCs w:val="24"/>
          <w:highlight w:val="none"/>
          <w:lang w:val="en-US" w:eastAsia="zh-CN"/>
        </w:rPr>
        <w:t>是个体工商户的，应提供有效的“个体工商户营业执照”；</w:t>
      </w:r>
    </w:p>
    <w:p w14:paraId="1C5E4BB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5、供应商</w:t>
      </w:r>
      <w:r>
        <w:rPr>
          <w:rFonts w:hint="eastAsia" w:ascii="宋体" w:hAnsi="宋体" w:eastAsia="宋体" w:cs="宋体"/>
          <w:b w:val="0"/>
          <w:bCs w:val="0"/>
          <w:color w:val="auto"/>
          <w:kern w:val="0"/>
          <w:sz w:val="24"/>
          <w:szCs w:val="24"/>
          <w:highlight w:val="none"/>
          <w:lang w:val="en-US" w:eastAsia="zh-CN"/>
        </w:rPr>
        <w:t>是自然人的，应提供有效的自然人身份证明。</w:t>
      </w:r>
    </w:p>
    <w:p w14:paraId="77687BE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p>
    <w:p w14:paraId="128F3677">
      <w:pP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br w:type="page"/>
      </w:r>
    </w:p>
    <w:bookmarkEnd w:id="530"/>
    <w:bookmarkEnd w:id="531"/>
    <w:p w14:paraId="69A95AD2">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0" w:leftChars="0" w:firstLine="0" w:firstLineChars="0"/>
        <w:textAlignment w:val="auto"/>
        <w:rPr>
          <w:rFonts w:hint="eastAsia" w:eastAsia="宋体" w:cstheme="majorBidi"/>
          <w:b/>
          <w:bCs/>
          <w:color w:val="auto"/>
          <w:kern w:val="2"/>
          <w:sz w:val="24"/>
          <w:szCs w:val="24"/>
          <w:highlight w:val="none"/>
          <w:lang w:val="en-US" w:eastAsia="zh-CN" w:bidi="ar-SA"/>
        </w:rPr>
      </w:pPr>
      <w:bookmarkStart w:id="535" w:name="_Toc11577"/>
      <w:bookmarkStart w:id="536" w:name="_Toc25463"/>
      <w:r>
        <w:rPr>
          <w:rFonts w:hint="eastAsia" w:eastAsia="宋体" w:cstheme="majorBidi"/>
          <w:b/>
          <w:bCs/>
          <w:color w:val="auto"/>
          <w:kern w:val="2"/>
          <w:sz w:val="24"/>
          <w:szCs w:val="24"/>
          <w:highlight w:val="none"/>
          <w:lang w:val="en-US" w:eastAsia="zh-CN" w:bidi="ar-SA"/>
        </w:rPr>
        <w:t>（二）兵团政府采购供应商信用承诺函</w:t>
      </w:r>
      <w:bookmarkEnd w:id="535"/>
      <w:bookmarkEnd w:id="536"/>
    </w:p>
    <w:p w14:paraId="149786FB">
      <w:pPr>
        <w:spacing w:line="5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单位名称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自然人姓名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48FFA3C0">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统一社会信用代码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身份证号码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7DA4A26F">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负责人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2565F5FE">
      <w:pPr>
        <w:spacing w:line="560" w:lineRule="exact"/>
        <w:ind w:firstLine="480" w:firstLineChars="200"/>
        <w:rPr>
          <w:rFonts w:hint="eastAsia" w:ascii="宋体" w:hAnsi="宋体" w:eastAsia="宋体" w:cs="宋体"/>
          <w:color w:val="auto"/>
          <w:kern w:val="0"/>
          <w:sz w:val="24"/>
          <w:szCs w:val="24"/>
          <w:highlight w:val="none"/>
        </w:rPr>
      </w:pPr>
    </w:p>
    <w:p w14:paraId="39CDD6B5">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 xml:space="preserve">自愿参加本次政府采购活动，严格遵守《中华人民共和国政府采购法》及相关法律法规，坚守公开、公平、公正和诚实信用等原则，依法诚信经营，并郑重承诺：    </w:t>
      </w:r>
    </w:p>
    <w:p w14:paraId="15BD2674">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符合《中华人民共和国政府采购法》第二十二条规定：</w:t>
      </w:r>
    </w:p>
    <w:p w14:paraId="3218A359">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具有独立承担民事责任的能力;</w:t>
      </w:r>
    </w:p>
    <w:p w14:paraId="036C60EA">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（二）</w:t>
      </w:r>
      <w:r>
        <w:rPr>
          <w:rFonts w:hint="eastAsia" w:ascii="宋体" w:hAnsi="宋体" w:eastAsia="宋体" w:cs="宋体"/>
          <w:color w:val="auto"/>
          <w:kern w:val="0"/>
          <w:sz w:val="24"/>
          <w:szCs w:val="24"/>
          <w:highlight w:val="none"/>
        </w:rPr>
        <w:t>具有良好的商业信誉和健全的财务会计制度;</w:t>
      </w:r>
    </w:p>
    <w:p w14:paraId="32BE9145">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（三）</w:t>
      </w:r>
      <w:r>
        <w:rPr>
          <w:rFonts w:hint="eastAsia" w:ascii="宋体" w:hAnsi="宋体" w:eastAsia="宋体" w:cs="宋体"/>
          <w:color w:val="auto"/>
          <w:kern w:val="0"/>
          <w:sz w:val="24"/>
          <w:szCs w:val="24"/>
          <w:highlight w:val="none"/>
        </w:rPr>
        <w:t>具有履行合同所必需的设备和专业技术能力;</w:t>
      </w:r>
    </w:p>
    <w:p w14:paraId="5C988BD2">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（四）</w:t>
      </w:r>
      <w:r>
        <w:rPr>
          <w:rFonts w:hint="eastAsia" w:ascii="宋体" w:hAnsi="宋体" w:eastAsia="宋体" w:cs="宋体"/>
          <w:color w:val="auto"/>
          <w:kern w:val="0"/>
          <w:sz w:val="24"/>
          <w:szCs w:val="24"/>
          <w:highlight w:val="none"/>
        </w:rPr>
        <w:t>有依法缴纳税收和社会保障资金的良好记录;</w:t>
      </w:r>
    </w:p>
    <w:p w14:paraId="64311F89">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（五）</w:t>
      </w:r>
      <w:r>
        <w:rPr>
          <w:rFonts w:hint="eastAsia" w:ascii="宋体" w:hAnsi="宋体" w:eastAsia="宋体" w:cs="宋体"/>
          <w:color w:val="auto"/>
          <w:kern w:val="0"/>
          <w:sz w:val="24"/>
          <w:szCs w:val="24"/>
          <w:highlight w:val="none"/>
        </w:rPr>
        <w:t>参加政府采购活动前三年内，在经营活动中没有重大违法记录;</w:t>
      </w:r>
    </w:p>
    <w:p w14:paraId="09591AFC">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（六）</w:t>
      </w:r>
      <w:r>
        <w:rPr>
          <w:rFonts w:hint="eastAsia" w:ascii="宋体" w:hAnsi="宋体" w:eastAsia="宋体" w:cs="宋体"/>
          <w:color w:val="auto"/>
          <w:kern w:val="0"/>
          <w:sz w:val="24"/>
          <w:szCs w:val="24"/>
          <w:highlight w:val="none"/>
        </w:rPr>
        <w:t>符合法律、行政法规规定的其他条件。</w:t>
      </w:r>
    </w:p>
    <w:p w14:paraId="1BA808C2">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未被列入严重违法失信名单、失信被执行人</w:t>
      </w:r>
      <w:r>
        <w:rPr>
          <w:rFonts w:hint="eastAsia" w:ascii="宋体" w:hAnsi="宋体" w:eastAsia="宋体" w:cs="宋体"/>
          <w:color w:val="auto"/>
          <w:kern w:val="0"/>
          <w:sz w:val="24"/>
          <w:szCs w:val="24"/>
          <w:highlight w:val="none"/>
          <w:lang w:eastAsia="zh-CN"/>
        </w:rPr>
        <w:t>名单</w:t>
      </w:r>
      <w:r>
        <w:rPr>
          <w:rFonts w:hint="eastAsia" w:ascii="宋体" w:hAnsi="宋体" w:eastAsia="宋体" w:cs="宋体"/>
          <w:color w:val="auto"/>
          <w:kern w:val="0"/>
          <w:sz w:val="24"/>
          <w:szCs w:val="24"/>
          <w:highlight w:val="none"/>
        </w:rPr>
        <w:t>、重大税收违法案件当事人名单、政府采购严重违法失信行为记录名</w:t>
      </w:r>
      <w:r>
        <w:rPr>
          <w:rFonts w:hint="eastAsia" w:ascii="宋体" w:hAnsi="宋体" w:eastAsia="宋体" w:cs="宋体"/>
          <w:color w:val="auto"/>
          <w:kern w:val="0"/>
          <w:sz w:val="24"/>
          <w:szCs w:val="24"/>
          <w:highlight w:val="none"/>
          <w:lang w:eastAsia="zh-CN"/>
        </w:rPr>
        <w:t>单</w:t>
      </w:r>
      <w:r>
        <w:rPr>
          <w:rFonts w:hint="eastAsia" w:ascii="宋体" w:hAnsi="宋体" w:eastAsia="宋体" w:cs="宋体"/>
          <w:color w:val="auto"/>
          <w:kern w:val="0"/>
          <w:sz w:val="24"/>
          <w:szCs w:val="24"/>
          <w:highlight w:val="none"/>
        </w:rPr>
        <w:t>。</w:t>
      </w:r>
    </w:p>
    <w:p w14:paraId="70127B20">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三、如果本公司（本人）有幸中标（成交），在合同签订之前，采购单位有权要求本公司（本人）提供资格证明材料原件进行核验。</w:t>
      </w:r>
    </w:p>
    <w:p w14:paraId="32445A77">
      <w:pPr>
        <w:spacing w:line="56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四、我单位</w:t>
      </w:r>
      <w:r>
        <w:rPr>
          <w:rFonts w:hint="eastAsia" w:ascii="宋体" w:hAnsi="宋体" w:eastAsia="宋体" w:cs="宋体"/>
          <w:color w:val="auto"/>
          <w:kern w:val="0"/>
          <w:sz w:val="24"/>
          <w:szCs w:val="24"/>
          <w:highlight w:val="none"/>
          <w:lang w:eastAsia="zh-CN"/>
        </w:rPr>
        <w:t>（本人）</w:t>
      </w:r>
      <w:r>
        <w:rPr>
          <w:rFonts w:hint="eastAsia" w:ascii="宋体" w:hAnsi="宋体" w:eastAsia="宋体" w:cs="宋体"/>
          <w:color w:val="auto"/>
          <w:kern w:val="0"/>
          <w:sz w:val="24"/>
          <w:szCs w:val="24"/>
          <w:highlight w:val="none"/>
        </w:rPr>
        <w:t>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57CE52DB">
      <w:pPr>
        <w:spacing w:line="560" w:lineRule="exact"/>
        <w:rPr>
          <w:rFonts w:hint="eastAsia" w:ascii="宋体" w:hAnsi="宋体" w:eastAsia="宋体" w:cs="宋体"/>
          <w:color w:val="auto"/>
          <w:kern w:val="0"/>
          <w:sz w:val="24"/>
          <w:szCs w:val="24"/>
          <w:highlight w:val="none"/>
        </w:rPr>
      </w:pPr>
    </w:p>
    <w:p w14:paraId="5883D10C">
      <w:pPr>
        <w:spacing w:line="560" w:lineRule="exact"/>
        <w:rPr>
          <w:rFonts w:hint="eastAsia" w:ascii="宋体" w:hAnsi="宋体" w:eastAsia="宋体" w:cs="宋体"/>
          <w:color w:val="auto"/>
          <w:kern w:val="0"/>
          <w:sz w:val="24"/>
          <w:szCs w:val="24"/>
          <w:highlight w:val="none"/>
        </w:rPr>
      </w:pPr>
    </w:p>
    <w:p w14:paraId="02066849">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w:t>
      </w:r>
      <w:r>
        <w:rPr>
          <w:rFonts w:hint="eastAsia" w:cs="宋体"/>
          <w:color w:val="auto"/>
          <w:kern w:val="0"/>
          <w:sz w:val="24"/>
          <w:szCs w:val="24"/>
          <w:highlight w:val="none"/>
          <w:lang w:val="en-US" w:eastAsia="zh-CN"/>
        </w:rPr>
        <w:t>名称</w:t>
      </w:r>
      <w:r>
        <w:rPr>
          <w:rFonts w:hint="eastAsia" w:ascii="宋体" w:hAnsi="宋体" w:eastAsia="宋体" w:cs="宋体"/>
          <w:color w:val="auto"/>
          <w:kern w:val="0"/>
          <w:sz w:val="24"/>
          <w:szCs w:val="24"/>
          <w:highlight w:val="none"/>
          <w:lang w:eastAsia="zh-CN"/>
        </w:rPr>
        <w:t>（</w:t>
      </w:r>
      <w:r>
        <w:rPr>
          <w:rFonts w:hint="eastAsia" w:cs="宋体"/>
          <w:color w:val="auto"/>
          <w:kern w:val="0"/>
          <w:sz w:val="24"/>
          <w:szCs w:val="24"/>
          <w:highlight w:val="none"/>
          <w:lang w:eastAsia="zh-CN"/>
        </w:rPr>
        <w:t>公章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3FCFFDCC">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w:t>
      </w:r>
      <w:r>
        <w:rPr>
          <w:rFonts w:hint="eastAsia" w:cs="宋体"/>
          <w:color w:val="auto"/>
          <w:kern w:val="0"/>
          <w:sz w:val="24"/>
          <w:szCs w:val="24"/>
          <w:highlight w:val="none"/>
          <w:lang w:eastAsia="zh-CN"/>
        </w:rPr>
        <w:t>盖章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510A1256">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1F4E790D">
      <w:pPr>
        <w:widowControl/>
        <w:spacing w:line="560" w:lineRule="exact"/>
        <w:ind w:firstLine="630"/>
        <w:jc w:val="left"/>
        <w:rPr>
          <w:rFonts w:hint="eastAsia" w:ascii="宋体" w:hAnsi="宋体" w:eastAsia="宋体" w:cs="宋体"/>
          <w:color w:val="auto"/>
          <w:kern w:val="0"/>
          <w:sz w:val="24"/>
          <w:szCs w:val="24"/>
          <w:highlight w:val="none"/>
        </w:rPr>
      </w:pPr>
    </w:p>
    <w:p w14:paraId="282D3BE6">
      <w:pPr>
        <w:rPr>
          <w:rFonts w:ascii="Arial" w:hAnsi="Arial" w:cs="Arial"/>
          <w:color w:val="auto"/>
          <w:szCs w:val="21"/>
          <w:highlight w:val="none"/>
        </w:rPr>
      </w:pPr>
      <w:r>
        <w:rPr>
          <w:rFonts w:ascii="Arial" w:hAnsi="Arial" w:cs="Arial"/>
          <w:color w:val="auto"/>
          <w:szCs w:val="21"/>
          <w:highlight w:val="none"/>
        </w:rPr>
        <w:br w:type="page"/>
      </w:r>
    </w:p>
    <w:p w14:paraId="33E55E65">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537" w:name="_Toc163492923"/>
      <w:bookmarkStart w:id="538" w:name="_Toc109900336"/>
      <w:bookmarkStart w:id="539" w:name="_Toc109899917"/>
      <w:bookmarkStart w:id="540" w:name="_Toc155185930"/>
      <w:bookmarkStart w:id="541" w:name="_Toc140132840"/>
      <w:bookmarkStart w:id="542" w:name="_Toc109899498"/>
      <w:bookmarkStart w:id="543" w:name="_Toc31477"/>
      <w:r>
        <w:rPr>
          <w:rFonts w:hint="eastAsia" w:cstheme="majorBidi"/>
          <w:b/>
          <w:bCs/>
          <w:color w:val="auto"/>
          <w:kern w:val="2"/>
          <w:sz w:val="28"/>
          <w:szCs w:val="28"/>
          <w:highlight w:val="none"/>
          <w:lang w:val="en-US" w:eastAsia="zh-CN" w:bidi="ar-SA"/>
        </w:rPr>
        <w:t>二</w:t>
      </w:r>
      <w:r>
        <w:rPr>
          <w:rFonts w:hint="eastAsia" w:eastAsia="宋体" w:asciiTheme="majorHAnsi" w:hAnsiTheme="majorHAnsi" w:cstheme="majorBidi"/>
          <w:b/>
          <w:bCs/>
          <w:color w:val="auto"/>
          <w:kern w:val="2"/>
          <w:sz w:val="28"/>
          <w:szCs w:val="28"/>
          <w:highlight w:val="none"/>
          <w:lang w:val="en-US" w:eastAsia="zh-CN" w:bidi="ar-SA"/>
        </w:rPr>
        <w:t>、</w:t>
      </w:r>
      <w:bookmarkEnd w:id="537"/>
      <w:bookmarkEnd w:id="538"/>
      <w:bookmarkEnd w:id="539"/>
      <w:bookmarkEnd w:id="540"/>
      <w:bookmarkEnd w:id="541"/>
      <w:bookmarkEnd w:id="542"/>
      <w:bookmarkStart w:id="544" w:name="_Toc155185931"/>
      <w:r>
        <w:rPr>
          <w:rFonts w:hint="eastAsia" w:eastAsia="宋体" w:asciiTheme="majorHAnsi" w:hAnsiTheme="majorHAnsi" w:cstheme="majorBidi"/>
          <w:b/>
          <w:bCs/>
          <w:color w:val="auto"/>
          <w:kern w:val="2"/>
          <w:sz w:val="28"/>
          <w:szCs w:val="28"/>
          <w:highlight w:val="none"/>
          <w:lang w:val="zh-CN" w:eastAsia="zh-CN" w:bidi="ar-SA"/>
        </w:rPr>
        <w:t>联合体协议书</w:t>
      </w:r>
      <w:bookmarkEnd w:id="544"/>
      <w:r>
        <w:rPr>
          <w:rFonts w:hint="eastAsia" w:ascii="宋体" w:hAnsi="宋体" w:eastAsia="宋体" w:cstheme="minorBidi"/>
          <w:b w:val="0"/>
          <w:bCs w:val="0"/>
          <w:color w:val="auto"/>
          <w:kern w:val="2"/>
          <w:sz w:val="28"/>
          <w:szCs w:val="28"/>
          <w:highlight w:val="none"/>
          <w:lang w:val="zh-CN" w:eastAsia="zh-CN" w:bidi="ar-SA"/>
        </w:rPr>
        <w:t>【如适用】</w:t>
      </w:r>
      <w:bookmarkEnd w:id="543"/>
    </w:p>
    <w:p w14:paraId="39563C7F">
      <w:pPr>
        <w:snapToGrid w:val="0"/>
        <w:spacing w:line="360" w:lineRule="auto"/>
        <w:jc w:val="center"/>
        <w:outlineLvl w:val="0"/>
        <w:rPr>
          <w:rFonts w:hint="eastAsia" w:ascii="宋体" w:hAnsi="宋体" w:cs="宋体"/>
          <w:b/>
          <w:color w:val="auto"/>
          <w:kern w:val="0"/>
          <w:sz w:val="32"/>
          <w:szCs w:val="32"/>
          <w:highlight w:val="none"/>
        </w:rPr>
      </w:pPr>
    </w:p>
    <w:p w14:paraId="0BBE5457">
      <w:pPr>
        <w:snapToGrid w:val="0"/>
        <w:spacing w:line="360" w:lineRule="auto"/>
        <w:jc w:val="center"/>
        <w:outlineLvl w:val="0"/>
        <w:rPr>
          <w:rFonts w:hint="eastAsia" w:ascii="宋体" w:hAnsi="宋体" w:cs="宋体"/>
          <w:b/>
          <w:color w:val="auto"/>
          <w:kern w:val="0"/>
          <w:sz w:val="32"/>
          <w:szCs w:val="32"/>
          <w:highlight w:val="none"/>
        </w:rPr>
      </w:pPr>
      <w:bookmarkStart w:id="545" w:name="_Toc6375"/>
      <w:bookmarkStart w:id="546" w:name="_Toc26705"/>
      <w:r>
        <w:rPr>
          <w:rFonts w:hint="eastAsia" w:ascii="宋体" w:hAnsi="宋体" w:cs="宋体"/>
          <w:b/>
          <w:color w:val="auto"/>
          <w:kern w:val="0"/>
          <w:sz w:val="32"/>
          <w:szCs w:val="32"/>
          <w:highlight w:val="none"/>
        </w:rPr>
        <w:t>联合体协议书</w:t>
      </w:r>
      <w:bookmarkEnd w:id="545"/>
      <w:bookmarkEnd w:id="546"/>
    </w:p>
    <w:p w14:paraId="67954623">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w:t>
      </w:r>
      <w:r>
        <w:rPr>
          <w:rFonts w:hint="eastAsia" w:cs="宋体"/>
          <w:b/>
          <w:color w:val="auto"/>
          <w:sz w:val="24"/>
          <w:highlight w:val="none"/>
          <w:lang w:val="en-US" w:eastAsia="zh-CN"/>
        </w:rPr>
        <w:t>磋商响应</w:t>
      </w:r>
      <w:r>
        <w:rPr>
          <w:rFonts w:hint="eastAsia" w:ascii="宋体" w:hAnsi="宋体" w:cs="宋体"/>
          <w:b/>
          <w:color w:val="auto"/>
          <w:sz w:val="24"/>
          <w:highlight w:val="none"/>
        </w:rPr>
        <w:t>的，提供联合</w:t>
      </w:r>
      <w:r>
        <w:rPr>
          <w:rFonts w:hint="eastAsia" w:cs="宋体"/>
          <w:b/>
          <w:color w:val="auto"/>
          <w:sz w:val="24"/>
          <w:highlight w:val="none"/>
          <w:lang w:val="en-US" w:eastAsia="zh-CN"/>
        </w:rPr>
        <w:t>体</w:t>
      </w:r>
      <w:r>
        <w:rPr>
          <w:rFonts w:hint="eastAsia" w:ascii="宋体" w:hAnsi="宋体" w:cs="宋体"/>
          <w:b/>
          <w:color w:val="auto"/>
          <w:sz w:val="24"/>
          <w:highlight w:val="none"/>
        </w:rPr>
        <w:t>协议</w:t>
      </w:r>
      <w:r>
        <w:rPr>
          <w:rFonts w:hint="eastAsia" w:cs="宋体"/>
          <w:b/>
          <w:color w:val="auto"/>
          <w:sz w:val="24"/>
          <w:highlight w:val="none"/>
          <w:lang w:val="en-US" w:eastAsia="zh-CN"/>
        </w:rPr>
        <w:t>书</w:t>
      </w:r>
      <w:r>
        <w:rPr>
          <w:rFonts w:hint="eastAsia" w:ascii="宋体" w:hAnsi="宋体" w:cs="宋体"/>
          <w:b/>
          <w:color w:val="auto"/>
          <w:sz w:val="24"/>
          <w:highlight w:val="none"/>
        </w:rPr>
        <w:t>；本项目不接受联合体</w:t>
      </w:r>
      <w:r>
        <w:rPr>
          <w:rFonts w:hint="eastAsia" w:cs="宋体"/>
          <w:b/>
          <w:color w:val="auto"/>
          <w:sz w:val="24"/>
          <w:highlight w:val="none"/>
          <w:lang w:val="en-US" w:eastAsia="zh-CN"/>
        </w:rPr>
        <w:t>磋商响应</w:t>
      </w:r>
      <w:r>
        <w:rPr>
          <w:rFonts w:hint="eastAsia" w:ascii="宋体" w:hAnsi="宋体" w:cs="宋体"/>
          <w:b/>
          <w:color w:val="auto"/>
          <w:sz w:val="24"/>
          <w:highlight w:val="none"/>
        </w:rPr>
        <w:t>或者</w:t>
      </w:r>
      <w:r>
        <w:rPr>
          <w:rFonts w:hint="eastAsia" w:cs="宋体"/>
          <w:b/>
          <w:color w:val="auto"/>
          <w:sz w:val="24"/>
          <w:highlight w:val="none"/>
          <w:lang w:val="en-US" w:eastAsia="zh-CN"/>
        </w:rPr>
        <w:t>供应商</w:t>
      </w:r>
      <w:r>
        <w:rPr>
          <w:rFonts w:hint="eastAsia" w:ascii="宋体" w:hAnsi="宋体" w:cs="宋体"/>
          <w:b/>
          <w:color w:val="auto"/>
          <w:sz w:val="24"/>
          <w:highlight w:val="none"/>
        </w:rPr>
        <w:t>不以联合体形式</w:t>
      </w:r>
      <w:r>
        <w:rPr>
          <w:rFonts w:hint="eastAsia" w:cs="宋体"/>
          <w:b/>
          <w:color w:val="auto"/>
          <w:sz w:val="24"/>
          <w:highlight w:val="none"/>
          <w:lang w:val="en-US" w:eastAsia="zh-CN"/>
        </w:rPr>
        <w:t>磋商响应</w:t>
      </w:r>
      <w:r>
        <w:rPr>
          <w:rFonts w:hint="eastAsia" w:ascii="宋体" w:hAnsi="宋体" w:cs="宋体"/>
          <w:b/>
          <w:color w:val="auto"/>
          <w:sz w:val="24"/>
          <w:highlight w:val="none"/>
        </w:rPr>
        <w:t>的，则不需要提供）</w:t>
      </w:r>
    </w:p>
    <w:p w14:paraId="40230D62">
      <w:pPr>
        <w:snapToGrid w:val="0"/>
        <w:ind w:firstLine="576"/>
        <w:rPr>
          <w:rFonts w:ascii="宋体" w:hAnsi="宋体" w:cs="宋体"/>
          <w:color w:val="auto"/>
          <w:kern w:val="0"/>
          <w:sz w:val="24"/>
          <w:highlight w:val="none"/>
          <w:lang w:val="zh-CN"/>
        </w:rPr>
      </w:pPr>
      <w:r>
        <w:rPr>
          <w:rFonts w:hint="eastAsia" w:cs="宋体"/>
          <w:color w:val="auto"/>
          <w:kern w:val="0"/>
          <w:highlight w:val="none"/>
          <w:u w:val="single"/>
        </w:rPr>
        <w:t>（联合体所有成员名称）</w:t>
      </w:r>
      <w:r>
        <w:rPr>
          <w:rFonts w:hint="eastAsia" w:cs="宋体"/>
          <w:color w:val="auto"/>
          <w:kern w:val="0"/>
          <w:highlight w:val="none"/>
        </w:rPr>
        <w:t>自愿</w:t>
      </w:r>
      <w:r>
        <w:rPr>
          <w:rFonts w:hint="eastAsia" w:cs="宋体"/>
          <w:color w:val="auto"/>
          <w:kern w:val="0"/>
          <w:highlight w:val="none"/>
          <w:lang w:val="zh-CN"/>
        </w:rPr>
        <w:t>组成一个联合体，以一个</w:t>
      </w:r>
      <w:r>
        <w:rPr>
          <w:rFonts w:hint="eastAsia" w:cs="宋体"/>
          <w:color w:val="auto"/>
          <w:kern w:val="0"/>
          <w:highlight w:val="none"/>
        </w:rPr>
        <w:t>供应商</w:t>
      </w:r>
      <w:r>
        <w:rPr>
          <w:rFonts w:hint="eastAsia" w:cs="宋体"/>
          <w:color w:val="auto"/>
          <w:kern w:val="0"/>
          <w:highlight w:val="none"/>
          <w:lang w:val="zh-CN"/>
        </w:rPr>
        <w:t>的身份</w:t>
      </w:r>
      <w:r>
        <w:rPr>
          <w:rFonts w:hint="eastAsia" w:cs="宋体"/>
          <w:color w:val="auto"/>
          <w:kern w:val="0"/>
          <w:highlight w:val="none"/>
        </w:rPr>
        <w:t>参加</w:t>
      </w:r>
      <w:r>
        <w:rPr>
          <w:rFonts w:hint="eastAsia" w:cs="宋体"/>
          <w:color w:val="auto"/>
          <w:highlight w:val="none"/>
          <w:u w:val="single"/>
        </w:rPr>
        <w:t>（项目名称）</w:t>
      </w:r>
      <w:r>
        <w:rPr>
          <w:rFonts w:hint="eastAsia" w:cs="宋体"/>
          <w:color w:val="auto"/>
          <w:highlight w:val="none"/>
          <w:u w:val="single"/>
          <w:lang w:val="en-US" w:eastAsia="zh-CN"/>
        </w:rPr>
        <w:t xml:space="preserve">     </w:t>
      </w:r>
      <w:r>
        <w:rPr>
          <w:rFonts w:hint="eastAsia" w:cs="宋体"/>
          <w:color w:val="auto"/>
          <w:highlight w:val="none"/>
        </w:rPr>
        <w:t>【</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cs="宋体"/>
          <w:color w:val="auto"/>
          <w:highlight w:val="none"/>
        </w:rPr>
        <w:t>】</w:t>
      </w:r>
      <w:r>
        <w:rPr>
          <w:rFonts w:hint="eastAsia" w:cs="宋体"/>
          <w:color w:val="auto"/>
          <w:kern w:val="0"/>
          <w:highlight w:val="none"/>
        </w:rPr>
        <w:t>磋商</w:t>
      </w:r>
      <w:r>
        <w:rPr>
          <w:rFonts w:hint="eastAsia" w:cs="宋体"/>
          <w:color w:val="auto"/>
          <w:kern w:val="0"/>
          <w:highlight w:val="none"/>
          <w:lang w:val="zh-CN"/>
        </w:rPr>
        <w:t xml:space="preserve">。 </w:t>
      </w:r>
    </w:p>
    <w:p w14:paraId="682E874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w:t>
      </w:r>
      <w:r>
        <w:rPr>
          <w:rFonts w:hint="eastAsia" w:cs="宋体"/>
          <w:color w:val="auto"/>
          <w:sz w:val="24"/>
          <w:highlight w:val="none"/>
          <w:lang w:val="en-US" w:eastAsia="zh-CN"/>
        </w:rPr>
        <w:t>磋商响应</w:t>
      </w:r>
      <w:r>
        <w:rPr>
          <w:rFonts w:hint="eastAsia" w:ascii="宋体" w:hAnsi="宋体" w:cs="宋体"/>
          <w:color w:val="auto"/>
          <w:sz w:val="24"/>
          <w:highlight w:val="none"/>
        </w:rPr>
        <w:t>和合同实施阶段的主办、协调工作</w:t>
      </w:r>
      <w:r>
        <w:rPr>
          <w:rFonts w:hint="eastAsia" w:ascii="宋体" w:hAnsi="宋体" w:cs="宋体"/>
          <w:color w:val="auto"/>
          <w:kern w:val="0"/>
          <w:sz w:val="24"/>
          <w:highlight w:val="none"/>
          <w:lang w:val="zh-CN"/>
        </w:rPr>
        <w:t>。</w:t>
      </w:r>
    </w:p>
    <w:p w14:paraId="2FA3C75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w:t>
      </w:r>
      <w:r>
        <w:rPr>
          <w:rFonts w:hint="eastAsia" w:ascii="宋体" w:hAnsi="宋体" w:cs="宋体"/>
          <w:color w:val="auto"/>
          <w:kern w:val="0"/>
          <w:sz w:val="24"/>
          <w:highlight w:val="none"/>
          <w:lang w:val="zh-CN" w:eastAsia="zh-CN"/>
        </w:rPr>
        <w:t>竞争性磋商</w:t>
      </w:r>
      <w:r>
        <w:rPr>
          <w:rFonts w:hint="eastAsia" w:ascii="宋体" w:hAnsi="宋体" w:cs="宋体"/>
          <w:color w:val="auto"/>
          <w:kern w:val="0"/>
          <w:sz w:val="24"/>
          <w:highlight w:val="none"/>
          <w:lang w:val="zh-CN"/>
        </w:rPr>
        <w:t>文件规定及</w:t>
      </w:r>
      <w:r>
        <w:rPr>
          <w:rFonts w:hint="eastAsia" w:cs="宋体"/>
          <w:color w:val="auto"/>
          <w:kern w:val="0"/>
          <w:sz w:val="24"/>
          <w:highlight w:val="none"/>
          <w:lang w:val="en-US" w:eastAsia="zh-CN"/>
        </w:rPr>
        <w:t>响应</w:t>
      </w:r>
      <w:r>
        <w:rPr>
          <w:rFonts w:hint="eastAsia" w:ascii="宋体" w:hAnsi="宋体" w:cs="宋体"/>
          <w:color w:val="auto"/>
          <w:kern w:val="0"/>
          <w:sz w:val="24"/>
          <w:highlight w:val="none"/>
          <w:lang w:val="zh-CN"/>
        </w:rPr>
        <w:t>内容而对采购人、采购代理机构所作的任何合法承诺，包括书面澄清及相应等均对联合</w:t>
      </w:r>
      <w:r>
        <w:rPr>
          <w:rFonts w:hint="eastAsia" w:cs="宋体"/>
          <w:color w:val="auto"/>
          <w:kern w:val="0"/>
          <w:sz w:val="24"/>
          <w:highlight w:val="none"/>
          <w:lang w:val="en-US" w:eastAsia="zh-CN"/>
        </w:rPr>
        <w:t>磋商响应</w:t>
      </w:r>
      <w:r>
        <w:rPr>
          <w:rFonts w:hint="eastAsia" w:ascii="宋体" w:hAnsi="宋体" w:cs="宋体"/>
          <w:color w:val="auto"/>
          <w:kern w:val="0"/>
          <w:sz w:val="24"/>
          <w:highlight w:val="none"/>
          <w:lang w:val="zh-CN"/>
        </w:rPr>
        <w:t>各方产生约束力。</w:t>
      </w:r>
    </w:p>
    <w:p w14:paraId="794C756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w:t>
      </w:r>
      <w:r>
        <w:rPr>
          <w:rFonts w:hint="eastAsia" w:cs="宋体"/>
          <w:color w:val="auto"/>
          <w:kern w:val="0"/>
          <w:sz w:val="24"/>
          <w:highlight w:val="none"/>
          <w:lang w:val="en-US" w:eastAsia="zh-CN"/>
        </w:rPr>
        <w:t>磋商响应</w:t>
      </w:r>
      <w:r>
        <w:rPr>
          <w:rFonts w:hint="eastAsia" w:ascii="宋体" w:hAnsi="宋体" w:cs="宋体"/>
          <w:color w:val="auto"/>
          <w:kern w:val="0"/>
          <w:sz w:val="24"/>
          <w:highlight w:val="none"/>
          <w:lang w:val="zh-CN"/>
        </w:rPr>
        <w:t>中，分工如下：</w:t>
      </w:r>
    </w:p>
    <w:p w14:paraId="5742291A">
      <w:pPr>
        <w:snapToGrid w:val="0"/>
        <w:spacing w:line="360" w:lineRule="auto"/>
        <w:ind w:firstLine="576"/>
        <w:rPr>
          <w:rFonts w:ascii="宋体" w:hAnsi="宋体" w:cs="宋体"/>
          <w:color w:val="auto"/>
          <w:kern w:val="0"/>
          <w:sz w:val="24"/>
          <w:highlight w:val="none"/>
          <w:lang w:val="zh-CN"/>
        </w:rPr>
      </w:pPr>
      <w:bookmarkStart w:id="547"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F758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E4350A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47"/>
    <w:p w14:paraId="417425E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0493970">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w:t>
      </w:r>
      <w:r>
        <w:rPr>
          <w:rFonts w:hint="eastAsia" w:cs="宋体"/>
          <w:b/>
          <w:color w:val="auto"/>
          <w:kern w:val="0"/>
          <w:sz w:val="24"/>
          <w:highlight w:val="none"/>
          <w:lang w:val="en-US" w:eastAsia="zh-CN"/>
        </w:rPr>
        <w:t>磋商响应</w:t>
      </w:r>
      <w:r>
        <w:rPr>
          <w:rFonts w:hint="eastAsia" w:ascii="宋体" w:hAnsi="宋体" w:cs="宋体"/>
          <w:b/>
          <w:color w:val="auto"/>
          <w:kern w:val="0"/>
          <w:sz w:val="24"/>
          <w:highlight w:val="none"/>
          <w:lang w:val="zh-CN"/>
        </w:rPr>
        <w:t>的，联合</w:t>
      </w:r>
      <w:r>
        <w:rPr>
          <w:rFonts w:hint="eastAsia" w:cs="宋体"/>
          <w:b/>
          <w:color w:val="auto"/>
          <w:kern w:val="0"/>
          <w:sz w:val="24"/>
          <w:highlight w:val="none"/>
          <w:lang w:val="en-US" w:eastAsia="zh-CN"/>
        </w:rPr>
        <w:t>体</w:t>
      </w:r>
      <w:r>
        <w:rPr>
          <w:rFonts w:hint="eastAsia" w:ascii="宋体" w:hAnsi="宋体" w:cs="宋体"/>
          <w:b/>
          <w:color w:val="auto"/>
          <w:kern w:val="0"/>
          <w:sz w:val="24"/>
          <w:highlight w:val="none"/>
          <w:lang w:val="zh-CN"/>
        </w:rPr>
        <w:t>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约定小微企业的合同份额占到合同总金额30%以上的，对联合体报价按评</w:t>
      </w:r>
      <w:r>
        <w:rPr>
          <w:rFonts w:hint="eastAsia" w:cs="宋体"/>
          <w:b/>
          <w:color w:val="auto"/>
          <w:kern w:val="0"/>
          <w:sz w:val="24"/>
          <w:highlight w:val="none"/>
          <w:lang w:val="en-US" w:eastAsia="zh-CN"/>
        </w:rPr>
        <w:t>审</w:t>
      </w:r>
      <w:r>
        <w:rPr>
          <w:rFonts w:hint="eastAsia" w:ascii="宋体" w:hAnsi="宋体" w:cs="宋体"/>
          <w:b/>
          <w:color w:val="auto"/>
          <w:kern w:val="0"/>
          <w:sz w:val="24"/>
          <w:highlight w:val="none"/>
          <w:lang w:val="zh-CN"/>
        </w:rPr>
        <w:t>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C0B640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w:t>
      </w:r>
      <w:r>
        <w:rPr>
          <w:rFonts w:hint="eastAsia" w:cs="宋体"/>
          <w:b/>
          <w:bCs/>
          <w:color w:val="auto"/>
          <w:sz w:val="24"/>
          <w:highlight w:val="none"/>
          <w:lang w:val="en-US" w:eastAsia="zh-CN"/>
        </w:rPr>
        <w:t>竞争性磋商</w:t>
      </w:r>
      <w:r>
        <w:rPr>
          <w:rFonts w:hint="eastAsia" w:ascii="宋体" w:hAnsi="宋体" w:cs="宋体"/>
          <w:b/>
          <w:bCs/>
          <w:color w:val="auto"/>
          <w:sz w:val="24"/>
          <w:highlight w:val="none"/>
        </w:rPr>
        <w:t>文件第一部分</w:t>
      </w:r>
      <w:r>
        <w:rPr>
          <w:rFonts w:hint="eastAsia" w:cs="宋体"/>
          <w:b/>
          <w:bCs/>
          <w:color w:val="auto"/>
          <w:sz w:val="24"/>
          <w:highlight w:val="none"/>
          <w:lang w:val="en-US" w:eastAsia="zh-CN"/>
        </w:rPr>
        <w:t>竞争性磋商</w:t>
      </w:r>
      <w:r>
        <w:rPr>
          <w:rFonts w:hint="eastAsia" w:ascii="宋体" w:hAnsi="宋体" w:cs="宋体"/>
          <w:b/>
          <w:bCs/>
          <w:color w:val="auto"/>
          <w:sz w:val="24"/>
          <w:highlight w:val="none"/>
        </w:rPr>
        <w:t>公告申请人的资格要求中规定的联合</w:t>
      </w:r>
      <w:r>
        <w:rPr>
          <w:rFonts w:hint="eastAsia" w:cs="宋体"/>
          <w:b/>
          <w:bCs/>
          <w:color w:val="auto"/>
          <w:sz w:val="24"/>
          <w:highlight w:val="none"/>
          <w:lang w:val="en-US" w:eastAsia="zh-CN"/>
        </w:rPr>
        <w:t>体</w:t>
      </w:r>
      <w:r>
        <w:rPr>
          <w:rFonts w:hint="eastAsia" w:ascii="宋体" w:hAnsi="宋体" w:cs="宋体"/>
          <w:b/>
          <w:bCs/>
          <w:color w:val="auto"/>
          <w:sz w:val="24"/>
          <w:highlight w:val="none"/>
        </w:rPr>
        <w:t>协议</w:t>
      </w:r>
      <w:r>
        <w:rPr>
          <w:rFonts w:hint="eastAsia" w:cs="宋体"/>
          <w:b/>
          <w:bCs/>
          <w:color w:val="auto"/>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EC462A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w:t>
      </w:r>
      <w:r>
        <w:rPr>
          <w:rFonts w:hint="eastAsia" w:cs="宋体"/>
          <w:color w:val="auto"/>
          <w:kern w:val="0"/>
          <w:sz w:val="24"/>
          <w:highlight w:val="none"/>
          <w:lang w:val="en-US" w:eastAsia="zh-CN"/>
        </w:rPr>
        <w:t>成交</w:t>
      </w:r>
      <w:r>
        <w:rPr>
          <w:rFonts w:hint="eastAsia" w:ascii="宋体" w:hAnsi="宋体" w:cs="宋体"/>
          <w:color w:val="auto"/>
          <w:kern w:val="0"/>
          <w:sz w:val="24"/>
          <w:highlight w:val="none"/>
          <w:lang w:val="zh-CN"/>
        </w:rPr>
        <w:t>，</w:t>
      </w:r>
      <w:r>
        <w:rPr>
          <w:rFonts w:hint="eastAsia" w:ascii="宋体" w:hAnsi="宋体" w:cs="宋体"/>
          <w:color w:val="auto"/>
          <w:sz w:val="24"/>
          <w:highlight w:val="none"/>
        </w:rPr>
        <w:t>联合体各成员方共同与采购人签订</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合同，并就采购合同约定的事项对采购人承担连带责任。</w:t>
      </w:r>
    </w:p>
    <w:p w14:paraId="0B6A82F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w:t>
      </w:r>
      <w:r>
        <w:rPr>
          <w:rFonts w:hint="eastAsia" w:cs="宋体"/>
          <w:color w:val="auto"/>
          <w:kern w:val="0"/>
          <w:sz w:val="24"/>
          <w:highlight w:val="none"/>
          <w:lang w:val="en-US" w:eastAsia="zh-CN"/>
        </w:rPr>
        <w:t>磋商响应</w:t>
      </w:r>
      <w:r>
        <w:rPr>
          <w:rFonts w:hint="eastAsia" w:ascii="宋体" w:hAnsi="宋体" w:cs="宋体"/>
          <w:color w:val="auto"/>
          <w:kern w:val="0"/>
          <w:sz w:val="24"/>
          <w:highlight w:val="none"/>
          <w:lang w:val="zh-CN"/>
        </w:rPr>
        <w:t>的其他事宜：</w:t>
      </w:r>
    </w:p>
    <w:p w14:paraId="518CE91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3C062C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DAC4003">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B293209">
      <w:pPr>
        <w:snapToGrid w:val="0"/>
        <w:spacing w:line="360" w:lineRule="auto"/>
        <w:ind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4、</w:t>
      </w:r>
      <w:r>
        <w:rPr>
          <w:rFonts w:hint="eastAsia" w:ascii="宋体" w:hAnsi="宋体" w:cs="宋体"/>
          <w:color w:val="auto"/>
          <w:kern w:val="0"/>
          <w:sz w:val="24"/>
          <w:highlight w:val="none"/>
          <w:lang w:val="zh-CN"/>
        </w:rPr>
        <w:t>其他：……</w:t>
      </w:r>
    </w:p>
    <w:p w14:paraId="43009373">
      <w:pPr>
        <w:snapToGrid w:val="0"/>
        <w:spacing w:line="360" w:lineRule="auto"/>
        <w:ind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5、</w:t>
      </w:r>
      <w:r>
        <w:rPr>
          <w:rFonts w:hint="eastAsia" w:ascii="宋体" w:hAnsi="宋体" w:cs="宋体"/>
          <w:color w:val="auto"/>
          <w:kern w:val="0"/>
          <w:sz w:val="24"/>
          <w:highlight w:val="none"/>
          <w:lang w:val="zh-CN"/>
        </w:rPr>
        <w:t>本协议书自签署之日起生效，若未</w:t>
      </w:r>
      <w:r>
        <w:rPr>
          <w:rFonts w:hint="eastAsia" w:cs="宋体"/>
          <w:color w:val="auto"/>
          <w:kern w:val="0"/>
          <w:sz w:val="24"/>
          <w:highlight w:val="none"/>
          <w:lang w:val="en-US" w:eastAsia="zh-CN"/>
        </w:rPr>
        <w:t>成交</w:t>
      </w:r>
      <w:r>
        <w:rPr>
          <w:rFonts w:hint="eastAsia" w:ascii="宋体" w:hAnsi="宋体" w:cs="宋体"/>
          <w:color w:val="auto"/>
          <w:kern w:val="0"/>
          <w:sz w:val="24"/>
          <w:highlight w:val="none"/>
          <w:lang w:val="zh-CN"/>
        </w:rPr>
        <w:t>，自本</w:t>
      </w:r>
      <w:r>
        <w:rPr>
          <w:rFonts w:hint="eastAsia" w:cs="宋体"/>
          <w:color w:val="auto"/>
          <w:kern w:val="0"/>
          <w:sz w:val="24"/>
          <w:highlight w:val="none"/>
          <w:lang w:val="en-US" w:eastAsia="zh-CN"/>
        </w:rPr>
        <w:t>响应文件</w:t>
      </w:r>
      <w:r>
        <w:rPr>
          <w:rFonts w:hint="eastAsia" w:ascii="宋体" w:hAnsi="宋体" w:cs="宋体"/>
          <w:color w:val="auto"/>
          <w:kern w:val="0"/>
          <w:sz w:val="24"/>
          <w:highlight w:val="none"/>
          <w:lang w:val="zh-CN"/>
        </w:rPr>
        <w:t>有效期结束后自行失效；若</w:t>
      </w:r>
      <w:r>
        <w:rPr>
          <w:rFonts w:hint="eastAsia" w:cs="宋体"/>
          <w:color w:val="auto"/>
          <w:kern w:val="0"/>
          <w:sz w:val="24"/>
          <w:highlight w:val="none"/>
          <w:lang w:val="en-US" w:eastAsia="zh-CN"/>
        </w:rPr>
        <w:t>成交</w:t>
      </w:r>
      <w:r>
        <w:rPr>
          <w:rFonts w:hint="eastAsia" w:ascii="宋体" w:hAnsi="宋体" w:cs="宋体"/>
          <w:color w:val="auto"/>
          <w:kern w:val="0"/>
          <w:sz w:val="24"/>
          <w:highlight w:val="none"/>
          <w:lang w:val="zh-CN"/>
        </w:rPr>
        <w:t>，自合同书规定的期限之后自行失效。</w:t>
      </w:r>
    </w:p>
    <w:p w14:paraId="580F475F">
      <w:pPr>
        <w:snapToGrid w:val="0"/>
        <w:spacing w:line="360" w:lineRule="auto"/>
        <w:ind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6、</w:t>
      </w:r>
      <w:r>
        <w:rPr>
          <w:rFonts w:hint="eastAsia" w:ascii="宋体" w:hAnsi="宋体" w:cs="宋体"/>
          <w:color w:val="auto"/>
          <w:kern w:val="0"/>
          <w:sz w:val="24"/>
          <w:highlight w:val="none"/>
          <w:lang w:val="zh-CN"/>
        </w:rPr>
        <w:t>本协议书正本一式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份；副本一式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w:t>
      </w:r>
    </w:p>
    <w:p w14:paraId="1797DC92">
      <w:pPr>
        <w:pStyle w:val="3"/>
        <w:rPr>
          <w:color w:val="auto"/>
          <w:highlight w:val="none"/>
          <w:lang w:val="zh-CN"/>
        </w:rPr>
      </w:pPr>
    </w:p>
    <w:p w14:paraId="6A1B5B57">
      <w:pPr>
        <w:snapToGrid w:val="0"/>
        <w:spacing w:line="360" w:lineRule="auto"/>
        <w:ind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名称(公章)：</w:t>
      </w:r>
    </w:p>
    <w:p w14:paraId="21DBA726">
      <w:pPr>
        <w:snapToGrid w:val="0"/>
        <w:spacing w:line="360" w:lineRule="auto"/>
        <w:ind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名称(公章)：</w:t>
      </w:r>
    </w:p>
    <w:p w14:paraId="2C01AA77">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4D03F6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9BB115A">
      <w:pPr>
        <w:spacing w:line="360" w:lineRule="auto"/>
        <w:ind w:right="420"/>
        <w:rPr>
          <w:rFonts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68A2ACB2">
      <w:pPr>
        <w:keepNext w:val="0"/>
        <w:keepLines w:val="0"/>
        <w:pageBreakBefore w:val="0"/>
        <w:kinsoku/>
        <w:overflowPunct/>
        <w:topLinePunct w:val="0"/>
        <w:autoSpaceDE/>
        <w:autoSpaceDN/>
        <w:bidi w:val="0"/>
        <w:spacing w:before="157" w:beforeLines="50" w:after="157" w:afterLines="50"/>
        <w:ind w:left="2520" w:leftChars="1050"/>
        <w:textAlignment w:val="auto"/>
        <w:rPr>
          <w:rFonts w:cs="Tahoma"/>
          <w:color w:val="auto"/>
          <w:highlight w:val="none"/>
          <w:u w:val="single"/>
        </w:rPr>
      </w:pPr>
      <w:r>
        <w:rPr>
          <w:rFonts w:cs="Tahoma"/>
          <w:color w:val="auto"/>
          <w:highlight w:val="none"/>
          <w:u w:val="single"/>
        </w:rPr>
        <w:br w:type="page"/>
      </w:r>
    </w:p>
    <w:p w14:paraId="7512156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548" w:name="_Toc18771"/>
      <w:bookmarkStart w:id="549" w:name="_Toc156490356"/>
      <w:bookmarkStart w:id="550" w:name="_Toc162299566"/>
      <w:bookmarkStart w:id="551" w:name="_Hlk101169080"/>
      <w:r>
        <w:rPr>
          <w:rFonts w:hint="eastAsia" w:cstheme="majorBidi"/>
          <w:b/>
          <w:bCs/>
          <w:color w:val="auto"/>
          <w:kern w:val="2"/>
          <w:sz w:val="28"/>
          <w:szCs w:val="28"/>
          <w:highlight w:val="none"/>
          <w:lang w:val="en-US" w:eastAsia="zh-CN" w:bidi="ar-SA"/>
        </w:rPr>
        <w:t>三</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分包意向协议书</w:t>
      </w:r>
      <w:bookmarkEnd w:id="548"/>
      <w:bookmarkEnd w:id="549"/>
      <w:bookmarkEnd w:id="550"/>
    </w:p>
    <w:p w14:paraId="72EF9FB2">
      <w:pPr>
        <w:snapToGrid w:val="0"/>
        <w:spacing w:line="360" w:lineRule="auto"/>
        <w:jc w:val="center"/>
        <w:outlineLvl w:val="0"/>
        <w:rPr>
          <w:rFonts w:hint="eastAsia" w:ascii="宋体" w:hAnsi="宋体" w:cs="宋体"/>
          <w:b/>
          <w:color w:val="auto"/>
          <w:kern w:val="0"/>
          <w:sz w:val="32"/>
          <w:szCs w:val="32"/>
          <w:highlight w:val="none"/>
        </w:rPr>
      </w:pPr>
    </w:p>
    <w:p w14:paraId="3CEAA822">
      <w:pPr>
        <w:snapToGrid w:val="0"/>
        <w:spacing w:line="360" w:lineRule="auto"/>
        <w:jc w:val="center"/>
        <w:outlineLvl w:val="0"/>
        <w:rPr>
          <w:rFonts w:hint="eastAsia" w:ascii="宋体" w:hAnsi="宋体" w:eastAsia="宋体" w:cs="宋体"/>
          <w:b/>
          <w:color w:val="auto"/>
          <w:kern w:val="0"/>
          <w:sz w:val="32"/>
          <w:szCs w:val="32"/>
          <w:highlight w:val="none"/>
          <w:lang w:val="en-US" w:eastAsia="zh-CN"/>
        </w:rPr>
      </w:pPr>
      <w:bookmarkStart w:id="552" w:name="_Toc31284"/>
      <w:bookmarkStart w:id="553" w:name="_Toc21433"/>
      <w:r>
        <w:rPr>
          <w:rFonts w:hint="eastAsia" w:ascii="宋体" w:hAnsi="宋体" w:cs="宋体"/>
          <w:b/>
          <w:color w:val="auto"/>
          <w:kern w:val="0"/>
          <w:sz w:val="32"/>
          <w:szCs w:val="32"/>
          <w:highlight w:val="none"/>
        </w:rPr>
        <w:t>分包意向协议</w:t>
      </w:r>
      <w:r>
        <w:rPr>
          <w:rFonts w:hint="eastAsia" w:ascii="宋体" w:hAnsi="宋体" w:cs="宋体"/>
          <w:b/>
          <w:color w:val="auto"/>
          <w:kern w:val="0"/>
          <w:sz w:val="32"/>
          <w:szCs w:val="32"/>
          <w:highlight w:val="none"/>
          <w:lang w:val="en-US" w:eastAsia="zh-CN"/>
        </w:rPr>
        <w:t>书</w:t>
      </w:r>
      <w:bookmarkEnd w:id="552"/>
      <w:bookmarkEnd w:id="553"/>
    </w:p>
    <w:p w14:paraId="4E9F0BF4">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cs="宋体"/>
          <w:b/>
          <w:color w:val="auto"/>
          <w:sz w:val="24"/>
          <w:highlight w:val="none"/>
          <w:lang w:val="en-US" w:eastAsia="zh-CN"/>
        </w:rPr>
        <w:t>成交</w:t>
      </w:r>
      <w:r>
        <w:rPr>
          <w:rFonts w:hint="eastAsia" w:ascii="宋体" w:hAnsi="宋体" w:cs="宋体"/>
          <w:b/>
          <w:color w:val="auto"/>
          <w:sz w:val="24"/>
          <w:highlight w:val="none"/>
        </w:rPr>
        <w:t>后以分包方式履行合同的，提供分包意向协议</w:t>
      </w:r>
      <w:r>
        <w:rPr>
          <w:rFonts w:hint="eastAsia" w:cs="宋体"/>
          <w:b/>
          <w:color w:val="auto"/>
          <w:sz w:val="24"/>
          <w:highlight w:val="none"/>
          <w:lang w:val="en-US" w:eastAsia="zh-CN"/>
        </w:rPr>
        <w:t>书</w:t>
      </w:r>
      <w:r>
        <w:rPr>
          <w:rFonts w:hint="eastAsia" w:ascii="宋体" w:hAnsi="宋体" w:cs="宋体"/>
          <w:b/>
          <w:color w:val="auto"/>
          <w:sz w:val="24"/>
          <w:highlight w:val="none"/>
        </w:rPr>
        <w:t>；采购人不同意分包或者</w:t>
      </w:r>
      <w:r>
        <w:rPr>
          <w:rFonts w:hint="eastAsia" w:cs="宋体"/>
          <w:b/>
          <w:color w:val="auto"/>
          <w:sz w:val="24"/>
          <w:highlight w:val="none"/>
          <w:lang w:val="en-US" w:eastAsia="zh-CN"/>
        </w:rPr>
        <w:t>供应商成交</w:t>
      </w:r>
      <w:r>
        <w:rPr>
          <w:rFonts w:hint="eastAsia" w:ascii="宋体" w:hAnsi="宋体" w:cs="宋体"/>
          <w:b/>
          <w:color w:val="auto"/>
          <w:sz w:val="24"/>
          <w:highlight w:val="none"/>
        </w:rPr>
        <w:t>后不以分包方式履行合同的，则不需要提供。</w:t>
      </w:r>
      <w:r>
        <w:rPr>
          <w:rFonts w:hint="eastAsia" w:ascii="宋体" w:hAnsi="宋体" w:cs="宋体"/>
          <w:color w:val="auto"/>
          <w:sz w:val="24"/>
          <w:highlight w:val="none"/>
        </w:rPr>
        <w:t>）</w:t>
      </w:r>
    </w:p>
    <w:p w14:paraId="5791A4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cs="宋体"/>
          <w:color w:val="auto"/>
          <w:kern w:val="0"/>
          <w:sz w:val="24"/>
          <w:highlight w:val="none"/>
          <w:u w:val="single"/>
          <w:lang w:val="en-US"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u w:val="single"/>
        </w:rPr>
        <w:t>（项目名称）</w:t>
      </w:r>
      <w:r>
        <w:rPr>
          <w:rFonts w:hint="eastAsia"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w:t>
      </w:r>
      <w:r>
        <w:rPr>
          <w:rFonts w:hint="eastAsia" w:cs="宋体"/>
          <w:color w:val="auto"/>
          <w:kern w:val="0"/>
          <w:sz w:val="24"/>
          <w:highlight w:val="none"/>
          <w:lang w:val="en-US" w:eastAsia="zh-CN"/>
        </w:rPr>
        <w:t>成交</w:t>
      </w:r>
      <w:r>
        <w:rPr>
          <w:rFonts w:hint="eastAsia" w:ascii="宋体" w:hAnsi="宋体" w:cs="宋体"/>
          <w:color w:val="auto"/>
          <w:kern w:val="0"/>
          <w:sz w:val="24"/>
          <w:highlight w:val="none"/>
          <w:lang w:val="zh-CN"/>
        </w:rPr>
        <w:t>供应商，将依法采取分包方式履行合同。</w:t>
      </w:r>
      <w:r>
        <w:rPr>
          <w:rFonts w:hint="eastAsia" w:ascii="宋体" w:hAnsi="宋体" w:cs="宋体"/>
          <w:color w:val="auto"/>
          <w:kern w:val="0"/>
          <w:sz w:val="24"/>
          <w:highlight w:val="none"/>
          <w:u w:val="single"/>
        </w:rPr>
        <w:t>（</w:t>
      </w:r>
      <w:r>
        <w:rPr>
          <w:rFonts w:hint="eastAsia" w:cs="宋体"/>
          <w:color w:val="auto"/>
          <w:kern w:val="0"/>
          <w:sz w:val="24"/>
          <w:highlight w:val="none"/>
          <w:u w:val="single"/>
          <w:lang w:val="en-US"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cs="宋体"/>
          <w:color w:val="auto"/>
          <w:kern w:val="0"/>
          <w:sz w:val="24"/>
          <w:highlight w:val="none"/>
          <w:lang w:val="en-US" w:eastAsia="zh-CN"/>
        </w:rPr>
        <w:t>书</w:t>
      </w:r>
      <w:r>
        <w:rPr>
          <w:rFonts w:hint="eastAsia" w:ascii="宋体" w:hAnsi="宋体" w:cs="宋体"/>
          <w:color w:val="auto"/>
          <w:kern w:val="0"/>
          <w:sz w:val="24"/>
          <w:highlight w:val="none"/>
          <w:lang w:val="zh-CN"/>
        </w:rPr>
        <w:t xml:space="preserve">。 </w:t>
      </w:r>
    </w:p>
    <w:p w14:paraId="545E907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5E0873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cs="宋体"/>
          <w:color w:val="auto"/>
          <w:kern w:val="0"/>
          <w:sz w:val="24"/>
          <w:highlight w:val="none"/>
          <w:u w:val="single"/>
          <w:lang w:val="en-US"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37B916C5">
      <w:pPr>
        <w:pStyle w:val="3"/>
        <w:tabs>
          <w:tab w:val="left" w:pos="432"/>
        </w:tabs>
        <w:ind w:left="758" w:leftChars="316" w:firstLine="229" w:firstLineChars="95"/>
        <w:rPr>
          <w:rFonts w:ascii="宋体" w:hAnsi="宋体" w:eastAsia="宋体" w:cs="宋体"/>
          <w:color w:val="auto"/>
          <w:kern w:val="0"/>
          <w:sz w:val="24"/>
          <w:szCs w:val="24"/>
          <w:highlight w:val="none"/>
        </w:rPr>
      </w:pPr>
      <w:bookmarkStart w:id="554" w:name="_Toc15954"/>
      <w:bookmarkStart w:id="555" w:name="_Toc8211"/>
      <w:r>
        <w:rPr>
          <w:rFonts w:hint="eastAsia" w:ascii="宋体" w:hAnsi="宋体" w:eastAsia="宋体" w:cs="宋体"/>
          <w:color w:val="auto"/>
          <w:kern w:val="0"/>
          <w:sz w:val="24"/>
          <w:szCs w:val="24"/>
          <w:highlight w:val="none"/>
        </w:rPr>
        <w:t>……</w:t>
      </w:r>
      <w:bookmarkEnd w:id="554"/>
      <w:bookmarkEnd w:id="555"/>
    </w:p>
    <w:p w14:paraId="0426889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88898B5">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约定小微企业的合同份额占到合同总金额30%以上的，对大中型企业的报价按评</w:t>
      </w:r>
      <w:r>
        <w:rPr>
          <w:rFonts w:hint="eastAsia" w:cs="宋体"/>
          <w:b/>
          <w:color w:val="auto"/>
          <w:kern w:val="0"/>
          <w:sz w:val="24"/>
          <w:highlight w:val="none"/>
          <w:lang w:val="en-US" w:eastAsia="zh-CN"/>
        </w:rPr>
        <w:t>审</w:t>
      </w:r>
      <w:r>
        <w:rPr>
          <w:rFonts w:hint="eastAsia" w:ascii="宋体" w:hAnsi="宋体" w:cs="宋体"/>
          <w:b/>
          <w:color w:val="auto"/>
          <w:kern w:val="0"/>
          <w:sz w:val="24"/>
          <w:highlight w:val="none"/>
          <w:lang w:val="zh-CN"/>
        </w:rPr>
        <w:t>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45FF207">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56"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w:t>
      </w:r>
      <w:r>
        <w:rPr>
          <w:rFonts w:hint="eastAsia" w:cs="宋体"/>
          <w:b/>
          <w:bCs/>
          <w:color w:val="auto"/>
          <w:sz w:val="24"/>
          <w:highlight w:val="none"/>
          <w:lang w:val="en-US" w:eastAsia="zh-CN"/>
        </w:rPr>
        <w:t>磋商</w:t>
      </w:r>
      <w:r>
        <w:rPr>
          <w:rFonts w:hint="eastAsia" w:ascii="宋体" w:hAnsi="宋体" w:cs="宋体"/>
          <w:b/>
          <w:bCs/>
          <w:color w:val="auto"/>
          <w:sz w:val="24"/>
          <w:highlight w:val="none"/>
        </w:rPr>
        <w:t>文件第一部分</w:t>
      </w:r>
      <w:r>
        <w:rPr>
          <w:rFonts w:hint="eastAsia" w:cs="宋体"/>
          <w:b/>
          <w:bCs/>
          <w:color w:val="auto"/>
          <w:sz w:val="24"/>
          <w:highlight w:val="none"/>
          <w:lang w:val="en-US" w:eastAsia="zh-CN"/>
        </w:rPr>
        <w:t>竞争性磋商</w:t>
      </w:r>
      <w:r>
        <w:rPr>
          <w:rFonts w:hint="eastAsia" w:ascii="宋体" w:hAnsi="宋体" w:cs="宋体"/>
          <w:b/>
          <w:bCs/>
          <w:color w:val="auto"/>
          <w:sz w:val="24"/>
          <w:highlight w:val="none"/>
        </w:rPr>
        <w:t>公告申请人的资格要求中规定的</w:t>
      </w:r>
      <w:r>
        <w:rPr>
          <w:rFonts w:hint="eastAsia" w:ascii="宋体" w:hAnsi="宋体" w:cs="宋体"/>
          <w:b/>
          <w:color w:val="auto"/>
          <w:kern w:val="0"/>
          <w:sz w:val="24"/>
          <w:highlight w:val="none"/>
          <w:lang w:val="zh-CN"/>
        </w:rPr>
        <w:t>分包意向协议</w:t>
      </w:r>
      <w:r>
        <w:rPr>
          <w:rFonts w:hint="eastAsia" w:cs="宋体"/>
          <w:b/>
          <w:color w:val="auto"/>
          <w:kern w:val="0"/>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556"/>
    </w:p>
    <w:p w14:paraId="51C56E7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F26E4A3">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925029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7369B1B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7AB09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32B92C8">
      <w:pPr>
        <w:snapToGrid w:val="0"/>
        <w:spacing w:line="360" w:lineRule="auto"/>
        <w:ind w:left="655"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C79FAF7">
      <w:pPr>
        <w:snapToGrid w:val="0"/>
        <w:spacing w:line="360" w:lineRule="auto"/>
        <w:ind w:left="655"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7F77B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2CBB9B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D83C45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A9066DF">
      <w:pPr>
        <w:snapToGrid w:val="0"/>
        <w:spacing w:line="360" w:lineRule="auto"/>
        <w:ind w:left="5861"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cs="宋体"/>
          <w:color w:val="auto"/>
          <w:kern w:val="0"/>
          <w:sz w:val="24"/>
          <w:highlight w:val="none"/>
          <w:lang w:val="en-US" w:eastAsia="zh-CN"/>
        </w:rPr>
        <w:t>供应商</w:t>
      </w:r>
      <w:r>
        <w:rPr>
          <w:rFonts w:hint="eastAsia" w:ascii="宋体" w:hAnsi="宋体" w:cs="宋体"/>
          <w:color w:val="auto"/>
          <w:kern w:val="0"/>
          <w:sz w:val="24"/>
          <w:highlight w:val="none"/>
          <w:lang w:val="zh-CN"/>
        </w:rPr>
        <w:t>名称(</w:t>
      </w:r>
      <w:r>
        <w:rPr>
          <w:rFonts w:hint="eastAsia" w:cs="宋体"/>
          <w:color w:val="auto"/>
          <w:kern w:val="0"/>
          <w:sz w:val="24"/>
          <w:highlight w:val="none"/>
          <w:lang w:val="zh-CN"/>
        </w:rPr>
        <w:t>公章</w:t>
      </w:r>
      <w:r>
        <w:rPr>
          <w:rFonts w:hint="eastAsia" w:ascii="宋体" w:hAnsi="宋体" w:cs="宋体"/>
          <w:color w:val="auto"/>
          <w:kern w:val="0"/>
          <w:sz w:val="24"/>
          <w:highlight w:val="none"/>
          <w:lang w:val="zh-CN"/>
        </w:rPr>
        <w:t>)：</w:t>
      </w:r>
    </w:p>
    <w:p w14:paraId="665C464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分包供应商名称(公章)：</w:t>
      </w:r>
    </w:p>
    <w:p w14:paraId="102F6BD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2C38D7A">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9A2F910">
      <w:pPr>
        <w:spacing w:line="360" w:lineRule="auto"/>
        <w:ind w:right="420"/>
        <w:rPr>
          <w:rFonts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7F0D76CC">
      <w:pPr>
        <w:topLinePunct/>
        <w:ind w:firstLine="480" w:firstLineChars="200"/>
        <w:rPr>
          <w:rFonts w:hint="eastAsia"/>
          <w:color w:val="auto"/>
          <w:szCs w:val="32"/>
          <w:highlight w:val="none"/>
        </w:rPr>
      </w:pPr>
    </w:p>
    <w:p w14:paraId="5F400CB9">
      <w:pPr>
        <w:topLinePunct/>
        <w:ind w:firstLine="480" w:firstLineChars="200"/>
        <w:rPr>
          <w:rFonts w:hint="eastAsia"/>
          <w:color w:val="auto"/>
          <w:szCs w:val="32"/>
          <w:highlight w:val="none"/>
        </w:rPr>
      </w:pPr>
    </w:p>
    <w:p w14:paraId="11CAF290">
      <w:pPr>
        <w:topLinePunct/>
        <w:ind w:firstLine="480" w:firstLineChars="200"/>
        <w:rPr>
          <w:rFonts w:hint="eastAsia"/>
          <w:color w:val="auto"/>
          <w:szCs w:val="32"/>
          <w:highlight w:val="none"/>
        </w:rPr>
      </w:pPr>
    </w:p>
    <w:p w14:paraId="35CFE103">
      <w:pPr>
        <w:topLinePunct/>
        <w:ind w:firstLine="480" w:firstLineChars="200"/>
        <w:rPr>
          <w:rFonts w:hint="eastAsia"/>
          <w:color w:val="auto"/>
          <w:szCs w:val="32"/>
          <w:highlight w:val="none"/>
        </w:rPr>
      </w:pPr>
    </w:p>
    <w:bookmarkEnd w:id="551"/>
    <w:p w14:paraId="5775F461">
      <w:pPr>
        <w:ind w:left="2520" w:leftChars="1050"/>
        <w:rPr>
          <w:color w:val="auto"/>
          <w:highlight w:val="none"/>
        </w:rPr>
      </w:pPr>
      <w:r>
        <w:rPr>
          <w:rFonts w:cs="Courier New"/>
          <w:color w:val="auto"/>
          <w:szCs w:val="24"/>
          <w:highlight w:val="none"/>
        </w:rPr>
        <w:br w:type="page"/>
      </w:r>
    </w:p>
    <w:p w14:paraId="27442EE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557" w:name="_Toc155185932"/>
      <w:bookmarkStart w:id="558" w:name="_Toc163492926"/>
      <w:bookmarkStart w:id="559" w:name="_Toc22058"/>
      <w:r>
        <w:rPr>
          <w:rFonts w:hint="eastAsia" w:cstheme="majorBidi"/>
          <w:b/>
          <w:bCs/>
          <w:color w:val="auto"/>
          <w:kern w:val="2"/>
          <w:sz w:val="28"/>
          <w:szCs w:val="28"/>
          <w:highlight w:val="none"/>
          <w:lang w:val="en-US" w:eastAsia="zh-CN" w:bidi="ar-SA"/>
        </w:rPr>
        <w:t>四</w:t>
      </w:r>
      <w:r>
        <w:rPr>
          <w:rFonts w:hint="eastAsia" w:eastAsia="宋体" w:asciiTheme="majorHAnsi" w:hAnsiTheme="majorHAnsi" w:cstheme="majorBidi"/>
          <w:b/>
          <w:bCs/>
          <w:color w:val="auto"/>
          <w:kern w:val="2"/>
          <w:sz w:val="28"/>
          <w:szCs w:val="28"/>
          <w:highlight w:val="none"/>
          <w:lang w:val="en-US" w:eastAsia="zh-CN" w:bidi="ar-SA"/>
        </w:rPr>
        <w:t>、</w:t>
      </w:r>
      <w:bookmarkEnd w:id="557"/>
      <w:bookmarkEnd w:id="558"/>
      <w:r>
        <w:rPr>
          <w:rFonts w:hint="eastAsia" w:eastAsia="宋体" w:asciiTheme="majorHAnsi" w:hAnsiTheme="majorHAnsi" w:cstheme="majorBidi"/>
          <w:b/>
          <w:bCs/>
          <w:color w:val="auto"/>
          <w:kern w:val="2"/>
          <w:sz w:val="28"/>
          <w:szCs w:val="28"/>
          <w:highlight w:val="none"/>
          <w:lang w:val="en-US" w:eastAsia="zh-CN" w:bidi="ar-SA"/>
        </w:rPr>
        <w:t>落实政府采购政策相关证明文件</w:t>
      </w:r>
      <w:bookmarkEnd w:id="559"/>
    </w:p>
    <w:p w14:paraId="0BDCE4AB">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560" w:name="_Toc26810"/>
      <w:bookmarkStart w:id="561" w:name="_Toc163492938"/>
      <w:bookmarkStart w:id="562" w:name="_Toc11213"/>
      <w:r>
        <w:rPr>
          <w:rFonts w:hint="eastAsia" w:ascii="宋体" w:hAnsi="宋体" w:eastAsia="宋体" w:cs="宋体"/>
          <w:b/>
          <w:bCs/>
          <w:color w:val="auto"/>
          <w:kern w:val="2"/>
          <w:sz w:val="24"/>
          <w:szCs w:val="24"/>
          <w:highlight w:val="none"/>
          <w:lang w:val="en-US" w:eastAsia="zh-CN" w:bidi="ar-SA"/>
        </w:rPr>
        <w:t>（一）节能环保产品清单及证明材料</w:t>
      </w:r>
      <w:bookmarkEnd w:id="560"/>
      <w:bookmarkEnd w:id="561"/>
      <w:bookmarkEnd w:id="562"/>
    </w:p>
    <w:p w14:paraId="738C7A23">
      <w:pPr>
        <w:spacing w:line="30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/包号</w:t>
      </w:r>
      <w:r>
        <w:rPr>
          <w:rFonts w:hint="eastAsia" w:ascii="宋体" w:hAnsi="宋体" w:eastAsia="宋体" w:cs="宋体"/>
          <w:color w:val="auto"/>
          <w:sz w:val="24"/>
          <w:szCs w:val="24"/>
          <w:highlight w:val="none"/>
        </w:rPr>
        <w:t>：</w:t>
      </w:r>
    </w:p>
    <w:p w14:paraId="74728550">
      <w:pPr>
        <w:spacing w:line="3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节能产品</w:t>
      </w:r>
    </w:p>
    <w:tbl>
      <w:tblPr>
        <w:tblStyle w:val="27"/>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0D711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7FCF36A0">
            <w:pPr>
              <w:pStyle w:val="44"/>
              <w:jc w:val="center"/>
              <w:rPr>
                <w:color w:val="auto"/>
                <w:sz w:val="21"/>
                <w:szCs w:val="21"/>
                <w:highlight w:val="none"/>
              </w:rPr>
            </w:pPr>
            <w:r>
              <w:rPr>
                <w:rFonts w:hint="eastAsia"/>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454C6998">
            <w:pPr>
              <w:pStyle w:val="44"/>
              <w:jc w:val="center"/>
              <w:rPr>
                <w:color w:val="auto"/>
                <w:sz w:val="21"/>
                <w:szCs w:val="21"/>
                <w:highlight w:val="none"/>
              </w:rPr>
            </w:pPr>
            <w:r>
              <w:rPr>
                <w:rFonts w:hint="eastAsia"/>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4BB5F633">
            <w:pPr>
              <w:pStyle w:val="44"/>
              <w:jc w:val="center"/>
              <w:rPr>
                <w:color w:val="auto"/>
                <w:sz w:val="21"/>
                <w:szCs w:val="21"/>
                <w:highlight w:val="none"/>
              </w:rPr>
            </w:pPr>
            <w:r>
              <w:rPr>
                <w:rFonts w:hint="eastAsia"/>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05539A93">
            <w:pPr>
              <w:pStyle w:val="44"/>
              <w:jc w:val="center"/>
              <w:rPr>
                <w:color w:val="auto"/>
                <w:sz w:val="21"/>
                <w:szCs w:val="21"/>
                <w:highlight w:val="none"/>
              </w:rPr>
            </w:pPr>
            <w:r>
              <w:rPr>
                <w:rFonts w:hint="eastAsia"/>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0DDEEF99">
            <w:pPr>
              <w:pStyle w:val="44"/>
              <w:jc w:val="center"/>
              <w:rPr>
                <w:color w:val="auto"/>
                <w:sz w:val="21"/>
                <w:szCs w:val="21"/>
                <w:highlight w:val="none"/>
              </w:rPr>
            </w:pPr>
            <w:r>
              <w:rPr>
                <w:rFonts w:hint="eastAsia"/>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3F9D9ED4">
            <w:pPr>
              <w:pStyle w:val="44"/>
              <w:jc w:val="center"/>
              <w:rPr>
                <w:color w:val="auto"/>
                <w:sz w:val="21"/>
                <w:szCs w:val="21"/>
                <w:highlight w:val="none"/>
              </w:rPr>
            </w:pPr>
            <w:r>
              <w:rPr>
                <w:rFonts w:hint="eastAsia"/>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46E5422B">
            <w:pPr>
              <w:pStyle w:val="44"/>
              <w:jc w:val="center"/>
              <w:rPr>
                <w:color w:val="auto"/>
                <w:sz w:val="21"/>
                <w:szCs w:val="21"/>
                <w:highlight w:val="none"/>
              </w:rPr>
            </w:pPr>
            <w:r>
              <w:rPr>
                <w:rFonts w:hint="eastAsia"/>
                <w:color w:val="auto"/>
                <w:sz w:val="21"/>
                <w:szCs w:val="21"/>
                <w:highlight w:val="none"/>
              </w:rPr>
              <w:t>单价</w:t>
            </w:r>
          </w:p>
          <w:p w14:paraId="4D8AC9C4">
            <w:pPr>
              <w:pStyle w:val="44"/>
              <w:jc w:val="center"/>
              <w:rPr>
                <w:color w:val="auto"/>
                <w:sz w:val="21"/>
                <w:szCs w:val="21"/>
                <w:highlight w:val="none"/>
              </w:rPr>
            </w:pPr>
            <w:r>
              <w:rPr>
                <w:rFonts w:hint="eastAsia"/>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514FB4B3">
            <w:pPr>
              <w:pStyle w:val="44"/>
              <w:jc w:val="center"/>
              <w:rPr>
                <w:color w:val="auto"/>
                <w:sz w:val="21"/>
                <w:szCs w:val="21"/>
                <w:highlight w:val="none"/>
              </w:rPr>
            </w:pPr>
            <w:r>
              <w:rPr>
                <w:rFonts w:hint="eastAsia"/>
                <w:color w:val="auto"/>
                <w:sz w:val="21"/>
                <w:szCs w:val="21"/>
                <w:highlight w:val="none"/>
              </w:rPr>
              <w:t>总价</w:t>
            </w:r>
          </w:p>
          <w:p w14:paraId="4637FB3E">
            <w:pPr>
              <w:pStyle w:val="44"/>
              <w:jc w:val="center"/>
              <w:rPr>
                <w:color w:val="auto"/>
                <w:sz w:val="21"/>
                <w:szCs w:val="21"/>
                <w:highlight w:val="none"/>
              </w:rPr>
            </w:pPr>
            <w:r>
              <w:rPr>
                <w:rFonts w:hint="eastAsia"/>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3D113D7A">
            <w:pPr>
              <w:pStyle w:val="44"/>
              <w:jc w:val="center"/>
              <w:rPr>
                <w:color w:val="auto"/>
                <w:sz w:val="21"/>
                <w:szCs w:val="21"/>
                <w:highlight w:val="none"/>
              </w:rPr>
            </w:pPr>
            <w:r>
              <w:rPr>
                <w:rFonts w:hint="eastAsia"/>
                <w:color w:val="auto"/>
                <w:sz w:val="21"/>
                <w:szCs w:val="21"/>
                <w:highlight w:val="none"/>
              </w:rPr>
              <w:t>属强制采购或优先采购</w:t>
            </w:r>
          </w:p>
        </w:tc>
      </w:tr>
      <w:tr w14:paraId="18D74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95B8E6D">
            <w:pPr>
              <w:pStyle w:val="44"/>
              <w:numPr>
                <w:ilvl w:val="0"/>
                <w:numId w:val="8"/>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1532E04E">
            <w:pPr>
              <w:pStyle w:val="44"/>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53CDFCC5">
            <w:pPr>
              <w:pStyle w:val="44"/>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1A4E845A">
            <w:pPr>
              <w:pStyle w:val="44"/>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4348699">
            <w:pPr>
              <w:pStyle w:val="44"/>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4CEBECC8">
            <w:pPr>
              <w:pStyle w:val="44"/>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782F642">
            <w:pPr>
              <w:pStyle w:val="44"/>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2EADA19A">
            <w:pPr>
              <w:pStyle w:val="44"/>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2BC80F3F">
            <w:pPr>
              <w:pStyle w:val="44"/>
              <w:jc w:val="center"/>
              <w:rPr>
                <w:color w:val="auto"/>
                <w:sz w:val="21"/>
                <w:szCs w:val="21"/>
                <w:highlight w:val="none"/>
              </w:rPr>
            </w:pPr>
          </w:p>
        </w:tc>
      </w:tr>
      <w:tr w14:paraId="13A56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009443BF">
            <w:pPr>
              <w:pStyle w:val="44"/>
              <w:numPr>
                <w:ilvl w:val="0"/>
                <w:numId w:val="8"/>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FB1FB35">
            <w:pPr>
              <w:pStyle w:val="44"/>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5219D569">
            <w:pPr>
              <w:pStyle w:val="44"/>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79AEC486">
            <w:pPr>
              <w:pStyle w:val="44"/>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1046AFD5">
            <w:pPr>
              <w:pStyle w:val="44"/>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419C65DA">
            <w:pPr>
              <w:pStyle w:val="44"/>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6B1B3EB9">
            <w:pPr>
              <w:pStyle w:val="44"/>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5894FDF6">
            <w:pPr>
              <w:pStyle w:val="44"/>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1C379112">
            <w:pPr>
              <w:pStyle w:val="44"/>
              <w:jc w:val="center"/>
              <w:rPr>
                <w:color w:val="auto"/>
                <w:sz w:val="21"/>
                <w:szCs w:val="21"/>
                <w:highlight w:val="none"/>
              </w:rPr>
            </w:pPr>
          </w:p>
        </w:tc>
      </w:tr>
      <w:tr w14:paraId="1A338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314FA40F">
            <w:pPr>
              <w:pStyle w:val="44"/>
              <w:numPr>
                <w:ilvl w:val="0"/>
                <w:numId w:val="8"/>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087F5988">
            <w:pPr>
              <w:pStyle w:val="44"/>
              <w:jc w:val="center"/>
              <w:rPr>
                <w:color w:val="auto"/>
                <w:sz w:val="21"/>
                <w:szCs w:val="21"/>
                <w:highlight w:val="none"/>
              </w:rPr>
            </w:pPr>
            <w:r>
              <w:rPr>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790E1A28">
            <w:pPr>
              <w:pStyle w:val="44"/>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5A0864AE">
            <w:pPr>
              <w:pStyle w:val="44"/>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4C9F1D0">
            <w:pPr>
              <w:pStyle w:val="44"/>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0686AC29">
            <w:pPr>
              <w:pStyle w:val="44"/>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1343A306">
            <w:pPr>
              <w:pStyle w:val="44"/>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A6317B8">
            <w:pPr>
              <w:pStyle w:val="44"/>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0E24D072">
            <w:pPr>
              <w:pStyle w:val="44"/>
              <w:jc w:val="center"/>
              <w:rPr>
                <w:color w:val="auto"/>
                <w:sz w:val="21"/>
                <w:szCs w:val="21"/>
                <w:highlight w:val="none"/>
              </w:rPr>
            </w:pPr>
          </w:p>
        </w:tc>
      </w:tr>
    </w:tbl>
    <w:p w14:paraId="2831E0BE">
      <w:pPr>
        <w:spacing w:line="300" w:lineRule="auto"/>
        <w:rPr>
          <w:rFonts w:ascii="Arial" w:hAnsi="Arial" w:cs="Arial"/>
          <w:color w:val="auto"/>
          <w:szCs w:val="21"/>
          <w:highlight w:val="none"/>
        </w:rPr>
      </w:pPr>
    </w:p>
    <w:p w14:paraId="60D44E3F">
      <w:pP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环保产品</w:t>
      </w:r>
    </w:p>
    <w:tbl>
      <w:tblPr>
        <w:tblStyle w:val="27"/>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1D26B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357131EF">
            <w:pPr>
              <w:pStyle w:val="44"/>
              <w:jc w:val="center"/>
              <w:rPr>
                <w:color w:val="auto"/>
                <w:sz w:val="21"/>
                <w:szCs w:val="21"/>
                <w:highlight w:val="none"/>
              </w:rPr>
            </w:pPr>
            <w:r>
              <w:rPr>
                <w:rFonts w:hint="eastAsia"/>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6B75546E">
            <w:pPr>
              <w:pStyle w:val="44"/>
              <w:jc w:val="center"/>
              <w:rPr>
                <w:color w:val="auto"/>
                <w:sz w:val="21"/>
                <w:szCs w:val="21"/>
                <w:highlight w:val="none"/>
              </w:rPr>
            </w:pPr>
            <w:r>
              <w:rPr>
                <w:rFonts w:hint="eastAsia"/>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48807FE9">
            <w:pPr>
              <w:pStyle w:val="44"/>
              <w:jc w:val="center"/>
              <w:rPr>
                <w:color w:val="auto"/>
                <w:sz w:val="21"/>
                <w:szCs w:val="21"/>
                <w:highlight w:val="none"/>
              </w:rPr>
            </w:pPr>
            <w:r>
              <w:rPr>
                <w:rFonts w:hint="eastAsia"/>
                <w:color w:val="auto"/>
                <w:sz w:val="21"/>
                <w:szCs w:val="21"/>
                <w:highlight w:val="none"/>
              </w:rPr>
              <w:t>制造商</w:t>
            </w:r>
          </w:p>
          <w:p w14:paraId="6871D586">
            <w:pPr>
              <w:pStyle w:val="44"/>
              <w:jc w:val="center"/>
              <w:rPr>
                <w:color w:val="auto"/>
                <w:sz w:val="21"/>
                <w:szCs w:val="21"/>
                <w:highlight w:val="none"/>
              </w:rPr>
            </w:pPr>
            <w:r>
              <w:rPr>
                <w:rFonts w:hint="eastAsia"/>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63CB73BC">
            <w:pPr>
              <w:pStyle w:val="44"/>
              <w:jc w:val="center"/>
              <w:rPr>
                <w:color w:val="auto"/>
                <w:sz w:val="21"/>
                <w:szCs w:val="21"/>
                <w:highlight w:val="none"/>
              </w:rPr>
            </w:pPr>
            <w:r>
              <w:rPr>
                <w:rFonts w:hint="eastAsia"/>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46FFC544">
            <w:pPr>
              <w:pStyle w:val="44"/>
              <w:jc w:val="center"/>
              <w:rPr>
                <w:color w:val="auto"/>
                <w:sz w:val="21"/>
                <w:szCs w:val="21"/>
                <w:highlight w:val="none"/>
              </w:rPr>
            </w:pPr>
            <w:r>
              <w:rPr>
                <w:rFonts w:hint="eastAsia"/>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067CEFC8">
            <w:pPr>
              <w:pStyle w:val="44"/>
              <w:jc w:val="center"/>
              <w:rPr>
                <w:color w:val="auto"/>
                <w:sz w:val="21"/>
                <w:szCs w:val="21"/>
                <w:highlight w:val="none"/>
              </w:rPr>
            </w:pPr>
            <w:r>
              <w:rPr>
                <w:rFonts w:hint="eastAsia"/>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37A87868">
            <w:pPr>
              <w:pStyle w:val="44"/>
              <w:jc w:val="center"/>
              <w:rPr>
                <w:color w:val="auto"/>
                <w:sz w:val="21"/>
                <w:szCs w:val="21"/>
                <w:highlight w:val="none"/>
              </w:rPr>
            </w:pPr>
            <w:r>
              <w:rPr>
                <w:rFonts w:hint="eastAsia"/>
                <w:color w:val="auto"/>
                <w:sz w:val="21"/>
                <w:szCs w:val="21"/>
                <w:highlight w:val="none"/>
              </w:rPr>
              <w:t>单价</w:t>
            </w:r>
          </w:p>
          <w:p w14:paraId="09FBCB92">
            <w:pPr>
              <w:pStyle w:val="44"/>
              <w:jc w:val="center"/>
              <w:rPr>
                <w:color w:val="auto"/>
                <w:sz w:val="21"/>
                <w:szCs w:val="21"/>
                <w:highlight w:val="none"/>
              </w:rPr>
            </w:pPr>
            <w:r>
              <w:rPr>
                <w:rFonts w:hint="eastAsia"/>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0A825EE6">
            <w:pPr>
              <w:pStyle w:val="44"/>
              <w:jc w:val="center"/>
              <w:rPr>
                <w:color w:val="auto"/>
                <w:sz w:val="21"/>
                <w:szCs w:val="21"/>
                <w:highlight w:val="none"/>
              </w:rPr>
            </w:pPr>
            <w:r>
              <w:rPr>
                <w:rFonts w:hint="eastAsia"/>
                <w:color w:val="auto"/>
                <w:sz w:val="21"/>
                <w:szCs w:val="21"/>
                <w:highlight w:val="none"/>
              </w:rPr>
              <w:t>总价</w:t>
            </w:r>
          </w:p>
          <w:p w14:paraId="33CDE01B">
            <w:pPr>
              <w:pStyle w:val="44"/>
              <w:jc w:val="center"/>
              <w:rPr>
                <w:color w:val="auto"/>
                <w:sz w:val="21"/>
                <w:szCs w:val="21"/>
                <w:highlight w:val="none"/>
              </w:rPr>
            </w:pPr>
            <w:r>
              <w:rPr>
                <w:rFonts w:hint="eastAsia"/>
                <w:color w:val="auto"/>
                <w:sz w:val="21"/>
                <w:szCs w:val="21"/>
                <w:highlight w:val="none"/>
              </w:rPr>
              <w:t>（万元）</w:t>
            </w:r>
          </w:p>
        </w:tc>
      </w:tr>
      <w:tr w14:paraId="73043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66FF683B">
            <w:pPr>
              <w:pStyle w:val="44"/>
              <w:numPr>
                <w:ilvl w:val="0"/>
                <w:numId w:val="9"/>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2A116FE">
            <w:pPr>
              <w:pStyle w:val="44"/>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737EAFD8">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6148B80C">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46C9D21">
            <w:pPr>
              <w:pStyle w:val="44"/>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36E01E2C">
            <w:pPr>
              <w:pStyle w:val="44"/>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6EBB7355">
            <w:pPr>
              <w:pStyle w:val="44"/>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00014CA">
            <w:pPr>
              <w:pStyle w:val="44"/>
              <w:jc w:val="center"/>
              <w:rPr>
                <w:color w:val="auto"/>
                <w:sz w:val="21"/>
                <w:szCs w:val="21"/>
                <w:highlight w:val="none"/>
              </w:rPr>
            </w:pPr>
          </w:p>
        </w:tc>
      </w:tr>
      <w:tr w14:paraId="7D13B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3AE9564A">
            <w:pPr>
              <w:pStyle w:val="44"/>
              <w:numPr>
                <w:ilvl w:val="0"/>
                <w:numId w:val="9"/>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57E2EB56">
            <w:pPr>
              <w:pStyle w:val="44"/>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588C31A9">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90A4A93">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6DA7E15">
            <w:pPr>
              <w:pStyle w:val="44"/>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1037ECDB">
            <w:pPr>
              <w:pStyle w:val="44"/>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23BD0E45">
            <w:pPr>
              <w:pStyle w:val="44"/>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5D0710D8">
            <w:pPr>
              <w:pStyle w:val="44"/>
              <w:jc w:val="center"/>
              <w:rPr>
                <w:color w:val="auto"/>
                <w:sz w:val="21"/>
                <w:szCs w:val="21"/>
                <w:highlight w:val="none"/>
              </w:rPr>
            </w:pPr>
          </w:p>
        </w:tc>
      </w:tr>
      <w:tr w14:paraId="7AC84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2631B4FC">
            <w:pPr>
              <w:pStyle w:val="44"/>
              <w:numPr>
                <w:ilvl w:val="0"/>
                <w:numId w:val="9"/>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7A83E45D">
            <w:pPr>
              <w:pStyle w:val="44"/>
              <w:jc w:val="center"/>
              <w:rPr>
                <w:color w:val="auto"/>
                <w:sz w:val="21"/>
                <w:szCs w:val="21"/>
                <w:highlight w:val="none"/>
              </w:rPr>
            </w:pPr>
            <w:r>
              <w:rPr>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313CA41C">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553DA88">
            <w:pPr>
              <w:pStyle w:val="44"/>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DE0615D">
            <w:pPr>
              <w:pStyle w:val="44"/>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5874A069">
            <w:pPr>
              <w:pStyle w:val="44"/>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065BE9E4">
            <w:pPr>
              <w:pStyle w:val="44"/>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32910C53">
            <w:pPr>
              <w:pStyle w:val="44"/>
              <w:jc w:val="center"/>
              <w:rPr>
                <w:color w:val="auto"/>
                <w:sz w:val="21"/>
                <w:szCs w:val="21"/>
                <w:highlight w:val="none"/>
              </w:rPr>
            </w:pPr>
          </w:p>
        </w:tc>
      </w:tr>
    </w:tbl>
    <w:p w14:paraId="141E07B3">
      <w:pPr>
        <w:spacing w:line="300" w:lineRule="auto"/>
        <w:rPr>
          <w:rFonts w:ascii="Arial" w:hAnsi="Arial" w:cs="Arial"/>
          <w:color w:val="auto"/>
          <w:szCs w:val="21"/>
          <w:highlight w:val="none"/>
        </w:rPr>
      </w:pPr>
    </w:p>
    <w:p w14:paraId="606E5A08">
      <w:pPr>
        <w:rPr>
          <w:rFonts w:ascii="Arial" w:hAnsi="Arial" w:cs="Arial"/>
          <w:b/>
          <w:color w:val="auto"/>
          <w:sz w:val="21"/>
          <w:szCs w:val="21"/>
          <w:highlight w:val="none"/>
        </w:rPr>
      </w:pPr>
      <w:r>
        <w:rPr>
          <w:rFonts w:hint="eastAsia" w:ascii="Arial" w:hAnsi="Arial" w:cs="Arial"/>
          <w:b/>
          <w:color w:val="auto"/>
          <w:sz w:val="21"/>
          <w:szCs w:val="21"/>
          <w:highlight w:val="none"/>
        </w:rPr>
        <w:t>特别说明：</w:t>
      </w:r>
      <w:r>
        <w:rPr>
          <w:rFonts w:hint="eastAsia" w:ascii="Arial" w:hAnsi="Arial" w:cs="Arial"/>
          <w:b/>
          <w:color w:val="auto"/>
          <w:sz w:val="21"/>
          <w:szCs w:val="21"/>
          <w:highlight w:val="none"/>
          <w:lang w:val="en-US" w:eastAsia="zh-CN"/>
        </w:rPr>
        <w:t>供应商</w:t>
      </w:r>
      <w:r>
        <w:rPr>
          <w:rFonts w:hint="eastAsia" w:ascii="Arial" w:hAnsi="Arial" w:cs="Arial"/>
          <w:b/>
          <w:color w:val="auto"/>
          <w:sz w:val="21"/>
          <w:szCs w:val="21"/>
          <w:highlight w:val="none"/>
        </w:rPr>
        <w:t>应将所投产品中节能、环保产品分别列入上表中，并按本</w:t>
      </w:r>
      <w:r>
        <w:rPr>
          <w:rFonts w:hint="eastAsia" w:ascii="Arial" w:hAnsi="Arial" w:cs="Arial"/>
          <w:b/>
          <w:color w:val="auto"/>
          <w:sz w:val="21"/>
          <w:szCs w:val="21"/>
          <w:highlight w:val="none"/>
          <w:lang w:val="en-US" w:eastAsia="zh-CN"/>
        </w:rPr>
        <w:t>竞争性磋商</w:t>
      </w:r>
      <w:r>
        <w:rPr>
          <w:rFonts w:hint="eastAsia" w:ascii="Arial" w:hAnsi="Arial" w:cs="Arial"/>
          <w:b/>
          <w:color w:val="auto"/>
          <w:sz w:val="21"/>
          <w:szCs w:val="21"/>
          <w:highlight w:val="none"/>
        </w:rPr>
        <w:t>文件</w:t>
      </w:r>
      <w:r>
        <w:rPr>
          <w:rFonts w:hint="eastAsia" w:ascii="Arial" w:hAnsi="Arial" w:cs="Arial"/>
          <w:b/>
          <w:color w:val="auto"/>
          <w:sz w:val="21"/>
          <w:szCs w:val="21"/>
          <w:highlight w:val="none"/>
          <w:lang w:val="en-US" w:eastAsia="zh-CN"/>
        </w:rPr>
        <w:t>“</w:t>
      </w:r>
      <w:r>
        <w:rPr>
          <w:rFonts w:hint="eastAsia" w:ascii="Arial" w:hAnsi="Arial" w:cs="Arial"/>
          <w:b/>
          <w:color w:val="auto"/>
          <w:sz w:val="21"/>
          <w:szCs w:val="21"/>
          <w:highlight w:val="none"/>
        </w:rPr>
        <w:t>第二章</w:t>
      </w:r>
      <w:r>
        <w:rPr>
          <w:rFonts w:hint="eastAsia" w:ascii="Arial" w:hAnsi="Arial" w:cs="Arial"/>
          <w:b/>
          <w:color w:val="auto"/>
          <w:sz w:val="21"/>
          <w:szCs w:val="21"/>
          <w:highlight w:val="none"/>
          <w:lang w:val="en-US" w:eastAsia="zh-CN"/>
        </w:rPr>
        <w:t>供应商须知”</w:t>
      </w:r>
      <w:r>
        <w:rPr>
          <w:rFonts w:hint="eastAsia" w:ascii="Arial" w:hAnsi="Arial" w:cs="Arial"/>
          <w:b/>
          <w:color w:val="auto"/>
          <w:sz w:val="21"/>
          <w:szCs w:val="21"/>
          <w:highlight w:val="none"/>
        </w:rPr>
        <w:t>提供相关证明材料，未填写本表或未提供有效认证证书</w:t>
      </w:r>
      <w:r>
        <w:rPr>
          <w:rFonts w:ascii="Arial" w:hAnsi="Arial" w:cs="Arial"/>
          <w:b/>
          <w:color w:val="auto"/>
          <w:sz w:val="21"/>
          <w:szCs w:val="21"/>
          <w:highlight w:val="none"/>
        </w:rPr>
        <w:t>的</w:t>
      </w:r>
      <w:r>
        <w:rPr>
          <w:rFonts w:hint="eastAsia" w:ascii="Arial" w:hAnsi="Arial" w:cs="Arial"/>
          <w:b/>
          <w:color w:val="auto"/>
          <w:sz w:val="21"/>
          <w:szCs w:val="21"/>
          <w:highlight w:val="none"/>
        </w:rPr>
        <w:t>不给予</w:t>
      </w:r>
      <w:r>
        <w:rPr>
          <w:rFonts w:ascii="Arial" w:hAnsi="Arial" w:cs="Arial"/>
          <w:b/>
          <w:color w:val="auto"/>
          <w:sz w:val="21"/>
          <w:szCs w:val="21"/>
          <w:highlight w:val="none"/>
        </w:rPr>
        <w:t>价格扣除</w:t>
      </w:r>
      <w:r>
        <w:rPr>
          <w:rFonts w:hint="eastAsia" w:ascii="Arial" w:hAnsi="Arial" w:cs="Arial"/>
          <w:b/>
          <w:color w:val="auto"/>
          <w:sz w:val="21"/>
          <w:szCs w:val="21"/>
          <w:highlight w:val="none"/>
        </w:rPr>
        <w:t>。</w:t>
      </w:r>
    </w:p>
    <w:p w14:paraId="675C9164">
      <w:pPr>
        <w:spacing w:line="300" w:lineRule="auto"/>
        <w:rPr>
          <w:rFonts w:ascii="Arial" w:hAnsi="Arial" w:cs="Arial"/>
          <w:color w:val="auto"/>
          <w:szCs w:val="21"/>
          <w:highlight w:val="none"/>
        </w:rPr>
      </w:pPr>
    </w:p>
    <w:p w14:paraId="0BA1A982">
      <w:pP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lang w:val="en-US" w:eastAsia="zh-CN"/>
        </w:rPr>
        <w:t xml:space="preserve">                                         </w:t>
      </w:r>
      <w:r>
        <w:rPr>
          <w:rFonts w:hint="eastAsia" w:cs="宋体"/>
          <w:color w:val="auto"/>
          <w:kern w:val="0"/>
          <w:sz w:val="24"/>
          <w:highlight w:val="none"/>
          <w:lang w:val="en-US" w:eastAsia="zh-CN"/>
        </w:rPr>
        <w:t>供应商</w:t>
      </w:r>
      <w:r>
        <w:rPr>
          <w:rFonts w:hint="eastAsia" w:ascii="宋体" w:hAnsi="宋体" w:cs="宋体"/>
          <w:color w:val="auto"/>
          <w:kern w:val="0"/>
          <w:sz w:val="24"/>
          <w:highlight w:val="none"/>
          <w:lang w:val="zh-CN"/>
        </w:rPr>
        <w:t>名称(</w:t>
      </w:r>
      <w:r>
        <w:rPr>
          <w:rFonts w:hint="eastAsia" w:cs="宋体"/>
          <w:color w:val="auto"/>
          <w:kern w:val="0"/>
          <w:sz w:val="24"/>
          <w:highlight w:val="none"/>
          <w:lang w:val="zh-CN"/>
        </w:rPr>
        <w:t>公章</w:t>
      </w:r>
      <w:r>
        <w:rPr>
          <w:rFonts w:hint="eastAsia" w:ascii="宋体" w:hAnsi="宋体" w:cs="宋体"/>
          <w:color w:val="auto"/>
          <w:kern w:val="0"/>
          <w:sz w:val="24"/>
          <w:highlight w:val="none"/>
          <w:lang w:val="zh-CN"/>
        </w:rPr>
        <w:t>)：</w:t>
      </w:r>
    </w:p>
    <w:p w14:paraId="3068A70D">
      <w:pPr>
        <w:ind w:firstLine="5520" w:firstLineChars="2300"/>
        <w:rPr>
          <w:rFonts w:ascii="Arial" w:hAnsi="Arial" w:cs="Arial"/>
          <w:color w:val="auto"/>
          <w:szCs w:val="21"/>
          <w:highlight w:val="none"/>
        </w:rPr>
      </w:pPr>
      <w:r>
        <w:rPr>
          <w:rFonts w:ascii="Arial" w:hAnsi="Arial" w:cs="Arial"/>
          <w:color w:val="auto"/>
          <w:szCs w:val="21"/>
          <w:highlight w:val="none"/>
        </w:rPr>
        <w:t>日期：</w:t>
      </w:r>
    </w:p>
    <w:p w14:paraId="70617D68">
      <w:pPr>
        <w:rPr>
          <w:rFonts w:ascii="Arial" w:hAnsi="Arial" w:cs="Arial"/>
          <w:color w:val="auto"/>
          <w:szCs w:val="21"/>
          <w:highlight w:val="none"/>
        </w:rPr>
      </w:pPr>
      <w:r>
        <w:rPr>
          <w:rFonts w:ascii="Arial" w:hAnsi="Arial" w:cs="Arial"/>
          <w:color w:val="auto"/>
          <w:szCs w:val="21"/>
          <w:highlight w:val="none"/>
        </w:rPr>
        <w:br w:type="page"/>
      </w:r>
    </w:p>
    <w:p w14:paraId="711C0C58">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theme="minorBidi"/>
          <w:b/>
          <w:bCs/>
          <w:color w:val="auto"/>
          <w:kern w:val="2"/>
          <w:sz w:val="24"/>
          <w:szCs w:val="24"/>
          <w:highlight w:val="none"/>
          <w:lang w:val="en-US" w:eastAsia="zh-CN" w:bidi="ar-SA"/>
        </w:rPr>
      </w:pPr>
      <w:bookmarkStart w:id="563" w:name="_Toc11834"/>
      <w:bookmarkStart w:id="564" w:name="_Toc20141"/>
      <w:bookmarkStart w:id="565" w:name="_Toc163492939"/>
      <w:r>
        <w:rPr>
          <w:rFonts w:hint="eastAsia" w:ascii="宋体" w:hAnsi="宋体" w:eastAsia="宋体" w:cstheme="minorBidi"/>
          <w:b/>
          <w:bCs/>
          <w:color w:val="auto"/>
          <w:kern w:val="2"/>
          <w:sz w:val="24"/>
          <w:szCs w:val="24"/>
          <w:highlight w:val="none"/>
          <w:lang w:val="en-US" w:eastAsia="zh-CN" w:bidi="ar-SA"/>
        </w:rPr>
        <w:t>（二）中小企业声明函</w:t>
      </w:r>
      <w:bookmarkEnd w:id="563"/>
      <w:bookmarkEnd w:id="564"/>
      <w:bookmarkEnd w:id="565"/>
    </w:p>
    <w:p w14:paraId="17DF8322">
      <w:pPr>
        <w:pStyle w:val="37"/>
        <w:keepNext w:val="0"/>
        <w:keepLines w:val="0"/>
        <w:pageBreakBefore w:val="0"/>
        <w:widowControl w:val="0"/>
        <w:numPr>
          <w:ilvl w:val="0"/>
          <w:numId w:val="0"/>
        </w:numPr>
        <w:kinsoku/>
        <w:wordWrap/>
        <w:overflowPunct/>
        <w:topLinePunct w:val="0"/>
        <w:autoSpaceDE/>
        <w:autoSpaceDN/>
        <w:bidi w:val="0"/>
        <w:adjustRightInd/>
        <w:snapToGrid/>
        <w:spacing w:line="300" w:lineRule="exact"/>
        <w:ind w:left="420" w:leftChars="0" w:hanging="420" w:firstLineChars="0"/>
        <w:jc w:val="center"/>
        <w:textAlignment w:val="auto"/>
        <w:rPr>
          <w:rFonts w:hint="eastAsia"/>
          <w:b/>
          <w:bCs/>
          <w:color w:val="auto"/>
          <w:sz w:val="32"/>
          <w:szCs w:val="32"/>
          <w:highlight w:val="none"/>
        </w:rPr>
      </w:pPr>
    </w:p>
    <w:p w14:paraId="31EF7E02">
      <w:pPr>
        <w:pStyle w:val="37"/>
        <w:numPr>
          <w:ilvl w:val="0"/>
          <w:numId w:val="0"/>
        </w:numPr>
        <w:ind w:left="420" w:leftChars="0" w:hanging="420" w:firstLineChars="0"/>
        <w:jc w:val="center"/>
        <w:rPr>
          <w:b/>
          <w:bCs/>
          <w:color w:val="auto"/>
          <w:sz w:val="32"/>
          <w:szCs w:val="32"/>
          <w:highlight w:val="none"/>
        </w:rPr>
      </w:pPr>
      <w:r>
        <w:rPr>
          <w:rFonts w:hint="eastAsia"/>
          <w:b/>
          <w:bCs/>
          <w:color w:val="auto"/>
          <w:sz w:val="32"/>
          <w:szCs w:val="32"/>
          <w:highlight w:val="none"/>
        </w:rPr>
        <w:t>中小企业声明函</w:t>
      </w:r>
    </w:p>
    <w:p w14:paraId="78BC1CF1">
      <w:pPr>
        <w:ind w:firstLine="504" w:firstLineChars="200"/>
        <w:rPr>
          <w:rFonts w:cs="宋体"/>
          <w:color w:val="auto"/>
          <w:spacing w:val="6"/>
          <w:szCs w:val="24"/>
          <w:highlight w:val="none"/>
        </w:rPr>
      </w:pPr>
      <w:r>
        <w:rPr>
          <w:rFonts w:hint="eastAsia" w:cs="宋体"/>
          <w:color w:val="auto"/>
          <w:spacing w:val="6"/>
          <w:szCs w:val="24"/>
          <w:highlight w:val="none"/>
        </w:rPr>
        <w:t>本公司（联合体）郑重声明，根据《政府采购促进中小企业发展管理办法》（财库﹝2020﹞46 号）的规定，本公司（联合体）参加</w:t>
      </w:r>
      <w:r>
        <w:rPr>
          <w:rFonts w:hint="eastAsia" w:cs="宋体"/>
          <w:color w:val="auto"/>
          <w:spacing w:val="6"/>
          <w:szCs w:val="24"/>
          <w:highlight w:val="none"/>
          <w:u w:val="single"/>
        </w:rPr>
        <w:t xml:space="preserve"> （单位名称）</w:t>
      </w:r>
      <w:r>
        <w:rPr>
          <w:rFonts w:hint="eastAsia" w:cs="宋体"/>
          <w:color w:val="auto"/>
          <w:spacing w:val="6"/>
          <w:szCs w:val="24"/>
          <w:highlight w:val="none"/>
        </w:rPr>
        <w:t xml:space="preserve"> 的</w:t>
      </w:r>
      <w:r>
        <w:rPr>
          <w:rFonts w:hint="eastAsia" w:cs="宋体"/>
          <w:color w:val="auto"/>
          <w:spacing w:val="6"/>
          <w:szCs w:val="24"/>
          <w:highlight w:val="none"/>
          <w:u w:val="single"/>
        </w:rPr>
        <w:t xml:space="preserve"> （项目名称） </w:t>
      </w:r>
      <w:r>
        <w:rPr>
          <w:rFonts w:hint="eastAsia" w:cs="宋体"/>
          <w:color w:val="auto"/>
          <w:spacing w:val="6"/>
          <w:szCs w:val="24"/>
          <w:highlight w:val="none"/>
        </w:rPr>
        <w:t>采购活动，提供的货物全部由符合政策要求的中小企业制造。相关企业（含联合体中的中小企业、签订分包意向协议</w:t>
      </w:r>
      <w:r>
        <w:rPr>
          <w:rFonts w:hint="eastAsia" w:cs="宋体"/>
          <w:color w:val="auto"/>
          <w:spacing w:val="6"/>
          <w:szCs w:val="24"/>
          <w:highlight w:val="none"/>
          <w:lang w:val="en-US" w:eastAsia="zh-CN"/>
        </w:rPr>
        <w:t>书</w:t>
      </w:r>
      <w:r>
        <w:rPr>
          <w:rFonts w:hint="eastAsia" w:cs="宋体"/>
          <w:color w:val="auto"/>
          <w:spacing w:val="6"/>
          <w:szCs w:val="24"/>
          <w:highlight w:val="none"/>
        </w:rPr>
        <w:t>的中小企业）的具体情况如下：</w:t>
      </w:r>
    </w:p>
    <w:p w14:paraId="5FCC96F1">
      <w:pPr>
        <w:ind w:firstLine="504" w:firstLineChars="200"/>
        <w:rPr>
          <w:rFonts w:cs="宋体"/>
          <w:color w:val="auto"/>
          <w:spacing w:val="6"/>
          <w:szCs w:val="24"/>
          <w:highlight w:val="none"/>
        </w:rPr>
      </w:pPr>
      <w:r>
        <w:rPr>
          <w:rFonts w:hint="eastAsia" w:cs="宋体"/>
          <w:color w:val="auto"/>
          <w:spacing w:val="6"/>
          <w:szCs w:val="24"/>
          <w:highlight w:val="none"/>
        </w:rPr>
        <w:t>1.</w:t>
      </w:r>
      <w:r>
        <w:rPr>
          <w:rFonts w:hint="eastAsia" w:cs="宋体"/>
          <w:color w:val="auto"/>
          <w:spacing w:val="6"/>
          <w:szCs w:val="24"/>
          <w:highlight w:val="none"/>
          <w:u w:val="single"/>
        </w:rPr>
        <w:t xml:space="preserve"> （标的名称） </w:t>
      </w:r>
      <w:r>
        <w:rPr>
          <w:rFonts w:hint="eastAsia" w:cs="宋体"/>
          <w:color w:val="auto"/>
          <w:spacing w:val="6"/>
          <w:szCs w:val="24"/>
          <w:highlight w:val="none"/>
        </w:rPr>
        <w:t>，属于</w:t>
      </w:r>
      <w:r>
        <w:rPr>
          <w:rFonts w:hint="eastAsia" w:cs="宋体"/>
          <w:color w:val="auto"/>
          <w:spacing w:val="6"/>
          <w:szCs w:val="24"/>
          <w:highlight w:val="none"/>
          <w:u w:val="single"/>
        </w:rPr>
        <w:t xml:space="preserve"> （采购文件中明确的所属行业）</w:t>
      </w:r>
      <w:r>
        <w:rPr>
          <w:rFonts w:hint="eastAsia" w:cs="宋体"/>
          <w:color w:val="auto"/>
          <w:spacing w:val="6"/>
          <w:szCs w:val="24"/>
          <w:highlight w:val="none"/>
        </w:rPr>
        <w:t>行业 ；制造商为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 xml:space="preserve"> （中型企业、小型企业、微型企业）</w:t>
      </w:r>
      <w:r>
        <w:rPr>
          <w:rFonts w:hint="eastAsia" w:cs="宋体"/>
          <w:color w:val="auto"/>
          <w:spacing w:val="6"/>
          <w:szCs w:val="24"/>
          <w:highlight w:val="none"/>
        </w:rPr>
        <w:t>；</w:t>
      </w:r>
    </w:p>
    <w:p w14:paraId="1D01E102">
      <w:pPr>
        <w:ind w:firstLine="504" w:firstLineChars="200"/>
        <w:rPr>
          <w:rFonts w:cs="宋体"/>
          <w:color w:val="auto"/>
          <w:spacing w:val="6"/>
          <w:szCs w:val="24"/>
          <w:highlight w:val="none"/>
        </w:rPr>
      </w:pPr>
      <w:r>
        <w:rPr>
          <w:rFonts w:hint="eastAsia" w:cs="宋体"/>
          <w:color w:val="auto"/>
          <w:spacing w:val="6"/>
          <w:szCs w:val="24"/>
          <w:highlight w:val="none"/>
        </w:rPr>
        <w:t>2.</w:t>
      </w:r>
      <w:r>
        <w:rPr>
          <w:rFonts w:hint="eastAsia" w:cs="宋体"/>
          <w:color w:val="auto"/>
          <w:spacing w:val="6"/>
          <w:szCs w:val="24"/>
          <w:highlight w:val="none"/>
          <w:u w:val="single"/>
        </w:rPr>
        <w:t xml:space="preserve"> （标的名称） </w:t>
      </w:r>
      <w:r>
        <w:rPr>
          <w:rFonts w:hint="eastAsia" w:cs="宋体"/>
          <w:color w:val="auto"/>
          <w:spacing w:val="6"/>
          <w:szCs w:val="24"/>
          <w:highlight w:val="none"/>
        </w:rPr>
        <w:t>，属于</w:t>
      </w:r>
      <w:r>
        <w:rPr>
          <w:rFonts w:hint="eastAsia" w:cs="宋体"/>
          <w:color w:val="auto"/>
          <w:spacing w:val="6"/>
          <w:szCs w:val="24"/>
          <w:highlight w:val="none"/>
          <w:u w:val="single"/>
        </w:rPr>
        <w:t xml:space="preserve"> （采购文件中明确的所属行业）</w:t>
      </w:r>
      <w:r>
        <w:rPr>
          <w:rFonts w:hint="eastAsia" w:cs="宋体"/>
          <w:color w:val="auto"/>
          <w:spacing w:val="6"/>
          <w:szCs w:val="24"/>
          <w:highlight w:val="none"/>
        </w:rPr>
        <w:t>行业 ；制造商为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 xml:space="preserve"> （中型企业、小型企业、微型企业）</w:t>
      </w:r>
      <w:r>
        <w:rPr>
          <w:rFonts w:hint="eastAsia" w:cs="宋体"/>
          <w:color w:val="auto"/>
          <w:spacing w:val="6"/>
          <w:szCs w:val="24"/>
          <w:highlight w:val="none"/>
        </w:rPr>
        <w:t>；</w:t>
      </w:r>
    </w:p>
    <w:p w14:paraId="7CB1DD8C">
      <w:pPr>
        <w:ind w:firstLine="504" w:firstLineChars="200"/>
        <w:rPr>
          <w:rFonts w:cs="宋体"/>
          <w:color w:val="auto"/>
          <w:spacing w:val="6"/>
          <w:szCs w:val="24"/>
          <w:highlight w:val="none"/>
        </w:rPr>
      </w:pPr>
      <w:r>
        <w:rPr>
          <w:rFonts w:hint="eastAsia" w:cs="宋体"/>
          <w:color w:val="auto"/>
          <w:spacing w:val="6"/>
          <w:szCs w:val="24"/>
          <w:highlight w:val="none"/>
        </w:rPr>
        <w:t>……</w:t>
      </w:r>
    </w:p>
    <w:p w14:paraId="776FE44A">
      <w:pPr>
        <w:ind w:firstLine="504" w:firstLineChars="200"/>
        <w:rPr>
          <w:rFonts w:cs="宋体"/>
          <w:color w:val="auto"/>
          <w:spacing w:val="6"/>
          <w:szCs w:val="24"/>
          <w:highlight w:val="none"/>
        </w:rPr>
      </w:pPr>
      <w:r>
        <w:rPr>
          <w:rFonts w:hint="eastAsia" w:cs="宋体"/>
          <w:color w:val="auto"/>
          <w:spacing w:val="6"/>
          <w:szCs w:val="24"/>
          <w:highlight w:val="none"/>
        </w:rPr>
        <w:t>以上企业，不属于大企业的分支机构，不存在控股股东为大企业的情形，也不存在与大企业的负责人为同一人的情形。</w:t>
      </w:r>
    </w:p>
    <w:p w14:paraId="3A720EA2">
      <w:pPr>
        <w:ind w:firstLine="504" w:firstLineChars="200"/>
        <w:rPr>
          <w:rFonts w:cs="宋体"/>
          <w:color w:val="auto"/>
          <w:spacing w:val="6"/>
          <w:szCs w:val="24"/>
          <w:highlight w:val="none"/>
        </w:rPr>
      </w:pPr>
      <w:r>
        <w:rPr>
          <w:rFonts w:hint="eastAsia" w:cs="宋体"/>
          <w:color w:val="auto"/>
          <w:spacing w:val="6"/>
          <w:szCs w:val="24"/>
          <w:highlight w:val="none"/>
        </w:rPr>
        <w:t>本企业对上述声明内容的真实性负责。如有虚假，将依法承担相应责任。</w:t>
      </w:r>
    </w:p>
    <w:p w14:paraId="5A6D844B">
      <w:pPr>
        <w:ind w:right="1008" w:firstLine="4788" w:firstLineChars="1900"/>
        <w:rPr>
          <w:rFonts w:cs="宋体"/>
          <w:color w:val="auto"/>
          <w:spacing w:val="6"/>
          <w:szCs w:val="24"/>
          <w:highlight w:val="none"/>
        </w:rPr>
      </w:pPr>
    </w:p>
    <w:p w14:paraId="165AEE2D">
      <w:pPr>
        <w:ind w:right="1008" w:firstLine="4080" w:firstLineChars="1700"/>
        <w:rPr>
          <w:rFonts w:cs="宋体"/>
          <w:color w:val="auto"/>
          <w:spacing w:val="6"/>
          <w:szCs w:val="24"/>
          <w:highlight w:val="none"/>
        </w:rPr>
      </w:pPr>
      <w:r>
        <w:rPr>
          <w:rFonts w:hint="eastAsia" w:ascii="宋体" w:hAnsi="宋体" w:cs="宋体"/>
          <w:color w:val="auto"/>
          <w:kern w:val="0"/>
          <w:sz w:val="24"/>
          <w:highlight w:val="none"/>
          <w:lang w:val="zh-CN"/>
        </w:rPr>
        <w:t xml:space="preserve">  </w:t>
      </w:r>
      <w:r>
        <w:rPr>
          <w:rFonts w:hint="eastAsia" w:cs="宋体"/>
          <w:color w:val="auto"/>
          <w:kern w:val="0"/>
          <w:sz w:val="24"/>
          <w:highlight w:val="none"/>
          <w:lang w:val="en-US" w:eastAsia="zh-CN"/>
        </w:rPr>
        <w:t>供应商</w:t>
      </w:r>
      <w:r>
        <w:rPr>
          <w:rFonts w:hint="eastAsia" w:ascii="宋体" w:hAnsi="宋体" w:cs="宋体"/>
          <w:color w:val="auto"/>
          <w:kern w:val="0"/>
          <w:sz w:val="24"/>
          <w:highlight w:val="none"/>
          <w:lang w:val="zh-CN"/>
        </w:rPr>
        <w:t>名称(</w:t>
      </w:r>
      <w:r>
        <w:rPr>
          <w:rFonts w:hint="eastAsia" w:cs="宋体"/>
          <w:color w:val="auto"/>
          <w:kern w:val="0"/>
          <w:sz w:val="24"/>
          <w:highlight w:val="none"/>
          <w:lang w:val="zh-CN"/>
        </w:rPr>
        <w:t>公章</w:t>
      </w:r>
      <w:r>
        <w:rPr>
          <w:rFonts w:hint="eastAsia" w:ascii="宋体" w:hAnsi="宋体" w:cs="宋体"/>
          <w:color w:val="auto"/>
          <w:kern w:val="0"/>
          <w:sz w:val="24"/>
          <w:highlight w:val="none"/>
          <w:lang w:val="zh-CN"/>
        </w:rPr>
        <w:t>)：</w:t>
      </w:r>
    </w:p>
    <w:p w14:paraId="5183E380">
      <w:pPr>
        <w:ind w:right="1008" w:firstLine="4284" w:firstLineChars="1700"/>
        <w:rPr>
          <w:rFonts w:hint="default" w:eastAsia="宋体" w:cs="宋体"/>
          <w:color w:val="auto"/>
          <w:spacing w:val="6"/>
          <w:szCs w:val="24"/>
          <w:highlight w:val="none"/>
          <w:lang w:val="en-US" w:eastAsia="zh-CN"/>
        </w:rPr>
      </w:pPr>
      <w:r>
        <w:rPr>
          <w:rFonts w:hint="eastAsia" w:cs="宋体"/>
          <w:color w:val="auto"/>
          <w:spacing w:val="6"/>
          <w:szCs w:val="24"/>
          <w:highlight w:val="none"/>
        </w:rPr>
        <w:t>日期：</w:t>
      </w:r>
      <w:r>
        <w:rPr>
          <w:rFonts w:hint="eastAsia" w:cs="宋体"/>
          <w:color w:val="auto"/>
          <w:spacing w:val="6"/>
          <w:szCs w:val="24"/>
          <w:highlight w:val="none"/>
          <w:lang w:val="en-US" w:eastAsia="zh-CN"/>
        </w:rPr>
        <w:t xml:space="preserve">   年  月  日</w:t>
      </w:r>
    </w:p>
    <w:p w14:paraId="7BA8C73B">
      <w:pPr>
        <w:ind w:firstLine="504" w:firstLineChars="200"/>
        <w:rPr>
          <w:rFonts w:cs="宋体"/>
          <w:color w:val="auto"/>
          <w:spacing w:val="6"/>
          <w:szCs w:val="24"/>
          <w:highlight w:val="none"/>
        </w:rPr>
      </w:pPr>
    </w:p>
    <w:p w14:paraId="748B4DD4">
      <w:pPr>
        <w:rPr>
          <w:rFonts w:hint="default" w:cs="宋体"/>
          <w:b/>
          <w:bCs/>
          <w:color w:val="auto"/>
          <w:spacing w:val="6"/>
          <w:sz w:val="21"/>
          <w:szCs w:val="21"/>
          <w:highlight w:val="none"/>
          <w:lang w:val="en-US" w:eastAsia="zh-CN"/>
        </w:rPr>
      </w:pPr>
      <w:r>
        <w:rPr>
          <w:rFonts w:hint="eastAsia" w:cs="宋体"/>
          <w:b/>
          <w:bCs/>
          <w:color w:val="auto"/>
          <w:spacing w:val="6"/>
          <w:sz w:val="21"/>
          <w:szCs w:val="21"/>
          <w:highlight w:val="none"/>
        </w:rPr>
        <w:t>说明：</w:t>
      </w:r>
      <w:r>
        <w:rPr>
          <w:rFonts w:hint="eastAsia" w:cs="宋体"/>
          <w:b/>
          <w:bCs/>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645259F9">
      <w:pPr>
        <w:ind w:firstLine="446" w:firstLineChars="200"/>
        <w:rPr>
          <w:rFonts w:hint="eastAsia" w:cs="宋体"/>
          <w:color w:val="auto"/>
          <w:spacing w:val="6"/>
          <w:sz w:val="21"/>
          <w:szCs w:val="21"/>
          <w:highlight w:val="none"/>
        </w:rPr>
      </w:pPr>
      <w:r>
        <w:rPr>
          <w:rFonts w:hint="eastAsia" w:cs="宋体"/>
          <w:b/>
          <w:bCs/>
          <w:color w:val="auto"/>
          <w:spacing w:val="6"/>
          <w:sz w:val="21"/>
          <w:szCs w:val="21"/>
          <w:highlight w:val="none"/>
          <w:lang w:val="en-US" w:eastAsia="zh-CN"/>
        </w:rPr>
        <w:t>2.</w:t>
      </w:r>
      <w:r>
        <w:rPr>
          <w:rFonts w:hint="eastAsia" w:cs="宋体"/>
          <w:color w:val="auto"/>
          <w:spacing w:val="6"/>
          <w:sz w:val="21"/>
          <w:szCs w:val="21"/>
          <w:highlight w:val="none"/>
        </w:rPr>
        <w:t>从业人员、营业收入、资产总额填报上一年度数据，无上一年度数据的新成立企业可不填报。</w:t>
      </w:r>
    </w:p>
    <w:p w14:paraId="1ADE189F">
      <w:pPr>
        <w:rPr>
          <w:rFonts w:hint="eastAsia" w:cs="宋体"/>
          <w:color w:val="auto"/>
          <w:spacing w:val="6"/>
          <w:sz w:val="24"/>
          <w:szCs w:val="24"/>
          <w:highlight w:val="none"/>
        </w:rPr>
      </w:pPr>
    </w:p>
    <w:p w14:paraId="4C098FFB">
      <w:pPr>
        <w:rPr>
          <w:rFonts w:hint="eastAsia" w:cs="宋体"/>
          <w:color w:val="auto"/>
          <w:spacing w:val="6"/>
          <w:sz w:val="24"/>
          <w:szCs w:val="24"/>
          <w:highlight w:val="none"/>
        </w:rPr>
      </w:pPr>
    </w:p>
    <w:p w14:paraId="3C73BF63">
      <w:pPr>
        <w:rPr>
          <w:rFonts w:hint="eastAsia" w:cs="宋体"/>
          <w:color w:val="auto"/>
          <w:spacing w:val="6"/>
          <w:sz w:val="24"/>
          <w:szCs w:val="24"/>
          <w:highlight w:val="none"/>
        </w:rPr>
      </w:pPr>
    </w:p>
    <w:p w14:paraId="3EAEDF6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color w:val="auto"/>
          <w:highlight w:val="none"/>
          <w:lang w:val="en-US" w:eastAsia="zh-CN"/>
        </w:rPr>
      </w:pPr>
    </w:p>
    <w:p w14:paraId="7006C7B7">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b/>
          <w:bCs/>
          <w:color w:val="auto"/>
          <w:highlight w:val="none"/>
          <w:lang w:val="en-US" w:eastAsia="zh-CN"/>
        </w:rPr>
      </w:pPr>
      <w:r>
        <w:rPr>
          <w:rFonts w:hint="eastAsia"/>
          <w:b/>
          <w:bCs/>
          <w:color w:val="auto"/>
          <w:highlight w:val="none"/>
          <w:lang w:val="en-US" w:eastAsia="zh-CN"/>
        </w:rPr>
        <w:t xml:space="preserve">附件1 </w:t>
      </w:r>
    </w:p>
    <w:p w14:paraId="0A0B18BB">
      <w:pPr>
        <w:keepNext w:val="0"/>
        <w:keepLines w:val="0"/>
        <w:widowControl/>
        <w:suppressLineNumbers w:val="0"/>
        <w:ind w:firstLine="562" w:firstLineChars="200"/>
        <w:jc w:val="left"/>
        <w:rPr>
          <w:rStyle w:val="30"/>
          <w:rFonts w:hint="eastAsia" w:ascii="宋体" w:hAnsi="宋体" w:eastAsia="宋体" w:cs="宋体"/>
          <w:color w:val="auto"/>
          <w:kern w:val="0"/>
          <w:sz w:val="28"/>
          <w:szCs w:val="28"/>
          <w:highlight w:val="none"/>
          <w:lang w:val="en-US" w:eastAsia="zh-CN" w:bidi="ar"/>
        </w:rPr>
      </w:pPr>
    </w:p>
    <w:p w14:paraId="65EA448B">
      <w:pPr>
        <w:keepNext w:val="0"/>
        <w:keepLines w:val="0"/>
        <w:widowControl/>
        <w:suppressLineNumbers w:val="0"/>
        <w:ind w:firstLine="482" w:firstLineChars="200"/>
        <w:jc w:val="left"/>
        <w:rPr>
          <w:rStyle w:val="30"/>
          <w:rFonts w:hint="eastAsia" w:ascii="宋体" w:hAnsi="宋体" w:eastAsia="宋体" w:cs="宋体"/>
          <w:color w:val="auto"/>
          <w:kern w:val="0"/>
          <w:sz w:val="28"/>
          <w:szCs w:val="28"/>
          <w:highlight w:val="none"/>
          <w:lang w:val="en-US" w:eastAsia="zh-CN" w:bidi="ar"/>
        </w:rPr>
      </w:pPr>
      <w:r>
        <w:rPr>
          <w:rStyle w:val="30"/>
          <w:rFonts w:hint="eastAsia" w:ascii="宋体" w:hAnsi="宋体" w:eastAsia="宋体" w:cs="宋体"/>
          <w:color w:val="auto"/>
          <w:kern w:val="0"/>
          <w:sz w:val="24"/>
          <w:szCs w:val="24"/>
          <w:highlight w:val="none"/>
          <w:lang w:val="en-US" w:eastAsia="zh-CN" w:bidi="ar"/>
        </w:rPr>
        <w:t>（一）关于</w:t>
      </w:r>
      <w:r>
        <w:rPr>
          <w:rStyle w:val="30"/>
          <w:rFonts w:hint="eastAsia" w:cs="宋体"/>
          <w:color w:val="auto"/>
          <w:kern w:val="0"/>
          <w:sz w:val="24"/>
          <w:szCs w:val="24"/>
          <w:highlight w:val="none"/>
          <w:lang w:val="en-US" w:eastAsia="zh-CN" w:bidi="ar"/>
        </w:rPr>
        <w:t>“</w:t>
      </w:r>
      <w:r>
        <w:rPr>
          <w:rStyle w:val="30"/>
          <w:rFonts w:hint="eastAsia" w:ascii="宋体" w:hAnsi="宋体" w:eastAsia="宋体" w:cs="宋体"/>
          <w:color w:val="auto"/>
          <w:kern w:val="0"/>
          <w:sz w:val="24"/>
          <w:szCs w:val="24"/>
          <w:highlight w:val="none"/>
          <w:lang w:val="en-US" w:eastAsia="zh-CN" w:bidi="ar"/>
        </w:rPr>
        <w:t>中小企业声明函</w:t>
      </w:r>
      <w:r>
        <w:rPr>
          <w:rStyle w:val="30"/>
          <w:rFonts w:hint="eastAsia" w:cs="宋体"/>
          <w:color w:val="auto"/>
          <w:kern w:val="0"/>
          <w:sz w:val="24"/>
          <w:szCs w:val="24"/>
          <w:highlight w:val="none"/>
          <w:lang w:val="en-US" w:eastAsia="zh-CN" w:bidi="ar"/>
        </w:rPr>
        <w:t>”</w:t>
      </w:r>
      <w:r>
        <w:rPr>
          <w:rStyle w:val="30"/>
          <w:rFonts w:hint="eastAsia" w:ascii="宋体" w:hAnsi="宋体" w:eastAsia="宋体" w:cs="宋体"/>
          <w:color w:val="auto"/>
          <w:kern w:val="0"/>
          <w:sz w:val="24"/>
          <w:szCs w:val="24"/>
          <w:highlight w:val="none"/>
          <w:lang w:val="en-US" w:eastAsia="zh-CN" w:bidi="ar"/>
        </w:rPr>
        <w:t>的填写要求</w:t>
      </w:r>
    </w:p>
    <w:p w14:paraId="6BC4DFB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具体填写要求如下：</w:t>
      </w:r>
    </w:p>
    <w:p w14:paraId="414BDEE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1.“单位名称”应填写采购人名称。</w:t>
      </w:r>
    </w:p>
    <w:p w14:paraId="3C11145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02B61C1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29C8232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634D661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3941B3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3C9C37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5.“企业名称”应填写投标（响应）的货物制造商/服务承接商/工程承建商（根据项目属性确定）。</w:t>
      </w:r>
    </w:p>
    <w:p w14:paraId="1A04AFA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67D0083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47482C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417BBFD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3DD53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7BA9439A">
      <w:pPr>
        <w:keepNext w:val="0"/>
        <w:keepLines w:val="0"/>
        <w:widowControl/>
        <w:suppressLineNumbers w:val="0"/>
        <w:ind w:firstLine="482" w:firstLineChars="200"/>
        <w:jc w:val="left"/>
        <w:rPr>
          <w:rStyle w:val="30"/>
          <w:rFonts w:hint="eastAsia" w:ascii="宋体" w:hAnsi="宋体" w:eastAsia="宋体" w:cs="宋体"/>
          <w:color w:val="auto"/>
          <w:kern w:val="0"/>
          <w:sz w:val="24"/>
          <w:szCs w:val="24"/>
          <w:highlight w:val="none"/>
          <w:lang w:val="en-US" w:eastAsia="zh-CN" w:bidi="ar"/>
        </w:rPr>
      </w:pPr>
      <w:r>
        <w:rPr>
          <w:rStyle w:val="30"/>
          <w:rFonts w:hint="eastAsia" w:ascii="宋体" w:hAnsi="宋体" w:eastAsia="宋体" w:cs="宋体"/>
          <w:color w:val="auto"/>
          <w:kern w:val="0"/>
          <w:sz w:val="24"/>
          <w:szCs w:val="24"/>
          <w:highlight w:val="none"/>
          <w:lang w:val="en-US" w:eastAsia="zh-CN" w:bidi="ar"/>
        </w:rPr>
        <w:t>（二）关于“中小企业声明函”的提交要求</w:t>
      </w:r>
    </w:p>
    <w:p w14:paraId="5F29A0D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1.投标（响应）供应商对</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w:t>
      </w:r>
    </w:p>
    <w:p w14:paraId="49FFD35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15483C2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3.如供应商提供的</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A812C40">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color w:val="auto"/>
          <w:highlight w:val="none"/>
          <w:lang w:val="en-US" w:eastAsia="zh-CN"/>
        </w:rPr>
      </w:pPr>
    </w:p>
    <w:p w14:paraId="6E224C04">
      <w:pPr>
        <w:rPr>
          <w:rFonts w:cs="宋体"/>
          <w:color w:val="auto"/>
          <w:spacing w:val="6"/>
          <w:sz w:val="21"/>
          <w:szCs w:val="21"/>
          <w:highlight w:val="none"/>
        </w:rPr>
      </w:pPr>
    </w:p>
    <w:p w14:paraId="511B2BB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color w:val="auto"/>
          <w:highlight w:val="none"/>
          <w:lang w:val="en-US" w:eastAsia="zh-CN"/>
        </w:rPr>
      </w:pPr>
      <w:r>
        <w:rPr>
          <w:rFonts w:hint="eastAsia"/>
          <w:b/>
          <w:bCs/>
          <w:color w:val="auto"/>
          <w:highlight w:val="none"/>
          <w:lang w:val="en-US" w:eastAsia="zh-CN"/>
        </w:rPr>
        <w:t>附件2：</w:t>
      </w:r>
    </w:p>
    <w:p w14:paraId="243BB2FE">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关于印发中小企业划型标准规定的通知</w:t>
      </w:r>
    </w:p>
    <w:p w14:paraId="7FFC0F7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0"/>
          <w:rFonts w:hint="eastAsia" w:ascii="宋体" w:hAnsi="宋体" w:eastAsia="宋体" w:cs="宋体"/>
          <w:b w:val="0"/>
          <w:color w:val="auto"/>
          <w:sz w:val="24"/>
          <w:szCs w:val="24"/>
          <w:highlight w:val="none"/>
        </w:rPr>
      </w:pPr>
      <w:r>
        <w:rPr>
          <w:rStyle w:val="30"/>
          <w:rFonts w:hint="eastAsia" w:ascii="宋体" w:hAnsi="宋体" w:eastAsia="宋体" w:cs="宋体"/>
          <w:b w:val="0"/>
          <w:color w:val="auto"/>
          <w:sz w:val="24"/>
          <w:szCs w:val="24"/>
          <w:highlight w:val="none"/>
        </w:rPr>
        <w:t>工信部联企业〔2011〕300号</w:t>
      </w:r>
    </w:p>
    <w:p w14:paraId="0E959BE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0"/>
          <w:rFonts w:hint="eastAsia" w:ascii="宋体" w:hAnsi="宋体" w:eastAsia="宋体" w:cs="宋体"/>
          <w:b w:val="0"/>
          <w:color w:val="auto"/>
          <w:sz w:val="24"/>
          <w:szCs w:val="24"/>
          <w:highlight w:val="none"/>
        </w:rPr>
      </w:pPr>
    </w:p>
    <w:p w14:paraId="289C59A7">
      <w:pPr>
        <w:keepNext w:val="0"/>
        <w:keepLines w:val="0"/>
        <w:pageBreakBefore w:val="0"/>
        <w:widowControl w:val="0"/>
        <w:kinsoku/>
        <w:wordWrap/>
        <w:overflowPunct/>
        <w:topLinePunct w:val="0"/>
        <w:autoSpaceDE/>
        <w:autoSpaceDN/>
        <w:bidi w:val="0"/>
        <w:adjustRightInd/>
        <w:snapToGrid/>
        <w:spacing w:line="360" w:lineRule="exact"/>
        <w:textAlignment w:val="auto"/>
        <w:rPr>
          <w:rStyle w:val="30"/>
          <w:rFonts w:hint="eastAsia" w:ascii="宋体" w:hAnsi="宋体" w:eastAsia="宋体" w:cs="宋体"/>
          <w:b w:val="0"/>
          <w:color w:val="auto"/>
          <w:sz w:val="24"/>
          <w:szCs w:val="24"/>
          <w:highlight w:val="none"/>
        </w:rPr>
      </w:pPr>
      <w:r>
        <w:rPr>
          <w:rStyle w:val="30"/>
          <w:rFonts w:hint="eastAsia" w:ascii="宋体" w:hAnsi="宋体" w:eastAsia="宋体" w:cs="宋体"/>
          <w:b w:val="0"/>
          <w:color w:val="auto"/>
          <w:sz w:val="24"/>
          <w:szCs w:val="24"/>
          <w:highlight w:val="none"/>
        </w:rPr>
        <w:t>各省、自治区、直辖市人民政府，国务院各部委、各直属机构及有关单位：</w:t>
      </w:r>
    </w:p>
    <w:p w14:paraId="11AACCD7">
      <w:pPr>
        <w:keepNext w:val="0"/>
        <w:keepLines w:val="0"/>
        <w:pageBreakBefore w:val="0"/>
        <w:widowControl w:val="0"/>
        <w:kinsoku/>
        <w:wordWrap/>
        <w:overflowPunct/>
        <w:topLinePunct w:val="0"/>
        <w:autoSpaceDE/>
        <w:autoSpaceDN/>
        <w:bidi w:val="0"/>
        <w:adjustRightInd/>
        <w:snapToGrid/>
        <w:spacing w:line="36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9C30634">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工业和信息化部　国家统计局</w:t>
      </w:r>
    </w:p>
    <w:p w14:paraId="5C55A29B">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国家发展和改革委员会　财政部</w:t>
      </w:r>
    </w:p>
    <w:p w14:paraId="6F52758A">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二○一一年六月十八日</w:t>
      </w:r>
    </w:p>
    <w:p w14:paraId="75F0B3C6">
      <w:pPr>
        <w:keepNext w:val="0"/>
        <w:keepLines w:val="0"/>
        <w:pageBreakBefore w:val="0"/>
        <w:widowControl w:val="0"/>
        <w:kinsoku/>
        <w:wordWrap/>
        <w:overflowPunct/>
        <w:topLinePunct w:val="0"/>
        <w:autoSpaceDE/>
        <w:autoSpaceDN/>
        <w:bidi w:val="0"/>
        <w:adjustRightInd/>
        <w:snapToGrid/>
        <w:spacing w:line="36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xml:space="preserve"> </w:t>
      </w:r>
    </w:p>
    <w:p w14:paraId="3E2FDB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Style w:val="30"/>
          <w:rFonts w:hint="eastAsia" w:ascii="宋体" w:hAnsi="宋体" w:eastAsia="宋体" w:cs="宋体"/>
          <w:b/>
          <w:bCs w:val="0"/>
          <w:color w:val="auto"/>
          <w:sz w:val="28"/>
          <w:szCs w:val="28"/>
          <w:highlight w:val="none"/>
        </w:rPr>
      </w:pPr>
      <w:r>
        <w:rPr>
          <w:rStyle w:val="30"/>
          <w:rFonts w:hint="eastAsia" w:ascii="宋体" w:hAnsi="宋体" w:eastAsia="宋体" w:cs="宋体"/>
          <w:b/>
          <w:bCs w:val="0"/>
          <w:color w:val="auto"/>
          <w:sz w:val="28"/>
          <w:szCs w:val="28"/>
          <w:highlight w:val="none"/>
        </w:rPr>
        <w:t>中小企业划型标准规定</w:t>
      </w:r>
    </w:p>
    <w:p w14:paraId="7440C465">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一、根据《中华人民共和国中小企业促进法》和《国务院关于进一步促进中小企业发展的若干意见》(国发〔2009〕36号)，制定本规定。</w:t>
      </w:r>
    </w:p>
    <w:p w14:paraId="507AD261">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二、中小企业划分为中型、小型、微型三种类型，具体标准根据企业从业人员、营业收入、资产总额等指标，结合行业特点制定。</w:t>
      </w:r>
    </w:p>
    <w:p w14:paraId="58A39619">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5AE90D">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四、各行业划型标准为：</w:t>
      </w:r>
    </w:p>
    <w:p w14:paraId="6B4E2D0C">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79E2F5AC">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AA582AE">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21D138B">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17EB3B7">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FEB118A">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514A6D2">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EFCEC98">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D4D3E4D">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462725">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37CBAA6">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10AAA96">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EC394A7">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1121D1E">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6AB8718">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088139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509B953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五、企业类型的划分以统计部门的统计数据为依据。</w:t>
      </w:r>
    </w:p>
    <w:p w14:paraId="77228C0D">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六、本规定适用于在中华人民共和国境内依法设立的各类所有制和各种组织形式的企业。个体工商户和本规定以外的行业，参照本规定进行划型。</w:t>
      </w:r>
    </w:p>
    <w:p w14:paraId="5F4BB8EA">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450AEC1">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八、本规定由工业和信息化部、国家统计局会同有关部门根据《国民经济行业分类》修订情况和企业发展变化情况适时修订。</w:t>
      </w:r>
    </w:p>
    <w:p w14:paraId="69D789A4">
      <w:pPr>
        <w:keepNext w:val="0"/>
        <w:keepLines w:val="0"/>
        <w:pageBreakBefore w:val="0"/>
        <w:widowControl w:val="0"/>
        <w:kinsoku/>
        <w:wordWrap/>
        <w:overflowPunct/>
        <w:topLinePunct w:val="0"/>
        <w:autoSpaceDE/>
        <w:autoSpaceDN/>
        <w:bidi w:val="0"/>
        <w:adjustRightInd/>
        <w:snapToGrid/>
        <w:spacing w:line="40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九、本规定由工业和信息化部、国家统计局会同有关部门负责解释。</w:t>
      </w:r>
    </w:p>
    <w:p w14:paraId="4299A03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cs="宋体"/>
          <w:color w:val="auto"/>
          <w:spacing w:val="6"/>
          <w:sz w:val="21"/>
          <w:szCs w:val="21"/>
          <w:highlight w:val="none"/>
        </w:rPr>
      </w:pPr>
      <w:r>
        <w:rPr>
          <w:rStyle w:val="30"/>
          <w:rFonts w:hint="eastAsia" w:ascii="宋体" w:hAnsi="宋体" w:eastAsia="宋体" w:cs="宋体"/>
          <w:b w:val="0"/>
          <w:bCs w:val="0"/>
          <w:color w:val="auto"/>
          <w:sz w:val="24"/>
          <w:szCs w:val="24"/>
          <w:highlight w:val="none"/>
        </w:rPr>
        <w:t>十、本规定自发布之日起执行，原国家经贸委、原国家计委、财政部和国家统计局2003年颁布的《中小企业标准暂行规定》同时废止。</w:t>
      </w:r>
    </w:p>
    <w:p w14:paraId="5BCE9D64">
      <w:pPr>
        <w:rPr>
          <w:rFonts w:cs="宋体"/>
          <w:color w:val="auto"/>
          <w:spacing w:val="6"/>
          <w:sz w:val="21"/>
          <w:szCs w:val="21"/>
          <w:highlight w:val="none"/>
        </w:rPr>
      </w:pPr>
      <w:r>
        <w:rPr>
          <w:rFonts w:cs="宋体"/>
          <w:color w:val="auto"/>
          <w:spacing w:val="6"/>
          <w:sz w:val="21"/>
          <w:szCs w:val="21"/>
          <w:highlight w:val="none"/>
        </w:rPr>
        <w:br w:type="page"/>
      </w:r>
    </w:p>
    <w:p w14:paraId="20B4770A">
      <w:pPr>
        <w:rPr>
          <w:rFonts w:cs="宋体"/>
          <w:color w:val="auto"/>
          <w:spacing w:val="6"/>
          <w:sz w:val="21"/>
          <w:szCs w:val="21"/>
          <w:highlight w:val="none"/>
        </w:rPr>
      </w:pPr>
      <w:bookmarkStart w:id="566" w:name="_Toc163492940"/>
    </w:p>
    <w:p w14:paraId="5FA7D1D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color w:val="auto"/>
          <w:highlight w:val="none"/>
          <w:lang w:val="en-US" w:eastAsia="zh-CN"/>
        </w:rPr>
      </w:pPr>
      <w:r>
        <w:rPr>
          <w:rFonts w:hint="eastAsia"/>
          <w:b/>
          <w:bCs/>
          <w:color w:val="auto"/>
          <w:highlight w:val="none"/>
          <w:lang w:val="en-US" w:eastAsia="zh-CN"/>
        </w:rPr>
        <w:t>附件3：</w:t>
      </w:r>
    </w:p>
    <w:p w14:paraId="1AF7C83B">
      <w:pPr>
        <w:rPr>
          <w:rFonts w:hint="eastAsia" w:cs="宋体"/>
          <w:color w:val="auto"/>
          <w:spacing w:val="6"/>
          <w:sz w:val="21"/>
          <w:szCs w:val="21"/>
          <w:highlight w:val="none"/>
        </w:rPr>
      </w:pPr>
    </w:p>
    <w:p w14:paraId="134F6EBF">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关于印发《金融业企业划型标准规定》的通知</w:t>
      </w:r>
    </w:p>
    <w:p w14:paraId="54CACF8E">
      <w:pPr>
        <w:jc w:val="center"/>
        <w:rPr>
          <w:rStyle w:val="30"/>
          <w:rFonts w:hint="eastAsia" w:ascii="宋体" w:hAnsi="宋体" w:eastAsia="宋体" w:cs="宋体"/>
          <w:b w:val="0"/>
          <w:color w:val="auto"/>
          <w:sz w:val="24"/>
          <w:szCs w:val="24"/>
          <w:highlight w:val="none"/>
        </w:rPr>
      </w:pPr>
      <w:r>
        <w:rPr>
          <w:rStyle w:val="30"/>
          <w:rFonts w:hint="eastAsia" w:ascii="宋体" w:hAnsi="宋体" w:eastAsia="宋体" w:cs="宋体"/>
          <w:b w:val="0"/>
          <w:color w:val="auto"/>
          <w:sz w:val="24"/>
          <w:szCs w:val="24"/>
          <w:highlight w:val="none"/>
        </w:rPr>
        <w:t>银发〔2015〕309号</w:t>
      </w:r>
    </w:p>
    <w:p w14:paraId="6EBA1AEF">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12B6BFCB">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53F6A9E3">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color w:val="auto"/>
          <w:sz w:val="24"/>
          <w:szCs w:val="24"/>
          <w:highlight w:val="none"/>
        </w:rPr>
      </w:pPr>
    </w:p>
    <w:p w14:paraId="5AE5F476">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附件：金融业企业划型标准规定</w:t>
      </w:r>
    </w:p>
    <w:p w14:paraId="575D4BF4">
      <w:pPr>
        <w:keepNext w:val="0"/>
        <w:keepLines w:val="0"/>
        <w:pageBreakBefore w:val="0"/>
        <w:widowControl w:val="0"/>
        <w:kinsoku/>
        <w:wordWrap/>
        <w:overflowPunct/>
        <w:topLinePunct w:val="0"/>
        <w:autoSpaceDE/>
        <w:autoSpaceDN/>
        <w:bidi w:val="0"/>
        <w:adjustRightInd/>
        <w:snapToGrid/>
        <w:spacing w:line="460" w:lineRule="exact"/>
        <w:textAlignment w:val="auto"/>
        <w:rPr>
          <w:rStyle w:val="30"/>
          <w:rFonts w:hint="eastAsia" w:ascii="宋体" w:hAnsi="宋体" w:eastAsia="宋体" w:cs="宋体"/>
          <w:b w:val="0"/>
          <w:bCs w:val="0"/>
          <w:color w:val="auto"/>
          <w:sz w:val="24"/>
          <w:szCs w:val="24"/>
          <w:highlight w:val="none"/>
        </w:rPr>
      </w:pPr>
      <w:r>
        <w:rPr>
          <w:rFonts w:hint="eastAsia" w:cs="宋体"/>
          <w:color w:val="auto"/>
          <w:spacing w:val="6"/>
          <w:sz w:val="24"/>
          <w:szCs w:val="24"/>
          <w:highlight w:val="none"/>
        </w:rPr>
        <w:t>                                      </w:t>
      </w:r>
      <w:r>
        <w:rPr>
          <w:rStyle w:val="30"/>
          <w:rFonts w:hint="eastAsia" w:ascii="宋体" w:hAnsi="宋体" w:eastAsia="宋体" w:cs="宋体"/>
          <w:b w:val="0"/>
          <w:bCs w:val="0"/>
          <w:color w:val="auto"/>
          <w:sz w:val="24"/>
          <w:szCs w:val="24"/>
          <w:highlight w:val="none"/>
        </w:rPr>
        <w:t>       </w:t>
      </w:r>
      <w:r>
        <w:rPr>
          <w:rStyle w:val="30"/>
          <w:rFonts w:hint="eastAsia" w:cs="宋体"/>
          <w:b w:val="0"/>
          <w:bCs w:val="0"/>
          <w:color w:val="auto"/>
          <w:sz w:val="24"/>
          <w:szCs w:val="24"/>
          <w:highlight w:val="none"/>
          <w:lang w:val="en-US" w:eastAsia="zh-CN"/>
        </w:rPr>
        <w:t xml:space="preserve">                            </w:t>
      </w:r>
      <w:r>
        <w:rPr>
          <w:rStyle w:val="30"/>
          <w:rFonts w:hint="eastAsia" w:ascii="宋体" w:hAnsi="宋体" w:eastAsia="宋体" w:cs="宋体"/>
          <w:b w:val="0"/>
          <w:bCs w:val="0"/>
          <w:color w:val="auto"/>
          <w:sz w:val="24"/>
          <w:szCs w:val="24"/>
          <w:highlight w:val="none"/>
        </w:rPr>
        <w:t>中国人民银行</w:t>
      </w:r>
    </w:p>
    <w:p w14:paraId="0E162F05">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中国银行业监督管理委员会</w:t>
      </w:r>
    </w:p>
    <w:p w14:paraId="644A820C">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中国证券监督管理委员会</w:t>
      </w:r>
    </w:p>
    <w:p w14:paraId="13427FED">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中国保险监督管理委员会</w:t>
      </w:r>
    </w:p>
    <w:p w14:paraId="189E390E">
      <w:pPr>
        <w:keepNext w:val="0"/>
        <w:keepLines w:val="0"/>
        <w:pageBreakBefore w:val="0"/>
        <w:widowControl w:val="0"/>
        <w:kinsoku/>
        <w:wordWrap/>
        <w:overflowPunct/>
        <w:topLinePunct w:val="0"/>
        <w:autoSpaceDE/>
        <w:autoSpaceDN/>
        <w:bidi w:val="0"/>
        <w:adjustRightInd/>
        <w:snapToGrid/>
        <w:spacing w:line="460" w:lineRule="exact"/>
        <w:ind w:firstLine="2160" w:firstLineChars="900"/>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中华人民共和国国家统计局</w:t>
      </w:r>
    </w:p>
    <w:p w14:paraId="35EB1163">
      <w:pPr>
        <w:keepNext w:val="0"/>
        <w:keepLines w:val="0"/>
        <w:pageBreakBefore w:val="0"/>
        <w:widowControl w:val="0"/>
        <w:kinsoku/>
        <w:wordWrap/>
        <w:overflowPunct/>
        <w:topLinePunct w:val="0"/>
        <w:autoSpaceDE/>
        <w:autoSpaceDN/>
        <w:bidi w:val="0"/>
        <w:adjustRightInd/>
        <w:snapToGrid/>
        <w:spacing w:line="460" w:lineRule="exact"/>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                                                     </w:t>
      </w:r>
      <w:r>
        <w:rPr>
          <w:rStyle w:val="30"/>
          <w:rFonts w:hint="eastAsia" w:cs="宋体"/>
          <w:b w:val="0"/>
          <w:bCs w:val="0"/>
          <w:color w:val="auto"/>
          <w:sz w:val="24"/>
          <w:szCs w:val="24"/>
          <w:highlight w:val="none"/>
          <w:lang w:val="en-US" w:eastAsia="zh-CN"/>
        </w:rPr>
        <w:t xml:space="preserve">     </w:t>
      </w:r>
      <w:r>
        <w:rPr>
          <w:rStyle w:val="30"/>
          <w:rFonts w:hint="eastAsia" w:ascii="宋体" w:hAnsi="宋体" w:eastAsia="宋体" w:cs="宋体"/>
          <w:b w:val="0"/>
          <w:bCs w:val="0"/>
          <w:color w:val="auto"/>
          <w:sz w:val="24"/>
          <w:szCs w:val="24"/>
          <w:highlight w:val="none"/>
        </w:rPr>
        <w:t> 2015年9月28日</w:t>
      </w:r>
    </w:p>
    <w:p w14:paraId="2D875BF0">
      <w:pPr>
        <w:rPr>
          <w:rFonts w:hint="eastAsia" w:cs="宋体"/>
          <w:color w:val="auto"/>
          <w:spacing w:val="6"/>
          <w:sz w:val="21"/>
          <w:szCs w:val="21"/>
          <w:highlight w:val="none"/>
        </w:rPr>
      </w:pPr>
    </w:p>
    <w:p w14:paraId="3D3E2F07">
      <w:pPr>
        <w:rPr>
          <w:rFonts w:hint="eastAsia" w:cs="宋体"/>
          <w:color w:val="auto"/>
          <w:spacing w:val="6"/>
          <w:sz w:val="21"/>
          <w:szCs w:val="21"/>
          <w:highlight w:val="none"/>
          <w:lang w:val="en-US" w:eastAsia="zh-CN"/>
        </w:rPr>
      </w:pPr>
    </w:p>
    <w:p w14:paraId="7D55D2C4">
      <w:pPr>
        <w:rPr>
          <w:rFonts w:hint="eastAsia" w:cs="宋体"/>
          <w:color w:val="auto"/>
          <w:spacing w:val="6"/>
          <w:sz w:val="21"/>
          <w:szCs w:val="21"/>
          <w:highlight w:val="none"/>
          <w:lang w:val="en-US" w:eastAsia="zh-CN"/>
        </w:rPr>
      </w:pPr>
    </w:p>
    <w:p w14:paraId="535B7B3C">
      <w:pPr>
        <w:rPr>
          <w:rFonts w:hint="eastAsia" w:cs="宋体"/>
          <w:color w:val="auto"/>
          <w:spacing w:val="6"/>
          <w:sz w:val="21"/>
          <w:szCs w:val="21"/>
          <w:highlight w:val="none"/>
          <w:lang w:val="en-US" w:eastAsia="zh-CN"/>
        </w:rPr>
      </w:pPr>
    </w:p>
    <w:p w14:paraId="0003DA46">
      <w:pPr>
        <w:rPr>
          <w:rFonts w:hint="eastAsia" w:cs="宋体"/>
          <w:color w:val="auto"/>
          <w:spacing w:val="6"/>
          <w:sz w:val="21"/>
          <w:szCs w:val="21"/>
          <w:highlight w:val="none"/>
          <w:lang w:val="en-US" w:eastAsia="zh-CN"/>
        </w:rPr>
      </w:pPr>
    </w:p>
    <w:p w14:paraId="2EB5298D">
      <w:pPr>
        <w:rPr>
          <w:rFonts w:hint="eastAsia" w:cs="宋体"/>
          <w:color w:val="auto"/>
          <w:spacing w:val="6"/>
          <w:sz w:val="21"/>
          <w:szCs w:val="21"/>
          <w:highlight w:val="none"/>
          <w:lang w:val="en-US" w:eastAsia="zh-CN"/>
        </w:rPr>
      </w:pPr>
    </w:p>
    <w:p w14:paraId="04253368">
      <w:pPr>
        <w:rPr>
          <w:rFonts w:hint="eastAsia" w:cs="宋体"/>
          <w:color w:val="auto"/>
          <w:spacing w:val="6"/>
          <w:sz w:val="21"/>
          <w:szCs w:val="21"/>
          <w:highlight w:val="none"/>
          <w:lang w:val="en-US" w:eastAsia="zh-CN"/>
        </w:rPr>
      </w:pPr>
    </w:p>
    <w:p w14:paraId="0C202F82">
      <w:pPr>
        <w:rPr>
          <w:rFonts w:hint="eastAsia" w:cs="宋体"/>
          <w:color w:val="auto"/>
          <w:spacing w:val="6"/>
          <w:sz w:val="21"/>
          <w:szCs w:val="21"/>
          <w:highlight w:val="none"/>
        </w:rPr>
      </w:pPr>
      <w:r>
        <w:rPr>
          <w:rFonts w:hint="eastAsia" w:cs="宋体"/>
          <w:color w:val="auto"/>
          <w:spacing w:val="6"/>
          <w:sz w:val="21"/>
          <w:szCs w:val="21"/>
          <w:highlight w:val="none"/>
          <w:lang w:val="en-US" w:eastAsia="zh-CN"/>
        </w:rPr>
        <w:t>附件</w:t>
      </w:r>
      <w:r>
        <w:rPr>
          <w:rFonts w:hint="eastAsia" w:cs="宋体"/>
          <w:color w:val="auto"/>
          <w:spacing w:val="6"/>
          <w:sz w:val="21"/>
          <w:szCs w:val="21"/>
          <w:highlight w:val="none"/>
        </w:rPr>
        <w:t>              </w:t>
      </w:r>
    </w:p>
    <w:p w14:paraId="3F79F65C">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_GBK" w:hAnsi="方正小标宋_GBK" w:eastAsia="方正小标宋_GBK" w:cs="方正小标宋_GBK"/>
          <w:bCs/>
          <w:color w:val="auto"/>
          <w:sz w:val="32"/>
          <w:szCs w:val="32"/>
          <w:highlight w:val="none"/>
        </w:rPr>
      </w:pPr>
      <w:r>
        <w:rPr>
          <w:rFonts w:hint="eastAsia" w:ascii="宋体" w:hAnsi="宋体" w:eastAsia="宋体" w:cs="宋体"/>
          <w:b/>
          <w:bCs w:val="0"/>
          <w:color w:val="auto"/>
          <w:sz w:val="28"/>
          <w:szCs w:val="28"/>
          <w:highlight w:val="none"/>
        </w:rPr>
        <w:t>金融业企业划型标准规定</w:t>
      </w:r>
    </w:p>
    <w:p w14:paraId="35BCA7B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465CF45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二、适用范围。本规定适用于从事《国民经济行业分类》（GB/T4754-2011）中J门类（金融业）活动的企业。</w:t>
      </w:r>
    </w:p>
    <w:p w14:paraId="777FDD5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292D97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3BF8380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五、指标标准值。依据指标标准值，将各类金融业企业划分为大、中、小、微四个规模类型，中型企业标准上限及以上的为大型企业。</w:t>
      </w:r>
    </w:p>
    <w:p w14:paraId="7425771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6C9C1B6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192CC4C7">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2B49DF9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0D837DC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266F6F9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2D1B4E7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0E5BB8B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lang w:eastAsia="zh-CN"/>
        </w:rPr>
      </w:pPr>
      <w:r>
        <w:rPr>
          <w:rStyle w:val="30"/>
          <w:rFonts w:hint="eastAsia" w:ascii="宋体" w:hAnsi="宋体" w:eastAsia="宋体" w:cs="宋体"/>
          <w:b w:val="0"/>
          <w:b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0"/>
          <w:rFonts w:hint="eastAsia" w:cs="宋体"/>
          <w:b w:val="0"/>
          <w:bCs w:val="0"/>
          <w:color w:val="auto"/>
          <w:sz w:val="24"/>
          <w:szCs w:val="24"/>
          <w:highlight w:val="none"/>
          <w:lang w:eastAsia="zh-CN"/>
        </w:rPr>
        <w:t>。</w:t>
      </w:r>
    </w:p>
    <w:p w14:paraId="32994D2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0"/>
          <w:rFonts w:hint="eastAsia" w:cs="宋体"/>
          <w:b w:val="0"/>
          <w:bCs w:val="0"/>
          <w:color w:val="auto"/>
          <w:sz w:val="24"/>
          <w:szCs w:val="24"/>
          <w:highlight w:val="none"/>
          <w:lang w:eastAsia="zh-CN"/>
        </w:rPr>
        <w:t>，</w:t>
      </w:r>
      <w:r>
        <w:rPr>
          <w:rStyle w:val="30"/>
          <w:rFonts w:hint="eastAsia" w:ascii="宋体" w:hAnsi="宋体" w:eastAsia="宋体" w:cs="宋体"/>
          <w:b w:val="0"/>
          <w:bCs w:val="0"/>
          <w:color w:val="auto"/>
          <w:sz w:val="24"/>
          <w:szCs w:val="24"/>
          <w:highlight w:val="none"/>
        </w:rPr>
        <w:t>方便政府部门和社会各界查询使用。</w:t>
      </w:r>
    </w:p>
    <w:p w14:paraId="034C483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七、标准值的评估和调整。金融业企业划型标准工作组每五年对划型标准值受经济发展与通货膨胀等因素的影响程度进行评估和调整。</w:t>
      </w:r>
    </w:p>
    <w:p w14:paraId="01F56FF4">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lang w:eastAsia="zh-CN"/>
        </w:rPr>
      </w:pPr>
      <w:r>
        <w:rPr>
          <w:rStyle w:val="30"/>
          <w:rFonts w:hint="eastAsia" w:ascii="宋体" w:hAnsi="宋体" w:eastAsia="宋体" w:cs="宋体"/>
          <w:b w:val="0"/>
          <w:b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0"/>
          <w:rFonts w:hint="eastAsia" w:cs="宋体"/>
          <w:b w:val="0"/>
          <w:bCs w:val="0"/>
          <w:color w:val="auto"/>
          <w:sz w:val="24"/>
          <w:szCs w:val="24"/>
          <w:highlight w:val="none"/>
          <w:lang w:eastAsia="zh-CN"/>
        </w:rPr>
        <w:t>。</w:t>
      </w:r>
    </w:p>
    <w:p w14:paraId="62B89F5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lang w:eastAsia="zh-CN"/>
        </w:rPr>
      </w:pPr>
      <w:r>
        <w:rPr>
          <w:rStyle w:val="30"/>
          <w:rFonts w:hint="eastAsia" w:ascii="宋体" w:hAnsi="宋体" w:eastAsia="宋体" w:cs="宋体"/>
          <w:b w:val="0"/>
          <w:bCs w:val="0"/>
          <w:color w:val="auto"/>
          <w:sz w:val="24"/>
          <w:szCs w:val="24"/>
          <w:highlight w:val="none"/>
        </w:rPr>
        <w:t>九、融资担保公司参照本规定中“除贷款公司、小额贷款公司、典当行以外的其他金融机构”标准划型</w:t>
      </w:r>
      <w:r>
        <w:rPr>
          <w:rStyle w:val="30"/>
          <w:rFonts w:hint="eastAsia" w:cs="宋体"/>
          <w:b w:val="0"/>
          <w:bCs w:val="0"/>
          <w:color w:val="auto"/>
          <w:sz w:val="24"/>
          <w:szCs w:val="24"/>
          <w:highlight w:val="none"/>
          <w:lang w:eastAsia="zh-CN"/>
        </w:rPr>
        <w:t>。</w:t>
      </w:r>
    </w:p>
    <w:p w14:paraId="5562FAB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十、本规定由人民银行会同银监会、证监会、保监会和统计局负责解释。</w:t>
      </w:r>
    </w:p>
    <w:p w14:paraId="0CD76B7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十一、本规定自发布之日起实施,</w:t>
      </w:r>
    </w:p>
    <w:p w14:paraId="5DAE7F9E">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p>
    <w:p w14:paraId="13D9865C">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0"/>
          <w:rFonts w:hint="eastAsia" w:ascii="宋体" w:hAnsi="宋体" w:eastAsia="宋体" w:cs="宋体"/>
          <w:b w:val="0"/>
          <w:bCs w:val="0"/>
          <w:color w:val="auto"/>
          <w:sz w:val="24"/>
          <w:szCs w:val="24"/>
          <w:highlight w:val="none"/>
        </w:rPr>
      </w:pPr>
      <w:r>
        <w:rPr>
          <w:rStyle w:val="30"/>
          <w:rFonts w:hint="eastAsia" w:ascii="宋体" w:hAnsi="宋体" w:eastAsia="宋体" w:cs="宋体"/>
          <w:b w:val="0"/>
          <w:bCs w:val="0"/>
          <w:color w:val="auto"/>
          <w:sz w:val="24"/>
          <w:szCs w:val="24"/>
          <w:highlight w:val="none"/>
        </w:rPr>
        <w:t>附:金融业企业划型标准</w:t>
      </w:r>
    </w:p>
    <w:p w14:paraId="4CB94869">
      <w:pPr>
        <w:rPr>
          <w:rFonts w:cs="宋体"/>
          <w:color w:val="auto"/>
          <w:spacing w:val="6"/>
          <w:sz w:val="21"/>
          <w:szCs w:val="21"/>
          <w:highlight w:val="none"/>
        </w:rPr>
      </w:pPr>
    </w:p>
    <w:p w14:paraId="018058A8">
      <w:pPr>
        <w:rPr>
          <w:rFonts w:hint="eastAsia" w:cs="宋体"/>
          <w:color w:val="auto"/>
          <w:spacing w:val="6"/>
          <w:sz w:val="24"/>
          <w:szCs w:val="24"/>
          <w:highlight w:val="none"/>
          <w:lang w:val="en-US" w:eastAsia="zh-CN"/>
        </w:rPr>
      </w:pPr>
    </w:p>
    <w:p w14:paraId="5023B69E">
      <w:pPr>
        <w:rPr>
          <w:rFonts w:hint="eastAsia" w:cs="宋体"/>
          <w:color w:val="auto"/>
          <w:spacing w:val="6"/>
          <w:sz w:val="24"/>
          <w:szCs w:val="24"/>
          <w:highlight w:val="none"/>
          <w:lang w:val="en-US" w:eastAsia="zh-CN"/>
        </w:rPr>
      </w:pPr>
    </w:p>
    <w:p w14:paraId="5F7D4B83">
      <w:pPr>
        <w:rPr>
          <w:rFonts w:hint="eastAsia" w:cs="宋体"/>
          <w:color w:val="auto"/>
          <w:spacing w:val="6"/>
          <w:sz w:val="24"/>
          <w:szCs w:val="24"/>
          <w:highlight w:val="none"/>
          <w:lang w:val="en-US" w:eastAsia="zh-CN"/>
        </w:rPr>
      </w:pPr>
    </w:p>
    <w:p w14:paraId="20B74F82">
      <w:pPr>
        <w:rPr>
          <w:rFonts w:hint="eastAsia" w:cs="宋体"/>
          <w:color w:val="auto"/>
          <w:spacing w:val="6"/>
          <w:sz w:val="24"/>
          <w:szCs w:val="24"/>
          <w:highlight w:val="none"/>
          <w:lang w:val="en-US" w:eastAsia="zh-CN"/>
        </w:rPr>
      </w:pPr>
    </w:p>
    <w:p w14:paraId="5D736742">
      <w:pPr>
        <w:rPr>
          <w:rFonts w:hint="eastAsia" w:cs="宋体"/>
          <w:color w:val="auto"/>
          <w:spacing w:val="6"/>
          <w:sz w:val="24"/>
          <w:szCs w:val="24"/>
          <w:highlight w:val="none"/>
          <w:lang w:val="en-US" w:eastAsia="zh-CN"/>
        </w:rPr>
      </w:pPr>
    </w:p>
    <w:p w14:paraId="226ECDE6">
      <w:pPr>
        <w:rPr>
          <w:rFonts w:hint="eastAsia" w:cs="宋体"/>
          <w:color w:val="auto"/>
          <w:spacing w:val="6"/>
          <w:sz w:val="24"/>
          <w:szCs w:val="24"/>
          <w:highlight w:val="none"/>
          <w:lang w:val="en-US" w:eastAsia="zh-CN"/>
        </w:rPr>
      </w:pPr>
      <w:r>
        <w:rPr>
          <w:rFonts w:hint="eastAsia" w:cs="宋体"/>
          <w:color w:val="auto"/>
          <w:spacing w:val="6"/>
          <w:sz w:val="24"/>
          <w:szCs w:val="24"/>
          <w:highlight w:val="none"/>
          <w:lang w:val="en-US" w:eastAsia="zh-CN"/>
        </w:rPr>
        <w:t>附</w:t>
      </w:r>
    </w:p>
    <w:p w14:paraId="3A51FB27">
      <w:pPr>
        <w:pStyle w:val="1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_GBK" w:hAnsi="方正小标宋_GBK" w:eastAsia="方正小标宋_GBK" w:cs="方正小标宋_GBK"/>
          <w:bCs/>
          <w:color w:val="auto"/>
          <w:sz w:val="32"/>
          <w:szCs w:val="32"/>
          <w:highlight w:val="none"/>
        </w:rPr>
      </w:pPr>
      <w:r>
        <w:rPr>
          <w:rFonts w:hint="eastAsia" w:ascii="宋体" w:hAnsi="宋体" w:eastAsia="宋体" w:cs="宋体"/>
          <w:b/>
          <w:bCs w:val="0"/>
          <w:color w:val="auto"/>
          <w:sz w:val="28"/>
          <w:szCs w:val="28"/>
          <w:highlight w:val="none"/>
        </w:rPr>
        <w:t>金融业企业划型标准</w:t>
      </w:r>
    </w:p>
    <w:tbl>
      <w:tblPr>
        <w:tblStyle w:val="28"/>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1168"/>
        <w:gridCol w:w="1817"/>
        <w:gridCol w:w="1143"/>
        <w:gridCol w:w="3251"/>
      </w:tblGrid>
      <w:tr w14:paraId="26CBC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2287" w:type="dxa"/>
            <w:gridSpan w:val="2"/>
            <w:vAlign w:val="center"/>
          </w:tcPr>
          <w:p w14:paraId="25F9841A">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行业</w:t>
            </w:r>
          </w:p>
        </w:tc>
        <w:tc>
          <w:tcPr>
            <w:tcW w:w="1817" w:type="dxa"/>
            <w:vAlign w:val="center"/>
          </w:tcPr>
          <w:p w14:paraId="3B4008BC">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类别</w:t>
            </w:r>
          </w:p>
        </w:tc>
        <w:tc>
          <w:tcPr>
            <w:tcW w:w="1143" w:type="dxa"/>
            <w:vAlign w:val="center"/>
          </w:tcPr>
          <w:p w14:paraId="199F0882">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类型</w:t>
            </w:r>
          </w:p>
        </w:tc>
        <w:tc>
          <w:tcPr>
            <w:tcW w:w="3251" w:type="dxa"/>
            <w:vAlign w:val="center"/>
          </w:tcPr>
          <w:p w14:paraId="715E5C3B">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资产总额</w:t>
            </w:r>
          </w:p>
        </w:tc>
      </w:tr>
      <w:tr w14:paraId="471A8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1233504D">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货币金融服务</w:t>
            </w:r>
          </w:p>
        </w:tc>
        <w:tc>
          <w:tcPr>
            <w:tcW w:w="1168" w:type="dxa"/>
            <w:vMerge w:val="restart"/>
            <w:vAlign w:val="center"/>
          </w:tcPr>
          <w:p w14:paraId="4350DE89">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货币银行服务</w:t>
            </w:r>
          </w:p>
        </w:tc>
        <w:tc>
          <w:tcPr>
            <w:tcW w:w="1817" w:type="dxa"/>
            <w:vMerge w:val="restart"/>
            <w:vAlign w:val="center"/>
          </w:tcPr>
          <w:p w14:paraId="6D5CDA82">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银行业存款类金融机构</w:t>
            </w:r>
          </w:p>
        </w:tc>
        <w:tc>
          <w:tcPr>
            <w:tcW w:w="1143" w:type="dxa"/>
            <w:vAlign w:val="center"/>
          </w:tcPr>
          <w:p w14:paraId="18DA8CED">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中型</w:t>
            </w:r>
          </w:p>
        </w:tc>
        <w:tc>
          <w:tcPr>
            <w:tcW w:w="3251" w:type="dxa"/>
            <w:vAlign w:val="center"/>
          </w:tcPr>
          <w:p w14:paraId="6553EDDF">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7DDCE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5D803A9">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5CFC2BC">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392AD96A">
            <w:pPr>
              <w:spacing w:line="240" w:lineRule="auto"/>
              <w:jc w:val="both"/>
              <w:rPr>
                <w:rFonts w:hint="eastAsia" w:ascii="宋体" w:hAnsi="宋体" w:eastAsia="宋体" w:cs="宋体"/>
                <w:color w:val="auto"/>
                <w:spacing w:val="6"/>
                <w:sz w:val="21"/>
                <w:szCs w:val="21"/>
                <w:highlight w:val="none"/>
                <w:vertAlign w:val="baseline"/>
              </w:rPr>
            </w:pPr>
          </w:p>
        </w:tc>
        <w:tc>
          <w:tcPr>
            <w:tcW w:w="1143" w:type="dxa"/>
            <w:vAlign w:val="center"/>
          </w:tcPr>
          <w:p w14:paraId="146F4352">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C955763">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7382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44DEC46">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47E3A4E">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43C1290">
            <w:pPr>
              <w:spacing w:line="240" w:lineRule="auto"/>
              <w:jc w:val="both"/>
              <w:rPr>
                <w:rFonts w:hint="eastAsia" w:ascii="宋体" w:hAnsi="宋体" w:eastAsia="宋体" w:cs="宋体"/>
                <w:color w:val="auto"/>
                <w:spacing w:val="6"/>
                <w:sz w:val="21"/>
                <w:szCs w:val="21"/>
                <w:highlight w:val="none"/>
                <w:vertAlign w:val="baseline"/>
              </w:rPr>
            </w:pPr>
          </w:p>
        </w:tc>
        <w:tc>
          <w:tcPr>
            <w:tcW w:w="1143" w:type="dxa"/>
            <w:vAlign w:val="center"/>
          </w:tcPr>
          <w:p w14:paraId="0A8569B9">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29C9E0F4">
            <w:pPr>
              <w:spacing w:line="240" w:lineRule="auto"/>
              <w:jc w:val="center"/>
              <w:rPr>
                <w:rFonts w:hint="eastAsia" w:ascii="宋体" w:hAnsi="宋体" w:eastAsia="宋体" w:cs="宋体"/>
                <w:color w:val="auto"/>
                <w:spacing w:val="6"/>
                <w:sz w:val="21"/>
                <w:szCs w:val="21"/>
                <w:highlight w:val="none"/>
                <w:vertAlign w:val="baseline"/>
                <w:lang w:val="en-US"/>
              </w:rPr>
            </w:pPr>
            <w:r>
              <w:rPr>
                <w:rFonts w:hint="eastAsia" w:ascii="宋体" w:hAnsi="宋体" w:eastAsia="宋体" w:cs="宋体"/>
                <w:color w:val="auto"/>
                <w:spacing w:val="6"/>
                <w:sz w:val="21"/>
                <w:szCs w:val="21"/>
                <w:highlight w:val="none"/>
                <w:vertAlign w:val="baseline"/>
                <w:lang w:val="en-US" w:eastAsia="zh-CN"/>
              </w:rPr>
              <w:t>50亿元以下</w:t>
            </w:r>
          </w:p>
        </w:tc>
      </w:tr>
      <w:tr w14:paraId="1C15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2A12E1E">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56574B6D">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非货币银行服务</w:t>
            </w:r>
          </w:p>
        </w:tc>
        <w:tc>
          <w:tcPr>
            <w:tcW w:w="1817" w:type="dxa"/>
            <w:vMerge w:val="restart"/>
            <w:vAlign w:val="center"/>
          </w:tcPr>
          <w:p w14:paraId="7DD2F497">
            <w:pPr>
              <w:spacing w:line="240" w:lineRule="auto"/>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46609FB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8F5BE5">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29DE0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0CFE49B">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EF9025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CC015F9">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0699B1D7">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56E78EC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0CA59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EE674B4">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17EDCC4">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DEB5E22">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4E9D4A7">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00D701CA">
            <w:pPr>
              <w:spacing w:line="240" w:lineRule="auto"/>
              <w:jc w:val="center"/>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50亿元以下</w:t>
            </w:r>
          </w:p>
        </w:tc>
      </w:tr>
      <w:tr w14:paraId="4B534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D041F7C">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95688A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restart"/>
            <w:vAlign w:val="center"/>
          </w:tcPr>
          <w:p w14:paraId="2420EBEF">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05DE84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07BBC2E">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9E6E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180FDC1">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078270CB">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0CBA7696">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EA1A43D">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220FC05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7A6B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C9F23C9">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693061F1">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41FB1E">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76913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03E9BD7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10E75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3A884F55">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资本市场服务</w:t>
            </w:r>
          </w:p>
        </w:tc>
        <w:tc>
          <w:tcPr>
            <w:tcW w:w="1817" w:type="dxa"/>
            <w:vMerge w:val="restart"/>
            <w:vAlign w:val="center"/>
          </w:tcPr>
          <w:p w14:paraId="6E78CF81">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证券业金融机构</w:t>
            </w:r>
          </w:p>
        </w:tc>
        <w:tc>
          <w:tcPr>
            <w:tcW w:w="1143" w:type="dxa"/>
            <w:shd w:val="clear" w:color="auto" w:fill="auto"/>
            <w:vAlign w:val="center"/>
          </w:tcPr>
          <w:p w14:paraId="0414261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444928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100亿元（含）至1000亿元</w:t>
            </w:r>
          </w:p>
        </w:tc>
      </w:tr>
      <w:tr w14:paraId="0F1C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3B06C7E">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9421CAF">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4B5A7F4">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A9C4DF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10亿元（含）至100亿元</w:t>
            </w:r>
          </w:p>
        </w:tc>
      </w:tr>
      <w:tr w14:paraId="01E7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65FECC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ADD78C9">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F7AF91">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43D0131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10亿元以下</w:t>
            </w:r>
          </w:p>
        </w:tc>
      </w:tr>
      <w:tr w14:paraId="3314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FAED341">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保险业</w:t>
            </w:r>
          </w:p>
        </w:tc>
        <w:tc>
          <w:tcPr>
            <w:tcW w:w="1817" w:type="dxa"/>
            <w:vMerge w:val="restart"/>
            <w:vAlign w:val="center"/>
          </w:tcPr>
          <w:p w14:paraId="73A1B699">
            <w:pPr>
              <w:spacing w:line="240" w:lineRule="auto"/>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保险业金融机构</w:t>
            </w:r>
          </w:p>
        </w:tc>
        <w:tc>
          <w:tcPr>
            <w:tcW w:w="1143" w:type="dxa"/>
            <w:shd w:val="clear" w:color="auto" w:fill="auto"/>
            <w:vAlign w:val="center"/>
          </w:tcPr>
          <w:p w14:paraId="7046BDEC">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1B9BB44">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400亿元（含）至5000亿元</w:t>
            </w:r>
          </w:p>
        </w:tc>
      </w:tr>
      <w:tr w14:paraId="386F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59" w:hRule="atLeast"/>
        </w:trPr>
        <w:tc>
          <w:tcPr>
            <w:tcW w:w="2287" w:type="dxa"/>
            <w:gridSpan w:val="2"/>
            <w:vMerge w:val="continue"/>
            <w:vAlign w:val="center"/>
          </w:tcPr>
          <w:p w14:paraId="48C86132">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2ACF5AB">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361981C2">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7F195A7E">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1336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7051FBA8">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1A95E01E">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DD1435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F4DBB0">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1B38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6A4EBA5D">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其他金融业</w:t>
            </w:r>
          </w:p>
        </w:tc>
        <w:tc>
          <w:tcPr>
            <w:tcW w:w="1168" w:type="dxa"/>
            <w:vMerge w:val="restart"/>
            <w:vAlign w:val="center"/>
          </w:tcPr>
          <w:p w14:paraId="741CF031">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金融信托与管理服务</w:t>
            </w:r>
          </w:p>
        </w:tc>
        <w:tc>
          <w:tcPr>
            <w:tcW w:w="1817" w:type="dxa"/>
            <w:vMerge w:val="restart"/>
            <w:vAlign w:val="center"/>
          </w:tcPr>
          <w:p w14:paraId="70836B6C">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信托公司</w:t>
            </w:r>
          </w:p>
        </w:tc>
        <w:tc>
          <w:tcPr>
            <w:tcW w:w="1143" w:type="dxa"/>
            <w:shd w:val="clear" w:color="auto" w:fill="auto"/>
            <w:vAlign w:val="center"/>
          </w:tcPr>
          <w:p w14:paraId="03C999A9">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C96EED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400亿元（含）至1000亿元</w:t>
            </w:r>
          </w:p>
        </w:tc>
      </w:tr>
      <w:tr w14:paraId="394A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38E5D4F">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343FC29">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EB960A0">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D76C17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E689FD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3E940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1E32AA3">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41AB74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15F254D">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60C098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33182E4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61CA0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A3463AD">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65B75359">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控股公司服务</w:t>
            </w:r>
          </w:p>
        </w:tc>
        <w:tc>
          <w:tcPr>
            <w:tcW w:w="1817" w:type="dxa"/>
            <w:vMerge w:val="restart"/>
            <w:vAlign w:val="center"/>
          </w:tcPr>
          <w:p w14:paraId="5AA3A788">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金融控股公司</w:t>
            </w:r>
          </w:p>
        </w:tc>
        <w:tc>
          <w:tcPr>
            <w:tcW w:w="1143" w:type="dxa"/>
            <w:shd w:val="clear" w:color="auto" w:fill="auto"/>
            <w:vAlign w:val="center"/>
          </w:tcPr>
          <w:p w14:paraId="6A34EBF4">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63D8FC">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61EE7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7F9BDD8">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774A5596">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58174A6">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3D84EB3">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434D1F52">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245B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88472CC">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DB4D286">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B6EDD2">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72A904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FC344B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3F9E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046E9137">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10B14656">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其他未包括的金融业</w:t>
            </w:r>
          </w:p>
        </w:tc>
        <w:tc>
          <w:tcPr>
            <w:tcW w:w="1817" w:type="dxa"/>
            <w:vMerge w:val="restart"/>
            <w:vAlign w:val="center"/>
          </w:tcPr>
          <w:p w14:paraId="3E665F4F">
            <w:pPr>
              <w:spacing w:line="240" w:lineRule="auto"/>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00510279">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6033F5D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4EB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04848A28">
            <w:pPr>
              <w:spacing w:line="240" w:lineRule="auto"/>
              <w:rPr>
                <w:rFonts w:hint="eastAsia" w:ascii="宋体" w:hAnsi="宋体" w:eastAsia="宋体" w:cs="宋体"/>
                <w:color w:val="auto"/>
                <w:spacing w:val="6"/>
                <w:sz w:val="21"/>
                <w:szCs w:val="21"/>
                <w:highlight w:val="none"/>
                <w:vertAlign w:val="baseline"/>
              </w:rPr>
            </w:pPr>
          </w:p>
        </w:tc>
        <w:tc>
          <w:tcPr>
            <w:tcW w:w="1168" w:type="dxa"/>
            <w:vMerge w:val="continue"/>
          </w:tcPr>
          <w:p w14:paraId="2F2E72F9">
            <w:pPr>
              <w:spacing w:line="240" w:lineRule="auto"/>
              <w:rPr>
                <w:rFonts w:hint="eastAsia" w:ascii="宋体" w:hAnsi="宋体" w:eastAsia="宋体" w:cs="宋体"/>
                <w:color w:val="auto"/>
                <w:spacing w:val="6"/>
                <w:sz w:val="21"/>
                <w:szCs w:val="21"/>
                <w:highlight w:val="none"/>
                <w:vertAlign w:val="baseline"/>
              </w:rPr>
            </w:pPr>
          </w:p>
        </w:tc>
        <w:tc>
          <w:tcPr>
            <w:tcW w:w="1817" w:type="dxa"/>
            <w:vMerge w:val="continue"/>
          </w:tcPr>
          <w:p w14:paraId="179DE2D0">
            <w:pPr>
              <w:spacing w:line="240" w:lineRule="auto"/>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E62333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2916BB7">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6DDC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0F1E7A7B">
            <w:pPr>
              <w:spacing w:line="240" w:lineRule="auto"/>
              <w:rPr>
                <w:rFonts w:hint="eastAsia" w:ascii="宋体" w:hAnsi="宋体" w:eastAsia="宋体" w:cs="宋体"/>
                <w:color w:val="auto"/>
                <w:spacing w:val="6"/>
                <w:sz w:val="21"/>
                <w:szCs w:val="21"/>
                <w:highlight w:val="none"/>
                <w:vertAlign w:val="baseline"/>
              </w:rPr>
            </w:pPr>
          </w:p>
        </w:tc>
        <w:tc>
          <w:tcPr>
            <w:tcW w:w="1168" w:type="dxa"/>
            <w:vMerge w:val="continue"/>
          </w:tcPr>
          <w:p w14:paraId="08010151">
            <w:pPr>
              <w:spacing w:line="240" w:lineRule="auto"/>
              <w:rPr>
                <w:rFonts w:hint="eastAsia" w:ascii="宋体" w:hAnsi="宋体" w:eastAsia="宋体" w:cs="宋体"/>
                <w:color w:val="auto"/>
                <w:spacing w:val="6"/>
                <w:sz w:val="21"/>
                <w:szCs w:val="21"/>
                <w:highlight w:val="none"/>
                <w:vertAlign w:val="baseline"/>
              </w:rPr>
            </w:pPr>
          </w:p>
        </w:tc>
        <w:tc>
          <w:tcPr>
            <w:tcW w:w="1817" w:type="dxa"/>
            <w:vMerge w:val="continue"/>
          </w:tcPr>
          <w:p w14:paraId="71A393FF">
            <w:pPr>
              <w:spacing w:line="240" w:lineRule="auto"/>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68714F1">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13FA3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bl>
    <w:p w14:paraId="26C2B589">
      <w:pPr>
        <w:rPr>
          <w:rFonts w:cs="宋体"/>
          <w:color w:val="auto"/>
          <w:spacing w:val="6"/>
          <w:sz w:val="21"/>
          <w:szCs w:val="21"/>
          <w:highlight w:val="none"/>
        </w:rPr>
      </w:pPr>
      <w:r>
        <w:rPr>
          <w:rFonts w:cs="宋体"/>
          <w:color w:val="auto"/>
          <w:spacing w:val="6"/>
          <w:sz w:val="21"/>
          <w:szCs w:val="21"/>
          <w:highlight w:val="none"/>
        </w:rPr>
        <w:br w:type="page"/>
      </w:r>
    </w:p>
    <w:p w14:paraId="5D4F19F2">
      <w:pPr>
        <w:pStyle w:val="15"/>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方正小标宋_GBK" w:hAnsi="方正小标宋_GBK" w:eastAsia="方正小标宋_GBK" w:cs="方正小标宋_GBK"/>
          <w:bCs/>
          <w:color w:val="auto"/>
          <w:sz w:val="36"/>
          <w:szCs w:val="36"/>
          <w:highlight w:val="none"/>
          <w:lang w:val="en-US" w:eastAsia="zh-CN"/>
        </w:rPr>
      </w:pPr>
    </w:p>
    <w:p w14:paraId="0711552D">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567" w:name="_Toc33"/>
      <w:bookmarkStart w:id="568" w:name="_Toc7129"/>
      <w:r>
        <w:rPr>
          <w:rFonts w:hint="eastAsia" w:ascii="宋体" w:hAnsi="宋体" w:eastAsia="宋体" w:cstheme="minorBidi"/>
          <w:b/>
          <w:bCs/>
          <w:color w:val="auto"/>
          <w:kern w:val="2"/>
          <w:sz w:val="24"/>
          <w:szCs w:val="24"/>
          <w:highlight w:val="none"/>
          <w:lang w:val="en-US" w:eastAsia="zh-CN" w:bidi="ar-SA"/>
        </w:rPr>
        <w:t>（三）监狱企业证明文件</w:t>
      </w:r>
      <w:bookmarkEnd w:id="566"/>
      <w:bookmarkEnd w:id="567"/>
      <w:bookmarkEnd w:id="568"/>
    </w:p>
    <w:p w14:paraId="744F56E2">
      <w:pPr>
        <w:rPr>
          <w:rFonts w:cs="仿宋_GB2312"/>
          <w:b/>
          <w:color w:val="auto"/>
          <w:sz w:val="28"/>
          <w:szCs w:val="28"/>
          <w:highlight w:val="none"/>
        </w:rPr>
      </w:pPr>
    </w:p>
    <w:p w14:paraId="23D1BFCD">
      <w:pPr>
        <w:adjustRightInd w:val="0"/>
        <w:snapToGrid w:val="0"/>
        <w:ind w:firstLine="480" w:firstLineChars="200"/>
        <w:rPr>
          <w:rFonts w:hint="eastAsia" w:ascii="宋体" w:hAnsi="宋体" w:eastAsia="宋体" w:cs="宋体"/>
          <w:color w:val="auto"/>
          <w:sz w:val="24"/>
          <w:szCs w:val="24"/>
          <w:highlight w:val="none"/>
        </w:rPr>
      </w:pPr>
    </w:p>
    <w:p w14:paraId="75238DB1">
      <w:pPr>
        <w:pStyle w:val="15"/>
        <w:spacing w:line="360" w:lineRule="auto"/>
        <w:jc w:val="center"/>
        <w:rPr>
          <w:rFonts w:hint="eastAsia" w:ascii="宋体" w:hAnsi="宋体" w:eastAsia="宋体" w:cs="宋体"/>
          <w:b/>
          <w:bCs w:val="0"/>
          <w:color w:val="auto"/>
          <w:sz w:val="32"/>
          <w:szCs w:val="32"/>
          <w:highlight w:val="none"/>
        </w:rPr>
      </w:pPr>
    </w:p>
    <w:p w14:paraId="3EAA5E2A">
      <w:pPr>
        <w:pStyle w:val="15"/>
        <w:spacing w:line="360" w:lineRule="auto"/>
        <w:jc w:val="center"/>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监狱企业证明函</w:t>
      </w:r>
    </w:p>
    <w:p w14:paraId="73EFA9C1">
      <w:pPr>
        <w:spacing w:line="360" w:lineRule="auto"/>
        <w:rPr>
          <w:rFonts w:hint="eastAsia" w:ascii="仿宋_GB2312" w:hAnsi="仿宋_GB2312" w:eastAsia="仿宋_GB2312" w:cs="仿宋_GB2312"/>
          <w:color w:val="auto"/>
          <w:sz w:val="32"/>
          <w:szCs w:val="32"/>
          <w:highlight w:val="none"/>
        </w:rPr>
      </w:pPr>
    </w:p>
    <w:p w14:paraId="7E6FDB37">
      <w:pPr>
        <w:ind w:firstLine="504" w:firstLineChars="200"/>
        <w:rPr>
          <w:rFonts w:hint="eastAsia" w:cs="宋体"/>
          <w:color w:val="auto"/>
          <w:spacing w:val="6"/>
          <w:szCs w:val="24"/>
          <w:highlight w:val="none"/>
        </w:rPr>
      </w:pPr>
      <w:r>
        <w:rPr>
          <w:rFonts w:hint="eastAsia" w:cs="宋体"/>
          <w:color w:val="auto"/>
          <w:spacing w:val="6"/>
          <w:szCs w:val="24"/>
          <w:highlight w:val="none"/>
        </w:rPr>
        <w:t>本公司郑重声明，根据财政部、司法部《关于政府采购支持监狱企业发展有关问题的通知》（财库【2014】68号）的规定，本公司为监狱企业。</w:t>
      </w:r>
    </w:p>
    <w:p w14:paraId="3C2CE4C6">
      <w:pPr>
        <w:spacing w:line="360" w:lineRule="auto"/>
        <w:rPr>
          <w:rFonts w:hint="eastAsia" w:ascii="宋体" w:hAnsi="宋体" w:eastAsia="宋体" w:cs="宋体"/>
          <w:color w:val="auto"/>
          <w:sz w:val="24"/>
          <w:szCs w:val="24"/>
          <w:highlight w:val="none"/>
        </w:rPr>
      </w:pPr>
    </w:p>
    <w:p w14:paraId="25406F97">
      <w:pPr>
        <w:ind w:firstLine="4440" w:firstLineChars="1850"/>
        <w:rPr>
          <w:rFonts w:hint="eastAsia" w:ascii="宋体" w:hAnsi="宋体" w:eastAsia="宋体" w:cs="宋体"/>
          <w:color w:val="auto"/>
          <w:sz w:val="24"/>
          <w:szCs w:val="24"/>
          <w:highlight w:val="none"/>
        </w:rPr>
      </w:pPr>
    </w:p>
    <w:p w14:paraId="44FF352C">
      <w:pPr>
        <w:ind w:firstLine="4440" w:firstLineChars="1850"/>
        <w:rPr>
          <w:rFonts w:hint="eastAsia" w:ascii="宋体" w:hAnsi="宋体" w:eastAsia="宋体" w:cs="宋体"/>
          <w:color w:val="auto"/>
          <w:sz w:val="24"/>
          <w:szCs w:val="24"/>
          <w:highlight w:val="none"/>
        </w:rPr>
      </w:pPr>
    </w:p>
    <w:p w14:paraId="0841D36F">
      <w:pPr>
        <w:ind w:right="1008" w:firstLine="4080" w:firstLineChars="1700"/>
        <w:rPr>
          <w:rFonts w:hint="eastAsia" w:ascii="宋体" w:hAnsi="宋体" w:eastAsia="宋体" w:cs="宋体"/>
          <w:color w:val="auto"/>
          <w:spacing w:val="6"/>
          <w:sz w:val="24"/>
          <w:szCs w:val="24"/>
          <w:highlight w:val="none"/>
        </w:rPr>
      </w:pPr>
      <w:r>
        <w:rPr>
          <w:rFonts w:hint="eastAsia" w:ascii="宋体" w:hAnsi="宋体" w:cs="宋体"/>
          <w:color w:val="auto"/>
          <w:kern w:val="0"/>
          <w:sz w:val="24"/>
          <w:highlight w:val="none"/>
          <w:lang w:val="zh-CN"/>
        </w:rPr>
        <w:t xml:space="preserve">  </w:t>
      </w:r>
      <w:r>
        <w:rPr>
          <w:rFonts w:hint="eastAsia" w:cs="宋体"/>
          <w:color w:val="auto"/>
          <w:kern w:val="0"/>
          <w:sz w:val="24"/>
          <w:highlight w:val="none"/>
          <w:lang w:val="en-US" w:eastAsia="zh-CN"/>
        </w:rPr>
        <w:t>供应商</w:t>
      </w:r>
      <w:r>
        <w:rPr>
          <w:rFonts w:hint="eastAsia" w:ascii="宋体" w:hAnsi="宋体" w:cs="宋体"/>
          <w:color w:val="auto"/>
          <w:kern w:val="0"/>
          <w:sz w:val="24"/>
          <w:highlight w:val="none"/>
          <w:lang w:val="zh-CN"/>
        </w:rPr>
        <w:t>名称(</w:t>
      </w:r>
      <w:r>
        <w:rPr>
          <w:rFonts w:hint="eastAsia" w:cs="宋体"/>
          <w:color w:val="auto"/>
          <w:kern w:val="0"/>
          <w:sz w:val="24"/>
          <w:highlight w:val="none"/>
          <w:lang w:val="zh-CN"/>
        </w:rPr>
        <w:t>公章</w:t>
      </w:r>
      <w:r>
        <w:rPr>
          <w:rFonts w:hint="eastAsia" w:ascii="宋体" w:hAnsi="宋体" w:cs="宋体"/>
          <w:color w:val="auto"/>
          <w:kern w:val="0"/>
          <w:sz w:val="24"/>
          <w:highlight w:val="none"/>
          <w:lang w:val="zh-CN"/>
        </w:rPr>
        <w:t>)：</w:t>
      </w:r>
      <w:r>
        <w:rPr>
          <w:rFonts w:hint="eastAsia" w:ascii="宋体" w:hAnsi="宋体" w:eastAsia="宋体" w:cs="宋体"/>
          <w:color w:val="auto"/>
          <w:spacing w:val="6"/>
          <w:sz w:val="24"/>
          <w:szCs w:val="24"/>
          <w:highlight w:val="none"/>
        </w:rPr>
        <w:t>：</w:t>
      </w:r>
    </w:p>
    <w:p w14:paraId="3678CEA7">
      <w:pPr>
        <w:ind w:right="1008" w:firstLine="4284" w:firstLineChars="1700"/>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75D11779">
      <w:pPr>
        <w:spacing w:line="360" w:lineRule="auto"/>
        <w:ind w:firstLine="240" w:firstLineChars="100"/>
        <w:rPr>
          <w:rFonts w:hint="eastAsia" w:ascii="宋体" w:hAnsi="宋体" w:eastAsia="宋体" w:cs="宋体"/>
          <w:color w:val="auto"/>
          <w:sz w:val="24"/>
          <w:szCs w:val="24"/>
          <w:highlight w:val="none"/>
        </w:rPr>
      </w:pPr>
    </w:p>
    <w:p w14:paraId="7B8735C9">
      <w:pPr>
        <w:spacing w:line="360" w:lineRule="auto"/>
        <w:ind w:firstLine="240" w:firstLineChars="100"/>
        <w:rPr>
          <w:rFonts w:hint="eastAsia" w:ascii="宋体" w:hAnsi="宋体" w:eastAsia="宋体" w:cs="宋体"/>
          <w:color w:val="auto"/>
          <w:sz w:val="24"/>
          <w:szCs w:val="24"/>
          <w:highlight w:val="none"/>
        </w:rPr>
      </w:pPr>
    </w:p>
    <w:p w14:paraId="32722C7E">
      <w:pPr>
        <w:spacing w:line="360" w:lineRule="auto"/>
        <w:ind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w:t>
      </w:r>
    </w:p>
    <w:p w14:paraId="20204BC0">
      <w:pPr>
        <w:ind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（含新疆生产建设兵团）（盖章）：  </w:t>
      </w:r>
    </w:p>
    <w:p w14:paraId="4A414B41">
      <w:pPr>
        <w:ind w:firstLine="4320" w:firstLineChars="18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028B0253">
      <w:pPr>
        <w:spacing w:line="360" w:lineRule="auto"/>
        <w:ind w:firstLine="240" w:firstLineChars="100"/>
        <w:rPr>
          <w:rFonts w:hint="eastAsia" w:ascii="宋体" w:hAnsi="宋体" w:eastAsia="宋体" w:cs="宋体"/>
          <w:color w:val="auto"/>
          <w:sz w:val="24"/>
          <w:szCs w:val="24"/>
          <w:highlight w:val="none"/>
        </w:rPr>
      </w:pPr>
    </w:p>
    <w:p w14:paraId="4A20867A">
      <w:pPr>
        <w:spacing w:line="360" w:lineRule="auto"/>
        <w:ind w:firstLine="4000" w:firstLineChars="1250"/>
        <w:rPr>
          <w:rFonts w:hint="eastAsia" w:ascii="仿宋_GB2312" w:hAnsi="仿宋_GB2312" w:eastAsia="仿宋_GB2312" w:cs="仿宋_GB2312"/>
          <w:color w:val="auto"/>
          <w:sz w:val="32"/>
          <w:szCs w:val="32"/>
          <w:highlight w:val="none"/>
        </w:rPr>
      </w:pPr>
    </w:p>
    <w:p w14:paraId="206A9633">
      <w:pPr>
        <w:spacing w:line="360" w:lineRule="auto"/>
        <w:rPr>
          <w:rFonts w:hint="eastAsia" w:ascii="仿宋_GB2312" w:hAnsi="仿宋_GB2312" w:eastAsia="仿宋_GB2312" w:cs="仿宋_GB2312"/>
          <w:color w:val="auto"/>
          <w:sz w:val="32"/>
          <w:szCs w:val="32"/>
          <w:highlight w:val="none"/>
        </w:rPr>
      </w:pPr>
    </w:p>
    <w:p w14:paraId="283F77FC">
      <w:pPr>
        <w:widowControl/>
        <w:spacing w:before="100" w:beforeAutospacing="1" w:after="100" w:afterAutospacing="1"/>
        <w:rPr>
          <w:rFonts w:ascii="Arial" w:hAnsi="Arial" w:cs="Arial"/>
          <w:color w:val="auto"/>
          <w:sz w:val="21"/>
          <w:szCs w:val="21"/>
          <w:highlight w:val="none"/>
        </w:rPr>
      </w:pPr>
    </w:p>
    <w:p w14:paraId="3ACDD48E">
      <w:pPr>
        <w:widowControl/>
        <w:spacing w:before="100" w:beforeAutospacing="1" w:after="100" w:afterAutospacing="1"/>
        <w:rPr>
          <w:rFonts w:ascii="Arial" w:hAnsi="Arial" w:cs="Arial"/>
          <w:color w:val="auto"/>
          <w:sz w:val="21"/>
          <w:szCs w:val="21"/>
          <w:highlight w:val="none"/>
        </w:rPr>
      </w:pPr>
    </w:p>
    <w:p w14:paraId="22F7A202">
      <w:pPr>
        <w:widowControl/>
        <w:spacing w:before="100" w:beforeAutospacing="1" w:after="100" w:afterAutospacing="1"/>
        <w:rPr>
          <w:rFonts w:ascii="Arial" w:hAnsi="Arial" w:cs="Arial"/>
          <w:color w:val="auto"/>
          <w:sz w:val="21"/>
          <w:szCs w:val="21"/>
          <w:highlight w:val="none"/>
        </w:rPr>
      </w:pPr>
    </w:p>
    <w:p w14:paraId="2AA0844D">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569" w:name="_Toc163492941"/>
    </w:p>
    <w:p w14:paraId="69ACD5D5">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570" w:name="_Toc27898"/>
      <w:bookmarkStart w:id="571" w:name="_Toc19793"/>
      <w:r>
        <w:rPr>
          <w:rFonts w:hint="eastAsia" w:ascii="宋体" w:hAnsi="宋体" w:eastAsia="宋体" w:cstheme="minorBidi"/>
          <w:b/>
          <w:bCs/>
          <w:color w:val="auto"/>
          <w:kern w:val="2"/>
          <w:sz w:val="24"/>
          <w:szCs w:val="24"/>
          <w:highlight w:val="none"/>
          <w:lang w:val="en-US" w:eastAsia="zh-CN" w:bidi="ar-SA"/>
        </w:rPr>
        <w:t>（四）残疾人福利性单位声明函</w:t>
      </w:r>
      <w:bookmarkEnd w:id="569"/>
      <w:bookmarkEnd w:id="570"/>
      <w:bookmarkEnd w:id="571"/>
    </w:p>
    <w:p w14:paraId="57F303A4">
      <w:pPr>
        <w:pStyle w:val="37"/>
        <w:numPr>
          <w:ilvl w:val="0"/>
          <w:numId w:val="0"/>
        </w:numPr>
        <w:ind w:left="420" w:leftChars="0" w:hanging="420" w:firstLineChars="0"/>
        <w:jc w:val="center"/>
        <w:rPr>
          <w:rFonts w:hint="eastAsia"/>
          <w:b/>
          <w:bCs/>
          <w:color w:val="auto"/>
          <w:sz w:val="32"/>
          <w:szCs w:val="32"/>
          <w:highlight w:val="none"/>
        </w:rPr>
      </w:pPr>
    </w:p>
    <w:p w14:paraId="6049E14B">
      <w:pPr>
        <w:pStyle w:val="37"/>
        <w:numPr>
          <w:ilvl w:val="0"/>
          <w:numId w:val="0"/>
        </w:numPr>
        <w:ind w:left="420" w:leftChars="0" w:hanging="420" w:firstLineChars="0"/>
        <w:jc w:val="center"/>
        <w:rPr>
          <w:b/>
          <w:bCs/>
          <w:color w:val="auto"/>
          <w:sz w:val="32"/>
          <w:szCs w:val="32"/>
          <w:highlight w:val="none"/>
        </w:rPr>
      </w:pPr>
      <w:r>
        <w:rPr>
          <w:rFonts w:hint="eastAsia"/>
          <w:b/>
          <w:bCs/>
          <w:color w:val="auto"/>
          <w:sz w:val="32"/>
          <w:szCs w:val="32"/>
          <w:highlight w:val="none"/>
        </w:rPr>
        <w:t>残疾人福利性单位声明函</w:t>
      </w:r>
    </w:p>
    <w:p w14:paraId="4E988B10">
      <w:pPr>
        <w:wordWrap w:val="0"/>
        <w:ind w:firstLine="480" w:firstLineChars="200"/>
        <w:rPr>
          <w:rFonts w:hint="eastAsia"/>
          <w:color w:val="auto"/>
          <w:szCs w:val="24"/>
          <w:highlight w:val="none"/>
        </w:rPr>
      </w:pPr>
    </w:p>
    <w:p w14:paraId="2B2B6A0A">
      <w:pPr>
        <w:wordWrap w:val="0"/>
        <w:ind w:firstLine="480" w:firstLineChars="200"/>
        <w:rPr>
          <w:i w:val="0"/>
          <w:iCs w:val="0"/>
          <w:color w:val="auto"/>
          <w:szCs w:val="24"/>
          <w:highlight w:val="none"/>
        </w:rPr>
      </w:pPr>
      <w:r>
        <w:rPr>
          <w:rFonts w:hint="eastAsia"/>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采购活动，提供的货物</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残疾人福利性单位制造</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B0D31AB">
      <w:pPr>
        <w:wordWrap w:val="0"/>
        <w:ind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 xml:space="preserve">，制造商为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38F8FD5">
      <w:pPr>
        <w:wordWrap w:val="0"/>
        <w:ind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 xml:space="preserve">，制造商为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7FB12063">
      <w:pPr>
        <w:wordWrap w:val="0"/>
        <w:ind w:firstLine="480" w:firstLineChars="200"/>
        <w:rPr>
          <w:i w:val="0"/>
          <w:iCs w:val="0"/>
          <w:color w:val="auto"/>
          <w:szCs w:val="24"/>
          <w:highlight w:val="none"/>
        </w:rPr>
      </w:pPr>
      <w:r>
        <w:rPr>
          <w:rFonts w:hint="eastAsia"/>
          <w:i w:val="0"/>
          <w:iCs w:val="0"/>
          <w:color w:val="auto"/>
          <w:szCs w:val="24"/>
          <w:highlight w:val="none"/>
        </w:rPr>
        <w:t>……</w:t>
      </w:r>
    </w:p>
    <w:p w14:paraId="7B8F3287">
      <w:pPr>
        <w:wordWrap w:val="0"/>
        <w:ind w:firstLine="480" w:firstLineChars="200"/>
        <w:rPr>
          <w:color w:val="auto"/>
          <w:szCs w:val="24"/>
          <w:highlight w:val="none"/>
        </w:rPr>
      </w:pPr>
      <w:r>
        <w:rPr>
          <w:rFonts w:hint="eastAsia"/>
          <w:color w:val="auto"/>
          <w:szCs w:val="24"/>
          <w:highlight w:val="none"/>
        </w:rPr>
        <w:t>以上企业，不属于大企业的分支机构，不存在控股股东为大企业的情形，也不存在与大企业的负责人为同一人的情形。</w:t>
      </w:r>
    </w:p>
    <w:p w14:paraId="18EB7223">
      <w:pPr>
        <w:wordWrap w:val="0"/>
        <w:ind w:left="1087" w:leftChars="200" w:hanging="607" w:hangingChars="253"/>
        <w:rPr>
          <w:color w:val="auto"/>
          <w:szCs w:val="24"/>
          <w:highlight w:val="none"/>
        </w:rPr>
      </w:pPr>
      <w:r>
        <w:rPr>
          <w:rFonts w:hint="eastAsia"/>
          <w:color w:val="auto"/>
          <w:szCs w:val="24"/>
          <w:highlight w:val="none"/>
        </w:rPr>
        <w:t>本企业对上述声明内容的真实性负责。如有虚假，将依法承担相应责任。</w:t>
      </w:r>
    </w:p>
    <w:p w14:paraId="44C7A080">
      <w:pPr>
        <w:wordWrap w:val="0"/>
        <w:ind w:left="1091" w:hanging="1091" w:hangingChars="453"/>
        <w:rPr>
          <w:b/>
          <w:bCs/>
          <w:color w:val="auto"/>
          <w:szCs w:val="24"/>
          <w:highlight w:val="none"/>
        </w:rPr>
      </w:pPr>
    </w:p>
    <w:p w14:paraId="43523196">
      <w:pPr>
        <w:wordWrap w:val="0"/>
        <w:ind w:left="1091" w:hanging="1091" w:hangingChars="453"/>
        <w:rPr>
          <w:bCs/>
          <w:color w:val="auto"/>
          <w:szCs w:val="24"/>
          <w:highlight w:val="none"/>
        </w:rPr>
      </w:pPr>
      <w:r>
        <w:rPr>
          <w:rFonts w:hint="eastAsia"/>
          <w:b/>
          <w:bCs/>
          <w:color w:val="auto"/>
          <w:szCs w:val="24"/>
          <w:highlight w:val="none"/>
        </w:rPr>
        <w:t>说明：</w:t>
      </w:r>
      <w:r>
        <w:rPr>
          <w:rFonts w:hint="eastAsia"/>
          <w:bCs/>
          <w:color w:val="auto"/>
          <w:szCs w:val="24"/>
          <w:highlight w:val="none"/>
        </w:rPr>
        <w:t>1、</w:t>
      </w:r>
      <w:r>
        <w:rPr>
          <w:rFonts w:hint="eastAsia"/>
          <w:bCs/>
          <w:color w:val="auto"/>
          <w:szCs w:val="21"/>
          <w:highlight w:val="none"/>
          <w:lang w:val="zh-CN"/>
        </w:rPr>
        <w:t>货物应当全部由符合政策要求的残疾人福利性单位生产且使用该残疾人福利性单位商号或注册商标（与代理商或</w:t>
      </w:r>
      <w:r>
        <w:rPr>
          <w:rFonts w:hint="eastAsia"/>
          <w:bCs/>
          <w:color w:val="auto"/>
          <w:szCs w:val="21"/>
          <w:highlight w:val="none"/>
          <w:lang w:val="en-US" w:eastAsia="zh-CN"/>
        </w:rPr>
        <w:t>供应商</w:t>
      </w:r>
      <w:r>
        <w:rPr>
          <w:rFonts w:hint="eastAsia"/>
          <w:bCs/>
          <w:color w:val="auto"/>
          <w:szCs w:val="21"/>
          <w:highlight w:val="none"/>
          <w:lang w:val="zh-CN"/>
        </w:rPr>
        <w:t>无关）；应当严格按上述格式及内容进行填写（应当明确每个</w:t>
      </w:r>
      <w:r>
        <w:rPr>
          <w:rFonts w:hint="eastAsia"/>
          <w:bCs/>
          <w:color w:val="auto"/>
          <w:szCs w:val="21"/>
          <w:highlight w:val="none"/>
          <w:lang w:val="en-US" w:eastAsia="zh-CN"/>
        </w:rPr>
        <w:t>包</w:t>
      </w:r>
      <w:r>
        <w:rPr>
          <w:rFonts w:hint="eastAsia"/>
          <w:bCs/>
          <w:color w:val="auto"/>
          <w:szCs w:val="21"/>
          <w:highlight w:val="none"/>
          <w:lang w:val="zh-CN"/>
        </w:rPr>
        <w:t>的的生产企业类型及相关数据），否则导致的后果由</w:t>
      </w:r>
      <w:r>
        <w:rPr>
          <w:rFonts w:hint="eastAsia"/>
          <w:bCs/>
          <w:color w:val="auto"/>
          <w:szCs w:val="21"/>
          <w:highlight w:val="none"/>
          <w:lang w:val="en-US" w:eastAsia="zh-CN"/>
        </w:rPr>
        <w:t>供应商</w:t>
      </w:r>
      <w:r>
        <w:rPr>
          <w:rFonts w:hint="eastAsia"/>
          <w:bCs/>
          <w:color w:val="auto"/>
          <w:szCs w:val="21"/>
          <w:highlight w:val="none"/>
          <w:lang w:val="zh-CN"/>
        </w:rPr>
        <w:t>自行承担；</w:t>
      </w:r>
    </w:p>
    <w:p w14:paraId="2288B711">
      <w:pPr>
        <w:wordWrap w:val="0"/>
        <w:ind w:left="1087" w:hanging="1087" w:hangingChars="453"/>
        <w:rPr>
          <w:rFonts w:cs="Courier New"/>
          <w:color w:val="auto"/>
          <w:szCs w:val="21"/>
          <w:highlight w:val="none"/>
        </w:rPr>
      </w:pPr>
      <w:r>
        <w:rPr>
          <w:rFonts w:hint="eastAsia"/>
          <w:bCs/>
          <w:color w:val="auto"/>
          <w:szCs w:val="21"/>
          <w:highlight w:val="none"/>
          <w:lang w:val="zh-CN"/>
        </w:rPr>
        <w:t xml:space="preserve">      2、</w:t>
      </w:r>
      <w:r>
        <w:rPr>
          <w:rFonts w:hint="eastAsia" w:cs="Courier New"/>
          <w:color w:val="auto"/>
          <w:szCs w:val="21"/>
          <w:highlight w:val="none"/>
        </w:rPr>
        <w:t>以联合体形式参加的，应</w:t>
      </w:r>
      <w:r>
        <w:rPr>
          <w:rFonts w:hint="eastAsia"/>
          <w:bCs/>
          <w:color w:val="auto"/>
          <w:szCs w:val="21"/>
          <w:highlight w:val="none"/>
          <w:lang w:val="zh-CN"/>
        </w:rPr>
        <w:t>当</w:t>
      </w:r>
      <w:r>
        <w:rPr>
          <w:rFonts w:hint="eastAsia" w:cs="Courier New"/>
          <w:color w:val="auto"/>
          <w:szCs w:val="21"/>
          <w:highlight w:val="none"/>
        </w:rPr>
        <w:t>由联合体各方盖章。</w:t>
      </w:r>
    </w:p>
    <w:p w14:paraId="71983F83">
      <w:pPr>
        <w:wordWrap w:val="0"/>
        <w:spacing w:before="100" w:beforeAutospacing="1" w:after="100" w:afterAutospacing="1"/>
        <w:ind w:firstLine="3316" w:firstLineChars="1382"/>
        <w:rPr>
          <w:bCs/>
          <w:color w:val="auto"/>
          <w:szCs w:val="21"/>
          <w:highlight w:val="none"/>
          <w:lang w:val="zh-CN"/>
        </w:rPr>
      </w:pPr>
      <w:r>
        <w:rPr>
          <w:rFonts w:hint="eastAsia"/>
          <w:bCs/>
          <w:color w:val="auto"/>
          <w:szCs w:val="21"/>
          <w:highlight w:val="none"/>
          <w:lang w:val="en-US" w:eastAsia="zh-CN"/>
        </w:rPr>
        <w:t>供应商名称（公章）</w:t>
      </w:r>
      <w:r>
        <w:rPr>
          <w:rFonts w:hint="eastAsia"/>
          <w:bCs/>
          <w:color w:val="auto"/>
          <w:szCs w:val="21"/>
          <w:highlight w:val="none"/>
          <w:lang w:val="zh-CN"/>
        </w:rPr>
        <w:t>：</w:t>
      </w:r>
      <w:r>
        <w:rPr>
          <w:rFonts w:hint="eastAsia"/>
          <w:bCs/>
          <w:color w:val="auto"/>
          <w:szCs w:val="21"/>
          <w:highlight w:val="none"/>
          <w:u w:val="single"/>
          <w:lang w:val="zh-CN"/>
        </w:rPr>
        <w:t xml:space="preserve">             </w:t>
      </w:r>
    </w:p>
    <w:p w14:paraId="3A972AC9">
      <w:pPr>
        <w:wordWrap w:val="0"/>
        <w:spacing w:before="100" w:beforeAutospacing="1" w:after="100" w:afterAutospacing="1"/>
        <w:ind w:firstLine="3316" w:firstLineChars="1382"/>
        <w:rPr>
          <w:color w:val="auto"/>
          <w:highlight w:val="none"/>
        </w:rPr>
      </w:pPr>
      <w:r>
        <w:rPr>
          <w:rFonts w:hint="eastAsia"/>
          <w:color w:val="auto"/>
          <w:szCs w:val="24"/>
          <w:highlight w:val="none"/>
        </w:rPr>
        <w:t>日</w:t>
      </w:r>
      <w:r>
        <w:rPr>
          <w:color w:val="auto"/>
          <w:szCs w:val="24"/>
          <w:highlight w:val="none"/>
        </w:rPr>
        <w:t xml:space="preserve">  </w:t>
      </w:r>
      <w:r>
        <w:rPr>
          <w:rFonts w:hint="eastAsia"/>
          <w:color w:val="auto"/>
          <w:szCs w:val="24"/>
          <w:highlight w:val="none"/>
        </w:rPr>
        <w:t>期：</w:t>
      </w:r>
      <w:r>
        <w:rPr>
          <w:bCs/>
          <w:color w:val="auto"/>
          <w:szCs w:val="24"/>
          <w:highlight w:val="none"/>
          <w:u w:val="single"/>
        </w:rPr>
        <w:t xml:space="preserve">                         </w:t>
      </w:r>
    </w:p>
    <w:p w14:paraId="6F5F8DCA">
      <w:pPr>
        <w:ind w:left="4620" w:firstLine="281" w:firstLineChars="100"/>
        <w:rPr>
          <w:rFonts w:cs="仿宋_GB2312"/>
          <w:b/>
          <w:color w:val="auto"/>
          <w:sz w:val="28"/>
          <w:szCs w:val="28"/>
          <w:highlight w:val="none"/>
        </w:rPr>
      </w:pPr>
    </w:p>
    <w:p w14:paraId="7BDD1A80">
      <w:pPr>
        <w:rPr>
          <w:color w:val="auto"/>
          <w:highlight w:val="none"/>
        </w:rPr>
      </w:pPr>
      <w:r>
        <w:rPr>
          <w:color w:val="auto"/>
          <w:highlight w:val="none"/>
        </w:rPr>
        <w:br w:type="page"/>
      </w:r>
    </w:p>
    <w:p w14:paraId="4044E1FE">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p>
    <w:p w14:paraId="1468967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color w:val="auto"/>
          <w:kern w:val="2"/>
          <w:sz w:val="28"/>
          <w:szCs w:val="28"/>
          <w:highlight w:val="none"/>
          <w:lang w:val="en-US" w:eastAsia="zh-CN" w:bidi="ar-SA"/>
        </w:rPr>
      </w:pPr>
      <w:bookmarkStart w:id="572" w:name="_Toc24268"/>
      <w:r>
        <w:rPr>
          <w:rFonts w:hint="eastAsia" w:cstheme="majorBidi"/>
          <w:b/>
          <w:bCs/>
          <w:color w:val="auto"/>
          <w:kern w:val="2"/>
          <w:sz w:val="28"/>
          <w:szCs w:val="28"/>
          <w:highlight w:val="none"/>
          <w:lang w:val="en-US" w:eastAsia="zh-CN" w:bidi="ar-SA"/>
        </w:rPr>
        <w:t>五、不参与围标串标承诺书</w:t>
      </w:r>
      <w:bookmarkEnd w:id="572"/>
    </w:p>
    <w:p w14:paraId="415F309A">
      <w:pPr>
        <w:pStyle w:val="3"/>
        <w:keepNext/>
        <w:keepLines/>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eastAsia="宋体" w:asciiTheme="majorHAnsi" w:hAnsiTheme="majorHAnsi" w:cstheme="majorBidi"/>
          <w:b/>
          <w:bCs/>
          <w:color w:val="auto"/>
          <w:kern w:val="2"/>
          <w:sz w:val="32"/>
          <w:szCs w:val="32"/>
          <w:highlight w:val="none"/>
          <w:lang w:val="en-US" w:eastAsia="zh-CN" w:bidi="ar-SA"/>
        </w:rPr>
      </w:pPr>
    </w:p>
    <w:p w14:paraId="1FE71F6D">
      <w:pPr>
        <w:jc w:val="center"/>
        <w:rPr>
          <w:rFonts w:hint="eastAsia"/>
          <w:color w:val="auto"/>
          <w:highlight w:val="none"/>
          <w:lang w:val="en-US" w:eastAsia="zh-CN"/>
        </w:rPr>
      </w:pPr>
      <w:r>
        <w:rPr>
          <w:rFonts w:hint="eastAsia" w:cstheme="majorBidi"/>
          <w:b/>
          <w:bCs/>
          <w:color w:val="auto"/>
          <w:kern w:val="2"/>
          <w:sz w:val="32"/>
          <w:szCs w:val="32"/>
          <w:highlight w:val="none"/>
          <w:lang w:val="en-US" w:eastAsia="zh-CN" w:bidi="ar-SA"/>
        </w:rPr>
        <w:t>不参与围标串标承诺书</w:t>
      </w:r>
    </w:p>
    <w:p w14:paraId="2DC5E9C8">
      <w:pPr>
        <w:rPr>
          <w:rFonts w:hint="eastAsia"/>
          <w:color w:val="auto"/>
          <w:highlight w:val="none"/>
          <w:lang w:val="en-US" w:eastAsia="zh-CN"/>
        </w:rPr>
      </w:pPr>
      <w:r>
        <w:rPr>
          <w:rFonts w:hint="eastAsia"/>
          <w:color w:val="auto"/>
          <w:highlight w:val="none"/>
          <w:lang w:val="en-US" w:eastAsia="zh-CN"/>
        </w:rPr>
        <w:t>  </w:t>
      </w:r>
    </w:p>
    <w:p w14:paraId="1ACC5C3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highlight w:val="none"/>
          <w:lang w:val="en-US" w:eastAsia="zh-CN"/>
        </w:rPr>
      </w:pPr>
      <w:r>
        <w:rPr>
          <w:rFonts w:hint="eastAsia"/>
          <w:color w:val="auto"/>
          <w:highlight w:val="none"/>
          <w:lang w:val="en-US" w:eastAsia="zh-CN"/>
        </w:rPr>
        <w:t>本人作为经授权的供应商代表,清楚知晓我单位参与本项目竞争性磋商活动,对以下事项作出承诺：</w:t>
      </w:r>
    </w:p>
    <w:p w14:paraId="398E6081">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highlight w:val="none"/>
          <w:lang w:val="en-US" w:eastAsia="zh-CN"/>
        </w:rPr>
      </w:pPr>
    </w:p>
    <w:p w14:paraId="26BB11E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highlight w:val="none"/>
          <w:lang w:val="en-US" w:eastAsia="zh-CN"/>
        </w:rPr>
      </w:pPr>
      <w:r>
        <w:rPr>
          <w:rFonts w:hint="eastAsia"/>
          <w:color w:val="auto"/>
          <w:highlight w:val="none"/>
          <w:lang w:val="en-US" w:eastAsia="zh-CN"/>
        </w:rPr>
        <w:t>一、我单位和我本人遵循公开透明、公平竞争、公正和诚实信用的原则,依法依规参与本项目竞标。</w:t>
      </w:r>
    </w:p>
    <w:p w14:paraId="10BBFC5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highlight w:val="none"/>
          <w:lang w:val="en-US" w:eastAsia="zh-CN"/>
        </w:rPr>
      </w:pPr>
      <w:r>
        <w:rPr>
          <w:rFonts w:hint="eastAsia"/>
          <w:color w:val="auto"/>
          <w:highlight w:val="none"/>
          <w:lang w:val="en-US" w:eastAsia="zh-CN"/>
        </w:rPr>
        <w:t>二、我单位和我本人在本项目政府采购竞争性磋商活动中,未参与围标串标。</w:t>
      </w:r>
    </w:p>
    <w:p w14:paraId="1A7E347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highlight w:val="none"/>
          <w:lang w:val="en-US" w:eastAsia="zh-CN"/>
        </w:rPr>
      </w:pPr>
      <w:r>
        <w:rPr>
          <w:rFonts w:hint="eastAsia"/>
          <w:color w:val="auto"/>
          <w:highlight w:val="none"/>
          <w:lang w:val="en-US" w:eastAsia="zh-CN"/>
        </w:rPr>
        <w:t>三、我单位如被查实在本项目政府采购竞争性磋商活动中存在围标串标的，递交响应文件行为作为实施串通投标违法行为的关键环节,由我单位及法定代表人承担相应的法律责任，接受相应行政处罚和失信惩戒。</w:t>
      </w:r>
    </w:p>
    <w:p w14:paraId="29E3C848">
      <w:pPr>
        <w:pStyle w:val="11"/>
        <w:rPr>
          <w:rFonts w:hint="eastAsia"/>
          <w:color w:val="auto"/>
          <w:highlight w:val="none"/>
          <w:lang w:val="en-US" w:eastAsia="zh-CN"/>
        </w:rPr>
      </w:pPr>
    </w:p>
    <w:p w14:paraId="39CB3E48">
      <w:pPr>
        <w:spacing w:line="560" w:lineRule="exact"/>
        <w:rPr>
          <w:rFonts w:hint="eastAsia" w:ascii="宋体" w:hAnsi="宋体" w:eastAsia="宋体" w:cs="宋体"/>
          <w:color w:val="auto"/>
          <w:kern w:val="0"/>
          <w:sz w:val="24"/>
          <w:szCs w:val="24"/>
          <w:highlight w:val="none"/>
        </w:rPr>
      </w:pPr>
    </w:p>
    <w:p w14:paraId="19648C53">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w:t>
      </w:r>
      <w:r>
        <w:rPr>
          <w:rFonts w:hint="eastAsia" w:cs="宋体"/>
          <w:color w:val="auto"/>
          <w:kern w:val="0"/>
          <w:sz w:val="24"/>
          <w:szCs w:val="24"/>
          <w:highlight w:val="none"/>
          <w:lang w:val="en-US" w:eastAsia="zh-CN"/>
        </w:rPr>
        <w:t>名称</w:t>
      </w:r>
      <w:r>
        <w:rPr>
          <w:rFonts w:hint="eastAsia" w:ascii="宋体" w:hAnsi="宋体" w:eastAsia="宋体" w:cs="宋体"/>
          <w:color w:val="auto"/>
          <w:kern w:val="0"/>
          <w:sz w:val="24"/>
          <w:szCs w:val="24"/>
          <w:highlight w:val="none"/>
          <w:lang w:eastAsia="zh-CN"/>
        </w:rPr>
        <w:t>（</w:t>
      </w:r>
      <w:r>
        <w:rPr>
          <w:rFonts w:hint="eastAsia" w:cs="宋体"/>
          <w:color w:val="auto"/>
          <w:kern w:val="0"/>
          <w:sz w:val="24"/>
          <w:szCs w:val="24"/>
          <w:highlight w:val="none"/>
          <w:lang w:eastAsia="zh-CN"/>
        </w:rPr>
        <w:t>公</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rPr>
        <w:t>：</w:t>
      </w:r>
    </w:p>
    <w:p w14:paraId="2CCE383A">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签字或印章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692B3277">
      <w:pPr>
        <w:spacing w:line="56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13DA43E0">
      <w:pPr>
        <w:widowControl/>
        <w:spacing w:line="560" w:lineRule="exact"/>
        <w:ind w:firstLine="630"/>
        <w:jc w:val="left"/>
        <w:rPr>
          <w:rFonts w:hint="eastAsia" w:ascii="宋体" w:hAnsi="宋体" w:eastAsia="宋体" w:cs="宋体"/>
          <w:color w:val="auto"/>
          <w:kern w:val="0"/>
          <w:sz w:val="24"/>
          <w:szCs w:val="24"/>
          <w:highlight w:val="none"/>
        </w:rPr>
      </w:pPr>
    </w:p>
    <w:p w14:paraId="7CD72A88">
      <w:pPr>
        <w:pStyle w:val="11"/>
        <w:rPr>
          <w:rFonts w:hint="eastAsia"/>
          <w:color w:val="auto"/>
          <w:highlight w:val="none"/>
          <w:lang w:val="en-US" w:eastAsia="zh-CN"/>
        </w:rPr>
      </w:pPr>
    </w:p>
    <w:p w14:paraId="6FC519D1">
      <w:pPr>
        <w:pStyle w:val="11"/>
        <w:rPr>
          <w:rFonts w:hint="eastAsia"/>
          <w:color w:val="auto"/>
          <w:highlight w:val="none"/>
          <w:lang w:val="en-US" w:eastAsia="zh-CN"/>
        </w:rPr>
      </w:pPr>
    </w:p>
    <w:p w14:paraId="7500053D">
      <w:pPr>
        <w:pStyle w:val="11"/>
        <w:rPr>
          <w:rFonts w:hint="eastAsia"/>
          <w:color w:val="auto"/>
          <w:highlight w:val="none"/>
          <w:lang w:val="en-US" w:eastAsia="zh-CN"/>
        </w:rPr>
      </w:pPr>
    </w:p>
    <w:p w14:paraId="5BF64493">
      <w:pPr>
        <w:pStyle w:val="11"/>
        <w:rPr>
          <w:rFonts w:hint="eastAsia"/>
          <w:color w:val="auto"/>
          <w:highlight w:val="none"/>
          <w:lang w:val="en-US" w:eastAsia="zh-CN"/>
        </w:rPr>
      </w:pPr>
    </w:p>
    <w:p w14:paraId="5CA01A8B">
      <w:pPr>
        <w:pStyle w:val="11"/>
        <w:rPr>
          <w:rFonts w:hint="eastAsia"/>
          <w:color w:val="auto"/>
          <w:highlight w:val="none"/>
          <w:lang w:val="en-US" w:eastAsia="zh-CN"/>
        </w:rPr>
      </w:pPr>
    </w:p>
    <w:p w14:paraId="029F743D">
      <w:pPr>
        <w:pStyle w:val="11"/>
        <w:rPr>
          <w:rFonts w:hint="eastAsia"/>
          <w:color w:val="auto"/>
          <w:highlight w:val="none"/>
          <w:lang w:val="en-US" w:eastAsia="zh-CN"/>
        </w:rPr>
      </w:pPr>
    </w:p>
    <w:p w14:paraId="41587146">
      <w:pPr>
        <w:pStyle w:val="11"/>
        <w:rPr>
          <w:rFonts w:hint="eastAsia"/>
          <w:color w:val="auto"/>
          <w:highlight w:val="none"/>
          <w:lang w:val="en-US" w:eastAsia="zh-CN"/>
        </w:rPr>
      </w:pPr>
    </w:p>
    <w:p w14:paraId="34406338">
      <w:pPr>
        <w:widowControl/>
        <w:spacing w:before="100" w:beforeAutospacing="1" w:after="100" w:afterAutospacing="1"/>
        <w:rPr>
          <w:rFonts w:hint="eastAsia" w:ascii="Arial" w:hAnsi="Arial" w:cs="Arial"/>
          <w:color w:val="auto"/>
          <w:sz w:val="21"/>
          <w:szCs w:val="21"/>
          <w:highlight w:val="none"/>
          <w:lang w:val="en-US" w:eastAsia="zh-CN"/>
        </w:rPr>
      </w:pPr>
    </w:p>
    <w:p w14:paraId="13DEAFB3">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p>
    <w:p w14:paraId="7A1B4817">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color w:val="auto"/>
          <w:kern w:val="2"/>
          <w:sz w:val="28"/>
          <w:szCs w:val="28"/>
          <w:highlight w:val="none"/>
          <w:lang w:val="zh-CN" w:eastAsia="zh-CN" w:bidi="ar-SA"/>
        </w:rPr>
      </w:pPr>
      <w:bookmarkStart w:id="573" w:name="_Toc9763"/>
      <w:r>
        <w:rPr>
          <w:rFonts w:hint="eastAsia" w:cstheme="majorBidi"/>
          <w:b/>
          <w:bCs/>
          <w:color w:val="auto"/>
          <w:kern w:val="2"/>
          <w:sz w:val="28"/>
          <w:szCs w:val="28"/>
          <w:highlight w:val="none"/>
          <w:lang w:val="en-US" w:eastAsia="zh-CN" w:bidi="ar-SA"/>
        </w:rPr>
        <w:t>六</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其他资格证明文件</w:t>
      </w:r>
      <w:bookmarkEnd w:id="573"/>
    </w:p>
    <w:p w14:paraId="0C24F0AE">
      <w:pPr>
        <w:pStyle w:val="33"/>
        <w:rPr>
          <w:rFonts w:hint="eastAsia"/>
          <w:color w:val="auto"/>
          <w:highlight w:val="none"/>
        </w:rPr>
      </w:pPr>
      <w:r>
        <w:rPr>
          <w:rFonts w:hint="eastAsia" w:cs="Courier New"/>
          <w:color w:val="auto"/>
          <w:szCs w:val="24"/>
          <w:highlight w:val="none"/>
          <w:lang w:val="en-US" w:eastAsia="zh-CN"/>
        </w:rPr>
        <w:t>供应商</w:t>
      </w:r>
      <w:r>
        <w:rPr>
          <w:rFonts w:hint="eastAsia" w:cs="Courier New"/>
          <w:color w:val="auto"/>
          <w:szCs w:val="24"/>
          <w:highlight w:val="none"/>
        </w:rPr>
        <w:t>认为需提供的其它相关资格证明材料</w:t>
      </w:r>
    </w:p>
    <w:p w14:paraId="7C2C3E83">
      <w:pPr>
        <w:pStyle w:val="33"/>
        <w:rPr>
          <w:rFonts w:hint="eastAsia"/>
          <w:color w:val="auto"/>
          <w:highlight w:val="none"/>
        </w:rPr>
      </w:pPr>
    </w:p>
    <w:p w14:paraId="58A36194">
      <w:pPr>
        <w:pStyle w:val="33"/>
        <w:rPr>
          <w:rFonts w:hint="eastAsia"/>
          <w:color w:val="auto"/>
          <w:highlight w:val="none"/>
        </w:rPr>
      </w:pPr>
    </w:p>
    <w:p w14:paraId="3553B395">
      <w:pPr>
        <w:pStyle w:val="33"/>
        <w:rPr>
          <w:rFonts w:hint="eastAsia"/>
          <w:color w:val="auto"/>
          <w:highlight w:val="none"/>
        </w:rPr>
      </w:pPr>
    </w:p>
    <w:p w14:paraId="49D404FC">
      <w:pPr>
        <w:pStyle w:val="33"/>
        <w:rPr>
          <w:rFonts w:hint="eastAsia"/>
          <w:color w:val="auto"/>
          <w:highlight w:val="none"/>
        </w:rPr>
      </w:pPr>
    </w:p>
    <w:p w14:paraId="4B98E4B6">
      <w:pPr>
        <w:pStyle w:val="33"/>
        <w:rPr>
          <w:rFonts w:hint="eastAsia"/>
          <w:color w:val="auto"/>
          <w:highlight w:val="none"/>
        </w:rPr>
      </w:pPr>
    </w:p>
    <w:p w14:paraId="737FEDD3">
      <w:pPr>
        <w:pStyle w:val="33"/>
        <w:rPr>
          <w:rFonts w:hint="eastAsia"/>
          <w:color w:val="auto"/>
          <w:highlight w:val="none"/>
        </w:rPr>
      </w:pPr>
    </w:p>
    <w:p w14:paraId="1C876135">
      <w:pPr>
        <w:pStyle w:val="33"/>
        <w:rPr>
          <w:rFonts w:hint="eastAsia"/>
          <w:color w:val="auto"/>
          <w:highlight w:val="none"/>
        </w:rPr>
      </w:pPr>
    </w:p>
    <w:p w14:paraId="7E85C842">
      <w:pPr>
        <w:pStyle w:val="33"/>
        <w:rPr>
          <w:rFonts w:hint="eastAsia"/>
          <w:color w:val="auto"/>
          <w:highlight w:val="none"/>
        </w:rPr>
      </w:pPr>
    </w:p>
    <w:p w14:paraId="4CBE3B0D">
      <w:pPr>
        <w:pStyle w:val="33"/>
        <w:rPr>
          <w:rFonts w:hint="eastAsia"/>
          <w:color w:val="auto"/>
          <w:highlight w:val="none"/>
        </w:rPr>
      </w:pPr>
    </w:p>
    <w:p w14:paraId="2E6E451F">
      <w:pPr>
        <w:pStyle w:val="33"/>
        <w:rPr>
          <w:rFonts w:hint="eastAsia"/>
          <w:color w:val="auto"/>
          <w:highlight w:val="none"/>
        </w:rPr>
      </w:pPr>
    </w:p>
    <w:p w14:paraId="38DC2C55">
      <w:pPr>
        <w:pStyle w:val="33"/>
        <w:rPr>
          <w:rFonts w:hint="eastAsia"/>
          <w:color w:val="auto"/>
          <w:highlight w:val="none"/>
        </w:rPr>
      </w:pPr>
    </w:p>
    <w:p w14:paraId="04DAFD3C">
      <w:pPr>
        <w:pStyle w:val="33"/>
        <w:rPr>
          <w:rFonts w:hint="eastAsia"/>
          <w:color w:val="auto"/>
          <w:highlight w:val="none"/>
        </w:rPr>
      </w:pPr>
    </w:p>
    <w:p w14:paraId="51E24CDC">
      <w:pPr>
        <w:pStyle w:val="33"/>
        <w:rPr>
          <w:rFonts w:hint="eastAsia"/>
          <w:color w:val="auto"/>
          <w:highlight w:val="none"/>
        </w:rPr>
      </w:pPr>
    </w:p>
    <w:p w14:paraId="1AC1942E">
      <w:pPr>
        <w:pStyle w:val="33"/>
        <w:rPr>
          <w:rFonts w:hint="eastAsia"/>
          <w:color w:val="auto"/>
          <w:highlight w:val="none"/>
        </w:rPr>
      </w:pPr>
    </w:p>
    <w:p w14:paraId="4722E259">
      <w:pPr>
        <w:pStyle w:val="33"/>
        <w:rPr>
          <w:rFonts w:hint="eastAsia"/>
          <w:color w:val="auto"/>
          <w:highlight w:val="none"/>
        </w:rPr>
      </w:pPr>
    </w:p>
    <w:p w14:paraId="07033BD3">
      <w:pPr>
        <w:pStyle w:val="33"/>
        <w:rPr>
          <w:rFonts w:hint="eastAsia"/>
          <w:color w:val="auto"/>
          <w:highlight w:val="none"/>
        </w:rPr>
      </w:pPr>
    </w:p>
    <w:p w14:paraId="6E1D094D">
      <w:pPr>
        <w:pStyle w:val="33"/>
        <w:rPr>
          <w:rFonts w:hint="eastAsia"/>
          <w:color w:val="auto"/>
          <w:highlight w:val="none"/>
        </w:rPr>
      </w:pPr>
    </w:p>
    <w:p w14:paraId="23B0DB54">
      <w:pPr>
        <w:pStyle w:val="33"/>
        <w:rPr>
          <w:rFonts w:hint="eastAsia"/>
          <w:color w:val="auto"/>
          <w:highlight w:val="none"/>
        </w:rPr>
      </w:pPr>
    </w:p>
    <w:p w14:paraId="07159DF6">
      <w:pPr>
        <w:pStyle w:val="33"/>
        <w:rPr>
          <w:rFonts w:hint="eastAsia"/>
          <w:color w:val="auto"/>
          <w:highlight w:val="none"/>
        </w:rPr>
      </w:pPr>
    </w:p>
    <w:p w14:paraId="44B3A5AA">
      <w:pPr>
        <w:pStyle w:val="33"/>
        <w:rPr>
          <w:rFonts w:hint="eastAsia"/>
          <w:color w:val="auto"/>
          <w:highlight w:val="none"/>
        </w:rPr>
      </w:pPr>
    </w:p>
    <w:p w14:paraId="05BB178A">
      <w:pPr>
        <w:pStyle w:val="33"/>
        <w:rPr>
          <w:rFonts w:hint="eastAsia"/>
          <w:color w:val="auto"/>
          <w:highlight w:val="none"/>
        </w:rPr>
      </w:pPr>
    </w:p>
    <w:p w14:paraId="0E7980AB">
      <w:pPr>
        <w:pStyle w:val="33"/>
        <w:rPr>
          <w:rFonts w:hint="eastAsia"/>
          <w:color w:val="auto"/>
          <w:highlight w:val="none"/>
        </w:rPr>
      </w:pPr>
    </w:p>
    <w:p w14:paraId="5A09B930">
      <w:pPr>
        <w:pStyle w:val="33"/>
        <w:rPr>
          <w:rFonts w:hint="eastAsia"/>
          <w:color w:val="auto"/>
          <w:highlight w:val="none"/>
        </w:rPr>
      </w:pPr>
    </w:p>
    <w:p w14:paraId="3FB1F62E">
      <w:pPr>
        <w:pStyle w:val="33"/>
        <w:rPr>
          <w:rFonts w:hint="eastAsia"/>
          <w:color w:val="auto"/>
          <w:highlight w:val="none"/>
        </w:rPr>
      </w:pPr>
    </w:p>
    <w:p w14:paraId="43B020C2">
      <w:pPr>
        <w:pStyle w:val="33"/>
        <w:rPr>
          <w:rFonts w:hint="eastAsia"/>
          <w:color w:val="auto"/>
          <w:highlight w:val="none"/>
        </w:rPr>
      </w:pPr>
    </w:p>
    <w:p w14:paraId="04384634">
      <w:pPr>
        <w:pStyle w:val="68"/>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color w:val="auto"/>
          <w:highlight w:val="none"/>
          <w:lang w:val="en-US" w:eastAsia="zh-CN"/>
        </w:rPr>
      </w:pPr>
    </w:p>
    <w:p w14:paraId="1047D3EE">
      <w:pPr>
        <w:pStyle w:val="68"/>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color w:val="auto"/>
          <w:highlight w:val="none"/>
          <w:lang w:val="en-US" w:eastAsia="zh-CN"/>
        </w:rPr>
      </w:pPr>
    </w:p>
    <w:p w14:paraId="7FC23E9A">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579E32CA">
      <w:pPr>
        <w:autoSpaceDE w:val="0"/>
        <w:autoSpaceDN w:val="0"/>
        <w:adjustRightInd w:val="0"/>
        <w:rPr>
          <w:color w:val="auto"/>
          <w:sz w:val="21"/>
          <w:szCs w:val="24"/>
          <w:highlight w:val="none"/>
        </w:rPr>
      </w:pPr>
    </w:p>
    <w:p w14:paraId="2CC27B4B">
      <w:pPr>
        <w:autoSpaceDE w:val="0"/>
        <w:autoSpaceDN w:val="0"/>
        <w:adjustRightInd w:val="0"/>
        <w:rPr>
          <w:color w:val="auto"/>
          <w:sz w:val="21"/>
          <w:szCs w:val="24"/>
          <w:highlight w:val="none"/>
        </w:rPr>
      </w:pPr>
    </w:p>
    <w:p w14:paraId="63CA31F9">
      <w:pPr>
        <w:autoSpaceDE w:val="0"/>
        <w:autoSpaceDN w:val="0"/>
        <w:adjustRightInd w:val="0"/>
        <w:jc w:val="center"/>
        <w:rPr>
          <w:color w:val="auto"/>
          <w:sz w:val="21"/>
          <w:szCs w:val="24"/>
          <w:highlight w:val="none"/>
        </w:rPr>
      </w:pPr>
    </w:p>
    <w:p w14:paraId="0F2A8793">
      <w:pPr>
        <w:pStyle w:val="3"/>
        <w:bidi w:val="0"/>
        <w:jc w:val="center"/>
        <w:rPr>
          <w:sz w:val="84"/>
          <w:szCs w:val="84"/>
          <w:highlight w:val="none"/>
        </w:rPr>
      </w:pPr>
      <w:bookmarkStart w:id="574" w:name="_Toc26612"/>
      <w:r>
        <w:rPr>
          <w:rFonts w:hint="eastAsia"/>
          <w:sz w:val="84"/>
          <w:szCs w:val="84"/>
          <w:highlight w:val="none"/>
          <w:lang w:val="en-US" w:eastAsia="zh-CN"/>
        </w:rPr>
        <w:t>响 应</w:t>
      </w:r>
      <w:r>
        <w:rPr>
          <w:rFonts w:hint="eastAsia"/>
          <w:sz w:val="84"/>
          <w:szCs w:val="84"/>
          <w:highlight w:val="none"/>
        </w:rPr>
        <w:t xml:space="preserve"> 文 件</w:t>
      </w:r>
      <w:bookmarkEnd w:id="574"/>
    </w:p>
    <w:p w14:paraId="383861DE">
      <w:pPr>
        <w:pStyle w:val="3"/>
        <w:bidi w:val="0"/>
        <w:jc w:val="center"/>
        <w:rPr>
          <w:rFonts w:hint="eastAsia"/>
          <w:sz w:val="56"/>
          <w:szCs w:val="56"/>
          <w:highlight w:val="none"/>
          <w:lang w:val="en-US" w:eastAsia="zh-CN"/>
        </w:rPr>
      </w:pPr>
      <w:bookmarkStart w:id="575" w:name="_Toc31092"/>
      <w:r>
        <w:rPr>
          <w:rFonts w:hint="eastAsia"/>
          <w:sz w:val="56"/>
          <w:szCs w:val="56"/>
          <w:highlight w:val="none"/>
          <w:lang w:val="en-US" w:eastAsia="zh-CN"/>
        </w:rPr>
        <w:t>报价文件</w:t>
      </w:r>
      <w:bookmarkEnd w:id="575"/>
    </w:p>
    <w:p w14:paraId="798A956E">
      <w:pPr>
        <w:pStyle w:val="3"/>
        <w:rPr>
          <w:color w:val="auto"/>
          <w:sz w:val="21"/>
          <w:szCs w:val="21"/>
          <w:highlight w:val="none"/>
        </w:rPr>
      </w:pPr>
    </w:p>
    <w:p w14:paraId="24B6A268">
      <w:pPr>
        <w:rPr>
          <w:color w:val="auto"/>
          <w:sz w:val="21"/>
          <w:szCs w:val="21"/>
          <w:highlight w:val="none"/>
        </w:rPr>
      </w:pPr>
    </w:p>
    <w:p w14:paraId="3DC104B3">
      <w:pPr>
        <w:rPr>
          <w:color w:val="auto"/>
          <w:highlight w:val="none"/>
        </w:rPr>
      </w:pPr>
    </w:p>
    <w:p w14:paraId="74A7A117">
      <w:pPr>
        <w:autoSpaceDE w:val="0"/>
        <w:autoSpaceDN w:val="0"/>
        <w:adjustRightInd w:val="0"/>
        <w:rPr>
          <w:color w:val="auto"/>
          <w:sz w:val="21"/>
          <w:szCs w:val="21"/>
          <w:highlight w:val="none"/>
        </w:rPr>
      </w:pPr>
    </w:p>
    <w:p w14:paraId="6EE89269">
      <w:pPr>
        <w:autoSpaceDE w:val="0"/>
        <w:autoSpaceDN w:val="0"/>
        <w:adjustRightInd w:val="0"/>
        <w:rPr>
          <w:color w:val="auto"/>
          <w:sz w:val="21"/>
          <w:szCs w:val="21"/>
          <w:highlight w:val="none"/>
        </w:rPr>
      </w:pPr>
    </w:p>
    <w:p w14:paraId="6F475132">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173F70E">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01680F9">
      <w:pPr>
        <w:ind w:left="420" w:leftChars="175"/>
        <w:rPr>
          <w:rFonts w:hint="eastAsia" w:ascii="宋体" w:hAnsi="宋体" w:eastAsia="宋体" w:cs="宋体"/>
          <w:color w:val="auto"/>
          <w:sz w:val="36"/>
          <w:szCs w:val="36"/>
          <w:highlight w:val="none"/>
        </w:rPr>
      </w:pPr>
      <w:r>
        <w:rPr>
          <w:rFonts w:hint="eastAsia" w:cs="宋体"/>
          <w:color w:val="auto"/>
          <w:sz w:val="36"/>
          <w:szCs w:val="36"/>
          <w:highlight w:val="none"/>
          <w:lang w:val="en-US" w:eastAsia="zh-CN"/>
        </w:rPr>
        <w:t>供 应 商</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3B6644C">
      <w:pPr>
        <w:ind w:left="840" w:firstLine="420"/>
        <w:rPr>
          <w:b/>
          <w:bCs/>
          <w:color w:val="auto"/>
          <w:sz w:val="28"/>
          <w:szCs w:val="28"/>
          <w:highlight w:val="none"/>
        </w:rPr>
      </w:pPr>
    </w:p>
    <w:p w14:paraId="17D47AB2">
      <w:pPr>
        <w:ind w:left="840" w:firstLine="420"/>
        <w:rPr>
          <w:b/>
          <w:bCs/>
          <w:color w:val="auto"/>
          <w:sz w:val="28"/>
          <w:szCs w:val="28"/>
          <w:highlight w:val="none"/>
        </w:rPr>
      </w:pPr>
    </w:p>
    <w:p w14:paraId="6C0FD82C">
      <w:pPr>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2B025C97">
      <w:pPr>
        <w:rPr>
          <w:color w:val="auto"/>
          <w:highlight w:val="none"/>
          <w:lang w:val="zh-CN"/>
        </w:rPr>
      </w:pPr>
      <w:r>
        <w:rPr>
          <w:color w:val="auto"/>
          <w:highlight w:val="none"/>
          <w:lang w:val="zh-CN"/>
        </w:rPr>
        <w:br w:type="page"/>
      </w:r>
    </w:p>
    <w:p w14:paraId="5A6B7717">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color w:val="auto"/>
          <w:kern w:val="2"/>
          <w:sz w:val="32"/>
          <w:szCs w:val="32"/>
          <w:highlight w:val="none"/>
          <w:lang w:val="en-US" w:eastAsia="zh-CN" w:bidi="ar-SA"/>
        </w:rPr>
      </w:pPr>
    </w:p>
    <w:p w14:paraId="730DA0B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color w:val="auto"/>
          <w:kern w:val="2"/>
          <w:sz w:val="32"/>
          <w:szCs w:val="32"/>
          <w:highlight w:val="none"/>
          <w:lang w:val="en-US" w:eastAsia="zh-CN" w:bidi="ar-SA"/>
        </w:rPr>
      </w:pPr>
      <w:bookmarkStart w:id="576" w:name="_Toc9423"/>
      <w:r>
        <w:rPr>
          <w:rFonts w:hint="eastAsia" w:cstheme="majorBidi"/>
          <w:b/>
          <w:bCs/>
          <w:color w:val="auto"/>
          <w:kern w:val="2"/>
          <w:sz w:val="32"/>
          <w:szCs w:val="32"/>
          <w:highlight w:val="none"/>
          <w:lang w:val="en-US" w:eastAsia="zh-CN" w:bidi="ar-SA"/>
        </w:rPr>
        <w:t>一、报价一览表</w:t>
      </w:r>
      <w:bookmarkEnd w:id="576"/>
    </w:p>
    <w:p w14:paraId="2AB3D72A">
      <w:pPr>
        <w:spacing w:line="300" w:lineRule="auto"/>
        <w:rPr>
          <w:rFonts w:cs="仿宋_GB2312"/>
          <w:color w:val="auto"/>
          <w:szCs w:val="24"/>
          <w:highlight w:val="none"/>
        </w:rPr>
      </w:pPr>
    </w:p>
    <w:p w14:paraId="2E702B28">
      <w:pPr>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p>
    <w:p w14:paraId="0D117C7C">
      <w:pPr>
        <w:rPr>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27"/>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352"/>
        <w:gridCol w:w="2161"/>
        <w:gridCol w:w="2611"/>
      </w:tblGrid>
      <w:tr w14:paraId="5F27D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403" w:type="dxa"/>
            <w:vAlign w:val="center"/>
          </w:tcPr>
          <w:p w14:paraId="68B46E6E">
            <w:pPr>
              <w:widowControl/>
              <w:autoSpaceDE w:val="0"/>
              <w:autoSpaceDN w:val="0"/>
              <w:jc w:val="center"/>
              <w:textAlignment w:val="bottom"/>
              <w:rPr>
                <w:color w:val="auto"/>
                <w:szCs w:val="21"/>
                <w:highlight w:val="none"/>
              </w:rPr>
            </w:pPr>
            <w:r>
              <w:rPr>
                <w:rFonts w:hint="eastAsia"/>
                <w:color w:val="auto"/>
                <w:szCs w:val="21"/>
                <w:highlight w:val="none"/>
              </w:rPr>
              <w:t>序号</w:t>
            </w:r>
          </w:p>
        </w:tc>
        <w:tc>
          <w:tcPr>
            <w:tcW w:w="2352" w:type="dxa"/>
            <w:vAlign w:val="center"/>
          </w:tcPr>
          <w:p w14:paraId="5D10FF2E">
            <w:pPr>
              <w:widowControl/>
              <w:autoSpaceDE w:val="0"/>
              <w:autoSpaceDN w:val="0"/>
              <w:ind w:left="851" w:hanging="851"/>
              <w:jc w:val="center"/>
              <w:textAlignment w:val="bottom"/>
              <w:rPr>
                <w:rFonts w:hint="eastAsia" w:eastAsia="宋体"/>
                <w:color w:val="auto"/>
                <w:szCs w:val="21"/>
                <w:highlight w:val="none"/>
                <w:lang w:eastAsia="zh-CN"/>
              </w:rPr>
            </w:pPr>
            <w:r>
              <w:rPr>
                <w:rFonts w:hint="eastAsia"/>
                <w:color w:val="auto"/>
                <w:szCs w:val="21"/>
                <w:highlight w:val="none"/>
                <w:lang w:val="en-US" w:eastAsia="zh-CN"/>
              </w:rPr>
              <w:t>磋商</w:t>
            </w:r>
            <w:r>
              <w:rPr>
                <w:rFonts w:hint="eastAsia"/>
                <w:color w:val="auto"/>
                <w:szCs w:val="21"/>
                <w:highlight w:val="none"/>
              </w:rPr>
              <w:t>报价</w:t>
            </w:r>
            <w:r>
              <w:rPr>
                <w:rFonts w:hint="eastAsia"/>
                <w:color w:val="auto"/>
                <w:szCs w:val="21"/>
                <w:highlight w:val="none"/>
                <w:lang w:eastAsia="zh-CN"/>
              </w:rPr>
              <w:t>（</w:t>
            </w:r>
            <w:r>
              <w:rPr>
                <w:rFonts w:hint="eastAsia"/>
                <w:color w:val="auto"/>
                <w:szCs w:val="21"/>
                <w:highlight w:val="none"/>
                <w:lang w:val="en-US" w:eastAsia="zh-CN"/>
              </w:rPr>
              <w:t>元</w:t>
            </w:r>
            <w:r>
              <w:rPr>
                <w:rFonts w:hint="eastAsia"/>
                <w:color w:val="auto"/>
                <w:szCs w:val="21"/>
                <w:highlight w:val="none"/>
                <w:lang w:eastAsia="zh-CN"/>
              </w:rPr>
              <w:t>）</w:t>
            </w:r>
          </w:p>
        </w:tc>
        <w:tc>
          <w:tcPr>
            <w:tcW w:w="2161" w:type="dxa"/>
            <w:vAlign w:val="center"/>
          </w:tcPr>
          <w:p w14:paraId="48CC1886">
            <w:pPr>
              <w:widowControl/>
              <w:autoSpaceDE w:val="0"/>
              <w:autoSpaceDN w:val="0"/>
              <w:ind w:left="851" w:hanging="851"/>
              <w:jc w:val="center"/>
              <w:textAlignment w:val="bottom"/>
              <w:rPr>
                <w:color w:val="auto"/>
                <w:szCs w:val="21"/>
                <w:highlight w:val="none"/>
              </w:rPr>
            </w:pPr>
            <w:r>
              <w:rPr>
                <w:rFonts w:hint="eastAsia"/>
                <w:color w:val="auto"/>
                <w:szCs w:val="21"/>
                <w:highlight w:val="none"/>
              </w:rPr>
              <w:t>交货期限</w:t>
            </w:r>
          </w:p>
        </w:tc>
        <w:tc>
          <w:tcPr>
            <w:tcW w:w="2611" w:type="dxa"/>
            <w:vAlign w:val="center"/>
          </w:tcPr>
          <w:p w14:paraId="620875ED">
            <w:pPr>
              <w:widowControl/>
              <w:autoSpaceDE w:val="0"/>
              <w:autoSpaceDN w:val="0"/>
              <w:jc w:val="center"/>
              <w:textAlignment w:val="bottom"/>
              <w:rPr>
                <w:color w:val="auto"/>
                <w:szCs w:val="21"/>
                <w:highlight w:val="none"/>
              </w:rPr>
            </w:pPr>
            <w:r>
              <w:rPr>
                <w:rFonts w:hint="eastAsia"/>
                <w:color w:val="auto"/>
                <w:szCs w:val="21"/>
                <w:highlight w:val="none"/>
              </w:rPr>
              <w:t>备注</w:t>
            </w:r>
          </w:p>
        </w:tc>
      </w:tr>
      <w:tr w14:paraId="1B090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1403" w:type="dxa"/>
            <w:vAlign w:val="center"/>
          </w:tcPr>
          <w:p w14:paraId="73431128">
            <w:pPr>
              <w:jc w:val="center"/>
              <w:rPr>
                <w:color w:val="auto"/>
                <w:sz w:val="28"/>
                <w:highlight w:val="none"/>
              </w:rPr>
            </w:pPr>
          </w:p>
        </w:tc>
        <w:tc>
          <w:tcPr>
            <w:tcW w:w="2352" w:type="dxa"/>
            <w:vAlign w:val="center"/>
          </w:tcPr>
          <w:p w14:paraId="45A40F19">
            <w:pPr>
              <w:widowControl/>
              <w:autoSpaceDE w:val="0"/>
              <w:autoSpaceDN w:val="0"/>
              <w:spacing w:line="240" w:lineRule="auto"/>
              <w:ind w:left="851" w:hanging="851"/>
              <w:jc w:val="left"/>
              <w:textAlignment w:val="bottom"/>
              <w:rPr>
                <w:rFonts w:hint="eastAsia"/>
                <w:color w:val="auto"/>
                <w:szCs w:val="21"/>
                <w:highlight w:val="none"/>
                <w:lang w:val="en-US" w:eastAsia="zh-CN"/>
              </w:rPr>
            </w:pPr>
            <w:r>
              <w:rPr>
                <w:rFonts w:hint="eastAsia"/>
                <w:color w:val="auto"/>
                <w:szCs w:val="21"/>
                <w:highlight w:val="none"/>
                <w:lang w:val="en-US" w:eastAsia="zh-CN"/>
              </w:rPr>
              <w:t>小写：</w:t>
            </w:r>
          </w:p>
          <w:p w14:paraId="131FC705">
            <w:pPr>
              <w:jc w:val="left"/>
              <w:rPr>
                <w:color w:val="auto"/>
                <w:sz w:val="28"/>
                <w:highlight w:val="none"/>
              </w:rPr>
            </w:pPr>
            <w:r>
              <w:rPr>
                <w:rFonts w:hint="eastAsia"/>
                <w:color w:val="auto"/>
                <w:szCs w:val="21"/>
                <w:highlight w:val="none"/>
                <w:lang w:val="en-US" w:eastAsia="zh-CN"/>
              </w:rPr>
              <w:t>大写：</w:t>
            </w:r>
          </w:p>
        </w:tc>
        <w:tc>
          <w:tcPr>
            <w:tcW w:w="2161" w:type="dxa"/>
            <w:vAlign w:val="center"/>
          </w:tcPr>
          <w:p w14:paraId="3409D243">
            <w:pPr>
              <w:jc w:val="center"/>
              <w:rPr>
                <w:color w:val="auto"/>
                <w:sz w:val="28"/>
                <w:highlight w:val="none"/>
              </w:rPr>
            </w:pPr>
          </w:p>
        </w:tc>
        <w:tc>
          <w:tcPr>
            <w:tcW w:w="2611" w:type="dxa"/>
            <w:vAlign w:val="center"/>
          </w:tcPr>
          <w:p w14:paraId="35602B49">
            <w:pPr>
              <w:jc w:val="center"/>
              <w:rPr>
                <w:color w:val="auto"/>
                <w:sz w:val="28"/>
                <w:highlight w:val="none"/>
              </w:rPr>
            </w:pPr>
          </w:p>
        </w:tc>
      </w:tr>
    </w:tbl>
    <w:p w14:paraId="486E37D7">
      <w:pPr>
        <w:spacing w:line="300" w:lineRule="auto"/>
        <w:rPr>
          <w:rFonts w:ascii="Arial" w:hAnsi="Arial" w:cs="Arial"/>
          <w:color w:val="auto"/>
          <w:szCs w:val="21"/>
          <w:highlight w:val="none"/>
          <w:u w:val="single"/>
        </w:rPr>
      </w:pPr>
    </w:p>
    <w:p w14:paraId="0270EFB4">
      <w:pPr>
        <w:spacing w:line="300" w:lineRule="auto"/>
        <w:rPr>
          <w:rFonts w:ascii="Arial" w:hAnsi="Arial" w:cs="Arial"/>
          <w:color w:val="auto"/>
          <w:szCs w:val="21"/>
          <w:highlight w:val="none"/>
        </w:rPr>
      </w:pPr>
      <w:r>
        <w:rPr>
          <w:rFonts w:hint="eastAsia" w:ascii="Arial" w:hAnsi="Arial" w:cs="Arial"/>
          <w:color w:val="auto"/>
          <w:szCs w:val="21"/>
          <w:highlight w:val="none"/>
          <w:lang w:val="en-US" w:eastAsia="zh-CN"/>
        </w:rPr>
        <w:t>供应商</w:t>
      </w:r>
      <w:r>
        <w:rPr>
          <w:rFonts w:ascii="Arial" w:hAnsi="Arial" w:cs="Arial"/>
          <w:color w:val="auto"/>
          <w:szCs w:val="21"/>
          <w:highlight w:val="none"/>
        </w:rPr>
        <w:t>名称</w:t>
      </w:r>
      <w:r>
        <w:rPr>
          <w:rFonts w:hint="eastAsia" w:ascii="宋体" w:hAnsi="宋体" w:eastAsia="宋体" w:cs="宋体"/>
          <w:color w:val="auto"/>
          <w:kern w:val="0"/>
          <w:sz w:val="24"/>
          <w:szCs w:val="24"/>
          <w:highlight w:val="none"/>
          <w:lang w:eastAsia="zh-CN"/>
        </w:rPr>
        <w:t>（</w:t>
      </w:r>
      <w:r>
        <w:rPr>
          <w:rFonts w:hint="eastAsia" w:cs="宋体"/>
          <w:color w:val="auto"/>
          <w:kern w:val="0"/>
          <w:sz w:val="24"/>
          <w:szCs w:val="24"/>
          <w:highlight w:val="none"/>
          <w:lang w:eastAsia="zh-CN"/>
        </w:rPr>
        <w:t>公</w:t>
      </w:r>
      <w:r>
        <w:rPr>
          <w:rFonts w:hint="eastAsia" w:ascii="宋体" w:hAnsi="宋体" w:eastAsia="宋体" w:cs="宋体"/>
          <w:color w:val="auto"/>
          <w:kern w:val="0"/>
          <w:sz w:val="24"/>
          <w:szCs w:val="24"/>
          <w:highlight w:val="none"/>
          <w:lang w:eastAsia="zh-CN"/>
        </w:rPr>
        <w:t>章）</w:t>
      </w:r>
      <w:r>
        <w:rPr>
          <w:rFonts w:ascii="Arial" w:hAnsi="Arial" w:cs="Arial"/>
          <w:color w:val="auto"/>
          <w:szCs w:val="21"/>
          <w:highlight w:val="none"/>
        </w:rPr>
        <w:t>：</w:t>
      </w:r>
    </w:p>
    <w:p w14:paraId="6302F8A6">
      <w:pPr>
        <w:spacing w:line="300" w:lineRule="auto"/>
        <w:rPr>
          <w:rFonts w:ascii="Arial" w:hAnsi="Arial" w:cs="Arial"/>
          <w:color w:val="auto"/>
          <w:szCs w:val="21"/>
          <w:highlight w:val="none"/>
          <w:u w:val="single"/>
        </w:rPr>
      </w:pPr>
      <w:r>
        <w:rPr>
          <w:rFonts w:ascii="Arial" w:hAnsi="Arial" w:cs="Arial"/>
          <w:color w:val="auto"/>
          <w:szCs w:val="21"/>
          <w:highlight w:val="none"/>
        </w:rPr>
        <w:t>日期：</w:t>
      </w:r>
    </w:p>
    <w:p w14:paraId="722CC087">
      <w:pPr>
        <w:rPr>
          <w:rFonts w:cs="Arial"/>
          <w:color w:val="auto"/>
          <w:szCs w:val="24"/>
          <w:highlight w:val="none"/>
        </w:rPr>
      </w:pPr>
    </w:p>
    <w:p w14:paraId="21BB3A26">
      <w:pPr>
        <w:pStyle w:val="11"/>
        <w:rPr>
          <w:rFonts w:cs="Arial"/>
          <w:color w:val="auto"/>
          <w:szCs w:val="24"/>
          <w:highlight w:val="none"/>
        </w:rPr>
      </w:pPr>
    </w:p>
    <w:p w14:paraId="4C551945">
      <w:pPr>
        <w:pStyle w:val="11"/>
        <w:rPr>
          <w:rFonts w:cs="Arial"/>
          <w:color w:val="auto"/>
          <w:szCs w:val="24"/>
          <w:highlight w:val="none"/>
        </w:rPr>
      </w:pPr>
    </w:p>
    <w:p w14:paraId="09ACCEBB">
      <w:pPr>
        <w:pStyle w:val="11"/>
        <w:rPr>
          <w:rFonts w:cs="Arial"/>
          <w:color w:val="auto"/>
          <w:szCs w:val="24"/>
          <w:highlight w:val="none"/>
        </w:rPr>
      </w:pPr>
    </w:p>
    <w:p w14:paraId="54CAC625">
      <w:pPr>
        <w:pStyle w:val="11"/>
        <w:rPr>
          <w:rFonts w:cs="Arial"/>
          <w:color w:val="auto"/>
          <w:szCs w:val="24"/>
          <w:highlight w:val="none"/>
        </w:rPr>
      </w:pPr>
    </w:p>
    <w:p w14:paraId="5D119674">
      <w:pPr>
        <w:spacing w:line="360" w:lineRule="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1266F1C5">
      <w:pPr>
        <w:pStyle w:val="11"/>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上述磋商报价内容根据磋商文件要求包括了货物及其配套的设计、采购、制造、检测、试验、运输、保险、仓储、税费以及现场落地、安装及安装耗损、调试、培训、技术服务（包括技术资料、图纸的提供）质保期内的售后服务保障等所有费用。</w:t>
      </w:r>
    </w:p>
    <w:p w14:paraId="26C7BD91">
      <w:pPr>
        <w:pStyle w:val="11"/>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2.特殊事项在备注中注明。</w:t>
      </w:r>
    </w:p>
    <w:p w14:paraId="56ADDAE7">
      <w:pPr>
        <w:pStyle w:val="11"/>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3.表中大写与小写不一致的，以大写为准</w:t>
      </w:r>
      <w:r>
        <w:rPr>
          <w:rFonts w:hint="eastAsia" w:ascii="宋体" w:hAnsi="宋体" w:eastAsia="宋体" w:cs="宋体"/>
          <w:color w:val="auto"/>
          <w:sz w:val="21"/>
          <w:szCs w:val="21"/>
          <w:highlight w:val="none"/>
        </w:rPr>
        <w:t>。</w:t>
      </w:r>
    </w:p>
    <w:p w14:paraId="5C45EAC1">
      <w:pPr>
        <w:pStyle w:val="11"/>
        <w:ind w:firstLine="480" w:firstLineChars="200"/>
        <w:rPr>
          <w:rFonts w:hint="eastAsia" w:ascii="宋体" w:hAnsi="宋体" w:eastAsia="宋体" w:cs="宋体"/>
          <w:color w:val="auto"/>
          <w:sz w:val="24"/>
          <w:szCs w:val="24"/>
          <w:highlight w:val="none"/>
        </w:rPr>
      </w:pPr>
    </w:p>
    <w:p w14:paraId="584BFACD">
      <w:pPr>
        <w:pStyle w:val="11"/>
        <w:ind w:firstLine="480" w:firstLineChars="200"/>
        <w:rPr>
          <w:rFonts w:hint="eastAsia" w:ascii="宋体" w:hAnsi="宋体" w:eastAsia="宋体" w:cs="宋体"/>
          <w:color w:val="auto"/>
          <w:sz w:val="24"/>
          <w:szCs w:val="24"/>
          <w:highlight w:val="none"/>
        </w:rPr>
      </w:pPr>
    </w:p>
    <w:p w14:paraId="3426CDB6">
      <w:pPr>
        <w:pStyle w:val="11"/>
        <w:ind w:firstLine="480" w:firstLineChars="200"/>
        <w:rPr>
          <w:rFonts w:hint="eastAsia" w:ascii="宋体" w:hAnsi="宋体" w:eastAsia="宋体" w:cs="宋体"/>
          <w:color w:val="auto"/>
          <w:sz w:val="24"/>
          <w:szCs w:val="24"/>
          <w:highlight w:val="none"/>
        </w:rPr>
      </w:pPr>
    </w:p>
    <w:p w14:paraId="28264DF4">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color w:val="auto"/>
          <w:kern w:val="2"/>
          <w:sz w:val="32"/>
          <w:szCs w:val="32"/>
          <w:highlight w:val="none"/>
          <w:lang w:val="en-US" w:eastAsia="zh-CN" w:bidi="ar-SA"/>
        </w:rPr>
        <w:sectPr>
          <w:pgSz w:w="11906" w:h="16838"/>
          <w:pgMar w:top="1440" w:right="1800" w:bottom="1440" w:left="1800" w:header="851" w:footer="992" w:gutter="0"/>
          <w:pgNumType w:fmt="numberInDash"/>
          <w:cols w:space="425" w:num="1"/>
          <w:docGrid w:type="lines" w:linePitch="312" w:charSpace="0"/>
        </w:sectPr>
      </w:pPr>
    </w:p>
    <w:p w14:paraId="7B2B178E">
      <w:pPr>
        <w:pStyle w:val="3"/>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420" w:leftChars="0" w:hanging="420" w:firstLineChars="0"/>
        <w:jc w:val="center"/>
        <w:textAlignment w:val="auto"/>
        <w:rPr>
          <w:rFonts w:hint="eastAsia" w:cstheme="majorBidi"/>
          <w:b/>
          <w:bCs/>
          <w:color w:val="auto"/>
          <w:kern w:val="2"/>
          <w:sz w:val="32"/>
          <w:szCs w:val="32"/>
          <w:highlight w:val="none"/>
          <w:lang w:val="en-US" w:eastAsia="zh-CN" w:bidi="ar-SA"/>
        </w:rPr>
      </w:pPr>
      <w:bookmarkStart w:id="577" w:name="_Toc5404"/>
      <w:r>
        <w:rPr>
          <w:rFonts w:hint="eastAsia" w:cstheme="majorBidi"/>
          <w:b/>
          <w:bCs/>
          <w:color w:val="auto"/>
          <w:kern w:val="2"/>
          <w:sz w:val="32"/>
          <w:szCs w:val="32"/>
          <w:highlight w:val="none"/>
          <w:lang w:val="en-US" w:eastAsia="zh-CN" w:bidi="ar-SA"/>
        </w:rPr>
        <w:t>二、分项报价表</w:t>
      </w:r>
      <w:bookmarkEnd w:id="577"/>
    </w:p>
    <w:p w14:paraId="36B29882">
      <w:pPr>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u w:val="single"/>
          <w:lang w:val="zh-CN"/>
        </w:rPr>
        <w:t xml:space="preserve">   </w:t>
      </w:r>
    </w:p>
    <w:p w14:paraId="48D45A94">
      <w:pPr>
        <w:rPr>
          <w:rFonts w:hint="eastAsia"/>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5"/>
        <w:gridCol w:w="1236"/>
        <w:gridCol w:w="986"/>
        <w:gridCol w:w="1040"/>
        <w:gridCol w:w="1383"/>
        <w:gridCol w:w="1012"/>
        <w:gridCol w:w="1500"/>
        <w:gridCol w:w="985"/>
        <w:gridCol w:w="863"/>
        <w:gridCol w:w="1324"/>
        <w:gridCol w:w="1026"/>
        <w:gridCol w:w="923"/>
        <w:gridCol w:w="1091"/>
      </w:tblGrid>
      <w:tr w14:paraId="33107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2D51E3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kern w:val="2"/>
                <w:sz w:val="24"/>
                <w:szCs w:val="24"/>
                <w:highlight w:val="none"/>
              </w:rPr>
              <w:t>序号</w:t>
            </w:r>
          </w:p>
        </w:tc>
        <w:tc>
          <w:tcPr>
            <w:tcW w:w="1236" w:type="dxa"/>
            <w:vAlign w:val="center"/>
          </w:tcPr>
          <w:p w14:paraId="31DAB90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cs="宋体"/>
                <w:b w:val="0"/>
                <w:bCs/>
                <w:color w:val="auto"/>
                <w:sz w:val="24"/>
                <w:szCs w:val="24"/>
                <w:highlight w:val="none"/>
                <w:lang w:val="en-US" w:eastAsia="zh-CN"/>
              </w:rPr>
              <w:t>分项</w:t>
            </w:r>
            <w:r>
              <w:rPr>
                <w:rFonts w:hint="eastAsia" w:ascii="宋体" w:hAnsi="宋体" w:eastAsia="宋体" w:cs="宋体"/>
                <w:b w:val="0"/>
                <w:bCs/>
                <w:color w:val="auto"/>
                <w:sz w:val="24"/>
                <w:szCs w:val="24"/>
                <w:highlight w:val="none"/>
              </w:rPr>
              <w:t>名称</w:t>
            </w:r>
          </w:p>
        </w:tc>
        <w:tc>
          <w:tcPr>
            <w:tcW w:w="986" w:type="dxa"/>
            <w:vAlign w:val="center"/>
          </w:tcPr>
          <w:p w14:paraId="1FEEAE5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cs="宋体"/>
                <w:b w:val="0"/>
                <w:bCs/>
                <w:color w:val="auto"/>
                <w:sz w:val="24"/>
                <w:szCs w:val="24"/>
                <w:highlight w:val="none"/>
                <w:lang w:val="en-US" w:eastAsia="zh-CN"/>
              </w:rPr>
              <w:t>制造商</w:t>
            </w:r>
          </w:p>
        </w:tc>
        <w:tc>
          <w:tcPr>
            <w:tcW w:w="1040" w:type="dxa"/>
            <w:vAlign w:val="center"/>
          </w:tcPr>
          <w:p w14:paraId="264DEDB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cs="宋体"/>
                <w:b w:val="0"/>
                <w:bCs/>
                <w:color w:val="auto"/>
                <w:sz w:val="24"/>
                <w:szCs w:val="24"/>
                <w:highlight w:val="none"/>
                <w:lang w:val="en-US" w:eastAsia="zh-CN"/>
              </w:rPr>
              <w:t>产地/国别</w:t>
            </w:r>
          </w:p>
        </w:tc>
        <w:tc>
          <w:tcPr>
            <w:tcW w:w="1383" w:type="dxa"/>
            <w:vAlign w:val="center"/>
          </w:tcPr>
          <w:p w14:paraId="64AC8BC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制造商</w:t>
            </w:r>
          </w:p>
          <w:p w14:paraId="09B31A8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sz w:val="24"/>
                <w:szCs w:val="24"/>
                <w:highlight w:val="none"/>
                <w:lang w:val="en-US" w:eastAsia="zh-CN"/>
              </w:rPr>
              <w:t>统一社会信用代码</w:t>
            </w:r>
          </w:p>
        </w:tc>
        <w:tc>
          <w:tcPr>
            <w:tcW w:w="1012" w:type="dxa"/>
            <w:vAlign w:val="center"/>
          </w:tcPr>
          <w:p w14:paraId="7A390D4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sz w:val="24"/>
                <w:szCs w:val="24"/>
                <w:highlight w:val="none"/>
                <w:lang w:val="en-US" w:eastAsia="zh-CN"/>
              </w:rPr>
              <w:t>制造商规模</w:t>
            </w:r>
          </w:p>
        </w:tc>
        <w:tc>
          <w:tcPr>
            <w:tcW w:w="1500" w:type="dxa"/>
            <w:vAlign w:val="center"/>
          </w:tcPr>
          <w:p w14:paraId="3A9B2DE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cs="宋体"/>
                <w:b w:val="0"/>
                <w:bCs/>
                <w:color w:val="auto"/>
                <w:sz w:val="24"/>
                <w:szCs w:val="24"/>
                <w:highlight w:val="none"/>
                <w:lang w:val="en-US" w:eastAsia="zh-CN"/>
              </w:rPr>
              <w:t>制造商实际控制人性别</w:t>
            </w:r>
          </w:p>
        </w:tc>
        <w:tc>
          <w:tcPr>
            <w:tcW w:w="985" w:type="dxa"/>
            <w:vAlign w:val="center"/>
          </w:tcPr>
          <w:p w14:paraId="37BD30C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cs="宋体"/>
                <w:b w:val="0"/>
                <w:bCs/>
                <w:color w:val="auto"/>
                <w:sz w:val="24"/>
                <w:szCs w:val="24"/>
                <w:highlight w:val="none"/>
                <w:lang w:val="en-US" w:eastAsia="zh-CN"/>
              </w:rPr>
              <w:t>外商投资类型</w:t>
            </w:r>
          </w:p>
        </w:tc>
        <w:tc>
          <w:tcPr>
            <w:tcW w:w="863" w:type="dxa"/>
            <w:vAlign w:val="center"/>
          </w:tcPr>
          <w:p w14:paraId="60D081D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sz w:val="24"/>
                <w:szCs w:val="24"/>
                <w:highlight w:val="none"/>
              </w:rPr>
              <w:t>品牌</w:t>
            </w:r>
          </w:p>
        </w:tc>
        <w:tc>
          <w:tcPr>
            <w:tcW w:w="1324" w:type="dxa"/>
            <w:vAlign w:val="center"/>
          </w:tcPr>
          <w:p w14:paraId="6B3AFBF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sz w:val="24"/>
                <w:szCs w:val="24"/>
                <w:highlight w:val="none"/>
                <w:lang w:val="en-US" w:eastAsia="zh-CN"/>
              </w:rPr>
              <w:t>规格</w:t>
            </w:r>
            <w:r>
              <w:rPr>
                <w:rFonts w:hint="eastAsia"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rPr>
              <w:t>型号</w:t>
            </w:r>
          </w:p>
        </w:tc>
        <w:tc>
          <w:tcPr>
            <w:tcW w:w="1026" w:type="dxa"/>
            <w:vAlign w:val="center"/>
          </w:tcPr>
          <w:p w14:paraId="45014B84">
            <w:pPr>
              <w:spacing w:line="24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单价</w:t>
            </w:r>
          </w:p>
          <w:p w14:paraId="145DF2E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sz w:val="24"/>
                <w:szCs w:val="24"/>
                <w:highlight w:val="none"/>
              </w:rPr>
              <w:t>（元）</w:t>
            </w:r>
          </w:p>
        </w:tc>
        <w:tc>
          <w:tcPr>
            <w:tcW w:w="923" w:type="dxa"/>
            <w:vAlign w:val="center"/>
          </w:tcPr>
          <w:p w14:paraId="3BCEDFC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sz w:val="24"/>
                <w:szCs w:val="24"/>
                <w:highlight w:val="none"/>
              </w:rPr>
              <w:t>数量</w:t>
            </w:r>
          </w:p>
        </w:tc>
        <w:tc>
          <w:tcPr>
            <w:tcW w:w="1091" w:type="dxa"/>
            <w:vAlign w:val="center"/>
          </w:tcPr>
          <w:p w14:paraId="577D0E39">
            <w:pPr>
              <w:spacing w:line="240" w:lineRule="auto"/>
              <w:jc w:val="center"/>
              <w:rPr>
                <w:rFonts w:hint="default" w:ascii="宋体" w:hAnsi="宋体" w:eastAsia="宋体" w:cs="宋体"/>
                <w:b w:val="0"/>
                <w:bCs/>
                <w:color w:val="auto"/>
                <w:sz w:val="24"/>
                <w:szCs w:val="24"/>
                <w:highlight w:val="none"/>
                <w:lang w:val="en-US" w:eastAsia="zh-CN"/>
              </w:rPr>
            </w:pPr>
            <w:r>
              <w:rPr>
                <w:rFonts w:hint="eastAsia" w:cs="宋体"/>
                <w:b w:val="0"/>
                <w:bCs/>
                <w:color w:val="auto"/>
                <w:sz w:val="24"/>
                <w:szCs w:val="24"/>
                <w:highlight w:val="none"/>
                <w:lang w:val="en-US" w:eastAsia="zh-CN"/>
              </w:rPr>
              <w:t>合价</w:t>
            </w:r>
          </w:p>
          <w:p w14:paraId="2EC37A2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val="0"/>
                <w:bCs/>
                <w:color w:val="auto"/>
                <w:szCs w:val="21"/>
                <w:highlight w:val="none"/>
                <w:u w:val="none"/>
                <w:vertAlign w:val="baseline"/>
                <w:lang w:val="zh-CN"/>
              </w:rPr>
            </w:pPr>
            <w:r>
              <w:rPr>
                <w:rFonts w:hint="eastAsia" w:ascii="宋体" w:hAnsi="宋体" w:eastAsia="宋体" w:cs="宋体"/>
                <w:b w:val="0"/>
                <w:bCs/>
                <w:color w:val="auto"/>
                <w:sz w:val="24"/>
                <w:szCs w:val="24"/>
                <w:highlight w:val="none"/>
              </w:rPr>
              <w:t>（元）</w:t>
            </w:r>
          </w:p>
        </w:tc>
      </w:tr>
      <w:tr w14:paraId="3DDD7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76007496">
            <w:pPr>
              <w:jc w:val="center"/>
              <w:rPr>
                <w:rFonts w:hint="eastAsia" w:eastAsia="宋体"/>
                <w:b w:val="0"/>
                <w:bCs/>
                <w:color w:val="auto"/>
                <w:szCs w:val="21"/>
                <w:highlight w:val="none"/>
                <w:u w:val="none"/>
                <w:vertAlign w:val="baseline"/>
                <w:lang w:val="en-US" w:eastAsia="zh-CN"/>
              </w:rPr>
            </w:pPr>
            <w:r>
              <w:rPr>
                <w:rFonts w:hint="eastAsia"/>
                <w:b w:val="0"/>
                <w:bCs/>
                <w:color w:val="auto"/>
                <w:szCs w:val="21"/>
                <w:highlight w:val="none"/>
                <w:u w:val="none"/>
                <w:vertAlign w:val="baseline"/>
                <w:lang w:val="en-US" w:eastAsia="zh-CN"/>
              </w:rPr>
              <w:t>1</w:t>
            </w:r>
          </w:p>
        </w:tc>
        <w:tc>
          <w:tcPr>
            <w:tcW w:w="1236" w:type="dxa"/>
            <w:vAlign w:val="center"/>
          </w:tcPr>
          <w:p w14:paraId="5185A0F8">
            <w:pPr>
              <w:jc w:val="center"/>
              <w:rPr>
                <w:rFonts w:hint="eastAsia"/>
                <w:b w:val="0"/>
                <w:bCs/>
                <w:color w:val="auto"/>
                <w:szCs w:val="21"/>
                <w:highlight w:val="none"/>
                <w:u w:val="none"/>
                <w:vertAlign w:val="baseline"/>
                <w:lang w:val="zh-CN"/>
              </w:rPr>
            </w:pPr>
          </w:p>
        </w:tc>
        <w:tc>
          <w:tcPr>
            <w:tcW w:w="986" w:type="dxa"/>
            <w:vAlign w:val="center"/>
          </w:tcPr>
          <w:p w14:paraId="440761B0">
            <w:pPr>
              <w:jc w:val="center"/>
              <w:rPr>
                <w:rFonts w:hint="eastAsia"/>
                <w:b w:val="0"/>
                <w:bCs/>
                <w:color w:val="auto"/>
                <w:szCs w:val="21"/>
                <w:highlight w:val="none"/>
                <w:u w:val="none"/>
                <w:vertAlign w:val="baseline"/>
                <w:lang w:val="zh-CN"/>
              </w:rPr>
            </w:pPr>
          </w:p>
        </w:tc>
        <w:tc>
          <w:tcPr>
            <w:tcW w:w="1040" w:type="dxa"/>
            <w:vAlign w:val="center"/>
          </w:tcPr>
          <w:p w14:paraId="2042EBA7">
            <w:pPr>
              <w:jc w:val="center"/>
              <w:rPr>
                <w:rFonts w:hint="eastAsia"/>
                <w:b w:val="0"/>
                <w:bCs/>
                <w:color w:val="auto"/>
                <w:szCs w:val="21"/>
                <w:highlight w:val="none"/>
                <w:u w:val="none"/>
                <w:vertAlign w:val="baseline"/>
                <w:lang w:val="zh-CN"/>
              </w:rPr>
            </w:pPr>
          </w:p>
        </w:tc>
        <w:tc>
          <w:tcPr>
            <w:tcW w:w="1383" w:type="dxa"/>
            <w:vAlign w:val="center"/>
          </w:tcPr>
          <w:p w14:paraId="74B97F46">
            <w:pPr>
              <w:jc w:val="center"/>
              <w:rPr>
                <w:rFonts w:hint="eastAsia"/>
                <w:b w:val="0"/>
                <w:bCs/>
                <w:color w:val="auto"/>
                <w:szCs w:val="21"/>
                <w:highlight w:val="none"/>
                <w:u w:val="none"/>
                <w:vertAlign w:val="baseline"/>
                <w:lang w:val="zh-CN"/>
              </w:rPr>
            </w:pPr>
          </w:p>
        </w:tc>
        <w:tc>
          <w:tcPr>
            <w:tcW w:w="1012" w:type="dxa"/>
            <w:vAlign w:val="center"/>
          </w:tcPr>
          <w:p w14:paraId="339AD079">
            <w:pPr>
              <w:jc w:val="center"/>
              <w:rPr>
                <w:rFonts w:hint="eastAsia"/>
                <w:b w:val="0"/>
                <w:bCs/>
                <w:color w:val="auto"/>
                <w:szCs w:val="21"/>
                <w:highlight w:val="none"/>
                <w:u w:val="none"/>
                <w:vertAlign w:val="baseline"/>
                <w:lang w:val="zh-CN"/>
              </w:rPr>
            </w:pPr>
          </w:p>
        </w:tc>
        <w:tc>
          <w:tcPr>
            <w:tcW w:w="1500" w:type="dxa"/>
            <w:vAlign w:val="center"/>
          </w:tcPr>
          <w:p w14:paraId="0CB6EDE3">
            <w:pPr>
              <w:jc w:val="center"/>
              <w:rPr>
                <w:rFonts w:hint="eastAsia"/>
                <w:b w:val="0"/>
                <w:bCs/>
                <w:color w:val="auto"/>
                <w:szCs w:val="21"/>
                <w:highlight w:val="none"/>
                <w:u w:val="none"/>
                <w:vertAlign w:val="baseline"/>
                <w:lang w:val="zh-CN"/>
              </w:rPr>
            </w:pPr>
          </w:p>
        </w:tc>
        <w:tc>
          <w:tcPr>
            <w:tcW w:w="985" w:type="dxa"/>
            <w:vAlign w:val="center"/>
          </w:tcPr>
          <w:p w14:paraId="2B5545C8">
            <w:pPr>
              <w:jc w:val="center"/>
              <w:rPr>
                <w:rFonts w:hint="eastAsia"/>
                <w:b w:val="0"/>
                <w:bCs/>
                <w:color w:val="auto"/>
                <w:szCs w:val="21"/>
                <w:highlight w:val="none"/>
                <w:u w:val="none"/>
                <w:vertAlign w:val="baseline"/>
                <w:lang w:val="zh-CN"/>
              </w:rPr>
            </w:pPr>
          </w:p>
        </w:tc>
        <w:tc>
          <w:tcPr>
            <w:tcW w:w="863" w:type="dxa"/>
            <w:vAlign w:val="center"/>
          </w:tcPr>
          <w:p w14:paraId="58D4443B">
            <w:pPr>
              <w:jc w:val="center"/>
              <w:rPr>
                <w:rFonts w:hint="eastAsia"/>
                <w:b w:val="0"/>
                <w:bCs/>
                <w:color w:val="auto"/>
                <w:szCs w:val="21"/>
                <w:highlight w:val="none"/>
                <w:u w:val="none"/>
                <w:vertAlign w:val="baseline"/>
                <w:lang w:val="zh-CN"/>
              </w:rPr>
            </w:pPr>
          </w:p>
        </w:tc>
        <w:tc>
          <w:tcPr>
            <w:tcW w:w="1324" w:type="dxa"/>
            <w:vAlign w:val="center"/>
          </w:tcPr>
          <w:p w14:paraId="38890D30">
            <w:pPr>
              <w:jc w:val="center"/>
              <w:rPr>
                <w:rFonts w:hint="eastAsia"/>
                <w:b w:val="0"/>
                <w:bCs/>
                <w:color w:val="auto"/>
                <w:szCs w:val="21"/>
                <w:highlight w:val="none"/>
                <w:u w:val="none"/>
                <w:vertAlign w:val="baseline"/>
                <w:lang w:val="zh-CN"/>
              </w:rPr>
            </w:pPr>
          </w:p>
        </w:tc>
        <w:tc>
          <w:tcPr>
            <w:tcW w:w="1026" w:type="dxa"/>
            <w:vAlign w:val="center"/>
          </w:tcPr>
          <w:p w14:paraId="50753003">
            <w:pPr>
              <w:jc w:val="center"/>
              <w:rPr>
                <w:rFonts w:hint="eastAsia"/>
                <w:b w:val="0"/>
                <w:bCs/>
                <w:color w:val="auto"/>
                <w:szCs w:val="21"/>
                <w:highlight w:val="none"/>
                <w:u w:val="none"/>
                <w:vertAlign w:val="baseline"/>
                <w:lang w:val="zh-CN"/>
              </w:rPr>
            </w:pPr>
          </w:p>
        </w:tc>
        <w:tc>
          <w:tcPr>
            <w:tcW w:w="923" w:type="dxa"/>
            <w:vAlign w:val="center"/>
          </w:tcPr>
          <w:p w14:paraId="722E72FF">
            <w:pPr>
              <w:jc w:val="center"/>
              <w:rPr>
                <w:rFonts w:hint="eastAsia"/>
                <w:b w:val="0"/>
                <w:bCs/>
                <w:color w:val="auto"/>
                <w:szCs w:val="21"/>
                <w:highlight w:val="none"/>
                <w:u w:val="none"/>
                <w:vertAlign w:val="baseline"/>
                <w:lang w:val="zh-CN"/>
              </w:rPr>
            </w:pPr>
          </w:p>
        </w:tc>
        <w:tc>
          <w:tcPr>
            <w:tcW w:w="1091" w:type="dxa"/>
            <w:vAlign w:val="center"/>
          </w:tcPr>
          <w:p w14:paraId="1F020DC5">
            <w:pPr>
              <w:jc w:val="center"/>
              <w:rPr>
                <w:rFonts w:hint="eastAsia"/>
                <w:b w:val="0"/>
                <w:bCs/>
                <w:color w:val="auto"/>
                <w:szCs w:val="21"/>
                <w:highlight w:val="none"/>
                <w:u w:val="none"/>
                <w:vertAlign w:val="baseline"/>
                <w:lang w:val="zh-CN"/>
              </w:rPr>
            </w:pPr>
          </w:p>
        </w:tc>
      </w:tr>
      <w:tr w14:paraId="327B8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2DA2FC9F">
            <w:pPr>
              <w:jc w:val="center"/>
              <w:rPr>
                <w:rFonts w:hint="eastAsia" w:eastAsia="宋体"/>
                <w:b w:val="0"/>
                <w:bCs/>
                <w:color w:val="auto"/>
                <w:szCs w:val="21"/>
                <w:highlight w:val="none"/>
                <w:u w:val="none"/>
                <w:vertAlign w:val="baseline"/>
                <w:lang w:val="en-US" w:eastAsia="zh-CN"/>
              </w:rPr>
            </w:pPr>
            <w:r>
              <w:rPr>
                <w:rFonts w:hint="eastAsia"/>
                <w:b w:val="0"/>
                <w:bCs/>
                <w:color w:val="auto"/>
                <w:szCs w:val="21"/>
                <w:highlight w:val="none"/>
                <w:u w:val="none"/>
                <w:vertAlign w:val="baseline"/>
                <w:lang w:val="en-US" w:eastAsia="zh-CN"/>
              </w:rPr>
              <w:t>2</w:t>
            </w:r>
          </w:p>
        </w:tc>
        <w:tc>
          <w:tcPr>
            <w:tcW w:w="1236" w:type="dxa"/>
            <w:vAlign w:val="center"/>
          </w:tcPr>
          <w:p w14:paraId="022E3F12">
            <w:pPr>
              <w:jc w:val="center"/>
              <w:rPr>
                <w:rFonts w:hint="eastAsia"/>
                <w:b w:val="0"/>
                <w:bCs/>
                <w:color w:val="auto"/>
                <w:szCs w:val="21"/>
                <w:highlight w:val="none"/>
                <w:u w:val="none"/>
                <w:vertAlign w:val="baseline"/>
                <w:lang w:val="zh-CN"/>
              </w:rPr>
            </w:pPr>
          </w:p>
        </w:tc>
        <w:tc>
          <w:tcPr>
            <w:tcW w:w="986" w:type="dxa"/>
            <w:vAlign w:val="center"/>
          </w:tcPr>
          <w:p w14:paraId="3FFF5518">
            <w:pPr>
              <w:jc w:val="center"/>
              <w:rPr>
                <w:rFonts w:hint="eastAsia"/>
                <w:b w:val="0"/>
                <w:bCs/>
                <w:color w:val="auto"/>
                <w:szCs w:val="21"/>
                <w:highlight w:val="none"/>
                <w:u w:val="none"/>
                <w:vertAlign w:val="baseline"/>
                <w:lang w:val="zh-CN"/>
              </w:rPr>
            </w:pPr>
          </w:p>
        </w:tc>
        <w:tc>
          <w:tcPr>
            <w:tcW w:w="1040" w:type="dxa"/>
            <w:vAlign w:val="center"/>
          </w:tcPr>
          <w:p w14:paraId="0C93B94B">
            <w:pPr>
              <w:jc w:val="center"/>
              <w:rPr>
                <w:rFonts w:hint="eastAsia"/>
                <w:b w:val="0"/>
                <w:bCs/>
                <w:color w:val="auto"/>
                <w:szCs w:val="21"/>
                <w:highlight w:val="none"/>
                <w:u w:val="none"/>
                <w:vertAlign w:val="baseline"/>
                <w:lang w:val="zh-CN"/>
              </w:rPr>
            </w:pPr>
          </w:p>
        </w:tc>
        <w:tc>
          <w:tcPr>
            <w:tcW w:w="1383" w:type="dxa"/>
            <w:vAlign w:val="center"/>
          </w:tcPr>
          <w:p w14:paraId="43F08D28">
            <w:pPr>
              <w:jc w:val="center"/>
              <w:rPr>
                <w:rFonts w:hint="eastAsia"/>
                <w:b w:val="0"/>
                <w:bCs/>
                <w:color w:val="auto"/>
                <w:szCs w:val="21"/>
                <w:highlight w:val="none"/>
                <w:u w:val="none"/>
                <w:vertAlign w:val="baseline"/>
                <w:lang w:val="zh-CN"/>
              </w:rPr>
            </w:pPr>
          </w:p>
        </w:tc>
        <w:tc>
          <w:tcPr>
            <w:tcW w:w="1012" w:type="dxa"/>
            <w:vAlign w:val="center"/>
          </w:tcPr>
          <w:p w14:paraId="4F7A043B">
            <w:pPr>
              <w:jc w:val="center"/>
              <w:rPr>
                <w:rFonts w:hint="eastAsia"/>
                <w:b w:val="0"/>
                <w:bCs/>
                <w:color w:val="auto"/>
                <w:szCs w:val="21"/>
                <w:highlight w:val="none"/>
                <w:u w:val="none"/>
                <w:vertAlign w:val="baseline"/>
                <w:lang w:val="zh-CN"/>
              </w:rPr>
            </w:pPr>
          </w:p>
        </w:tc>
        <w:tc>
          <w:tcPr>
            <w:tcW w:w="1500" w:type="dxa"/>
            <w:vAlign w:val="center"/>
          </w:tcPr>
          <w:p w14:paraId="2BA9D216">
            <w:pPr>
              <w:jc w:val="center"/>
              <w:rPr>
                <w:rFonts w:hint="eastAsia"/>
                <w:b w:val="0"/>
                <w:bCs/>
                <w:color w:val="auto"/>
                <w:szCs w:val="21"/>
                <w:highlight w:val="none"/>
                <w:u w:val="none"/>
                <w:vertAlign w:val="baseline"/>
                <w:lang w:val="zh-CN"/>
              </w:rPr>
            </w:pPr>
          </w:p>
        </w:tc>
        <w:tc>
          <w:tcPr>
            <w:tcW w:w="985" w:type="dxa"/>
            <w:vAlign w:val="center"/>
          </w:tcPr>
          <w:p w14:paraId="0E652E37">
            <w:pPr>
              <w:jc w:val="center"/>
              <w:rPr>
                <w:rFonts w:hint="eastAsia"/>
                <w:b w:val="0"/>
                <w:bCs/>
                <w:color w:val="auto"/>
                <w:szCs w:val="21"/>
                <w:highlight w:val="none"/>
                <w:u w:val="none"/>
                <w:vertAlign w:val="baseline"/>
                <w:lang w:val="zh-CN"/>
              </w:rPr>
            </w:pPr>
          </w:p>
        </w:tc>
        <w:tc>
          <w:tcPr>
            <w:tcW w:w="863" w:type="dxa"/>
            <w:vAlign w:val="center"/>
          </w:tcPr>
          <w:p w14:paraId="22025CB6">
            <w:pPr>
              <w:jc w:val="center"/>
              <w:rPr>
                <w:rFonts w:hint="eastAsia"/>
                <w:b w:val="0"/>
                <w:bCs/>
                <w:color w:val="auto"/>
                <w:szCs w:val="21"/>
                <w:highlight w:val="none"/>
                <w:u w:val="none"/>
                <w:vertAlign w:val="baseline"/>
                <w:lang w:val="zh-CN"/>
              </w:rPr>
            </w:pPr>
          </w:p>
        </w:tc>
        <w:tc>
          <w:tcPr>
            <w:tcW w:w="1324" w:type="dxa"/>
            <w:vAlign w:val="center"/>
          </w:tcPr>
          <w:p w14:paraId="62DDA3C2">
            <w:pPr>
              <w:jc w:val="center"/>
              <w:rPr>
                <w:rFonts w:hint="eastAsia"/>
                <w:b w:val="0"/>
                <w:bCs/>
                <w:color w:val="auto"/>
                <w:szCs w:val="21"/>
                <w:highlight w:val="none"/>
                <w:u w:val="none"/>
                <w:vertAlign w:val="baseline"/>
                <w:lang w:val="zh-CN"/>
              </w:rPr>
            </w:pPr>
          </w:p>
        </w:tc>
        <w:tc>
          <w:tcPr>
            <w:tcW w:w="1026" w:type="dxa"/>
            <w:vAlign w:val="center"/>
          </w:tcPr>
          <w:p w14:paraId="703F39B0">
            <w:pPr>
              <w:jc w:val="center"/>
              <w:rPr>
                <w:rFonts w:hint="eastAsia"/>
                <w:b w:val="0"/>
                <w:bCs/>
                <w:color w:val="auto"/>
                <w:szCs w:val="21"/>
                <w:highlight w:val="none"/>
                <w:u w:val="none"/>
                <w:vertAlign w:val="baseline"/>
                <w:lang w:val="zh-CN"/>
              </w:rPr>
            </w:pPr>
          </w:p>
        </w:tc>
        <w:tc>
          <w:tcPr>
            <w:tcW w:w="923" w:type="dxa"/>
            <w:vAlign w:val="center"/>
          </w:tcPr>
          <w:p w14:paraId="454AC89A">
            <w:pPr>
              <w:jc w:val="center"/>
              <w:rPr>
                <w:rFonts w:hint="eastAsia"/>
                <w:b w:val="0"/>
                <w:bCs/>
                <w:color w:val="auto"/>
                <w:szCs w:val="21"/>
                <w:highlight w:val="none"/>
                <w:u w:val="none"/>
                <w:vertAlign w:val="baseline"/>
                <w:lang w:val="zh-CN"/>
              </w:rPr>
            </w:pPr>
          </w:p>
        </w:tc>
        <w:tc>
          <w:tcPr>
            <w:tcW w:w="1091" w:type="dxa"/>
            <w:vAlign w:val="center"/>
          </w:tcPr>
          <w:p w14:paraId="3DE3EDC9">
            <w:pPr>
              <w:jc w:val="center"/>
              <w:rPr>
                <w:rFonts w:hint="eastAsia"/>
                <w:b w:val="0"/>
                <w:bCs/>
                <w:color w:val="auto"/>
                <w:szCs w:val="21"/>
                <w:highlight w:val="none"/>
                <w:u w:val="none"/>
                <w:vertAlign w:val="baseline"/>
                <w:lang w:val="zh-CN"/>
              </w:rPr>
            </w:pPr>
          </w:p>
        </w:tc>
      </w:tr>
      <w:tr w14:paraId="338F2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288DC270">
            <w:pPr>
              <w:jc w:val="center"/>
              <w:rPr>
                <w:rFonts w:hint="eastAsia" w:eastAsia="宋体"/>
                <w:b w:val="0"/>
                <w:bCs/>
                <w:color w:val="auto"/>
                <w:szCs w:val="21"/>
                <w:highlight w:val="none"/>
                <w:u w:val="none"/>
                <w:vertAlign w:val="baseline"/>
                <w:lang w:val="en-US" w:eastAsia="zh-CN"/>
              </w:rPr>
            </w:pPr>
            <w:r>
              <w:rPr>
                <w:rFonts w:hint="eastAsia"/>
                <w:b w:val="0"/>
                <w:bCs/>
                <w:color w:val="auto"/>
                <w:szCs w:val="21"/>
                <w:highlight w:val="none"/>
                <w:u w:val="none"/>
                <w:vertAlign w:val="baseline"/>
                <w:lang w:val="en-US" w:eastAsia="zh-CN"/>
              </w:rPr>
              <w:t>3</w:t>
            </w:r>
          </w:p>
        </w:tc>
        <w:tc>
          <w:tcPr>
            <w:tcW w:w="1236" w:type="dxa"/>
            <w:vAlign w:val="center"/>
          </w:tcPr>
          <w:p w14:paraId="296B3553">
            <w:pPr>
              <w:jc w:val="center"/>
              <w:rPr>
                <w:rFonts w:hint="eastAsia"/>
                <w:b w:val="0"/>
                <w:bCs/>
                <w:color w:val="auto"/>
                <w:szCs w:val="21"/>
                <w:highlight w:val="none"/>
                <w:u w:val="none"/>
                <w:vertAlign w:val="baseline"/>
                <w:lang w:val="zh-CN"/>
              </w:rPr>
            </w:pPr>
          </w:p>
        </w:tc>
        <w:tc>
          <w:tcPr>
            <w:tcW w:w="986" w:type="dxa"/>
            <w:vAlign w:val="center"/>
          </w:tcPr>
          <w:p w14:paraId="11A9BFBA">
            <w:pPr>
              <w:jc w:val="center"/>
              <w:rPr>
                <w:rFonts w:hint="eastAsia"/>
                <w:b w:val="0"/>
                <w:bCs/>
                <w:color w:val="auto"/>
                <w:szCs w:val="21"/>
                <w:highlight w:val="none"/>
                <w:u w:val="none"/>
                <w:vertAlign w:val="baseline"/>
                <w:lang w:val="zh-CN"/>
              </w:rPr>
            </w:pPr>
          </w:p>
        </w:tc>
        <w:tc>
          <w:tcPr>
            <w:tcW w:w="1040" w:type="dxa"/>
            <w:vAlign w:val="center"/>
          </w:tcPr>
          <w:p w14:paraId="6D34AAEE">
            <w:pPr>
              <w:jc w:val="center"/>
              <w:rPr>
                <w:rFonts w:hint="eastAsia"/>
                <w:b w:val="0"/>
                <w:bCs/>
                <w:color w:val="auto"/>
                <w:szCs w:val="21"/>
                <w:highlight w:val="none"/>
                <w:u w:val="none"/>
                <w:vertAlign w:val="baseline"/>
                <w:lang w:val="zh-CN"/>
              </w:rPr>
            </w:pPr>
          </w:p>
        </w:tc>
        <w:tc>
          <w:tcPr>
            <w:tcW w:w="1383" w:type="dxa"/>
            <w:vAlign w:val="center"/>
          </w:tcPr>
          <w:p w14:paraId="1895811B">
            <w:pPr>
              <w:jc w:val="center"/>
              <w:rPr>
                <w:rFonts w:hint="eastAsia"/>
                <w:b w:val="0"/>
                <w:bCs/>
                <w:color w:val="auto"/>
                <w:szCs w:val="21"/>
                <w:highlight w:val="none"/>
                <w:u w:val="none"/>
                <w:vertAlign w:val="baseline"/>
                <w:lang w:val="zh-CN"/>
              </w:rPr>
            </w:pPr>
          </w:p>
        </w:tc>
        <w:tc>
          <w:tcPr>
            <w:tcW w:w="1012" w:type="dxa"/>
            <w:vAlign w:val="center"/>
          </w:tcPr>
          <w:p w14:paraId="5C049FB4">
            <w:pPr>
              <w:jc w:val="center"/>
              <w:rPr>
                <w:rFonts w:hint="eastAsia"/>
                <w:b w:val="0"/>
                <w:bCs/>
                <w:color w:val="auto"/>
                <w:szCs w:val="21"/>
                <w:highlight w:val="none"/>
                <w:u w:val="none"/>
                <w:vertAlign w:val="baseline"/>
                <w:lang w:val="zh-CN"/>
              </w:rPr>
            </w:pPr>
          </w:p>
        </w:tc>
        <w:tc>
          <w:tcPr>
            <w:tcW w:w="1500" w:type="dxa"/>
            <w:vAlign w:val="center"/>
          </w:tcPr>
          <w:p w14:paraId="1EEF0947">
            <w:pPr>
              <w:jc w:val="center"/>
              <w:rPr>
                <w:rFonts w:hint="eastAsia"/>
                <w:b w:val="0"/>
                <w:bCs/>
                <w:color w:val="auto"/>
                <w:szCs w:val="21"/>
                <w:highlight w:val="none"/>
                <w:u w:val="none"/>
                <w:vertAlign w:val="baseline"/>
                <w:lang w:val="zh-CN"/>
              </w:rPr>
            </w:pPr>
          </w:p>
        </w:tc>
        <w:tc>
          <w:tcPr>
            <w:tcW w:w="985" w:type="dxa"/>
            <w:vAlign w:val="center"/>
          </w:tcPr>
          <w:p w14:paraId="7778CA91">
            <w:pPr>
              <w:jc w:val="center"/>
              <w:rPr>
                <w:rFonts w:hint="eastAsia"/>
                <w:b w:val="0"/>
                <w:bCs/>
                <w:color w:val="auto"/>
                <w:szCs w:val="21"/>
                <w:highlight w:val="none"/>
                <w:u w:val="none"/>
                <w:vertAlign w:val="baseline"/>
                <w:lang w:val="zh-CN"/>
              </w:rPr>
            </w:pPr>
          </w:p>
        </w:tc>
        <w:tc>
          <w:tcPr>
            <w:tcW w:w="863" w:type="dxa"/>
            <w:vAlign w:val="center"/>
          </w:tcPr>
          <w:p w14:paraId="4765FF03">
            <w:pPr>
              <w:jc w:val="center"/>
              <w:rPr>
                <w:rFonts w:hint="eastAsia"/>
                <w:b w:val="0"/>
                <w:bCs/>
                <w:color w:val="auto"/>
                <w:szCs w:val="21"/>
                <w:highlight w:val="none"/>
                <w:u w:val="none"/>
                <w:vertAlign w:val="baseline"/>
                <w:lang w:val="zh-CN"/>
              </w:rPr>
            </w:pPr>
          </w:p>
        </w:tc>
        <w:tc>
          <w:tcPr>
            <w:tcW w:w="1324" w:type="dxa"/>
            <w:vAlign w:val="center"/>
          </w:tcPr>
          <w:p w14:paraId="1030805C">
            <w:pPr>
              <w:jc w:val="center"/>
              <w:rPr>
                <w:rFonts w:hint="eastAsia"/>
                <w:b w:val="0"/>
                <w:bCs/>
                <w:color w:val="auto"/>
                <w:szCs w:val="21"/>
                <w:highlight w:val="none"/>
                <w:u w:val="none"/>
                <w:vertAlign w:val="baseline"/>
                <w:lang w:val="zh-CN"/>
              </w:rPr>
            </w:pPr>
          </w:p>
        </w:tc>
        <w:tc>
          <w:tcPr>
            <w:tcW w:w="1026" w:type="dxa"/>
            <w:vAlign w:val="center"/>
          </w:tcPr>
          <w:p w14:paraId="03FD13FA">
            <w:pPr>
              <w:jc w:val="center"/>
              <w:rPr>
                <w:rFonts w:hint="eastAsia"/>
                <w:b w:val="0"/>
                <w:bCs/>
                <w:color w:val="auto"/>
                <w:szCs w:val="21"/>
                <w:highlight w:val="none"/>
                <w:u w:val="none"/>
                <w:vertAlign w:val="baseline"/>
                <w:lang w:val="zh-CN"/>
              </w:rPr>
            </w:pPr>
          </w:p>
        </w:tc>
        <w:tc>
          <w:tcPr>
            <w:tcW w:w="923" w:type="dxa"/>
            <w:vAlign w:val="center"/>
          </w:tcPr>
          <w:p w14:paraId="16B2BB13">
            <w:pPr>
              <w:jc w:val="center"/>
              <w:rPr>
                <w:rFonts w:hint="eastAsia"/>
                <w:b w:val="0"/>
                <w:bCs/>
                <w:color w:val="auto"/>
                <w:szCs w:val="21"/>
                <w:highlight w:val="none"/>
                <w:u w:val="none"/>
                <w:vertAlign w:val="baseline"/>
                <w:lang w:val="zh-CN"/>
              </w:rPr>
            </w:pPr>
          </w:p>
        </w:tc>
        <w:tc>
          <w:tcPr>
            <w:tcW w:w="1091" w:type="dxa"/>
            <w:vAlign w:val="center"/>
          </w:tcPr>
          <w:p w14:paraId="568E139E">
            <w:pPr>
              <w:jc w:val="center"/>
              <w:rPr>
                <w:rFonts w:hint="eastAsia"/>
                <w:b w:val="0"/>
                <w:bCs/>
                <w:color w:val="auto"/>
                <w:szCs w:val="21"/>
                <w:highlight w:val="none"/>
                <w:u w:val="none"/>
                <w:vertAlign w:val="baseline"/>
                <w:lang w:val="zh-CN"/>
              </w:rPr>
            </w:pPr>
          </w:p>
        </w:tc>
      </w:tr>
      <w:tr w14:paraId="42C3E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0C125950">
            <w:pPr>
              <w:jc w:val="center"/>
              <w:rPr>
                <w:rFonts w:hint="default"/>
                <w:b w:val="0"/>
                <w:bCs/>
                <w:color w:val="auto"/>
                <w:szCs w:val="21"/>
                <w:highlight w:val="none"/>
                <w:u w:val="none"/>
                <w:vertAlign w:val="baseline"/>
                <w:lang w:val="en-US" w:eastAsia="zh-CN"/>
              </w:rPr>
            </w:pPr>
            <w:r>
              <w:rPr>
                <w:rFonts w:hint="eastAsia"/>
                <w:b w:val="0"/>
                <w:bCs/>
                <w:color w:val="auto"/>
                <w:szCs w:val="21"/>
                <w:highlight w:val="none"/>
                <w:u w:val="none"/>
                <w:vertAlign w:val="baseline"/>
                <w:lang w:val="en-US" w:eastAsia="zh-CN"/>
              </w:rPr>
              <w:t>4</w:t>
            </w:r>
          </w:p>
        </w:tc>
        <w:tc>
          <w:tcPr>
            <w:tcW w:w="1236" w:type="dxa"/>
            <w:vAlign w:val="center"/>
          </w:tcPr>
          <w:p w14:paraId="15DAFE63">
            <w:pPr>
              <w:jc w:val="center"/>
              <w:rPr>
                <w:rFonts w:hint="eastAsia"/>
                <w:b w:val="0"/>
                <w:bCs/>
                <w:color w:val="auto"/>
                <w:szCs w:val="21"/>
                <w:highlight w:val="none"/>
                <w:u w:val="none"/>
                <w:vertAlign w:val="baseline"/>
                <w:lang w:val="zh-CN"/>
              </w:rPr>
            </w:pPr>
          </w:p>
        </w:tc>
        <w:tc>
          <w:tcPr>
            <w:tcW w:w="986" w:type="dxa"/>
            <w:vAlign w:val="center"/>
          </w:tcPr>
          <w:p w14:paraId="2B09F9F1">
            <w:pPr>
              <w:jc w:val="center"/>
              <w:rPr>
                <w:rFonts w:hint="eastAsia"/>
                <w:b w:val="0"/>
                <w:bCs/>
                <w:color w:val="auto"/>
                <w:szCs w:val="21"/>
                <w:highlight w:val="none"/>
                <w:u w:val="none"/>
                <w:vertAlign w:val="baseline"/>
                <w:lang w:val="zh-CN"/>
              </w:rPr>
            </w:pPr>
          </w:p>
        </w:tc>
        <w:tc>
          <w:tcPr>
            <w:tcW w:w="1040" w:type="dxa"/>
            <w:vAlign w:val="center"/>
          </w:tcPr>
          <w:p w14:paraId="4CDA23AB">
            <w:pPr>
              <w:jc w:val="center"/>
              <w:rPr>
                <w:rFonts w:hint="eastAsia"/>
                <w:b w:val="0"/>
                <w:bCs/>
                <w:color w:val="auto"/>
                <w:szCs w:val="21"/>
                <w:highlight w:val="none"/>
                <w:u w:val="none"/>
                <w:vertAlign w:val="baseline"/>
                <w:lang w:val="zh-CN"/>
              </w:rPr>
            </w:pPr>
          </w:p>
        </w:tc>
        <w:tc>
          <w:tcPr>
            <w:tcW w:w="1383" w:type="dxa"/>
            <w:vAlign w:val="center"/>
          </w:tcPr>
          <w:p w14:paraId="0950F184">
            <w:pPr>
              <w:jc w:val="center"/>
              <w:rPr>
                <w:rFonts w:hint="eastAsia"/>
                <w:b w:val="0"/>
                <w:bCs/>
                <w:color w:val="auto"/>
                <w:szCs w:val="21"/>
                <w:highlight w:val="none"/>
                <w:u w:val="none"/>
                <w:vertAlign w:val="baseline"/>
                <w:lang w:val="zh-CN"/>
              </w:rPr>
            </w:pPr>
          </w:p>
        </w:tc>
        <w:tc>
          <w:tcPr>
            <w:tcW w:w="1012" w:type="dxa"/>
            <w:vAlign w:val="center"/>
          </w:tcPr>
          <w:p w14:paraId="1ADBDEB6">
            <w:pPr>
              <w:jc w:val="center"/>
              <w:rPr>
                <w:rFonts w:hint="eastAsia"/>
                <w:b w:val="0"/>
                <w:bCs/>
                <w:color w:val="auto"/>
                <w:szCs w:val="21"/>
                <w:highlight w:val="none"/>
                <w:u w:val="none"/>
                <w:vertAlign w:val="baseline"/>
                <w:lang w:val="zh-CN"/>
              </w:rPr>
            </w:pPr>
          </w:p>
        </w:tc>
        <w:tc>
          <w:tcPr>
            <w:tcW w:w="1500" w:type="dxa"/>
            <w:vAlign w:val="center"/>
          </w:tcPr>
          <w:p w14:paraId="6F43C248">
            <w:pPr>
              <w:jc w:val="center"/>
              <w:rPr>
                <w:rFonts w:hint="eastAsia"/>
                <w:b w:val="0"/>
                <w:bCs/>
                <w:color w:val="auto"/>
                <w:szCs w:val="21"/>
                <w:highlight w:val="none"/>
                <w:u w:val="none"/>
                <w:vertAlign w:val="baseline"/>
                <w:lang w:val="zh-CN"/>
              </w:rPr>
            </w:pPr>
          </w:p>
        </w:tc>
        <w:tc>
          <w:tcPr>
            <w:tcW w:w="985" w:type="dxa"/>
            <w:vAlign w:val="center"/>
          </w:tcPr>
          <w:p w14:paraId="0D8A82F2">
            <w:pPr>
              <w:jc w:val="center"/>
              <w:rPr>
                <w:rFonts w:hint="eastAsia"/>
                <w:b w:val="0"/>
                <w:bCs/>
                <w:color w:val="auto"/>
                <w:szCs w:val="21"/>
                <w:highlight w:val="none"/>
                <w:u w:val="none"/>
                <w:vertAlign w:val="baseline"/>
                <w:lang w:val="zh-CN"/>
              </w:rPr>
            </w:pPr>
          </w:p>
        </w:tc>
        <w:tc>
          <w:tcPr>
            <w:tcW w:w="863" w:type="dxa"/>
            <w:vAlign w:val="center"/>
          </w:tcPr>
          <w:p w14:paraId="7741B4AD">
            <w:pPr>
              <w:jc w:val="center"/>
              <w:rPr>
                <w:rFonts w:hint="eastAsia"/>
                <w:b w:val="0"/>
                <w:bCs/>
                <w:color w:val="auto"/>
                <w:szCs w:val="21"/>
                <w:highlight w:val="none"/>
                <w:u w:val="none"/>
                <w:vertAlign w:val="baseline"/>
                <w:lang w:val="zh-CN"/>
              </w:rPr>
            </w:pPr>
          </w:p>
        </w:tc>
        <w:tc>
          <w:tcPr>
            <w:tcW w:w="1324" w:type="dxa"/>
            <w:vAlign w:val="center"/>
          </w:tcPr>
          <w:p w14:paraId="16246DFE">
            <w:pPr>
              <w:jc w:val="center"/>
              <w:rPr>
                <w:rFonts w:hint="eastAsia"/>
                <w:b w:val="0"/>
                <w:bCs/>
                <w:color w:val="auto"/>
                <w:szCs w:val="21"/>
                <w:highlight w:val="none"/>
                <w:u w:val="none"/>
                <w:vertAlign w:val="baseline"/>
                <w:lang w:val="zh-CN"/>
              </w:rPr>
            </w:pPr>
          </w:p>
        </w:tc>
        <w:tc>
          <w:tcPr>
            <w:tcW w:w="1026" w:type="dxa"/>
            <w:vAlign w:val="center"/>
          </w:tcPr>
          <w:p w14:paraId="667E660E">
            <w:pPr>
              <w:jc w:val="center"/>
              <w:rPr>
                <w:rFonts w:hint="eastAsia"/>
                <w:b w:val="0"/>
                <w:bCs/>
                <w:color w:val="auto"/>
                <w:szCs w:val="21"/>
                <w:highlight w:val="none"/>
                <w:u w:val="none"/>
                <w:vertAlign w:val="baseline"/>
                <w:lang w:val="zh-CN"/>
              </w:rPr>
            </w:pPr>
          </w:p>
        </w:tc>
        <w:tc>
          <w:tcPr>
            <w:tcW w:w="923" w:type="dxa"/>
            <w:vAlign w:val="center"/>
          </w:tcPr>
          <w:p w14:paraId="0AB67270">
            <w:pPr>
              <w:jc w:val="center"/>
              <w:rPr>
                <w:rFonts w:hint="eastAsia"/>
                <w:b w:val="0"/>
                <w:bCs/>
                <w:color w:val="auto"/>
                <w:szCs w:val="21"/>
                <w:highlight w:val="none"/>
                <w:u w:val="none"/>
                <w:vertAlign w:val="baseline"/>
                <w:lang w:val="zh-CN"/>
              </w:rPr>
            </w:pPr>
          </w:p>
        </w:tc>
        <w:tc>
          <w:tcPr>
            <w:tcW w:w="1091" w:type="dxa"/>
            <w:vAlign w:val="center"/>
          </w:tcPr>
          <w:p w14:paraId="2CD8830B">
            <w:pPr>
              <w:jc w:val="center"/>
              <w:rPr>
                <w:rFonts w:hint="eastAsia"/>
                <w:b w:val="0"/>
                <w:bCs/>
                <w:color w:val="auto"/>
                <w:szCs w:val="21"/>
                <w:highlight w:val="none"/>
                <w:u w:val="none"/>
                <w:vertAlign w:val="baseline"/>
                <w:lang w:val="zh-CN"/>
              </w:rPr>
            </w:pPr>
          </w:p>
        </w:tc>
      </w:tr>
      <w:tr w14:paraId="5D110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6CAC30B4">
            <w:pPr>
              <w:jc w:val="center"/>
              <w:rPr>
                <w:rFonts w:hint="default"/>
                <w:b w:val="0"/>
                <w:bCs/>
                <w:color w:val="auto"/>
                <w:szCs w:val="21"/>
                <w:highlight w:val="none"/>
                <w:u w:val="none"/>
                <w:vertAlign w:val="baseline"/>
                <w:lang w:val="en-US" w:eastAsia="zh-CN"/>
              </w:rPr>
            </w:pPr>
            <w:r>
              <w:rPr>
                <w:rFonts w:hint="eastAsia"/>
                <w:b w:val="0"/>
                <w:bCs/>
                <w:color w:val="auto"/>
                <w:szCs w:val="21"/>
                <w:highlight w:val="none"/>
                <w:u w:val="none"/>
                <w:vertAlign w:val="baseline"/>
                <w:lang w:val="en-US" w:eastAsia="zh-CN"/>
              </w:rPr>
              <w:t>5</w:t>
            </w:r>
          </w:p>
        </w:tc>
        <w:tc>
          <w:tcPr>
            <w:tcW w:w="1236" w:type="dxa"/>
            <w:vAlign w:val="center"/>
          </w:tcPr>
          <w:p w14:paraId="3FB10D43">
            <w:pPr>
              <w:jc w:val="center"/>
              <w:rPr>
                <w:rFonts w:hint="eastAsia"/>
                <w:b w:val="0"/>
                <w:bCs/>
                <w:color w:val="auto"/>
                <w:szCs w:val="21"/>
                <w:highlight w:val="none"/>
                <w:u w:val="none"/>
                <w:vertAlign w:val="baseline"/>
                <w:lang w:val="zh-CN"/>
              </w:rPr>
            </w:pPr>
          </w:p>
        </w:tc>
        <w:tc>
          <w:tcPr>
            <w:tcW w:w="986" w:type="dxa"/>
            <w:vAlign w:val="center"/>
          </w:tcPr>
          <w:p w14:paraId="7E5FEF86">
            <w:pPr>
              <w:jc w:val="center"/>
              <w:rPr>
                <w:rFonts w:hint="eastAsia"/>
                <w:b w:val="0"/>
                <w:bCs/>
                <w:color w:val="auto"/>
                <w:szCs w:val="21"/>
                <w:highlight w:val="none"/>
                <w:u w:val="none"/>
                <w:vertAlign w:val="baseline"/>
                <w:lang w:val="zh-CN"/>
              </w:rPr>
            </w:pPr>
          </w:p>
        </w:tc>
        <w:tc>
          <w:tcPr>
            <w:tcW w:w="1040" w:type="dxa"/>
            <w:vAlign w:val="center"/>
          </w:tcPr>
          <w:p w14:paraId="0DB29551">
            <w:pPr>
              <w:jc w:val="center"/>
              <w:rPr>
                <w:rFonts w:hint="eastAsia"/>
                <w:b w:val="0"/>
                <w:bCs/>
                <w:color w:val="auto"/>
                <w:szCs w:val="21"/>
                <w:highlight w:val="none"/>
                <w:u w:val="none"/>
                <w:vertAlign w:val="baseline"/>
                <w:lang w:val="zh-CN"/>
              </w:rPr>
            </w:pPr>
          </w:p>
        </w:tc>
        <w:tc>
          <w:tcPr>
            <w:tcW w:w="1383" w:type="dxa"/>
            <w:vAlign w:val="center"/>
          </w:tcPr>
          <w:p w14:paraId="060CA4CC">
            <w:pPr>
              <w:jc w:val="center"/>
              <w:rPr>
                <w:rFonts w:hint="eastAsia"/>
                <w:b w:val="0"/>
                <w:bCs/>
                <w:color w:val="auto"/>
                <w:szCs w:val="21"/>
                <w:highlight w:val="none"/>
                <w:u w:val="none"/>
                <w:vertAlign w:val="baseline"/>
                <w:lang w:val="zh-CN"/>
              </w:rPr>
            </w:pPr>
          </w:p>
        </w:tc>
        <w:tc>
          <w:tcPr>
            <w:tcW w:w="1012" w:type="dxa"/>
            <w:vAlign w:val="center"/>
          </w:tcPr>
          <w:p w14:paraId="17C67F72">
            <w:pPr>
              <w:jc w:val="center"/>
              <w:rPr>
                <w:rFonts w:hint="eastAsia"/>
                <w:b w:val="0"/>
                <w:bCs/>
                <w:color w:val="auto"/>
                <w:szCs w:val="21"/>
                <w:highlight w:val="none"/>
                <w:u w:val="none"/>
                <w:vertAlign w:val="baseline"/>
                <w:lang w:val="zh-CN"/>
              </w:rPr>
            </w:pPr>
          </w:p>
        </w:tc>
        <w:tc>
          <w:tcPr>
            <w:tcW w:w="1500" w:type="dxa"/>
            <w:vAlign w:val="center"/>
          </w:tcPr>
          <w:p w14:paraId="71B216EF">
            <w:pPr>
              <w:jc w:val="center"/>
              <w:rPr>
                <w:rFonts w:hint="eastAsia"/>
                <w:b w:val="0"/>
                <w:bCs/>
                <w:color w:val="auto"/>
                <w:szCs w:val="21"/>
                <w:highlight w:val="none"/>
                <w:u w:val="none"/>
                <w:vertAlign w:val="baseline"/>
                <w:lang w:val="zh-CN"/>
              </w:rPr>
            </w:pPr>
          </w:p>
        </w:tc>
        <w:tc>
          <w:tcPr>
            <w:tcW w:w="985" w:type="dxa"/>
            <w:vAlign w:val="center"/>
          </w:tcPr>
          <w:p w14:paraId="3AD98D47">
            <w:pPr>
              <w:jc w:val="center"/>
              <w:rPr>
                <w:rFonts w:hint="eastAsia"/>
                <w:b w:val="0"/>
                <w:bCs/>
                <w:color w:val="auto"/>
                <w:szCs w:val="21"/>
                <w:highlight w:val="none"/>
                <w:u w:val="none"/>
                <w:vertAlign w:val="baseline"/>
                <w:lang w:val="zh-CN"/>
              </w:rPr>
            </w:pPr>
          </w:p>
        </w:tc>
        <w:tc>
          <w:tcPr>
            <w:tcW w:w="863" w:type="dxa"/>
            <w:vAlign w:val="center"/>
          </w:tcPr>
          <w:p w14:paraId="1B25BEDC">
            <w:pPr>
              <w:jc w:val="center"/>
              <w:rPr>
                <w:rFonts w:hint="eastAsia"/>
                <w:b w:val="0"/>
                <w:bCs/>
                <w:color w:val="auto"/>
                <w:szCs w:val="21"/>
                <w:highlight w:val="none"/>
                <w:u w:val="none"/>
                <w:vertAlign w:val="baseline"/>
                <w:lang w:val="zh-CN"/>
              </w:rPr>
            </w:pPr>
          </w:p>
        </w:tc>
        <w:tc>
          <w:tcPr>
            <w:tcW w:w="1324" w:type="dxa"/>
            <w:vAlign w:val="center"/>
          </w:tcPr>
          <w:p w14:paraId="2C65F4A3">
            <w:pPr>
              <w:jc w:val="center"/>
              <w:rPr>
                <w:rFonts w:hint="eastAsia"/>
                <w:b w:val="0"/>
                <w:bCs/>
                <w:color w:val="auto"/>
                <w:szCs w:val="21"/>
                <w:highlight w:val="none"/>
                <w:u w:val="none"/>
                <w:vertAlign w:val="baseline"/>
                <w:lang w:val="zh-CN"/>
              </w:rPr>
            </w:pPr>
          </w:p>
        </w:tc>
        <w:tc>
          <w:tcPr>
            <w:tcW w:w="1026" w:type="dxa"/>
            <w:vAlign w:val="center"/>
          </w:tcPr>
          <w:p w14:paraId="26EF7EA0">
            <w:pPr>
              <w:jc w:val="center"/>
              <w:rPr>
                <w:rFonts w:hint="eastAsia"/>
                <w:b w:val="0"/>
                <w:bCs/>
                <w:color w:val="auto"/>
                <w:szCs w:val="21"/>
                <w:highlight w:val="none"/>
                <w:u w:val="none"/>
                <w:vertAlign w:val="baseline"/>
                <w:lang w:val="zh-CN"/>
              </w:rPr>
            </w:pPr>
          </w:p>
        </w:tc>
        <w:tc>
          <w:tcPr>
            <w:tcW w:w="923" w:type="dxa"/>
            <w:vAlign w:val="center"/>
          </w:tcPr>
          <w:p w14:paraId="00B89591">
            <w:pPr>
              <w:jc w:val="center"/>
              <w:rPr>
                <w:rFonts w:hint="eastAsia"/>
                <w:b w:val="0"/>
                <w:bCs/>
                <w:color w:val="auto"/>
                <w:szCs w:val="21"/>
                <w:highlight w:val="none"/>
                <w:u w:val="none"/>
                <w:vertAlign w:val="baseline"/>
                <w:lang w:val="zh-CN"/>
              </w:rPr>
            </w:pPr>
          </w:p>
        </w:tc>
        <w:tc>
          <w:tcPr>
            <w:tcW w:w="1091" w:type="dxa"/>
            <w:vAlign w:val="center"/>
          </w:tcPr>
          <w:p w14:paraId="54182B1F">
            <w:pPr>
              <w:jc w:val="center"/>
              <w:rPr>
                <w:rFonts w:hint="eastAsia"/>
                <w:b w:val="0"/>
                <w:bCs/>
                <w:color w:val="auto"/>
                <w:szCs w:val="21"/>
                <w:highlight w:val="none"/>
                <w:u w:val="none"/>
                <w:vertAlign w:val="baseline"/>
                <w:lang w:val="zh-CN"/>
              </w:rPr>
            </w:pPr>
          </w:p>
        </w:tc>
      </w:tr>
      <w:tr w14:paraId="301DE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7EA94A24">
            <w:pPr>
              <w:jc w:val="center"/>
              <w:rPr>
                <w:rFonts w:hint="default"/>
                <w:b w:val="0"/>
                <w:bCs/>
                <w:color w:val="auto"/>
                <w:szCs w:val="21"/>
                <w:highlight w:val="none"/>
                <w:u w:val="none"/>
                <w:vertAlign w:val="baseline"/>
                <w:lang w:val="en-US" w:eastAsia="zh-CN"/>
              </w:rPr>
            </w:pPr>
            <w:r>
              <w:rPr>
                <w:rFonts w:hint="eastAsia"/>
                <w:b w:val="0"/>
                <w:bCs/>
                <w:color w:val="auto"/>
                <w:szCs w:val="21"/>
                <w:highlight w:val="none"/>
                <w:u w:val="none"/>
                <w:vertAlign w:val="baseline"/>
                <w:lang w:val="en-US" w:eastAsia="zh-CN"/>
              </w:rPr>
              <w:t>6</w:t>
            </w:r>
          </w:p>
        </w:tc>
        <w:tc>
          <w:tcPr>
            <w:tcW w:w="1236" w:type="dxa"/>
            <w:vAlign w:val="center"/>
          </w:tcPr>
          <w:p w14:paraId="3B5CDE55">
            <w:pPr>
              <w:jc w:val="center"/>
              <w:rPr>
                <w:rFonts w:hint="eastAsia"/>
                <w:b w:val="0"/>
                <w:bCs/>
                <w:color w:val="auto"/>
                <w:szCs w:val="21"/>
                <w:highlight w:val="none"/>
                <w:u w:val="none"/>
                <w:vertAlign w:val="baseline"/>
                <w:lang w:val="zh-CN"/>
              </w:rPr>
            </w:pPr>
          </w:p>
        </w:tc>
        <w:tc>
          <w:tcPr>
            <w:tcW w:w="986" w:type="dxa"/>
            <w:vAlign w:val="center"/>
          </w:tcPr>
          <w:p w14:paraId="1AB0C36B">
            <w:pPr>
              <w:jc w:val="center"/>
              <w:rPr>
                <w:rFonts w:hint="eastAsia"/>
                <w:b w:val="0"/>
                <w:bCs/>
                <w:color w:val="auto"/>
                <w:szCs w:val="21"/>
                <w:highlight w:val="none"/>
                <w:u w:val="none"/>
                <w:vertAlign w:val="baseline"/>
                <w:lang w:val="zh-CN"/>
              </w:rPr>
            </w:pPr>
          </w:p>
        </w:tc>
        <w:tc>
          <w:tcPr>
            <w:tcW w:w="1040" w:type="dxa"/>
            <w:vAlign w:val="center"/>
          </w:tcPr>
          <w:p w14:paraId="2F301FFC">
            <w:pPr>
              <w:jc w:val="center"/>
              <w:rPr>
                <w:rFonts w:hint="eastAsia"/>
                <w:b w:val="0"/>
                <w:bCs/>
                <w:color w:val="auto"/>
                <w:szCs w:val="21"/>
                <w:highlight w:val="none"/>
                <w:u w:val="none"/>
                <w:vertAlign w:val="baseline"/>
                <w:lang w:val="zh-CN"/>
              </w:rPr>
            </w:pPr>
          </w:p>
        </w:tc>
        <w:tc>
          <w:tcPr>
            <w:tcW w:w="1383" w:type="dxa"/>
            <w:vAlign w:val="center"/>
          </w:tcPr>
          <w:p w14:paraId="50F3BC75">
            <w:pPr>
              <w:jc w:val="center"/>
              <w:rPr>
                <w:rFonts w:hint="eastAsia"/>
                <w:b w:val="0"/>
                <w:bCs/>
                <w:color w:val="auto"/>
                <w:szCs w:val="21"/>
                <w:highlight w:val="none"/>
                <w:u w:val="none"/>
                <w:vertAlign w:val="baseline"/>
                <w:lang w:val="zh-CN"/>
              </w:rPr>
            </w:pPr>
          </w:p>
        </w:tc>
        <w:tc>
          <w:tcPr>
            <w:tcW w:w="1012" w:type="dxa"/>
            <w:vAlign w:val="center"/>
          </w:tcPr>
          <w:p w14:paraId="2B411435">
            <w:pPr>
              <w:jc w:val="center"/>
              <w:rPr>
                <w:rFonts w:hint="eastAsia"/>
                <w:b w:val="0"/>
                <w:bCs/>
                <w:color w:val="auto"/>
                <w:szCs w:val="21"/>
                <w:highlight w:val="none"/>
                <w:u w:val="none"/>
                <w:vertAlign w:val="baseline"/>
                <w:lang w:val="zh-CN"/>
              </w:rPr>
            </w:pPr>
          </w:p>
        </w:tc>
        <w:tc>
          <w:tcPr>
            <w:tcW w:w="1500" w:type="dxa"/>
            <w:vAlign w:val="center"/>
          </w:tcPr>
          <w:p w14:paraId="72CDC4A9">
            <w:pPr>
              <w:jc w:val="center"/>
              <w:rPr>
                <w:rFonts w:hint="eastAsia"/>
                <w:b w:val="0"/>
                <w:bCs/>
                <w:color w:val="auto"/>
                <w:szCs w:val="21"/>
                <w:highlight w:val="none"/>
                <w:u w:val="none"/>
                <w:vertAlign w:val="baseline"/>
                <w:lang w:val="zh-CN"/>
              </w:rPr>
            </w:pPr>
          </w:p>
        </w:tc>
        <w:tc>
          <w:tcPr>
            <w:tcW w:w="985" w:type="dxa"/>
            <w:vAlign w:val="center"/>
          </w:tcPr>
          <w:p w14:paraId="57B6F124">
            <w:pPr>
              <w:jc w:val="center"/>
              <w:rPr>
                <w:rFonts w:hint="eastAsia"/>
                <w:b w:val="0"/>
                <w:bCs/>
                <w:color w:val="auto"/>
                <w:szCs w:val="21"/>
                <w:highlight w:val="none"/>
                <w:u w:val="none"/>
                <w:vertAlign w:val="baseline"/>
                <w:lang w:val="zh-CN"/>
              </w:rPr>
            </w:pPr>
          </w:p>
        </w:tc>
        <w:tc>
          <w:tcPr>
            <w:tcW w:w="863" w:type="dxa"/>
            <w:vAlign w:val="center"/>
          </w:tcPr>
          <w:p w14:paraId="38450E2E">
            <w:pPr>
              <w:jc w:val="center"/>
              <w:rPr>
                <w:rFonts w:hint="eastAsia"/>
                <w:b w:val="0"/>
                <w:bCs/>
                <w:color w:val="auto"/>
                <w:szCs w:val="21"/>
                <w:highlight w:val="none"/>
                <w:u w:val="none"/>
                <w:vertAlign w:val="baseline"/>
                <w:lang w:val="zh-CN"/>
              </w:rPr>
            </w:pPr>
          </w:p>
        </w:tc>
        <w:tc>
          <w:tcPr>
            <w:tcW w:w="1324" w:type="dxa"/>
            <w:vAlign w:val="center"/>
          </w:tcPr>
          <w:p w14:paraId="0734D7CF">
            <w:pPr>
              <w:jc w:val="center"/>
              <w:rPr>
                <w:rFonts w:hint="eastAsia"/>
                <w:b w:val="0"/>
                <w:bCs/>
                <w:color w:val="auto"/>
                <w:szCs w:val="21"/>
                <w:highlight w:val="none"/>
                <w:u w:val="none"/>
                <w:vertAlign w:val="baseline"/>
                <w:lang w:val="zh-CN"/>
              </w:rPr>
            </w:pPr>
          </w:p>
        </w:tc>
        <w:tc>
          <w:tcPr>
            <w:tcW w:w="1026" w:type="dxa"/>
            <w:vAlign w:val="center"/>
          </w:tcPr>
          <w:p w14:paraId="6B88051D">
            <w:pPr>
              <w:jc w:val="center"/>
              <w:rPr>
                <w:rFonts w:hint="eastAsia"/>
                <w:b w:val="0"/>
                <w:bCs/>
                <w:color w:val="auto"/>
                <w:szCs w:val="21"/>
                <w:highlight w:val="none"/>
                <w:u w:val="none"/>
                <w:vertAlign w:val="baseline"/>
                <w:lang w:val="zh-CN"/>
              </w:rPr>
            </w:pPr>
          </w:p>
        </w:tc>
        <w:tc>
          <w:tcPr>
            <w:tcW w:w="923" w:type="dxa"/>
            <w:vAlign w:val="center"/>
          </w:tcPr>
          <w:p w14:paraId="4D587CF2">
            <w:pPr>
              <w:jc w:val="center"/>
              <w:rPr>
                <w:rFonts w:hint="eastAsia"/>
                <w:b w:val="0"/>
                <w:bCs/>
                <w:color w:val="auto"/>
                <w:szCs w:val="21"/>
                <w:highlight w:val="none"/>
                <w:u w:val="none"/>
                <w:vertAlign w:val="baseline"/>
                <w:lang w:val="zh-CN"/>
              </w:rPr>
            </w:pPr>
          </w:p>
        </w:tc>
        <w:tc>
          <w:tcPr>
            <w:tcW w:w="1091" w:type="dxa"/>
            <w:vAlign w:val="center"/>
          </w:tcPr>
          <w:p w14:paraId="3808F91F">
            <w:pPr>
              <w:jc w:val="center"/>
              <w:rPr>
                <w:rFonts w:hint="eastAsia"/>
                <w:b w:val="0"/>
                <w:bCs/>
                <w:color w:val="auto"/>
                <w:szCs w:val="21"/>
                <w:highlight w:val="none"/>
                <w:u w:val="none"/>
                <w:vertAlign w:val="baseline"/>
                <w:lang w:val="zh-CN"/>
              </w:rPr>
            </w:pPr>
          </w:p>
        </w:tc>
      </w:tr>
      <w:tr w14:paraId="24D4E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0CA1058F">
            <w:pPr>
              <w:jc w:val="center"/>
              <w:rPr>
                <w:rFonts w:hint="eastAsia"/>
                <w:b w:val="0"/>
                <w:bCs/>
                <w:color w:val="auto"/>
                <w:szCs w:val="21"/>
                <w:highlight w:val="none"/>
                <w:u w:val="none"/>
                <w:vertAlign w:val="baseline"/>
                <w:lang w:val="zh-CN"/>
              </w:rPr>
            </w:pPr>
            <w:r>
              <w:rPr>
                <w:rFonts w:hint="default" w:ascii="Arial" w:hAnsi="Arial" w:cs="Arial"/>
                <w:b w:val="0"/>
                <w:bCs/>
                <w:color w:val="auto"/>
                <w:szCs w:val="21"/>
                <w:highlight w:val="none"/>
                <w:u w:val="none"/>
                <w:vertAlign w:val="baseline"/>
                <w:lang w:val="zh-CN"/>
              </w:rPr>
              <w:t>…</w:t>
            </w:r>
          </w:p>
        </w:tc>
        <w:tc>
          <w:tcPr>
            <w:tcW w:w="1236" w:type="dxa"/>
            <w:vAlign w:val="center"/>
          </w:tcPr>
          <w:p w14:paraId="07D6C3C7">
            <w:pPr>
              <w:jc w:val="center"/>
              <w:rPr>
                <w:rFonts w:hint="eastAsia"/>
                <w:b w:val="0"/>
                <w:bCs/>
                <w:color w:val="auto"/>
                <w:szCs w:val="21"/>
                <w:highlight w:val="none"/>
                <w:u w:val="none"/>
                <w:vertAlign w:val="baseline"/>
                <w:lang w:val="zh-CN"/>
              </w:rPr>
            </w:pPr>
          </w:p>
        </w:tc>
        <w:tc>
          <w:tcPr>
            <w:tcW w:w="986" w:type="dxa"/>
            <w:vAlign w:val="center"/>
          </w:tcPr>
          <w:p w14:paraId="54762713">
            <w:pPr>
              <w:jc w:val="center"/>
              <w:rPr>
                <w:rFonts w:hint="eastAsia"/>
                <w:b w:val="0"/>
                <w:bCs/>
                <w:color w:val="auto"/>
                <w:szCs w:val="21"/>
                <w:highlight w:val="none"/>
                <w:u w:val="none"/>
                <w:vertAlign w:val="baseline"/>
                <w:lang w:val="zh-CN"/>
              </w:rPr>
            </w:pPr>
          </w:p>
        </w:tc>
        <w:tc>
          <w:tcPr>
            <w:tcW w:w="1040" w:type="dxa"/>
            <w:vAlign w:val="center"/>
          </w:tcPr>
          <w:p w14:paraId="6008D212">
            <w:pPr>
              <w:jc w:val="center"/>
              <w:rPr>
                <w:rFonts w:hint="eastAsia"/>
                <w:b w:val="0"/>
                <w:bCs/>
                <w:color w:val="auto"/>
                <w:szCs w:val="21"/>
                <w:highlight w:val="none"/>
                <w:u w:val="none"/>
                <w:vertAlign w:val="baseline"/>
                <w:lang w:val="zh-CN"/>
              </w:rPr>
            </w:pPr>
          </w:p>
        </w:tc>
        <w:tc>
          <w:tcPr>
            <w:tcW w:w="1383" w:type="dxa"/>
            <w:vAlign w:val="center"/>
          </w:tcPr>
          <w:p w14:paraId="7BB3E714">
            <w:pPr>
              <w:jc w:val="center"/>
              <w:rPr>
                <w:rFonts w:hint="eastAsia"/>
                <w:b w:val="0"/>
                <w:bCs/>
                <w:color w:val="auto"/>
                <w:szCs w:val="21"/>
                <w:highlight w:val="none"/>
                <w:u w:val="none"/>
                <w:vertAlign w:val="baseline"/>
                <w:lang w:val="zh-CN"/>
              </w:rPr>
            </w:pPr>
          </w:p>
        </w:tc>
        <w:tc>
          <w:tcPr>
            <w:tcW w:w="1012" w:type="dxa"/>
            <w:vAlign w:val="center"/>
          </w:tcPr>
          <w:p w14:paraId="4B0014E9">
            <w:pPr>
              <w:jc w:val="center"/>
              <w:rPr>
                <w:rFonts w:hint="eastAsia"/>
                <w:b w:val="0"/>
                <w:bCs/>
                <w:color w:val="auto"/>
                <w:szCs w:val="21"/>
                <w:highlight w:val="none"/>
                <w:u w:val="none"/>
                <w:vertAlign w:val="baseline"/>
                <w:lang w:val="zh-CN"/>
              </w:rPr>
            </w:pPr>
          </w:p>
        </w:tc>
        <w:tc>
          <w:tcPr>
            <w:tcW w:w="1500" w:type="dxa"/>
            <w:vAlign w:val="center"/>
          </w:tcPr>
          <w:p w14:paraId="53F16430">
            <w:pPr>
              <w:jc w:val="center"/>
              <w:rPr>
                <w:rFonts w:hint="eastAsia"/>
                <w:b w:val="0"/>
                <w:bCs/>
                <w:color w:val="auto"/>
                <w:szCs w:val="21"/>
                <w:highlight w:val="none"/>
                <w:u w:val="none"/>
                <w:vertAlign w:val="baseline"/>
                <w:lang w:val="zh-CN"/>
              </w:rPr>
            </w:pPr>
          </w:p>
        </w:tc>
        <w:tc>
          <w:tcPr>
            <w:tcW w:w="985" w:type="dxa"/>
            <w:vAlign w:val="center"/>
          </w:tcPr>
          <w:p w14:paraId="2BF5155B">
            <w:pPr>
              <w:jc w:val="center"/>
              <w:rPr>
                <w:rFonts w:hint="eastAsia"/>
                <w:b w:val="0"/>
                <w:bCs/>
                <w:color w:val="auto"/>
                <w:szCs w:val="21"/>
                <w:highlight w:val="none"/>
                <w:u w:val="none"/>
                <w:vertAlign w:val="baseline"/>
                <w:lang w:val="zh-CN"/>
              </w:rPr>
            </w:pPr>
          </w:p>
        </w:tc>
        <w:tc>
          <w:tcPr>
            <w:tcW w:w="863" w:type="dxa"/>
            <w:vAlign w:val="center"/>
          </w:tcPr>
          <w:p w14:paraId="30E0F0AA">
            <w:pPr>
              <w:jc w:val="center"/>
              <w:rPr>
                <w:rFonts w:hint="eastAsia"/>
                <w:b w:val="0"/>
                <w:bCs/>
                <w:color w:val="auto"/>
                <w:szCs w:val="21"/>
                <w:highlight w:val="none"/>
                <w:u w:val="none"/>
                <w:vertAlign w:val="baseline"/>
                <w:lang w:val="zh-CN"/>
              </w:rPr>
            </w:pPr>
          </w:p>
        </w:tc>
        <w:tc>
          <w:tcPr>
            <w:tcW w:w="1324" w:type="dxa"/>
            <w:vAlign w:val="center"/>
          </w:tcPr>
          <w:p w14:paraId="77514C69">
            <w:pPr>
              <w:jc w:val="center"/>
              <w:rPr>
                <w:rFonts w:hint="eastAsia"/>
                <w:b w:val="0"/>
                <w:bCs/>
                <w:color w:val="auto"/>
                <w:szCs w:val="21"/>
                <w:highlight w:val="none"/>
                <w:u w:val="none"/>
                <w:vertAlign w:val="baseline"/>
                <w:lang w:val="zh-CN"/>
              </w:rPr>
            </w:pPr>
          </w:p>
        </w:tc>
        <w:tc>
          <w:tcPr>
            <w:tcW w:w="1026" w:type="dxa"/>
            <w:vAlign w:val="center"/>
          </w:tcPr>
          <w:p w14:paraId="3C51E7DE">
            <w:pPr>
              <w:jc w:val="center"/>
              <w:rPr>
                <w:rFonts w:hint="eastAsia"/>
                <w:b w:val="0"/>
                <w:bCs/>
                <w:color w:val="auto"/>
                <w:szCs w:val="21"/>
                <w:highlight w:val="none"/>
                <w:u w:val="none"/>
                <w:vertAlign w:val="baseline"/>
                <w:lang w:val="zh-CN"/>
              </w:rPr>
            </w:pPr>
          </w:p>
        </w:tc>
        <w:tc>
          <w:tcPr>
            <w:tcW w:w="923" w:type="dxa"/>
            <w:vAlign w:val="center"/>
          </w:tcPr>
          <w:p w14:paraId="1C3D14DE">
            <w:pPr>
              <w:jc w:val="center"/>
              <w:rPr>
                <w:rFonts w:hint="eastAsia"/>
                <w:b w:val="0"/>
                <w:bCs/>
                <w:color w:val="auto"/>
                <w:szCs w:val="21"/>
                <w:highlight w:val="none"/>
                <w:u w:val="none"/>
                <w:vertAlign w:val="baseline"/>
                <w:lang w:val="zh-CN"/>
              </w:rPr>
            </w:pPr>
          </w:p>
        </w:tc>
        <w:tc>
          <w:tcPr>
            <w:tcW w:w="1091" w:type="dxa"/>
            <w:vAlign w:val="center"/>
          </w:tcPr>
          <w:p w14:paraId="7C3AA4BD">
            <w:pPr>
              <w:jc w:val="center"/>
              <w:rPr>
                <w:rFonts w:hint="eastAsia"/>
                <w:b w:val="0"/>
                <w:bCs/>
                <w:color w:val="auto"/>
                <w:szCs w:val="21"/>
                <w:highlight w:val="none"/>
                <w:u w:val="none"/>
                <w:vertAlign w:val="baseline"/>
                <w:lang w:val="zh-CN"/>
              </w:rPr>
            </w:pPr>
          </w:p>
        </w:tc>
      </w:tr>
      <w:tr w14:paraId="0C8AC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83" w:type="dxa"/>
            <w:gridSpan w:val="12"/>
            <w:vAlign w:val="center"/>
          </w:tcPr>
          <w:p w14:paraId="66A2BE18">
            <w:pPr>
              <w:jc w:val="center"/>
              <w:rPr>
                <w:rFonts w:hint="default" w:eastAsia="宋体"/>
                <w:b w:val="0"/>
                <w:bCs/>
                <w:color w:val="auto"/>
                <w:szCs w:val="21"/>
                <w:highlight w:val="none"/>
                <w:u w:val="none"/>
                <w:vertAlign w:val="baseline"/>
                <w:lang w:val="en-US" w:eastAsia="zh-CN"/>
              </w:rPr>
            </w:pPr>
            <w:r>
              <w:rPr>
                <w:rFonts w:hint="eastAsia"/>
                <w:b w:val="0"/>
                <w:bCs/>
                <w:color w:val="auto"/>
                <w:szCs w:val="21"/>
                <w:highlight w:val="none"/>
                <w:u w:val="none"/>
                <w:vertAlign w:val="baseline"/>
                <w:lang w:val="en-US" w:eastAsia="zh-CN"/>
              </w:rPr>
              <w:t>总价</w:t>
            </w:r>
            <w:r>
              <w:rPr>
                <w:rFonts w:hint="eastAsia" w:ascii="宋体" w:hAnsi="宋体" w:eastAsia="宋体" w:cs="宋体"/>
                <w:b w:val="0"/>
                <w:bCs/>
                <w:color w:val="auto"/>
                <w:sz w:val="24"/>
                <w:szCs w:val="24"/>
                <w:highlight w:val="none"/>
              </w:rPr>
              <w:t>（元）</w:t>
            </w:r>
          </w:p>
        </w:tc>
        <w:tc>
          <w:tcPr>
            <w:tcW w:w="1091" w:type="dxa"/>
            <w:vAlign w:val="center"/>
          </w:tcPr>
          <w:p w14:paraId="6386598F">
            <w:pPr>
              <w:jc w:val="center"/>
              <w:rPr>
                <w:rFonts w:hint="eastAsia"/>
                <w:b w:val="0"/>
                <w:bCs/>
                <w:color w:val="auto"/>
                <w:szCs w:val="21"/>
                <w:highlight w:val="none"/>
                <w:u w:val="none"/>
                <w:vertAlign w:val="baseline"/>
                <w:lang w:val="zh-CN"/>
              </w:rPr>
            </w:pPr>
          </w:p>
        </w:tc>
      </w:tr>
    </w:tbl>
    <w:p w14:paraId="111A8E1A">
      <w:pPr>
        <w:spacing w:line="300" w:lineRule="auto"/>
        <w:rPr>
          <w:rFonts w:ascii="Arial" w:hAnsi="Arial" w:cs="Arial"/>
          <w:color w:val="auto"/>
          <w:szCs w:val="21"/>
          <w:highlight w:val="none"/>
        </w:rPr>
      </w:pPr>
    </w:p>
    <w:p w14:paraId="51101AF7">
      <w:pPr>
        <w:spacing w:line="300" w:lineRule="auto"/>
        <w:rPr>
          <w:rFonts w:ascii="Arial" w:hAnsi="Arial" w:cs="Arial"/>
          <w:color w:val="auto"/>
          <w:szCs w:val="21"/>
          <w:highlight w:val="none"/>
        </w:rPr>
      </w:pPr>
      <w:r>
        <w:rPr>
          <w:rFonts w:hint="eastAsia" w:ascii="Arial" w:hAnsi="Arial" w:cs="Arial"/>
          <w:color w:val="auto"/>
          <w:szCs w:val="21"/>
          <w:highlight w:val="none"/>
          <w:lang w:val="en-US" w:eastAsia="zh-CN"/>
        </w:rPr>
        <w:t>供应商</w:t>
      </w:r>
      <w:r>
        <w:rPr>
          <w:rFonts w:ascii="Arial" w:hAnsi="Arial" w:cs="Arial"/>
          <w:color w:val="auto"/>
          <w:szCs w:val="21"/>
          <w:highlight w:val="none"/>
        </w:rPr>
        <w:t>名称</w:t>
      </w:r>
      <w:r>
        <w:rPr>
          <w:rFonts w:hint="eastAsia" w:ascii="宋体" w:hAnsi="宋体" w:eastAsia="宋体" w:cs="宋体"/>
          <w:color w:val="auto"/>
          <w:kern w:val="0"/>
          <w:sz w:val="24"/>
          <w:szCs w:val="24"/>
          <w:highlight w:val="none"/>
          <w:lang w:eastAsia="zh-CN"/>
        </w:rPr>
        <w:t>（</w:t>
      </w:r>
      <w:r>
        <w:rPr>
          <w:rFonts w:hint="eastAsia" w:cs="宋体"/>
          <w:color w:val="auto"/>
          <w:kern w:val="0"/>
          <w:sz w:val="24"/>
          <w:szCs w:val="24"/>
          <w:highlight w:val="none"/>
          <w:lang w:eastAsia="zh-CN"/>
        </w:rPr>
        <w:t>公</w:t>
      </w:r>
      <w:r>
        <w:rPr>
          <w:rFonts w:hint="eastAsia" w:ascii="宋体" w:hAnsi="宋体" w:eastAsia="宋体" w:cs="宋体"/>
          <w:color w:val="auto"/>
          <w:kern w:val="0"/>
          <w:sz w:val="24"/>
          <w:szCs w:val="24"/>
          <w:highlight w:val="none"/>
          <w:lang w:eastAsia="zh-CN"/>
        </w:rPr>
        <w:t>章）</w:t>
      </w:r>
      <w:r>
        <w:rPr>
          <w:rFonts w:ascii="Arial" w:hAnsi="Arial" w:cs="Arial"/>
          <w:color w:val="auto"/>
          <w:szCs w:val="21"/>
          <w:highlight w:val="none"/>
        </w:rPr>
        <w:t>：</w:t>
      </w:r>
    </w:p>
    <w:p w14:paraId="2F327AC4">
      <w:pPr>
        <w:spacing w:line="300" w:lineRule="auto"/>
        <w:rPr>
          <w:rFonts w:ascii="Arial" w:hAnsi="Arial" w:cs="Arial"/>
          <w:color w:val="auto"/>
          <w:szCs w:val="21"/>
          <w:highlight w:val="none"/>
        </w:rPr>
      </w:pPr>
      <w:r>
        <w:rPr>
          <w:rFonts w:ascii="Arial" w:hAnsi="Arial" w:cs="Arial"/>
          <w:color w:val="auto"/>
          <w:szCs w:val="21"/>
          <w:highlight w:val="none"/>
        </w:rPr>
        <w:t>日期：</w:t>
      </w:r>
    </w:p>
    <w:p w14:paraId="27628D55">
      <w:pPr>
        <w:spacing w:line="240" w:lineRule="auto"/>
        <w:rPr>
          <w:rFonts w:hint="eastAsia" w:ascii="宋体" w:hAnsi="宋体" w:eastAsia="宋体" w:cs="宋体"/>
          <w:b/>
          <w:color w:val="auto"/>
          <w:sz w:val="24"/>
          <w:szCs w:val="24"/>
          <w:highlight w:val="none"/>
          <w:lang w:eastAsia="zh-CN"/>
        </w:rPr>
      </w:pPr>
    </w:p>
    <w:p w14:paraId="4681585F">
      <w:pPr>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lang w:eastAsia="zh-CN"/>
        </w:rPr>
        <w:t>注：</w:t>
      </w:r>
      <w:r>
        <w:rPr>
          <w:rFonts w:hint="eastAsia" w:ascii="宋体" w:hAnsi="宋体" w:eastAsia="宋体" w:cs="宋体"/>
          <w:color w:val="auto"/>
          <w:sz w:val="21"/>
          <w:szCs w:val="21"/>
          <w:highlight w:val="none"/>
          <w:lang w:val="en-US" w:eastAsia="zh-CN"/>
        </w:rPr>
        <w:t>1.</w:t>
      </w:r>
      <w:r>
        <w:rPr>
          <w:rFonts w:hint="default" w:ascii="宋体" w:hAnsi="宋体" w:eastAsia="宋体" w:cs="宋体"/>
          <w:color w:val="auto"/>
          <w:sz w:val="21"/>
          <w:szCs w:val="21"/>
          <w:highlight w:val="none"/>
          <w:lang w:val="en-US" w:eastAsia="zh-CN"/>
        </w:rPr>
        <w:t>按照本表填写的</w:t>
      </w:r>
      <w:r>
        <w:rPr>
          <w:rFonts w:hint="eastAsia" w:cs="宋体"/>
          <w:color w:val="auto"/>
          <w:sz w:val="21"/>
          <w:szCs w:val="21"/>
          <w:highlight w:val="none"/>
          <w:lang w:val="en-US" w:eastAsia="zh-CN"/>
        </w:rPr>
        <w:t>总</w:t>
      </w:r>
      <w:r>
        <w:rPr>
          <w:rFonts w:hint="default" w:ascii="宋体" w:hAnsi="宋体" w:eastAsia="宋体" w:cs="宋体"/>
          <w:color w:val="auto"/>
          <w:sz w:val="21"/>
          <w:szCs w:val="21"/>
          <w:highlight w:val="none"/>
          <w:lang w:val="en-US" w:eastAsia="zh-CN"/>
        </w:rPr>
        <w:t>价填写到</w:t>
      </w:r>
      <w:r>
        <w:rPr>
          <w:rFonts w:hint="eastAsia" w:ascii="宋体" w:hAnsi="宋体" w:eastAsia="宋体" w:cs="宋体"/>
          <w:color w:val="auto"/>
          <w:sz w:val="21"/>
          <w:szCs w:val="21"/>
          <w:highlight w:val="none"/>
          <w:lang w:val="en-US" w:eastAsia="zh-CN"/>
        </w:rPr>
        <w:t>“</w:t>
      </w:r>
      <w:r>
        <w:rPr>
          <w:rFonts w:hint="eastAsia" w:cs="宋体"/>
          <w:color w:val="auto"/>
          <w:sz w:val="21"/>
          <w:szCs w:val="21"/>
          <w:highlight w:val="none"/>
          <w:lang w:val="en-US" w:eastAsia="zh-CN"/>
        </w:rPr>
        <w:t>报价</w:t>
      </w:r>
      <w:r>
        <w:rPr>
          <w:rFonts w:hint="eastAsia" w:ascii="宋体" w:hAnsi="宋体" w:eastAsia="宋体" w:cs="宋体"/>
          <w:color w:val="auto"/>
          <w:sz w:val="21"/>
          <w:szCs w:val="21"/>
          <w:highlight w:val="none"/>
          <w:lang w:val="en-US" w:eastAsia="zh-CN"/>
        </w:rPr>
        <w:t>一览表”</w:t>
      </w:r>
      <w:r>
        <w:rPr>
          <w:rFonts w:hint="default" w:ascii="宋体" w:hAnsi="宋体" w:eastAsia="宋体" w:cs="宋体"/>
          <w:color w:val="auto"/>
          <w:sz w:val="21"/>
          <w:szCs w:val="21"/>
          <w:highlight w:val="none"/>
          <w:lang w:val="en-US" w:eastAsia="zh-CN"/>
        </w:rPr>
        <w:t>中对应的</w:t>
      </w:r>
      <w:r>
        <w:rPr>
          <w:rFonts w:hint="eastAsia" w:cs="宋体"/>
          <w:color w:val="auto"/>
          <w:sz w:val="21"/>
          <w:szCs w:val="21"/>
          <w:highlight w:val="none"/>
          <w:lang w:val="en-US" w:eastAsia="zh-CN"/>
        </w:rPr>
        <w:t>“磋商报价”</w:t>
      </w:r>
      <w:r>
        <w:rPr>
          <w:rFonts w:hint="default" w:ascii="宋体" w:hAnsi="宋体" w:eastAsia="宋体" w:cs="宋体"/>
          <w:color w:val="auto"/>
          <w:sz w:val="21"/>
          <w:szCs w:val="21"/>
          <w:highlight w:val="none"/>
          <w:lang w:val="en-US" w:eastAsia="zh-CN"/>
        </w:rPr>
        <w:t>栏中。</w:t>
      </w:r>
    </w:p>
    <w:p w14:paraId="6B43AF2E">
      <w:pPr>
        <w:spacing w:line="360" w:lineRule="auto"/>
        <w:ind w:firstLine="420" w:firstLineChars="200"/>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表中所列货物为对应本项目需求的全部货物及所需附件购置费、包装费、运输费、人工费、保险费、安装调试费、各种税费、资料费、售后服务费及完成项目应有的全部费用。如有漏项或缺项，供应商承担全部责任。</w:t>
      </w:r>
    </w:p>
    <w:p w14:paraId="06F958A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3</w:t>
      </w:r>
      <w:r>
        <w:rPr>
          <w:rFonts w:hint="eastAsia" w:ascii="宋体" w:hAnsi="宋体" w:eastAsia="宋体" w:cs="宋体"/>
          <w:color w:val="auto"/>
          <w:sz w:val="21"/>
          <w:szCs w:val="21"/>
          <w:highlight w:val="none"/>
        </w:rPr>
        <w:t>.表中须明确列出所投产品的</w:t>
      </w:r>
      <w:r>
        <w:rPr>
          <w:rFonts w:hint="eastAsia" w:cs="宋体"/>
          <w:color w:val="auto"/>
          <w:sz w:val="21"/>
          <w:szCs w:val="21"/>
          <w:highlight w:val="none"/>
          <w:lang w:val="en-US" w:eastAsia="zh-CN"/>
        </w:rPr>
        <w:t>分项</w:t>
      </w:r>
      <w:r>
        <w:rPr>
          <w:rFonts w:hint="eastAsia" w:ascii="宋体" w:hAnsi="宋体" w:eastAsia="宋体" w:cs="宋体"/>
          <w:color w:val="auto"/>
          <w:sz w:val="21"/>
          <w:szCs w:val="21"/>
          <w:highlight w:val="none"/>
        </w:rPr>
        <w:t>名称、</w:t>
      </w:r>
      <w:r>
        <w:rPr>
          <w:rFonts w:hint="eastAsia" w:cs="宋体"/>
          <w:color w:val="auto"/>
          <w:sz w:val="21"/>
          <w:szCs w:val="21"/>
          <w:highlight w:val="none"/>
          <w:lang w:val="en-US" w:eastAsia="zh-CN"/>
        </w:rPr>
        <w:t>制造商、</w:t>
      </w:r>
      <w:r>
        <w:rPr>
          <w:rFonts w:hint="eastAsia" w:cs="宋体"/>
          <w:b w:val="0"/>
          <w:bCs/>
          <w:color w:val="auto"/>
          <w:sz w:val="21"/>
          <w:szCs w:val="21"/>
          <w:highlight w:val="none"/>
          <w:lang w:val="en-US" w:eastAsia="zh-CN"/>
        </w:rPr>
        <w:t>产地/国别、</w:t>
      </w:r>
      <w:r>
        <w:rPr>
          <w:rFonts w:hint="eastAsia" w:ascii="宋体" w:hAnsi="宋体" w:eastAsia="宋体" w:cs="宋体"/>
          <w:b w:val="0"/>
          <w:bCs/>
          <w:color w:val="auto"/>
          <w:sz w:val="21"/>
          <w:szCs w:val="21"/>
          <w:highlight w:val="none"/>
          <w:lang w:val="en-US" w:eastAsia="zh-CN"/>
        </w:rPr>
        <w:t>制造商统一社会信用代码</w:t>
      </w:r>
      <w:r>
        <w:rPr>
          <w:rFonts w:hint="eastAsia" w:cs="宋体"/>
          <w:b w:val="0"/>
          <w:bCs/>
          <w:color w:val="auto"/>
          <w:sz w:val="21"/>
          <w:szCs w:val="21"/>
          <w:highlight w:val="none"/>
          <w:lang w:val="en-US" w:eastAsia="zh-CN"/>
        </w:rPr>
        <w:t>、</w:t>
      </w:r>
      <w:r>
        <w:rPr>
          <w:rFonts w:hint="eastAsia" w:ascii="宋体" w:hAnsi="宋体" w:eastAsia="宋体" w:cs="宋体"/>
          <w:b w:val="0"/>
          <w:bCs/>
          <w:color w:val="auto"/>
          <w:sz w:val="21"/>
          <w:szCs w:val="21"/>
          <w:highlight w:val="none"/>
          <w:lang w:val="en-US" w:eastAsia="zh-CN"/>
        </w:rPr>
        <w:t>制造商规模</w:t>
      </w:r>
      <w:r>
        <w:rPr>
          <w:rFonts w:hint="eastAsia" w:cs="宋体"/>
          <w:b w:val="0"/>
          <w:bCs/>
          <w:color w:val="auto"/>
          <w:sz w:val="21"/>
          <w:szCs w:val="21"/>
          <w:highlight w:val="none"/>
          <w:lang w:val="en-US" w:eastAsia="zh-CN"/>
        </w:rPr>
        <w:t>、制造商所属性别、外商投资类型、</w:t>
      </w:r>
      <w:r>
        <w:rPr>
          <w:rFonts w:hint="eastAsia" w:ascii="宋体" w:hAnsi="宋体" w:eastAsia="宋体" w:cs="宋体"/>
          <w:color w:val="auto"/>
          <w:sz w:val="21"/>
          <w:szCs w:val="21"/>
          <w:highlight w:val="none"/>
        </w:rPr>
        <w:t>品牌、</w:t>
      </w:r>
      <w:r>
        <w:rPr>
          <w:rFonts w:hint="eastAsia" w:cs="宋体"/>
          <w:color w:val="auto"/>
          <w:sz w:val="21"/>
          <w:szCs w:val="21"/>
          <w:highlight w:val="none"/>
          <w:lang w:eastAsia="zh-CN"/>
        </w:rPr>
        <w:t>规格、</w:t>
      </w:r>
      <w:r>
        <w:rPr>
          <w:rFonts w:hint="eastAsia" w:ascii="宋体" w:hAnsi="宋体" w:eastAsia="宋体" w:cs="宋体"/>
          <w:color w:val="auto"/>
          <w:sz w:val="21"/>
          <w:szCs w:val="21"/>
          <w:highlight w:val="none"/>
        </w:rPr>
        <w:t>型号、</w:t>
      </w:r>
      <w:r>
        <w:rPr>
          <w:rFonts w:hint="eastAsia" w:cs="宋体"/>
          <w:color w:val="auto"/>
          <w:sz w:val="21"/>
          <w:szCs w:val="21"/>
          <w:highlight w:val="none"/>
          <w:lang w:eastAsia="zh-CN"/>
        </w:rPr>
        <w:t>单价、数量、</w:t>
      </w:r>
      <w:r>
        <w:rPr>
          <w:rFonts w:hint="eastAsia" w:cs="宋体"/>
          <w:color w:val="auto"/>
          <w:sz w:val="21"/>
          <w:szCs w:val="21"/>
          <w:highlight w:val="none"/>
          <w:lang w:val="en-US" w:eastAsia="zh-CN"/>
        </w:rPr>
        <w:t>合价等</w:t>
      </w:r>
      <w:r>
        <w:rPr>
          <w:rFonts w:hint="eastAsia" w:ascii="宋体" w:hAnsi="宋体" w:eastAsia="宋体" w:cs="宋体"/>
          <w:color w:val="auto"/>
          <w:sz w:val="21"/>
          <w:szCs w:val="21"/>
          <w:highlight w:val="none"/>
        </w:rPr>
        <w:t>，否则可能导致</w:t>
      </w:r>
      <w:r>
        <w:rPr>
          <w:rFonts w:hint="eastAsia" w:ascii="宋体" w:hAnsi="宋体" w:eastAsia="宋体" w:cs="宋体"/>
          <w:b/>
          <w:bCs/>
          <w:color w:val="auto"/>
          <w:sz w:val="21"/>
          <w:szCs w:val="21"/>
          <w:highlight w:val="none"/>
        </w:rPr>
        <w:t>响应无效</w:t>
      </w:r>
      <w:r>
        <w:rPr>
          <w:rFonts w:hint="eastAsia" w:ascii="宋体" w:hAnsi="宋体" w:eastAsia="宋体" w:cs="宋体"/>
          <w:color w:val="auto"/>
          <w:sz w:val="21"/>
          <w:szCs w:val="21"/>
          <w:highlight w:val="none"/>
        </w:rPr>
        <w:t>。</w:t>
      </w:r>
    </w:p>
    <w:p w14:paraId="66C30DF1">
      <w:pPr>
        <w:keepNext w:val="0"/>
        <w:keepLines w:val="0"/>
        <w:widowControl/>
        <w:suppressLineNumbers w:val="0"/>
        <w:jc w:val="left"/>
        <w:rPr>
          <w:rFonts w:hint="eastAsia" w:ascii="宋体" w:hAnsi="宋体" w:eastAsia="宋体" w:cs="宋体"/>
          <w:b/>
          <w:bCs/>
          <w:i w:val="0"/>
          <w:iCs w:val="0"/>
          <w:color w:val="auto"/>
          <w:kern w:val="0"/>
          <w:sz w:val="21"/>
          <w:szCs w:val="21"/>
          <w:highlight w:val="none"/>
          <w:lang w:val="en-US" w:eastAsia="zh-CN" w:bidi="ar"/>
        </w:rPr>
      </w:pPr>
    </w:p>
    <w:p w14:paraId="25FACF75">
      <w:pPr>
        <w:keepNext w:val="0"/>
        <w:keepLines w:val="0"/>
        <w:widowControl/>
        <w:suppressLineNumbers w:val="0"/>
        <w:jc w:val="left"/>
        <w:rPr>
          <w:rFonts w:hint="eastAsia" w:ascii="宋体" w:hAnsi="宋体" w:eastAsia="宋体" w:cs="宋体"/>
          <w:b w:val="0"/>
          <w:bCs w:val="0"/>
          <w:i w:val="0"/>
          <w:iCs w:val="0"/>
          <w:color w:val="auto"/>
          <w:kern w:val="0"/>
          <w:sz w:val="21"/>
          <w:szCs w:val="21"/>
          <w:highlight w:val="none"/>
          <w:lang w:val="en-US" w:eastAsia="zh-CN" w:bidi="ar"/>
        </w:rPr>
      </w:pPr>
      <w:r>
        <w:rPr>
          <w:rFonts w:hint="eastAsia" w:ascii="宋体" w:hAnsi="宋体" w:eastAsia="宋体" w:cs="宋体"/>
          <w:b/>
          <w:bCs/>
          <w:i w:val="0"/>
          <w:iCs w:val="0"/>
          <w:color w:val="auto"/>
          <w:kern w:val="0"/>
          <w:sz w:val="21"/>
          <w:szCs w:val="21"/>
          <w:highlight w:val="none"/>
          <w:lang w:val="en-US" w:eastAsia="zh-CN" w:bidi="ar"/>
        </w:rPr>
        <w:t>填写说明：</w:t>
      </w:r>
      <w:r>
        <w:rPr>
          <w:rFonts w:hint="eastAsia" w:ascii="宋体" w:hAnsi="宋体" w:eastAsia="宋体" w:cs="宋体"/>
          <w:b w:val="0"/>
          <w:bCs w:val="0"/>
          <w:i w:val="0"/>
          <w:iCs w:val="0"/>
          <w:color w:val="auto"/>
          <w:kern w:val="0"/>
          <w:sz w:val="21"/>
          <w:szCs w:val="21"/>
          <w:highlight w:val="none"/>
          <w:lang w:val="en-US" w:eastAsia="zh-CN" w:bidi="ar"/>
        </w:rPr>
        <w:t>1、</w:t>
      </w:r>
      <w:r>
        <w:rPr>
          <w:rFonts w:hint="eastAsia" w:cs="宋体"/>
          <w:b w:val="0"/>
          <w:bCs w:val="0"/>
          <w:i w:val="0"/>
          <w:iCs w:val="0"/>
          <w:color w:val="auto"/>
          <w:kern w:val="0"/>
          <w:sz w:val="21"/>
          <w:szCs w:val="21"/>
          <w:highlight w:val="none"/>
          <w:lang w:val="en-US" w:eastAsia="zh-CN" w:bidi="ar"/>
        </w:rPr>
        <w:t>“</w:t>
      </w:r>
      <w:r>
        <w:rPr>
          <w:rFonts w:hint="eastAsia" w:ascii="宋体" w:hAnsi="宋体" w:eastAsia="宋体" w:cs="宋体"/>
          <w:b w:val="0"/>
          <w:bCs w:val="0"/>
          <w:i w:val="0"/>
          <w:iCs w:val="0"/>
          <w:color w:val="auto"/>
          <w:kern w:val="0"/>
          <w:sz w:val="21"/>
          <w:szCs w:val="21"/>
          <w:highlight w:val="none"/>
          <w:lang w:val="en-US" w:eastAsia="zh-CN" w:bidi="ar"/>
        </w:rPr>
        <w:t>制造商规模</w:t>
      </w:r>
      <w:r>
        <w:rPr>
          <w:rFonts w:hint="eastAsia" w:cs="宋体"/>
          <w:b w:val="0"/>
          <w:bCs w:val="0"/>
          <w:i w:val="0"/>
          <w:iCs w:val="0"/>
          <w:color w:val="auto"/>
          <w:kern w:val="0"/>
          <w:sz w:val="21"/>
          <w:szCs w:val="21"/>
          <w:highlight w:val="none"/>
          <w:lang w:val="en-US" w:eastAsia="zh-CN" w:bidi="ar"/>
        </w:rPr>
        <w:t>”</w:t>
      </w:r>
      <w:r>
        <w:rPr>
          <w:rFonts w:hint="eastAsia" w:ascii="宋体" w:hAnsi="宋体" w:eastAsia="宋体" w:cs="宋体"/>
          <w:b w:val="0"/>
          <w:bCs w:val="0"/>
          <w:i w:val="0"/>
          <w:iCs w:val="0"/>
          <w:color w:val="auto"/>
          <w:kern w:val="0"/>
          <w:sz w:val="21"/>
          <w:szCs w:val="21"/>
          <w:highlight w:val="none"/>
          <w:lang w:val="en-US" w:eastAsia="zh-CN" w:bidi="ar"/>
        </w:rPr>
        <w:t>请填写“大型”、“中型”、“小型”、“微型”或“其他”，且不应与《中小企业声明函》或《拟分包情况说明》中内容矛盾。</w:t>
      </w:r>
    </w:p>
    <w:p w14:paraId="7811222F">
      <w:pPr>
        <w:keepNext w:val="0"/>
        <w:keepLines w:val="0"/>
        <w:widowControl/>
        <w:suppressLineNumbers w:val="0"/>
        <w:ind w:firstLine="1050" w:firstLineChars="500"/>
        <w:jc w:val="left"/>
        <w:rPr>
          <w:rFonts w:hint="eastAsia" w:ascii="宋体" w:hAnsi="宋体" w:eastAsia="宋体" w:cs="宋体"/>
          <w:b w:val="0"/>
          <w:bCs w:val="0"/>
          <w:i w:val="0"/>
          <w:iCs w:val="0"/>
          <w:color w:val="auto"/>
          <w:sz w:val="21"/>
          <w:szCs w:val="21"/>
          <w:highlight w:val="none"/>
        </w:rPr>
      </w:pPr>
      <w:r>
        <w:rPr>
          <w:rFonts w:hint="eastAsia" w:ascii="宋体" w:hAnsi="宋体" w:eastAsia="宋体" w:cs="宋体"/>
          <w:b w:val="0"/>
          <w:bCs w:val="0"/>
          <w:i w:val="0"/>
          <w:iCs w:val="0"/>
          <w:color w:val="auto"/>
          <w:kern w:val="0"/>
          <w:sz w:val="21"/>
          <w:szCs w:val="21"/>
          <w:highlight w:val="none"/>
          <w:lang w:val="en-US" w:eastAsia="zh-CN" w:bidi="ar"/>
        </w:rPr>
        <w:t>2、</w:t>
      </w:r>
      <w:r>
        <w:rPr>
          <w:rFonts w:hint="eastAsia" w:cs="宋体"/>
          <w:b w:val="0"/>
          <w:bCs w:val="0"/>
          <w:i w:val="0"/>
          <w:iCs w:val="0"/>
          <w:color w:val="auto"/>
          <w:kern w:val="0"/>
          <w:sz w:val="21"/>
          <w:szCs w:val="21"/>
          <w:highlight w:val="none"/>
          <w:lang w:val="en-US" w:eastAsia="zh-CN" w:bidi="ar"/>
        </w:rPr>
        <w:t>“制造</w:t>
      </w:r>
      <w:r>
        <w:rPr>
          <w:rFonts w:hint="eastAsia" w:ascii="宋体" w:hAnsi="宋体" w:eastAsia="宋体" w:cs="宋体"/>
          <w:b w:val="0"/>
          <w:bCs w:val="0"/>
          <w:i w:val="0"/>
          <w:iCs w:val="0"/>
          <w:color w:val="auto"/>
          <w:kern w:val="0"/>
          <w:sz w:val="21"/>
          <w:szCs w:val="21"/>
          <w:highlight w:val="none"/>
          <w:lang w:val="en-US" w:eastAsia="zh-CN" w:bidi="ar"/>
        </w:rPr>
        <w:t>商实际控制人性别</w:t>
      </w:r>
      <w:r>
        <w:rPr>
          <w:rFonts w:hint="eastAsia" w:cs="宋体"/>
          <w:b w:val="0"/>
          <w:bCs w:val="0"/>
          <w:i w:val="0"/>
          <w:iCs w:val="0"/>
          <w:color w:val="auto"/>
          <w:kern w:val="0"/>
          <w:sz w:val="21"/>
          <w:szCs w:val="21"/>
          <w:highlight w:val="none"/>
          <w:lang w:val="en-US" w:eastAsia="zh-CN" w:bidi="ar"/>
        </w:rPr>
        <w:t>”</w:t>
      </w:r>
      <w:r>
        <w:rPr>
          <w:rFonts w:hint="eastAsia" w:ascii="宋体" w:hAnsi="宋体" w:eastAsia="宋体" w:cs="宋体"/>
          <w:b w:val="0"/>
          <w:bCs w:val="0"/>
          <w:i w:val="0"/>
          <w:iCs w:val="0"/>
          <w:color w:val="auto"/>
          <w:kern w:val="0"/>
          <w:sz w:val="21"/>
          <w:szCs w:val="21"/>
          <w:highlight w:val="none"/>
          <w:lang w:val="en-US" w:eastAsia="zh-CN" w:bidi="ar"/>
        </w:rPr>
        <w:t>按</w:t>
      </w:r>
      <w:r>
        <w:rPr>
          <w:rFonts w:hint="eastAsia" w:cs="宋体"/>
          <w:b w:val="0"/>
          <w:bCs w:val="0"/>
          <w:i w:val="0"/>
          <w:iCs w:val="0"/>
          <w:color w:val="auto"/>
          <w:kern w:val="0"/>
          <w:sz w:val="21"/>
          <w:szCs w:val="21"/>
          <w:highlight w:val="none"/>
          <w:lang w:val="en-US" w:eastAsia="zh-CN" w:bidi="ar"/>
        </w:rPr>
        <w:t>制造</w:t>
      </w:r>
      <w:r>
        <w:rPr>
          <w:rFonts w:hint="eastAsia" w:ascii="宋体" w:hAnsi="宋体" w:eastAsia="宋体" w:cs="宋体"/>
          <w:b w:val="0"/>
          <w:bCs w:val="0"/>
          <w:i w:val="0"/>
          <w:iCs w:val="0"/>
          <w:color w:val="auto"/>
          <w:kern w:val="0"/>
          <w:sz w:val="21"/>
          <w:szCs w:val="21"/>
          <w:highlight w:val="none"/>
          <w:lang w:val="en-US" w:eastAsia="zh-CN" w:bidi="ar"/>
        </w:rPr>
        <w:t xml:space="preserve">商实际控制人性别划分请填写“男”或“女”，指拥有制造商 51%以上绝对所有权的性别；绝对所有权拥有者可以是一个人，也可以是多人合计计算。 </w:t>
      </w:r>
    </w:p>
    <w:p w14:paraId="43EF62E6">
      <w:pPr>
        <w:spacing w:line="300" w:lineRule="auto"/>
        <w:ind w:firstLine="1050" w:firstLineChars="500"/>
        <w:rPr>
          <w:rFonts w:hint="eastAsia" w:ascii="宋体" w:hAnsi="宋体" w:eastAsia="宋体" w:cs="宋体"/>
          <w:color w:val="auto"/>
          <w:sz w:val="21"/>
          <w:szCs w:val="21"/>
          <w:highlight w:val="none"/>
        </w:rPr>
        <w:sectPr>
          <w:pgSz w:w="16838" w:h="11906" w:orient="landscape"/>
          <w:pgMar w:top="1803" w:right="1440" w:bottom="1803" w:left="1440" w:header="851" w:footer="992" w:gutter="0"/>
          <w:pgBorders>
            <w:top w:val="none" w:sz="0" w:space="0"/>
            <w:left w:val="none" w:sz="0" w:space="0"/>
            <w:bottom w:val="none" w:sz="0" w:space="0"/>
            <w:right w:val="none" w:sz="0" w:space="0"/>
          </w:pgBorders>
          <w:pgNumType w:fmt="numberInDash"/>
          <w:cols w:space="0" w:num="1"/>
          <w:rtlGutter w:val="0"/>
          <w:docGrid w:type="lines" w:linePitch="332" w:charSpace="0"/>
        </w:sectPr>
      </w:pPr>
      <w:r>
        <w:rPr>
          <w:rFonts w:hint="eastAsia" w:ascii="宋体" w:hAnsi="宋体" w:eastAsia="宋体" w:cs="宋体"/>
          <w:b w:val="0"/>
          <w:bCs w:val="0"/>
          <w:i w:val="0"/>
          <w:iCs w:val="0"/>
          <w:color w:val="auto"/>
          <w:kern w:val="0"/>
          <w:sz w:val="21"/>
          <w:szCs w:val="21"/>
          <w:highlight w:val="none"/>
          <w:lang w:val="en-US" w:eastAsia="zh-CN" w:bidi="ar"/>
        </w:rPr>
        <w:t>3、</w:t>
      </w:r>
      <w:r>
        <w:rPr>
          <w:rFonts w:hint="eastAsia" w:cs="宋体"/>
          <w:b w:val="0"/>
          <w:bCs w:val="0"/>
          <w:i w:val="0"/>
          <w:iCs w:val="0"/>
          <w:color w:val="auto"/>
          <w:kern w:val="0"/>
          <w:sz w:val="21"/>
          <w:szCs w:val="21"/>
          <w:highlight w:val="none"/>
          <w:lang w:val="en-US" w:eastAsia="zh-CN" w:bidi="ar"/>
        </w:rPr>
        <w:t>“</w:t>
      </w:r>
      <w:r>
        <w:rPr>
          <w:rFonts w:hint="eastAsia" w:ascii="宋体" w:hAnsi="宋体" w:eastAsia="宋体" w:cs="宋体"/>
          <w:b w:val="0"/>
          <w:bCs w:val="0"/>
          <w:i w:val="0"/>
          <w:iCs w:val="0"/>
          <w:color w:val="auto"/>
          <w:kern w:val="0"/>
          <w:sz w:val="21"/>
          <w:szCs w:val="21"/>
          <w:highlight w:val="none"/>
          <w:lang w:val="en-US" w:eastAsia="zh-CN" w:bidi="ar"/>
        </w:rPr>
        <w:t>外商投资类型</w:t>
      </w:r>
      <w:r>
        <w:rPr>
          <w:rFonts w:hint="eastAsia" w:cs="宋体"/>
          <w:b w:val="0"/>
          <w:bCs w:val="0"/>
          <w:i w:val="0"/>
          <w:iCs w:val="0"/>
          <w:color w:val="auto"/>
          <w:kern w:val="0"/>
          <w:sz w:val="21"/>
          <w:szCs w:val="21"/>
          <w:highlight w:val="none"/>
          <w:lang w:val="en-US" w:eastAsia="zh-CN" w:bidi="ar"/>
        </w:rPr>
        <w:t>”</w:t>
      </w:r>
      <w:r>
        <w:rPr>
          <w:rFonts w:hint="eastAsia" w:ascii="宋体" w:hAnsi="宋体" w:eastAsia="宋体" w:cs="宋体"/>
          <w:b w:val="0"/>
          <w:bCs w:val="0"/>
          <w:i w:val="0"/>
          <w:iCs w:val="0"/>
          <w:color w:val="auto"/>
          <w:kern w:val="0"/>
          <w:sz w:val="21"/>
          <w:szCs w:val="21"/>
          <w:highlight w:val="none"/>
          <w:lang w:val="en-US" w:eastAsia="zh-CN" w:bidi="ar"/>
        </w:rPr>
        <w:t>请填写“外商单独投资”、“外商部分投资”或“内资”。</w:t>
      </w:r>
    </w:p>
    <w:p w14:paraId="4A59D451">
      <w:pPr>
        <w:pStyle w:val="68"/>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color w:val="auto"/>
          <w:highlight w:val="none"/>
          <w:lang w:val="en-US" w:eastAsia="zh-CN"/>
        </w:rPr>
      </w:pPr>
    </w:p>
    <w:p w14:paraId="164FB4B2">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5EC829F4">
      <w:pPr>
        <w:autoSpaceDE w:val="0"/>
        <w:autoSpaceDN w:val="0"/>
        <w:adjustRightInd w:val="0"/>
        <w:rPr>
          <w:color w:val="auto"/>
          <w:sz w:val="21"/>
          <w:szCs w:val="24"/>
          <w:highlight w:val="none"/>
        </w:rPr>
      </w:pPr>
    </w:p>
    <w:p w14:paraId="0D39B890">
      <w:pPr>
        <w:autoSpaceDE w:val="0"/>
        <w:autoSpaceDN w:val="0"/>
        <w:adjustRightInd w:val="0"/>
        <w:rPr>
          <w:color w:val="auto"/>
          <w:sz w:val="21"/>
          <w:szCs w:val="24"/>
          <w:highlight w:val="none"/>
        </w:rPr>
      </w:pPr>
    </w:p>
    <w:p w14:paraId="2314362E">
      <w:pPr>
        <w:autoSpaceDE w:val="0"/>
        <w:autoSpaceDN w:val="0"/>
        <w:adjustRightInd w:val="0"/>
        <w:jc w:val="center"/>
        <w:rPr>
          <w:color w:val="auto"/>
          <w:sz w:val="21"/>
          <w:szCs w:val="24"/>
          <w:highlight w:val="none"/>
        </w:rPr>
      </w:pPr>
    </w:p>
    <w:p w14:paraId="6E0AECFB">
      <w:pPr>
        <w:pStyle w:val="3"/>
        <w:bidi w:val="0"/>
        <w:jc w:val="center"/>
        <w:rPr>
          <w:sz w:val="84"/>
          <w:szCs w:val="84"/>
          <w:highlight w:val="none"/>
        </w:rPr>
      </w:pPr>
      <w:bookmarkStart w:id="578" w:name="_Toc30541"/>
      <w:r>
        <w:rPr>
          <w:rFonts w:hint="eastAsia"/>
          <w:sz w:val="84"/>
          <w:szCs w:val="84"/>
          <w:highlight w:val="none"/>
          <w:lang w:val="en-US" w:eastAsia="zh-CN"/>
        </w:rPr>
        <w:t>响 应</w:t>
      </w:r>
      <w:r>
        <w:rPr>
          <w:rFonts w:hint="eastAsia"/>
          <w:sz w:val="84"/>
          <w:szCs w:val="84"/>
          <w:highlight w:val="none"/>
        </w:rPr>
        <w:t xml:space="preserve"> 文 件</w:t>
      </w:r>
      <w:bookmarkEnd w:id="578"/>
    </w:p>
    <w:p w14:paraId="4AF2D630">
      <w:pPr>
        <w:pStyle w:val="3"/>
        <w:bidi w:val="0"/>
        <w:jc w:val="center"/>
        <w:rPr>
          <w:rFonts w:hint="eastAsia"/>
          <w:sz w:val="56"/>
          <w:szCs w:val="56"/>
          <w:highlight w:val="none"/>
          <w:lang w:val="en-US" w:eastAsia="zh-CN"/>
        </w:rPr>
      </w:pPr>
      <w:bookmarkStart w:id="579" w:name="_Toc22748"/>
      <w:r>
        <w:rPr>
          <w:rFonts w:hint="eastAsia"/>
          <w:sz w:val="56"/>
          <w:szCs w:val="56"/>
          <w:highlight w:val="none"/>
          <w:lang w:val="en-US" w:eastAsia="zh-CN"/>
        </w:rPr>
        <w:t>商务技术文件</w:t>
      </w:r>
      <w:bookmarkEnd w:id="579"/>
    </w:p>
    <w:p w14:paraId="4C52C730">
      <w:pPr>
        <w:pStyle w:val="3"/>
        <w:rPr>
          <w:rFonts w:hint="eastAsia" w:eastAsia="宋体"/>
          <w:color w:val="auto"/>
          <w:sz w:val="21"/>
          <w:szCs w:val="21"/>
          <w:highlight w:val="none"/>
          <w:lang w:val="en-US" w:eastAsia="zh-CN"/>
        </w:rPr>
      </w:pPr>
      <w:r>
        <w:rPr>
          <w:rFonts w:hint="eastAsia"/>
          <w:color w:val="auto"/>
          <w:sz w:val="21"/>
          <w:szCs w:val="21"/>
          <w:highlight w:val="none"/>
          <w:lang w:val="en-US" w:eastAsia="zh-CN"/>
        </w:rPr>
        <w:t xml:space="preserve"> </w:t>
      </w:r>
    </w:p>
    <w:p w14:paraId="14C1B3A8">
      <w:pPr>
        <w:rPr>
          <w:color w:val="auto"/>
          <w:sz w:val="21"/>
          <w:szCs w:val="21"/>
          <w:highlight w:val="none"/>
        </w:rPr>
      </w:pPr>
    </w:p>
    <w:p w14:paraId="15227E06">
      <w:pPr>
        <w:rPr>
          <w:color w:val="auto"/>
          <w:highlight w:val="none"/>
        </w:rPr>
      </w:pPr>
    </w:p>
    <w:p w14:paraId="41D881B8">
      <w:pPr>
        <w:autoSpaceDE w:val="0"/>
        <w:autoSpaceDN w:val="0"/>
        <w:adjustRightInd w:val="0"/>
        <w:rPr>
          <w:color w:val="auto"/>
          <w:sz w:val="21"/>
          <w:szCs w:val="21"/>
          <w:highlight w:val="none"/>
        </w:rPr>
      </w:pPr>
    </w:p>
    <w:p w14:paraId="1C7F5439">
      <w:pPr>
        <w:autoSpaceDE w:val="0"/>
        <w:autoSpaceDN w:val="0"/>
        <w:adjustRightInd w:val="0"/>
        <w:rPr>
          <w:color w:val="auto"/>
          <w:sz w:val="21"/>
          <w:szCs w:val="21"/>
          <w:highlight w:val="none"/>
        </w:rPr>
      </w:pPr>
    </w:p>
    <w:p w14:paraId="037029E5">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538909E">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D86FB53">
      <w:pPr>
        <w:ind w:left="420" w:leftChars="175"/>
        <w:rPr>
          <w:rFonts w:hint="eastAsia" w:ascii="宋体" w:hAnsi="宋体" w:eastAsia="宋体" w:cs="宋体"/>
          <w:color w:val="auto"/>
          <w:sz w:val="36"/>
          <w:szCs w:val="36"/>
          <w:highlight w:val="none"/>
        </w:rPr>
      </w:pPr>
      <w:r>
        <w:rPr>
          <w:rFonts w:hint="eastAsia" w:cs="宋体"/>
          <w:color w:val="auto"/>
          <w:sz w:val="36"/>
          <w:szCs w:val="36"/>
          <w:highlight w:val="none"/>
          <w:lang w:val="en-US" w:eastAsia="zh-CN"/>
        </w:rPr>
        <w:t>供 应 商</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7C5E0224">
      <w:pPr>
        <w:jc w:val="center"/>
        <w:rPr>
          <w:rFonts w:ascii="黑体" w:hAnsi="黑体" w:eastAsia="黑体"/>
          <w:color w:val="auto"/>
          <w:sz w:val="32"/>
          <w:szCs w:val="32"/>
          <w:highlight w:val="none"/>
        </w:rPr>
      </w:pPr>
    </w:p>
    <w:p w14:paraId="5C2AEB63">
      <w:pPr>
        <w:rPr>
          <w:color w:val="auto"/>
          <w:highlight w:val="none"/>
          <w:lang w:val="zh-CN"/>
        </w:rPr>
      </w:pPr>
      <w:r>
        <w:rPr>
          <w:color w:val="auto"/>
          <w:highlight w:val="none"/>
          <w:lang w:val="zh-CN"/>
        </w:rPr>
        <w:br w:type="page"/>
      </w:r>
    </w:p>
    <w:p w14:paraId="374BEE88">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580" w:name="_Toc3577"/>
      <w:bookmarkStart w:id="581" w:name="_Toc109899489"/>
      <w:bookmarkStart w:id="582" w:name="_Toc109899908"/>
      <w:bookmarkStart w:id="583" w:name="_Toc109900327"/>
      <w:bookmarkStart w:id="584" w:name="_Toc155185921"/>
      <w:bookmarkStart w:id="585" w:name="_Toc25402"/>
      <w:bookmarkStart w:id="586" w:name="_Toc140132831"/>
      <w:bookmarkStart w:id="587" w:name="_Toc30582"/>
      <w:r>
        <w:rPr>
          <w:rFonts w:hint="eastAsia" w:eastAsia="宋体" w:asciiTheme="majorHAnsi" w:hAnsiTheme="majorHAnsi" w:cstheme="majorBidi"/>
          <w:b/>
          <w:bCs/>
          <w:color w:val="auto"/>
          <w:kern w:val="2"/>
          <w:sz w:val="32"/>
          <w:szCs w:val="32"/>
          <w:highlight w:val="none"/>
          <w:lang w:val="en-US" w:eastAsia="zh-CN" w:bidi="ar-SA"/>
        </w:rPr>
        <w:t>一、</w:t>
      </w:r>
      <w:r>
        <w:rPr>
          <w:rFonts w:hint="eastAsia" w:cstheme="majorBidi"/>
          <w:b/>
          <w:bCs/>
          <w:color w:val="auto"/>
          <w:kern w:val="2"/>
          <w:sz w:val="32"/>
          <w:szCs w:val="32"/>
          <w:highlight w:val="none"/>
          <w:lang w:val="en-US" w:eastAsia="zh-CN" w:bidi="ar-SA"/>
        </w:rPr>
        <w:t>响应</w:t>
      </w:r>
      <w:r>
        <w:rPr>
          <w:rFonts w:hint="eastAsia" w:eastAsia="宋体" w:asciiTheme="majorHAnsi" w:hAnsiTheme="majorHAnsi" w:cstheme="majorBidi"/>
          <w:b/>
          <w:bCs/>
          <w:color w:val="auto"/>
          <w:kern w:val="2"/>
          <w:sz w:val="32"/>
          <w:szCs w:val="32"/>
          <w:highlight w:val="none"/>
          <w:lang w:val="en-US" w:eastAsia="zh-CN" w:bidi="ar-SA"/>
        </w:rPr>
        <w:t>函</w:t>
      </w:r>
      <w:bookmarkEnd w:id="580"/>
      <w:bookmarkEnd w:id="581"/>
      <w:bookmarkEnd w:id="582"/>
      <w:bookmarkEnd w:id="583"/>
      <w:bookmarkEnd w:id="584"/>
      <w:bookmarkEnd w:id="585"/>
      <w:bookmarkEnd w:id="586"/>
      <w:bookmarkEnd w:id="587"/>
    </w:p>
    <w:p w14:paraId="0ABD9EA3">
      <w:pPr>
        <w:rPr>
          <w:color w:val="auto"/>
          <w:highlight w:val="none"/>
        </w:rPr>
      </w:pPr>
      <w:r>
        <w:rPr>
          <w:rFonts w:hint="eastAsia"/>
          <w:color w:val="auto"/>
          <w:highlight w:val="none"/>
        </w:rPr>
        <w:t>致：（采购人）</w:t>
      </w:r>
    </w:p>
    <w:p w14:paraId="35C4266A">
      <w:pPr>
        <w:ind w:firstLine="480" w:firstLineChars="200"/>
        <w:rPr>
          <w:rFonts w:cs="仿宋_GB2312"/>
          <w:b/>
          <w:bCs/>
          <w:color w:val="auto"/>
          <w:szCs w:val="24"/>
          <w:highlight w:val="none"/>
        </w:rPr>
      </w:pPr>
      <w:r>
        <w:rPr>
          <w:rFonts w:hint="eastAsia" w:cs="仿宋_GB2312"/>
          <w:color w:val="auto"/>
          <w:szCs w:val="24"/>
          <w:highlight w:val="none"/>
        </w:rPr>
        <w:t>根据贵方</w:t>
      </w:r>
      <w:r>
        <w:rPr>
          <w:rFonts w:hint="eastAsia" w:cs="仿宋_GB2312"/>
          <w:color w:val="auto"/>
          <w:szCs w:val="24"/>
          <w:highlight w:val="none"/>
          <w:u w:val="single"/>
        </w:rPr>
        <w:t>（项目名称）（项目编号</w:t>
      </w:r>
      <w:r>
        <w:rPr>
          <w:rFonts w:hint="eastAsia" w:cs="仿宋_GB2312"/>
          <w:color w:val="auto"/>
          <w:szCs w:val="24"/>
          <w:highlight w:val="none"/>
          <w:u w:val="single"/>
          <w:lang w:val="en-US" w:eastAsia="zh-CN"/>
        </w:rPr>
        <w:t>/包号</w:t>
      </w:r>
      <w:r>
        <w:rPr>
          <w:rFonts w:hint="eastAsia" w:cs="仿宋_GB2312"/>
          <w:color w:val="auto"/>
          <w:szCs w:val="24"/>
          <w:highlight w:val="none"/>
          <w:u w:val="single"/>
        </w:rPr>
        <w:t>）</w:t>
      </w:r>
      <w:r>
        <w:rPr>
          <w:rFonts w:hint="eastAsia" w:cs="仿宋_GB2312"/>
          <w:color w:val="auto"/>
          <w:szCs w:val="24"/>
          <w:highlight w:val="none"/>
          <w:lang w:val="en-US" w:eastAsia="zh-CN"/>
        </w:rPr>
        <w:t>项目</w:t>
      </w:r>
      <w:r>
        <w:rPr>
          <w:rFonts w:hint="eastAsia" w:cs="仿宋_GB2312"/>
          <w:color w:val="auto"/>
          <w:szCs w:val="24"/>
          <w:highlight w:val="none"/>
        </w:rPr>
        <w:t>的</w:t>
      </w:r>
      <w:r>
        <w:rPr>
          <w:rFonts w:hint="eastAsia" w:cs="仿宋_GB2312"/>
          <w:color w:val="auto"/>
          <w:szCs w:val="24"/>
          <w:highlight w:val="none"/>
          <w:lang w:val="en-US" w:eastAsia="zh-CN"/>
        </w:rPr>
        <w:t>竞争性磋商公告</w:t>
      </w:r>
      <w:r>
        <w:rPr>
          <w:rFonts w:hint="eastAsia" w:cs="仿宋_GB2312"/>
          <w:color w:val="auto"/>
          <w:szCs w:val="24"/>
          <w:highlight w:val="none"/>
        </w:rPr>
        <w:t>，签字代表</w:t>
      </w:r>
      <w:r>
        <w:rPr>
          <w:rFonts w:hint="eastAsia" w:cs="仿宋_GB2312"/>
          <w:color w:val="auto"/>
          <w:szCs w:val="24"/>
          <w:highlight w:val="none"/>
          <w:u w:val="single"/>
        </w:rPr>
        <w:t>（姓名、职务）</w:t>
      </w:r>
      <w:r>
        <w:rPr>
          <w:rFonts w:hint="eastAsia" w:cs="仿宋_GB2312"/>
          <w:color w:val="auto"/>
          <w:szCs w:val="24"/>
          <w:highlight w:val="none"/>
        </w:rPr>
        <w:t>经正式授权并代表</w:t>
      </w:r>
      <w:r>
        <w:rPr>
          <w:rFonts w:hint="eastAsia" w:cs="仿宋_GB2312"/>
          <w:color w:val="auto"/>
          <w:szCs w:val="24"/>
          <w:highlight w:val="none"/>
          <w:lang w:val="en-US" w:eastAsia="zh-CN"/>
        </w:rPr>
        <w:t>供应商</w:t>
      </w:r>
      <w:r>
        <w:rPr>
          <w:rFonts w:hint="eastAsia" w:cs="仿宋_GB2312"/>
          <w:color w:val="auto"/>
          <w:szCs w:val="24"/>
          <w:highlight w:val="none"/>
          <w:u w:val="single"/>
        </w:rPr>
        <w:t>（</w:t>
      </w:r>
      <w:r>
        <w:rPr>
          <w:rFonts w:hint="eastAsia" w:cs="仿宋_GB2312"/>
          <w:color w:val="auto"/>
          <w:szCs w:val="24"/>
          <w:highlight w:val="none"/>
          <w:u w:val="single"/>
          <w:lang w:val="en-US" w:eastAsia="zh-CN"/>
        </w:rPr>
        <w:t>供应商</w:t>
      </w:r>
      <w:r>
        <w:rPr>
          <w:rFonts w:hint="eastAsia" w:cs="仿宋_GB2312"/>
          <w:color w:val="auto"/>
          <w:szCs w:val="24"/>
          <w:highlight w:val="none"/>
          <w:u w:val="single"/>
        </w:rPr>
        <w:t>名称、地址）</w:t>
      </w:r>
      <w:r>
        <w:rPr>
          <w:rFonts w:hint="eastAsia" w:cs="仿宋_GB2312"/>
          <w:color w:val="auto"/>
          <w:szCs w:val="24"/>
          <w:highlight w:val="none"/>
        </w:rPr>
        <w:t>提交下述文件</w:t>
      </w:r>
      <w:r>
        <w:rPr>
          <w:rFonts w:hint="eastAsia" w:cs="仿宋_GB2312"/>
          <w:b/>
          <w:bCs/>
          <w:color w:val="auto"/>
          <w:szCs w:val="24"/>
          <w:highlight w:val="none"/>
        </w:rPr>
        <w:t>：</w:t>
      </w:r>
    </w:p>
    <w:p w14:paraId="31DE4B23">
      <w:pPr>
        <w:spacing w:line="324" w:lineRule="auto"/>
        <w:ind w:firstLine="480" w:firstLineChars="200"/>
        <w:rPr>
          <w:rFonts w:hint="eastAsia" w:cs="Arial"/>
          <w:color w:val="auto"/>
          <w:szCs w:val="24"/>
          <w:highlight w:val="none"/>
          <w:lang w:val="en-US" w:eastAsia="zh-CN"/>
        </w:rPr>
      </w:pPr>
      <w:r>
        <w:rPr>
          <w:rFonts w:hint="eastAsia" w:cs="Arial"/>
          <w:color w:val="auto"/>
          <w:szCs w:val="24"/>
          <w:highlight w:val="none"/>
          <w:lang w:val="en-US" w:eastAsia="zh-CN"/>
        </w:rPr>
        <w:t>1.资格证明文件；</w:t>
      </w:r>
    </w:p>
    <w:p w14:paraId="7E086E9D">
      <w:pPr>
        <w:spacing w:line="324" w:lineRule="auto"/>
        <w:ind w:firstLine="480" w:firstLineChars="200"/>
        <w:rPr>
          <w:rFonts w:hint="eastAsia" w:cs="Arial"/>
          <w:color w:val="auto"/>
          <w:szCs w:val="24"/>
          <w:highlight w:val="none"/>
          <w:lang w:val="en-US" w:eastAsia="zh-CN"/>
        </w:rPr>
      </w:pPr>
      <w:r>
        <w:rPr>
          <w:rFonts w:hint="eastAsia" w:cs="Arial"/>
          <w:color w:val="auto"/>
          <w:szCs w:val="24"/>
          <w:highlight w:val="none"/>
          <w:lang w:val="en-US" w:eastAsia="zh-CN"/>
        </w:rPr>
        <w:t>2.报价文件；</w:t>
      </w:r>
    </w:p>
    <w:p w14:paraId="260B7A8D">
      <w:pPr>
        <w:spacing w:line="324" w:lineRule="auto"/>
        <w:ind w:firstLine="480" w:firstLineChars="200"/>
        <w:rPr>
          <w:rFonts w:hint="default" w:cs="Arial"/>
          <w:color w:val="auto"/>
          <w:szCs w:val="24"/>
          <w:highlight w:val="none"/>
          <w:lang w:val="en-US" w:eastAsia="zh-CN"/>
        </w:rPr>
      </w:pPr>
      <w:r>
        <w:rPr>
          <w:rFonts w:hint="eastAsia" w:cs="Arial"/>
          <w:color w:val="auto"/>
          <w:szCs w:val="24"/>
          <w:highlight w:val="none"/>
          <w:lang w:val="en-US" w:eastAsia="zh-CN"/>
        </w:rPr>
        <w:t>3.商务技术文件。</w:t>
      </w:r>
    </w:p>
    <w:p w14:paraId="2038C573">
      <w:pPr>
        <w:spacing w:line="324" w:lineRule="auto"/>
        <w:ind w:firstLine="480" w:firstLineChars="200"/>
        <w:rPr>
          <w:rFonts w:cs="Arial"/>
          <w:color w:val="auto"/>
          <w:szCs w:val="24"/>
          <w:highlight w:val="none"/>
        </w:rPr>
      </w:pPr>
      <w:r>
        <w:rPr>
          <w:rFonts w:cs="Arial"/>
          <w:color w:val="auto"/>
          <w:szCs w:val="24"/>
          <w:highlight w:val="none"/>
        </w:rPr>
        <w:t>根据此函，签字代表宣布同意如下：</w:t>
      </w:r>
    </w:p>
    <w:p w14:paraId="7021F257">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cs="Arial"/>
          <w:color w:val="auto"/>
          <w:szCs w:val="24"/>
          <w:highlight w:val="none"/>
        </w:rPr>
        <w:t>所附</w:t>
      </w:r>
      <w:r>
        <w:rPr>
          <w:rFonts w:hint="eastAsia" w:cs="Arial"/>
          <w:color w:val="auto"/>
          <w:szCs w:val="24"/>
          <w:highlight w:val="none"/>
          <w:lang w:val="en-US" w:eastAsia="zh-CN"/>
        </w:rPr>
        <w:t>报价一览</w:t>
      </w:r>
      <w:r>
        <w:rPr>
          <w:rFonts w:cs="Arial"/>
          <w:color w:val="auto"/>
          <w:szCs w:val="24"/>
          <w:highlight w:val="none"/>
        </w:rPr>
        <w:t>表中规定的应提交和交付的</w:t>
      </w:r>
      <w:r>
        <w:rPr>
          <w:rFonts w:hint="eastAsia" w:cs="Arial"/>
          <w:color w:val="auto"/>
          <w:szCs w:val="24"/>
          <w:highlight w:val="none"/>
        </w:rPr>
        <w:t>货物</w:t>
      </w:r>
      <w:r>
        <w:rPr>
          <w:rFonts w:cs="Arial"/>
          <w:color w:val="auto"/>
          <w:szCs w:val="24"/>
          <w:highlight w:val="none"/>
        </w:rPr>
        <w:t>和</w:t>
      </w:r>
      <w:r>
        <w:rPr>
          <w:rFonts w:hint="eastAsia" w:cs="Arial"/>
          <w:color w:val="auto"/>
          <w:szCs w:val="24"/>
          <w:highlight w:val="none"/>
          <w:lang w:val="en-US" w:eastAsia="zh-CN"/>
        </w:rPr>
        <w:t>相关</w:t>
      </w:r>
      <w:r>
        <w:rPr>
          <w:rFonts w:cs="Arial"/>
          <w:color w:val="auto"/>
          <w:szCs w:val="24"/>
          <w:highlight w:val="none"/>
        </w:rPr>
        <w:t>服务</w:t>
      </w:r>
      <w:r>
        <w:rPr>
          <w:rFonts w:hint="eastAsia" w:cs="Arial"/>
          <w:color w:val="auto"/>
          <w:szCs w:val="24"/>
          <w:highlight w:val="none"/>
        </w:rPr>
        <w:t>（如有）</w:t>
      </w:r>
      <w:r>
        <w:rPr>
          <w:rFonts w:cs="Arial"/>
          <w:color w:val="auto"/>
          <w:szCs w:val="24"/>
          <w:highlight w:val="none"/>
        </w:rPr>
        <w:t>的</w:t>
      </w:r>
      <w:r>
        <w:rPr>
          <w:rFonts w:hint="eastAsia" w:cs="Arial"/>
          <w:color w:val="auto"/>
          <w:szCs w:val="24"/>
          <w:highlight w:val="none"/>
        </w:rPr>
        <w:t>报价</w:t>
      </w:r>
      <w:r>
        <w:rPr>
          <w:rFonts w:cs="Arial"/>
          <w:color w:val="auto"/>
          <w:szCs w:val="24"/>
          <w:highlight w:val="none"/>
        </w:rPr>
        <w:t>为</w:t>
      </w:r>
      <w:r>
        <w:rPr>
          <w:rFonts w:hint="eastAsia" w:cs="Arial"/>
          <w:color w:val="auto"/>
          <w:szCs w:val="24"/>
          <w:highlight w:val="none"/>
        </w:rPr>
        <w:t xml:space="preserve"> </w:t>
      </w:r>
      <w:r>
        <w:rPr>
          <w:rFonts w:hint="eastAsia" w:cs="Arial"/>
          <w:color w:val="auto"/>
          <w:szCs w:val="24"/>
          <w:highlight w:val="none"/>
          <w:u w:val="single"/>
        </w:rPr>
        <w:t xml:space="preserve">                  </w:t>
      </w:r>
      <w:r>
        <w:rPr>
          <w:rFonts w:cs="Arial"/>
          <w:color w:val="auto"/>
          <w:szCs w:val="24"/>
          <w:highlight w:val="none"/>
        </w:rPr>
        <w:t>。</w:t>
      </w:r>
    </w:p>
    <w:p w14:paraId="3FF1B405">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我方</w:t>
      </w:r>
      <w:r>
        <w:rPr>
          <w:rFonts w:cs="Arial"/>
          <w:color w:val="auto"/>
          <w:szCs w:val="24"/>
          <w:highlight w:val="none"/>
        </w:rPr>
        <w:t>将按</w:t>
      </w:r>
      <w:r>
        <w:rPr>
          <w:rFonts w:hint="eastAsia" w:cs="仿宋_GB2312"/>
          <w:color w:val="auto"/>
          <w:szCs w:val="24"/>
          <w:highlight w:val="none"/>
          <w:lang w:val="en-US" w:eastAsia="zh-CN"/>
        </w:rPr>
        <w:t>竞争性磋商</w:t>
      </w:r>
      <w:r>
        <w:rPr>
          <w:rFonts w:cs="Arial"/>
          <w:color w:val="auto"/>
          <w:szCs w:val="24"/>
          <w:highlight w:val="none"/>
        </w:rPr>
        <w:t>文件的规定履行合同责任和义务。</w:t>
      </w:r>
    </w:p>
    <w:p w14:paraId="464D767C">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rPr>
        <w:t>我方</w:t>
      </w:r>
      <w:r>
        <w:rPr>
          <w:rFonts w:cs="Arial"/>
          <w:color w:val="auto"/>
          <w:szCs w:val="24"/>
          <w:highlight w:val="none"/>
        </w:rPr>
        <w:t>已详细审查全部</w:t>
      </w:r>
      <w:r>
        <w:rPr>
          <w:rFonts w:hint="eastAsia" w:cs="仿宋_GB2312"/>
          <w:color w:val="auto"/>
          <w:szCs w:val="24"/>
          <w:highlight w:val="none"/>
          <w:lang w:val="en-US" w:eastAsia="zh-CN"/>
        </w:rPr>
        <w:t>竞争性磋商</w:t>
      </w:r>
      <w:r>
        <w:rPr>
          <w:rFonts w:cs="Arial"/>
          <w:color w:val="auto"/>
          <w:szCs w:val="24"/>
          <w:highlight w:val="none"/>
        </w:rPr>
        <w:t>文件</w:t>
      </w:r>
      <w:r>
        <w:rPr>
          <w:rFonts w:cs="Arial"/>
          <w:i w:val="0"/>
          <w:iCs w:val="0"/>
          <w:color w:val="auto"/>
          <w:szCs w:val="24"/>
          <w:highlight w:val="none"/>
        </w:rPr>
        <w:t>，包括第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70CAE828">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响应有效期为自提交响应文件的截止之日起</w:t>
      </w:r>
      <w:r>
        <w:rPr>
          <w:rFonts w:hint="eastAsia" w:cs="Arial"/>
          <w:i w:val="0"/>
          <w:iCs w:val="0"/>
          <w:color w:val="auto"/>
          <w:szCs w:val="24"/>
          <w:highlight w:val="none"/>
          <w:u w:val="single"/>
        </w:rPr>
        <w:t xml:space="preserve"> （由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填写）</w:t>
      </w:r>
      <w:r>
        <w:rPr>
          <w:rFonts w:cs="Arial"/>
          <w:i w:val="0"/>
          <w:iCs w:val="0"/>
          <w:color w:val="auto"/>
          <w:szCs w:val="24"/>
          <w:highlight w:val="none"/>
        </w:rPr>
        <w:t>个日历天。</w:t>
      </w:r>
    </w:p>
    <w:p w14:paraId="52EDF2A7">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竞争性磋商</w:t>
      </w:r>
      <w:r>
        <w:rPr>
          <w:rFonts w:hint="eastAsia" w:cs="Arial"/>
          <w:i w:val="0"/>
          <w:iCs w:val="0"/>
          <w:color w:val="auto"/>
          <w:szCs w:val="24"/>
          <w:highlight w:val="none"/>
        </w:rPr>
        <w:t>文件</w:t>
      </w:r>
      <w:r>
        <w:rPr>
          <w:rFonts w:cs="Arial"/>
          <w:i w:val="0"/>
          <w:iCs w:val="0"/>
          <w:color w:val="auto"/>
          <w:szCs w:val="24"/>
          <w:highlight w:val="none"/>
        </w:rPr>
        <w:t>要求的与其</w:t>
      </w:r>
      <w:r>
        <w:rPr>
          <w:rFonts w:hint="eastAsia" w:cs="Arial"/>
          <w:i w:val="0"/>
          <w:iCs w:val="0"/>
          <w:color w:val="auto"/>
          <w:szCs w:val="24"/>
          <w:highlight w:val="none"/>
          <w:lang w:val="en-US" w:eastAsia="zh-CN"/>
        </w:rPr>
        <w:t>磋商响应</w:t>
      </w:r>
      <w:r>
        <w:rPr>
          <w:rFonts w:cs="Arial"/>
          <w:i w:val="0"/>
          <w:iCs w:val="0"/>
          <w:color w:val="auto"/>
          <w:szCs w:val="24"/>
          <w:highlight w:val="none"/>
        </w:rPr>
        <w:t>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w:t>
      </w:r>
      <w:r>
        <w:rPr>
          <w:rFonts w:hint="eastAsia" w:cs="Arial"/>
          <w:i w:val="0"/>
          <w:iCs w:val="0"/>
          <w:color w:val="auto"/>
          <w:szCs w:val="24"/>
          <w:highlight w:val="none"/>
          <w:lang w:val="en-US" w:eastAsia="zh-CN"/>
        </w:rPr>
        <w:t>响应</w:t>
      </w:r>
      <w:r>
        <w:rPr>
          <w:rFonts w:cs="Arial"/>
          <w:i w:val="0"/>
          <w:iCs w:val="0"/>
          <w:color w:val="auto"/>
          <w:szCs w:val="24"/>
          <w:highlight w:val="none"/>
        </w:rPr>
        <w:t>。</w:t>
      </w:r>
    </w:p>
    <w:p w14:paraId="3CF5A66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w:t>
      </w:r>
      <w:r>
        <w:rPr>
          <w:rFonts w:hint="eastAsia" w:cs="Arial"/>
          <w:i w:val="0"/>
          <w:iCs w:val="0"/>
          <w:color w:val="auto"/>
          <w:szCs w:val="24"/>
          <w:highlight w:val="none"/>
          <w:lang w:val="en-US" w:eastAsia="zh-CN"/>
        </w:rPr>
        <w:t>成交</w:t>
      </w:r>
      <w:r>
        <w:rPr>
          <w:rFonts w:hint="eastAsia" w:cs="Arial"/>
          <w:i w:val="0"/>
          <w:iCs w:val="0"/>
          <w:color w:val="auto"/>
          <w:szCs w:val="24"/>
          <w:highlight w:val="none"/>
        </w:rPr>
        <w:t>人支付采购代理服务费，我方同意按</w:t>
      </w:r>
      <w:r>
        <w:rPr>
          <w:rFonts w:hint="eastAsia" w:cs="Arial"/>
          <w:i w:val="0"/>
          <w:iCs w:val="0"/>
          <w:color w:val="auto"/>
          <w:szCs w:val="24"/>
          <w:highlight w:val="none"/>
          <w:lang w:val="en-US" w:eastAsia="zh-CN"/>
        </w:rPr>
        <w:t>供应商</w:t>
      </w:r>
      <w:r>
        <w:rPr>
          <w:rFonts w:hint="eastAsia" w:cs="Arial"/>
          <w:i w:val="0"/>
          <w:iCs w:val="0"/>
          <w:color w:val="auto"/>
          <w:szCs w:val="24"/>
          <w:highlight w:val="none"/>
        </w:rPr>
        <w:t>须知前附表中规定向采购代理机构支付采购代理服务费。</w:t>
      </w:r>
    </w:p>
    <w:p w14:paraId="6A150207">
      <w:pPr>
        <w:numPr>
          <w:ilvl w:val="0"/>
          <w:numId w:val="0"/>
        </w:numPr>
        <w:snapToGrid w:val="0"/>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40AFB77A">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409D2F71">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0B2F52C6">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3BE8BBB8">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1103F8A2">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73BE978C">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4FC84088">
      <w:pPr>
        <w:spacing w:line="324" w:lineRule="auto"/>
        <w:ind w:firstLine="480" w:firstLineChars="200"/>
        <w:rPr>
          <w:color w:val="auto"/>
          <w:szCs w:val="24"/>
          <w:highlight w:val="none"/>
        </w:rPr>
      </w:pPr>
      <w:r>
        <w:rPr>
          <w:rFonts w:hint="eastAsia"/>
          <w:i w:val="0"/>
          <w:iCs w:val="0"/>
          <w:color w:val="auto"/>
          <w:szCs w:val="24"/>
          <w:highlight w:val="none"/>
        </w:rPr>
        <w:t>（备注：以上</w:t>
      </w:r>
      <w:r>
        <w:rPr>
          <w:i w:val="0"/>
          <w:iCs w:val="0"/>
          <w:color w:val="auto"/>
          <w:szCs w:val="24"/>
          <w:highlight w:val="none"/>
        </w:rPr>
        <w:t>3</w:t>
      </w:r>
      <w:r>
        <w:rPr>
          <w:rFonts w:hint="eastAsia"/>
          <w:i w:val="0"/>
          <w:iCs w:val="0"/>
          <w:color w:val="auto"/>
          <w:szCs w:val="24"/>
          <w:highlight w:val="none"/>
        </w:rPr>
        <w:t>项声明，必须如实选择，选中项用</w:t>
      </w:r>
      <w:r>
        <w:rPr>
          <w:rFonts w:hint="eastAsia"/>
          <w:i w:val="0"/>
          <w:iCs w:val="0"/>
          <w:color w:val="auto"/>
          <w:szCs w:val="24"/>
          <w:highlight w:val="none"/>
          <w:lang w:eastAsia="zh-CN"/>
        </w:rPr>
        <w:t>☑</w:t>
      </w:r>
      <w:r>
        <w:rPr>
          <w:rFonts w:hint="eastAsia"/>
          <w:i w:val="0"/>
          <w:iCs w:val="0"/>
          <w:color w:val="auto"/>
          <w:szCs w:val="24"/>
          <w:highlight w:val="none"/>
        </w:rPr>
        <w:t>表示，未选中项</w:t>
      </w:r>
      <w:r>
        <w:rPr>
          <w:rFonts w:hint="eastAsia"/>
          <w:color w:val="auto"/>
          <w:szCs w:val="24"/>
          <w:highlight w:val="none"/>
        </w:rPr>
        <w:t>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19A44DC4">
      <w:pPr>
        <w:snapToGrid w:val="0"/>
        <w:spacing w:line="324" w:lineRule="auto"/>
        <w:ind w:firstLine="480" w:firstLineChars="200"/>
        <w:rPr>
          <w:color w:val="auto"/>
          <w:szCs w:val="24"/>
          <w:highlight w:val="none"/>
        </w:rPr>
      </w:pPr>
      <w:r>
        <w:rPr>
          <w:rFonts w:hint="eastAsia"/>
          <w:color w:val="auto"/>
          <w:szCs w:val="24"/>
          <w:highlight w:val="none"/>
        </w:rPr>
        <w:t>4）我方在本</w:t>
      </w:r>
      <w:r>
        <w:rPr>
          <w:rFonts w:hint="eastAsia"/>
          <w:color w:val="auto"/>
          <w:szCs w:val="24"/>
          <w:highlight w:val="none"/>
          <w:lang w:val="en-US" w:eastAsia="zh-CN"/>
        </w:rPr>
        <w:t>响应</w:t>
      </w:r>
      <w:r>
        <w:rPr>
          <w:rFonts w:hint="eastAsia"/>
          <w:color w:val="auto"/>
          <w:szCs w:val="24"/>
          <w:highlight w:val="none"/>
        </w:rPr>
        <w:t>文件中所提供的全部资料均真实有效，我方承诺对其真实性负责并承担相应后果。</w:t>
      </w:r>
    </w:p>
    <w:p w14:paraId="5FB2607B">
      <w:pPr>
        <w:snapToGrid w:val="0"/>
        <w:spacing w:line="324" w:lineRule="auto"/>
        <w:ind w:firstLine="480" w:firstLineChars="200"/>
        <w:rPr>
          <w:color w:val="auto"/>
          <w:szCs w:val="24"/>
          <w:highlight w:val="none"/>
        </w:rPr>
      </w:pPr>
      <w:r>
        <w:rPr>
          <w:rFonts w:hint="eastAsia"/>
          <w:color w:val="auto"/>
          <w:szCs w:val="24"/>
          <w:highlight w:val="none"/>
        </w:rPr>
        <w:t>5）我方承诺本《</w:t>
      </w:r>
      <w:r>
        <w:rPr>
          <w:rFonts w:hint="eastAsia"/>
          <w:color w:val="auto"/>
          <w:szCs w:val="24"/>
          <w:highlight w:val="none"/>
          <w:lang w:val="en-US" w:eastAsia="zh-CN"/>
        </w:rPr>
        <w:t>响应</w:t>
      </w:r>
      <w:r>
        <w:rPr>
          <w:rFonts w:hint="eastAsia"/>
          <w:color w:val="auto"/>
          <w:szCs w:val="24"/>
          <w:highlight w:val="none"/>
        </w:rPr>
        <w:t>函》的签章对本</w:t>
      </w:r>
      <w:r>
        <w:rPr>
          <w:rFonts w:hint="eastAsia"/>
          <w:color w:val="auto"/>
          <w:szCs w:val="24"/>
          <w:highlight w:val="none"/>
          <w:lang w:val="en-US" w:eastAsia="zh-CN"/>
        </w:rPr>
        <w:t>响应</w:t>
      </w:r>
      <w:r>
        <w:rPr>
          <w:rFonts w:hint="eastAsia"/>
          <w:color w:val="auto"/>
          <w:szCs w:val="24"/>
          <w:highlight w:val="none"/>
        </w:rPr>
        <w:t>文件全部内容具有约束力并承担法律责任。</w:t>
      </w:r>
    </w:p>
    <w:p w14:paraId="2A195747">
      <w:pPr>
        <w:spacing w:line="300" w:lineRule="auto"/>
        <w:rPr>
          <w:rFonts w:cs="Arial"/>
          <w:color w:val="auto"/>
          <w:szCs w:val="24"/>
          <w:highlight w:val="none"/>
        </w:rPr>
      </w:pPr>
    </w:p>
    <w:p w14:paraId="3F664789">
      <w:pPr>
        <w:spacing w:line="300" w:lineRule="auto"/>
        <w:rPr>
          <w:rFonts w:cs="Arial"/>
          <w:color w:val="auto"/>
          <w:szCs w:val="24"/>
          <w:highlight w:val="none"/>
        </w:rPr>
      </w:pPr>
    </w:p>
    <w:p w14:paraId="6C365FF0">
      <w:pPr>
        <w:spacing w:line="300" w:lineRule="auto"/>
        <w:rPr>
          <w:rFonts w:cs="Arial"/>
          <w:color w:val="auto"/>
          <w:szCs w:val="24"/>
          <w:highlight w:val="none"/>
        </w:rPr>
      </w:pPr>
    </w:p>
    <w:p w14:paraId="2DB608AC">
      <w:pPr>
        <w:autoSpaceDE w:val="0"/>
        <w:autoSpaceDN w:val="0"/>
        <w:adjustRightInd w:val="0"/>
        <w:snapToGrid w:val="0"/>
        <w:ind w:firstLine="480" w:firstLineChars="200"/>
        <w:rPr>
          <w:rFonts w:cs="宋体"/>
          <w:color w:val="auto"/>
          <w:highlight w:val="none"/>
        </w:rPr>
      </w:pPr>
      <w:r>
        <w:rPr>
          <w:rFonts w:hint="eastAsia" w:cs="宋体"/>
          <w:color w:val="auto"/>
          <w:highlight w:val="none"/>
          <w:lang w:val="en-US" w:eastAsia="zh-CN"/>
        </w:rPr>
        <w:t>供应商名称</w:t>
      </w:r>
      <w:r>
        <w:rPr>
          <w:rFonts w:hint="eastAsia" w:cs="宋体"/>
          <w:color w:val="auto"/>
          <w:highlight w:val="none"/>
        </w:rPr>
        <w:t>（公章）：</w:t>
      </w:r>
    </w:p>
    <w:p w14:paraId="4CCC9D16">
      <w:pPr>
        <w:autoSpaceDE w:val="0"/>
        <w:autoSpaceDN w:val="0"/>
        <w:adjustRightInd w:val="0"/>
        <w:snapToGrid w:val="0"/>
        <w:ind w:firstLine="480" w:firstLineChars="200"/>
        <w:rPr>
          <w:rFonts w:cs="宋体"/>
          <w:color w:val="auto"/>
          <w:highlight w:val="none"/>
        </w:rPr>
      </w:pPr>
      <w:r>
        <w:rPr>
          <w:rFonts w:hint="eastAsia" w:cs="宋体"/>
          <w:color w:val="auto"/>
          <w:highlight w:val="none"/>
        </w:rPr>
        <w:t>通  讯  地  址：</w:t>
      </w:r>
    </w:p>
    <w:p w14:paraId="268281DA">
      <w:pPr>
        <w:autoSpaceDE w:val="0"/>
        <w:autoSpaceDN w:val="0"/>
        <w:adjustRightInd w:val="0"/>
        <w:snapToGrid w:val="0"/>
        <w:ind w:firstLine="480" w:firstLineChars="200"/>
        <w:rPr>
          <w:rFonts w:cs="宋体"/>
          <w:color w:val="auto"/>
          <w:highlight w:val="none"/>
        </w:rPr>
      </w:pPr>
      <w:r>
        <w:rPr>
          <w:rFonts w:hint="eastAsia" w:cs="宋体"/>
          <w:color w:val="auto"/>
          <w:highlight w:val="none"/>
        </w:rPr>
        <w:t xml:space="preserve">传       </w:t>
      </w:r>
      <w:r>
        <w:rPr>
          <w:rFonts w:cs="宋体"/>
          <w:color w:val="auto"/>
          <w:highlight w:val="none"/>
        </w:rPr>
        <w:t xml:space="preserve">   </w:t>
      </w:r>
      <w:r>
        <w:rPr>
          <w:rFonts w:hint="eastAsia" w:cs="宋体"/>
          <w:color w:val="auto"/>
          <w:highlight w:val="none"/>
        </w:rPr>
        <w:t>真：</w:t>
      </w:r>
    </w:p>
    <w:p w14:paraId="0A396883">
      <w:pPr>
        <w:autoSpaceDE w:val="0"/>
        <w:autoSpaceDN w:val="0"/>
        <w:adjustRightInd w:val="0"/>
        <w:snapToGrid w:val="0"/>
        <w:ind w:firstLine="480" w:firstLineChars="200"/>
        <w:rPr>
          <w:rFonts w:cs="宋体"/>
          <w:color w:val="auto"/>
          <w:highlight w:val="none"/>
        </w:rPr>
      </w:pPr>
      <w:r>
        <w:rPr>
          <w:rFonts w:hint="eastAsia" w:cs="宋体"/>
          <w:color w:val="auto"/>
          <w:highlight w:val="none"/>
        </w:rPr>
        <w:t>电          话：</w:t>
      </w:r>
    </w:p>
    <w:p w14:paraId="21203E4D">
      <w:pPr>
        <w:autoSpaceDE w:val="0"/>
        <w:autoSpaceDN w:val="0"/>
        <w:adjustRightInd w:val="0"/>
        <w:snapToGrid w:val="0"/>
        <w:ind w:firstLine="480" w:firstLineChars="200"/>
        <w:rPr>
          <w:rFonts w:cs="宋体"/>
          <w:color w:val="auto"/>
          <w:highlight w:val="none"/>
        </w:rPr>
      </w:pPr>
      <w:r>
        <w:rPr>
          <w:rFonts w:hint="eastAsia" w:cs="宋体"/>
          <w:color w:val="auto"/>
          <w:highlight w:val="none"/>
        </w:rPr>
        <w:t xml:space="preserve">授 </w:t>
      </w:r>
      <w:r>
        <w:rPr>
          <w:rFonts w:cs="宋体"/>
          <w:color w:val="auto"/>
          <w:highlight w:val="none"/>
        </w:rPr>
        <w:t xml:space="preserve"> </w:t>
      </w:r>
      <w:r>
        <w:rPr>
          <w:rFonts w:hint="eastAsia" w:cs="宋体"/>
          <w:color w:val="auto"/>
          <w:highlight w:val="none"/>
        </w:rPr>
        <w:t xml:space="preserve">权 </w:t>
      </w:r>
      <w:r>
        <w:rPr>
          <w:rFonts w:cs="宋体"/>
          <w:color w:val="auto"/>
          <w:highlight w:val="none"/>
        </w:rPr>
        <w:t xml:space="preserve"> </w:t>
      </w:r>
      <w:r>
        <w:rPr>
          <w:rFonts w:hint="eastAsia" w:cs="宋体"/>
          <w:color w:val="auto"/>
          <w:highlight w:val="none"/>
        </w:rPr>
        <w:t xml:space="preserve">代 </w:t>
      </w:r>
      <w:r>
        <w:rPr>
          <w:rFonts w:cs="宋体"/>
          <w:color w:val="auto"/>
          <w:highlight w:val="none"/>
        </w:rPr>
        <w:t xml:space="preserve"> </w:t>
      </w:r>
      <w:r>
        <w:rPr>
          <w:rFonts w:hint="eastAsia" w:cs="宋体"/>
          <w:color w:val="auto"/>
          <w:highlight w:val="none"/>
        </w:rPr>
        <w:t>表：</w:t>
      </w:r>
    </w:p>
    <w:p w14:paraId="63C92097">
      <w:pPr>
        <w:ind w:firstLine="480" w:firstLineChars="200"/>
        <w:rPr>
          <w:rFonts w:cs="Arial"/>
          <w:color w:val="auto"/>
          <w:szCs w:val="24"/>
          <w:highlight w:val="none"/>
        </w:rPr>
      </w:pPr>
      <w:r>
        <w:rPr>
          <w:rFonts w:hint="eastAsia" w:cs="宋体"/>
          <w:color w:val="auto"/>
          <w:highlight w:val="none"/>
        </w:rPr>
        <w:t xml:space="preserve">日    </w:t>
      </w:r>
      <w:r>
        <w:rPr>
          <w:rFonts w:cs="宋体"/>
          <w:color w:val="auto"/>
          <w:highlight w:val="none"/>
        </w:rPr>
        <w:t xml:space="preserve">  </w:t>
      </w:r>
      <w:r>
        <w:rPr>
          <w:rFonts w:hint="eastAsia" w:cs="宋体"/>
          <w:color w:val="auto"/>
          <w:highlight w:val="none"/>
        </w:rPr>
        <w:t xml:space="preserve">    期：</w:t>
      </w:r>
    </w:p>
    <w:p w14:paraId="6674502E">
      <w:pPr>
        <w:rPr>
          <w:rFonts w:cs="Arial"/>
          <w:color w:val="auto"/>
          <w:szCs w:val="24"/>
          <w:highlight w:val="none"/>
          <w:u w:val="single"/>
        </w:rPr>
      </w:pPr>
    </w:p>
    <w:p w14:paraId="478BFBB8">
      <w:pPr>
        <w:rPr>
          <w:rFonts w:cs="Arial"/>
          <w:color w:val="auto"/>
          <w:szCs w:val="24"/>
          <w:highlight w:val="none"/>
          <w:u w:val="single"/>
        </w:rPr>
      </w:pPr>
      <w:r>
        <w:rPr>
          <w:rFonts w:cs="Arial"/>
          <w:color w:val="auto"/>
          <w:szCs w:val="24"/>
          <w:highlight w:val="none"/>
          <w:u w:val="single"/>
        </w:rPr>
        <w:br w:type="page"/>
      </w:r>
    </w:p>
    <w:p w14:paraId="24B4BD65">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588" w:name="_Toc32452"/>
      <w:bookmarkStart w:id="589" w:name="_Toc155185924"/>
      <w:r>
        <w:rPr>
          <w:rFonts w:hint="eastAsia" w:cstheme="majorBidi"/>
          <w:b/>
          <w:bCs/>
          <w:color w:val="auto"/>
          <w:kern w:val="2"/>
          <w:sz w:val="32"/>
          <w:szCs w:val="32"/>
          <w:highlight w:val="none"/>
          <w:lang w:val="en-US" w:eastAsia="zh-CN" w:bidi="ar-SA"/>
        </w:rPr>
        <w:t>二</w:t>
      </w:r>
      <w:r>
        <w:rPr>
          <w:rFonts w:hint="eastAsia" w:eastAsia="宋体" w:asciiTheme="majorHAnsi" w:hAnsiTheme="majorHAnsi" w:cstheme="majorBidi"/>
          <w:b/>
          <w:bCs/>
          <w:color w:val="auto"/>
          <w:kern w:val="2"/>
          <w:sz w:val="32"/>
          <w:szCs w:val="32"/>
          <w:highlight w:val="none"/>
          <w:lang w:val="en-US" w:eastAsia="zh-CN" w:bidi="ar-SA"/>
        </w:rPr>
        <w:t>、法定代表人（单位负责人）身份证明</w:t>
      </w:r>
      <w:bookmarkEnd w:id="588"/>
      <w:bookmarkEnd w:id="589"/>
    </w:p>
    <w:p w14:paraId="46CF1AA3">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致：（采购人或采购代理机构） </w:t>
      </w:r>
    </w:p>
    <w:p w14:paraId="3DE52D6F">
      <w:pPr>
        <w:spacing w:line="480" w:lineRule="auto"/>
        <w:ind w:firstLine="960" w:firstLineChars="400"/>
        <w:rPr>
          <w:rFonts w:hint="eastAsia" w:cs="仿宋_GB2312"/>
          <w:color w:val="auto"/>
          <w:szCs w:val="24"/>
          <w:highlight w:val="none"/>
        </w:rPr>
      </w:pPr>
      <w:r>
        <w:rPr>
          <w:rFonts w:hint="eastAsia" w:cs="仿宋_GB2312"/>
          <w:color w:val="auto"/>
          <w:szCs w:val="24"/>
          <w:highlight w:val="none"/>
          <w:lang w:val="en-US" w:eastAsia="zh-CN"/>
        </w:rPr>
        <w:t xml:space="preserve">兹证明， </w:t>
      </w:r>
    </w:p>
    <w:p w14:paraId="1D36B9E0">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姓名：____性别：____年龄：____职务：____ </w:t>
      </w:r>
    </w:p>
    <w:p w14:paraId="38746EB6">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系 </w:t>
      </w:r>
      <w:r>
        <w:rPr>
          <w:rFonts w:hint="eastAsia" w:cs="仿宋_GB2312"/>
          <w:color w:val="auto"/>
          <w:szCs w:val="24"/>
          <w:highlight w:val="none"/>
          <w:u w:val="single"/>
          <w:lang w:val="en-US" w:eastAsia="zh-CN"/>
        </w:rPr>
        <w:t xml:space="preserve">            </w:t>
      </w:r>
      <w:r>
        <w:rPr>
          <w:rFonts w:hint="eastAsia" w:cs="仿宋_GB2312"/>
          <w:color w:val="auto"/>
          <w:szCs w:val="24"/>
          <w:highlight w:val="none"/>
          <w:lang w:val="en-US" w:eastAsia="zh-CN"/>
        </w:rPr>
        <w:t xml:space="preserve">（供应商名称）的法定代表人（单位负责人）。 </w:t>
      </w:r>
    </w:p>
    <w:p w14:paraId="3B002BC6">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附：法定代表人（单位负责人）身份证、护照等身份证明文件电子件： </w:t>
      </w:r>
    </w:p>
    <w:p w14:paraId="60A8C36F">
      <w:pPr>
        <w:spacing w:line="480" w:lineRule="auto"/>
        <w:ind w:firstLine="480" w:firstLineChars="200"/>
        <w:rPr>
          <w:rFonts w:cs="仿宋_GB2312"/>
          <w:color w:val="auto"/>
          <w:szCs w:val="24"/>
          <w:highlight w:val="none"/>
        </w:rPr>
      </w:pPr>
    </w:p>
    <w:p w14:paraId="473563CD">
      <w:pPr>
        <w:rPr>
          <w:rFonts w:cs="Arial"/>
          <w:color w:val="auto"/>
          <w:sz w:val="21"/>
          <w:szCs w:val="21"/>
          <w:highlight w:val="none"/>
        </w:rPr>
      </w:pPr>
    </w:p>
    <w:tbl>
      <w:tblPr>
        <w:tblStyle w:val="27"/>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2D4F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31" w:hRule="atLeast"/>
        </w:trPr>
        <w:tc>
          <w:tcPr>
            <w:tcW w:w="8527" w:type="dxa"/>
          </w:tcPr>
          <w:p w14:paraId="4B7B7E19">
            <w:pPr>
              <w:rPr>
                <w:rFonts w:cs="Arial"/>
                <w:color w:val="auto"/>
                <w:highlight w:val="none"/>
              </w:rPr>
            </w:pPr>
          </w:p>
        </w:tc>
      </w:tr>
    </w:tbl>
    <w:p w14:paraId="76B5C725">
      <w:pPr>
        <w:ind w:firstLine="840" w:firstLineChars="350"/>
        <w:jc w:val="center"/>
        <w:rPr>
          <w:rFonts w:cs="Arial"/>
          <w:color w:val="auto"/>
          <w:highlight w:val="none"/>
        </w:rPr>
      </w:pPr>
    </w:p>
    <w:p w14:paraId="4AD74708">
      <w:pPr>
        <w:keepNext w:val="0"/>
        <w:keepLines w:val="0"/>
        <w:widowControl/>
        <w:suppressLineNumbers w:val="0"/>
        <w:jc w:val="left"/>
        <w:rPr>
          <w:color w:val="auto"/>
          <w:highlight w:val="none"/>
        </w:rPr>
      </w:pPr>
      <w:r>
        <w:rPr>
          <w:rFonts w:hint="eastAsia" w:cs="宋体"/>
          <w:color w:val="auto"/>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名称（加盖公章）：</w:t>
      </w:r>
      <w:r>
        <w:rPr>
          <w:rFonts w:ascii="DejaVuSans" w:hAnsi="DejaVuSans" w:eastAsia="DejaVuSans" w:cs="DejaVuSans"/>
          <w:color w:val="auto"/>
          <w:kern w:val="0"/>
          <w:sz w:val="24"/>
          <w:szCs w:val="24"/>
          <w:highlight w:val="none"/>
          <w:lang w:val="en-US" w:eastAsia="zh-CN" w:bidi="ar"/>
        </w:rPr>
        <w:t xml:space="preserve">________________ </w:t>
      </w:r>
    </w:p>
    <w:p w14:paraId="364A1245">
      <w:pPr>
        <w:keepNext w:val="0"/>
        <w:keepLines w:val="0"/>
        <w:widowControl/>
        <w:suppressLineNumbers w:val="0"/>
        <w:jc w:val="left"/>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法定代表人（单位负责人）（签字或签章）：</w:t>
      </w:r>
      <w:r>
        <w:rPr>
          <w:rFonts w:hint="default" w:ascii="DejaVuSans" w:hAnsi="DejaVuSans" w:eastAsia="DejaVuSans" w:cs="DejaVuSans"/>
          <w:color w:val="auto"/>
          <w:kern w:val="0"/>
          <w:sz w:val="24"/>
          <w:szCs w:val="24"/>
          <w:highlight w:val="none"/>
          <w:lang w:val="en-US" w:eastAsia="zh-CN" w:bidi="ar"/>
        </w:rPr>
        <w:t xml:space="preserve">_______ </w:t>
      </w:r>
    </w:p>
    <w:p w14:paraId="10B3C29F">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p>
    <w:p w14:paraId="7239FE13">
      <w:pPr>
        <w:keepNext w:val="0"/>
        <w:keepLines w:val="0"/>
        <w:widowControl/>
        <w:suppressLineNumbers w:val="0"/>
        <w:jc w:val="left"/>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日</w:t>
      </w:r>
    </w:p>
    <w:p w14:paraId="6948CD78">
      <w:pPr>
        <w:rPr>
          <w:b/>
          <w:color w:val="auto"/>
          <w:sz w:val="28"/>
          <w:szCs w:val="28"/>
          <w:highlight w:val="none"/>
        </w:rPr>
      </w:pPr>
    </w:p>
    <w:p w14:paraId="04FDD702">
      <w:pPr>
        <w:rPr>
          <w:b/>
          <w:color w:val="auto"/>
          <w:sz w:val="28"/>
          <w:szCs w:val="28"/>
          <w:highlight w:val="none"/>
        </w:rPr>
      </w:pPr>
      <w:r>
        <w:rPr>
          <w:b/>
          <w:color w:val="auto"/>
          <w:sz w:val="28"/>
          <w:szCs w:val="28"/>
          <w:highlight w:val="none"/>
        </w:rPr>
        <w:br w:type="page"/>
      </w:r>
    </w:p>
    <w:p w14:paraId="0EEE8A23">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590" w:name="_Toc30900"/>
      <w:bookmarkStart w:id="591" w:name="_Toc155185925"/>
      <w:r>
        <w:rPr>
          <w:rFonts w:hint="eastAsia" w:cstheme="majorBidi"/>
          <w:b/>
          <w:bCs/>
          <w:color w:val="auto"/>
          <w:kern w:val="2"/>
          <w:sz w:val="32"/>
          <w:szCs w:val="32"/>
          <w:highlight w:val="none"/>
          <w:lang w:val="en-US" w:eastAsia="zh-CN" w:bidi="ar-SA"/>
        </w:rPr>
        <w:t>三</w:t>
      </w:r>
      <w:r>
        <w:rPr>
          <w:rFonts w:hint="eastAsia" w:eastAsia="宋体" w:asciiTheme="majorHAnsi" w:hAnsiTheme="majorHAnsi" w:cstheme="majorBidi"/>
          <w:b/>
          <w:bCs/>
          <w:color w:val="auto"/>
          <w:kern w:val="2"/>
          <w:sz w:val="32"/>
          <w:szCs w:val="32"/>
          <w:highlight w:val="none"/>
          <w:lang w:val="en-US" w:eastAsia="zh-CN" w:bidi="ar-SA"/>
        </w:rPr>
        <w:t>、授权委托书</w:t>
      </w:r>
      <w:bookmarkEnd w:id="590"/>
      <w:bookmarkEnd w:id="591"/>
    </w:p>
    <w:p w14:paraId="593F068D">
      <w:pPr>
        <w:ind w:firstLine="480" w:firstLineChars="200"/>
        <w:rPr>
          <w:rFonts w:cs="仿宋_GB2312"/>
          <w:color w:val="auto"/>
          <w:szCs w:val="24"/>
          <w:highlight w:val="none"/>
        </w:rPr>
      </w:pPr>
      <w:r>
        <w:rPr>
          <w:rFonts w:hint="eastAsia" w:cs="仿宋_GB2312"/>
          <w:color w:val="auto"/>
          <w:szCs w:val="24"/>
          <w:highlight w:val="none"/>
        </w:rPr>
        <w:t>本人</w:t>
      </w:r>
      <w:r>
        <w:rPr>
          <w:rFonts w:cs="仿宋_GB2312"/>
          <w:color w:val="auto"/>
          <w:szCs w:val="24"/>
          <w:highlight w:val="none"/>
          <w:u w:val="single"/>
        </w:rPr>
        <w:t xml:space="preserve">     </w:t>
      </w:r>
      <w:r>
        <w:rPr>
          <w:rFonts w:hint="eastAsia" w:cs="仿宋_GB2312"/>
          <w:color w:val="auto"/>
          <w:szCs w:val="24"/>
          <w:highlight w:val="none"/>
          <w:u w:val="none"/>
        </w:rPr>
        <w:t>（姓名）</w:t>
      </w:r>
      <w:r>
        <w:rPr>
          <w:rFonts w:hint="eastAsia" w:cs="仿宋_GB2312"/>
          <w:color w:val="auto"/>
          <w:szCs w:val="24"/>
          <w:highlight w:val="none"/>
        </w:rPr>
        <w:t>系</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u w:val="none"/>
        </w:rPr>
        <w:t>（</w:t>
      </w:r>
      <w:r>
        <w:rPr>
          <w:rFonts w:hint="eastAsia" w:cs="仿宋_GB2312"/>
          <w:color w:val="auto"/>
          <w:szCs w:val="24"/>
          <w:highlight w:val="none"/>
          <w:u w:val="none"/>
          <w:lang w:val="en-US" w:eastAsia="zh-CN"/>
        </w:rPr>
        <w:t>供应商</w:t>
      </w:r>
      <w:r>
        <w:rPr>
          <w:rFonts w:hint="eastAsia" w:cs="仿宋_GB2312"/>
          <w:color w:val="auto"/>
          <w:szCs w:val="24"/>
          <w:highlight w:val="none"/>
          <w:u w:val="none"/>
        </w:rPr>
        <w:t>名称）</w:t>
      </w:r>
      <w:r>
        <w:rPr>
          <w:rFonts w:hint="eastAsia" w:cs="仿宋_GB2312"/>
          <w:color w:val="auto"/>
          <w:szCs w:val="24"/>
          <w:highlight w:val="none"/>
        </w:rPr>
        <w:t>的法定代表人</w:t>
      </w:r>
      <w:r>
        <w:rPr>
          <w:rFonts w:hint="eastAsia"/>
          <w:color w:val="auto"/>
          <w:highlight w:val="none"/>
        </w:rPr>
        <w:t>（</w:t>
      </w:r>
      <w:r>
        <w:rPr>
          <w:rFonts w:hint="eastAsia"/>
          <w:color w:val="auto"/>
          <w:highlight w:val="none"/>
          <w:lang w:val="en-US" w:eastAsia="zh-CN"/>
        </w:rPr>
        <w:t>单位</w:t>
      </w:r>
      <w:r>
        <w:rPr>
          <w:rFonts w:hint="eastAsia"/>
          <w:color w:val="auto"/>
          <w:highlight w:val="none"/>
        </w:rPr>
        <w:t>负责人）</w:t>
      </w:r>
      <w:r>
        <w:rPr>
          <w:rFonts w:hint="eastAsia" w:cs="仿宋_GB2312"/>
          <w:color w:val="auto"/>
          <w:szCs w:val="24"/>
          <w:highlight w:val="none"/>
        </w:rPr>
        <w:t>，现委托</w:t>
      </w:r>
      <w:r>
        <w:rPr>
          <w:rFonts w:hint="eastAsia" w:cs="仿宋_GB2312"/>
          <w:color w:val="auto"/>
          <w:szCs w:val="24"/>
          <w:highlight w:val="none"/>
          <w:u w:val="single"/>
        </w:rPr>
        <w:t xml:space="preserve">     </w:t>
      </w:r>
      <w:r>
        <w:rPr>
          <w:rFonts w:hint="eastAsia" w:cs="仿宋_GB2312"/>
          <w:color w:val="auto"/>
          <w:szCs w:val="24"/>
          <w:highlight w:val="none"/>
        </w:rPr>
        <w:t>（姓名）为我方代理人。代理人根据授权，以我方名义签署、澄清</w:t>
      </w:r>
      <w:r>
        <w:rPr>
          <w:rFonts w:hint="eastAsia" w:cs="仿宋_GB2312"/>
          <w:color w:val="auto"/>
          <w:szCs w:val="24"/>
          <w:highlight w:val="none"/>
          <w:lang w:val="en-US" w:eastAsia="zh-CN"/>
        </w:rPr>
        <w:t>确认</w:t>
      </w:r>
      <w:r>
        <w:rPr>
          <w:rFonts w:hint="eastAsia" w:cs="仿宋_GB2312"/>
          <w:color w:val="auto"/>
          <w:szCs w:val="24"/>
          <w:highlight w:val="none"/>
        </w:rPr>
        <w:t>、说明、补正、递交、撤回、修改</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rPr>
        <w:t>（项目名称）</w:t>
      </w:r>
      <w:r>
        <w:rPr>
          <w:rFonts w:hint="eastAsia" w:cs="仿宋_GB2312"/>
          <w:color w:val="auto"/>
          <w:szCs w:val="24"/>
          <w:highlight w:val="none"/>
          <w:lang w:val="en-US" w:eastAsia="zh-CN"/>
        </w:rPr>
        <w:t>响应</w:t>
      </w:r>
      <w:r>
        <w:rPr>
          <w:rFonts w:hint="eastAsia" w:cs="仿宋_GB2312"/>
          <w:color w:val="auto"/>
          <w:szCs w:val="24"/>
          <w:highlight w:val="none"/>
        </w:rPr>
        <w:t>文件、签订合同和处理有关事宜，其法律后果由我方承担。</w:t>
      </w:r>
    </w:p>
    <w:p w14:paraId="56B80D1C">
      <w:pPr>
        <w:ind w:firstLine="480" w:firstLineChars="200"/>
        <w:rPr>
          <w:rFonts w:hint="eastAsia" w:cs="仿宋_GB2312"/>
          <w:color w:val="auto"/>
          <w:szCs w:val="24"/>
          <w:highlight w:val="none"/>
        </w:rPr>
      </w:pPr>
      <w:r>
        <w:rPr>
          <w:rFonts w:hint="eastAsia" w:cs="仿宋_GB2312"/>
          <w:color w:val="auto"/>
          <w:szCs w:val="24"/>
          <w:highlight w:val="none"/>
        </w:rPr>
        <w:t>委托期限：</w:t>
      </w:r>
      <w:r>
        <w:rPr>
          <w:rFonts w:hint="eastAsia" w:cs="仿宋_GB2312"/>
          <w:color w:val="auto"/>
          <w:szCs w:val="24"/>
          <w:highlight w:val="none"/>
          <w:lang w:val="en-US" w:eastAsia="zh-CN"/>
        </w:rPr>
        <w:t>自本授权委托书签署之日起至响应文件有效期届满之日止。</w:t>
      </w:r>
    </w:p>
    <w:p w14:paraId="0A605ABE">
      <w:pPr>
        <w:ind w:firstLine="480" w:firstLineChars="200"/>
        <w:rPr>
          <w:rFonts w:cs="仿宋_GB2312"/>
          <w:color w:val="auto"/>
          <w:szCs w:val="24"/>
          <w:highlight w:val="none"/>
        </w:rPr>
      </w:pPr>
      <w:r>
        <w:rPr>
          <w:rFonts w:hint="eastAsia" w:cs="仿宋_GB2312"/>
          <w:color w:val="auto"/>
          <w:szCs w:val="24"/>
          <w:highlight w:val="none"/>
        </w:rPr>
        <w:t>代理人无转委托权。</w:t>
      </w:r>
    </w:p>
    <w:p w14:paraId="03C5EAD4">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color w:val="auto"/>
          <w:szCs w:val="24"/>
          <w:highlight w:val="none"/>
        </w:rPr>
      </w:pPr>
    </w:p>
    <w:p w14:paraId="27333291">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cs="宋体"/>
          <w:color w:val="auto"/>
          <w:kern w:val="0"/>
          <w:sz w:val="24"/>
          <w:szCs w:val="24"/>
          <w:highlight w:val="none"/>
          <w:lang w:val="en-US" w:eastAsia="zh-CN" w:bidi="ar"/>
        </w:rPr>
        <w:t>供应商</w:t>
      </w:r>
      <w:r>
        <w:rPr>
          <w:rFonts w:hint="eastAsia" w:ascii="宋体" w:hAnsi="宋体" w:eastAsia="宋体" w:cs="宋体"/>
          <w:color w:val="auto"/>
          <w:kern w:val="0"/>
          <w:sz w:val="24"/>
          <w:szCs w:val="24"/>
          <w:highlight w:val="none"/>
          <w:lang w:val="en-US" w:eastAsia="zh-CN" w:bidi="ar"/>
        </w:rPr>
        <w:t>名称（加盖公章）：</w:t>
      </w:r>
      <w:r>
        <w:rPr>
          <w:rFonts w:ascii="DejaVuSans" w:hAnsi="DejaVuSans" w:eastAsia="DejaVuSans" w:cs="DejaVuSans"/>
          <w:color w:val="auto"/>
          <w:kern w:val="0"/>
          <w:sz w:val="24"/>
          <w:szCs w:val="24"/>
          <w:highlight w:val="none"/>
          <w:lang w:val="en-US" w:eastAsia="zh-CN" w:bidi="ar"/>
        </w:rPr>
        <w:t xml:space="preserve">________________ </w:t>
      </w:r>
    </w:p>
    <w:p w14:paraId="4CD5B2EF">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法定代表人（单位负责人）（签字或签章）：</w:t>
      </w:r>
      <w:r>
        <w:rPr>
          <w:rFonts w:hint="default" w:ascii="DejaVuSans" w:hAnsi="DejaVuSans" w:eastAsia="DejaVuSans" w:cs="DejaVuSans"/>
          <w:color w:val="auto"/>
          <w:kern w:val="0"/>
          <w:sz w:val="24"/>
          <w:szCs w:val="24"/>
          <w:highlight w:val="none"/>
          <w:lang w:val="en-US" w:eastAsia="zh-CN" w:bidi="ar"/>
        </w:rPr>
        <w:t xml:space="preserve">________________ </w:t>
      </w:r>
    </w:p>
    <w:p w14:paraId="77AA3C36">
      <w:pPr>
        <w:keepNext w:val="0"/>
        <w:keepLines w:val="0"/>
        <w:pageBreakBefore w:val="0"/>
        <w:widowControl/>
        <w:suppressLineNumbers w:val="0"/>
        <w:kinsoku/>
        <w:wordWrap/>
        <w:overflowPunct/>
        <w:topLinePunct w:val="0"/>
        <w:autoSpaceDE/>
        <w:autoSpaceDN/>
        <w:bidi w:val="0"/>
        <w:adjustRightInd/>
        <w:snapToGrid/>
        <w:jc w:val="left"/>
        <w:textAlignment w:val="auto"/>
        <w:rPr>
          <w:rFonts w:hint="default"/>
          <w:color w:val="auto"/>
          <w:highlight w:val="none"/>
          <w:u w:val="single"/>
          <w:lang w:val="en-US"/>
        </w:rPr>
      </w:pPr>
      <w:r>
        <w:rPr>
          <w:rFonts w:hint="eastAsia" w:ascii="宋体" w:hAnsi="宋体" w:eastAsia="宋体" w:cs="宋体"/>
          <w:color w:val="auto"/>
          <w:kern w:val="0"/>
          <w:sz w:val="24"/>
          <w:szCs w:val="24"/>
          <w:highlight w:val="none"/>
          <w:lang w:val="en-US" w:eastAsia="zh-CN" w:bidi="ar"/>
        </w:rPr>
        <w:t>委托代理人（签字或签章）：</w:t>
      </w:r>
      <w:r>
        <w:rPr>
          <w:rFonts w:hint="default" w:ascii="DejaVuSans" w:hAnsi="DejaVuSans" w:eastAsia="DejaVuSans" w:cs="DejaVuSans"/>
          <w:color w:val="auto"/>
          <w:kern w:val="0"/>
          <w:sz w:val="24"/>
          <w:szCs w:val="24"/>
          <w:highlight w:val="none"/>
          <w:lang w:val="en-US" w:eastAsia="zh-CN" w:bidi="ar"/>
        </w:rPr>
        <w:t xml:space="preserve">________________ </w:t>
      </w:r>
      <w:r>
        <w:rPr>
          <w:rFonts w:hint="eastAsia" w:ascii="DejaVuSans" w:hAnsi="DejaVuSans" w:eastAsia="DejaVuSans" w:cs="DejaVuSans"/>
          <w:color w:val="auto"/>
          <w:kern w:val="0"/>
          <w:sz w:val="24"/>
          <w:szCs w:val="24"/>
          <w:highlight w:val="none"/>
          <w:lang w:val="en-US" w:eastAsia="zh-CN" w:bidi="ar"/>
        </w:rPr>
        <w:t xml:space="preserve">  联系电话：</w:t>
      </w:r>
      <w:r>
        <w:rPr>
          <w:rFonts w:hint="eastAsia" w:ascii="DejaVuSans" w:hAnsi="DejaVuSans" w:eastAsia="DejaVuSans" w:cs="DejaVuSans"/>
          <w:color w:val="auto"/>
          <w:kern w:val="0"/>
          <w:sz w:val="24"/>
          <w:szCs w:val="24"/>
          <w:highlight w:val="none"/>
          <w:u w:val="single"/>
          <w:lang w:val="en-US" w:eastAsia="zh-CN" w:bidi="ar"/>
        </w:rPr>
        <w:t xml:space="preserve">              </w:t>
      </w:r>
    </w:p>
    <w:p w14:paraId="4FD66B47">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 xml:space="preserve">日 </w:t>
      </w:r>
    </w:p>
    <w:p w14:paraId="0D7E210D">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color w:val="auto"/>
          <w:szCs w:val="24"/>
          <w:highlight w:val="none"/>
          <w:lang w:val="en-US" w:eastAsia="zh-CN"/>
        </w:rPr>
      </w:pPr>
    </w:p>
    <w:p w14:paraId="7CE346A7">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 xml:space="preserve">附：法定代表人及委托代理人身份证明文件电子件： </w:t>
      </w:r>
    </w:p>
    <w:tbl>
      <w:tblPr>
        <w:tblStyle w:val="27"/>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6A57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1" w:hRule="atLeast"/>
        </w:trPr>
        <w:tc>
          <w:tcPr>
            <w:tcW w:w="8527" w:type="dxa"/>
          </w:tcPr>
          <w:p w14:paraId="66EBC6FA">
            <w:pPr>
              <w:rPr>
                <w:rFonts w:cs="Arial"/>
                <w:color w:val="auto"/>
                <w:highlight w:val="none"/>
              </w:rPr>
            </w:pPr>
          </w:p>
        </w:tc>
      </w:tr>
    </w:tbl>
    <w:p w14:paraId="003FC2D7">
      <w:pPr>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说明： </w:t>
      </w:r>
    </w:p>
    <w:p w14:paraId="6A6FAC65">
      <w:pPr>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1.若供应商为事业单位或其他组织或分支机构，则法定代表人（单位负责人）处的签署人可为单位负责人。 </w:t>
      </w:r>
    </w:p>
    <w:p w14:paraId="7579C425">
      <w:pPr>
        <w:ind w:firstLine="480" w:firstLineChars="200"/>
        <w:rPr>
          <w:rFonts w:hint="eastAsia" w:cs="仿宋_GB2312"/>
          <w:color w:val="auto"/>
          <w:szCs w:val="24"/>
          <w:highlight w:val="none"/>
        </w:rPr>
      </w:pPr>
      <w:r>
        <w:rPr>
          <w:rFonts w:hint="default" w:cs="仿宋_GB2312"/>
          <w:color w:val="auto"/>
          <w:szCs w:val="24"/>
          <w:highlight w:val="none"/>
          <w:lang w:val="en-US" w:eastAsia="zh-CN"/>
        </w:rPr>
        <w:t>2.</w:t>
      </w:r>
      <w:r>
        <w:rPr>
          <w:rFonts w:hint="eastAsia" w:cs="仿宋_GB2312"/>
          <w:color w:val="auto"/>
          <w:szCs w:val="24"/>
          <w:highlight w:val="none"/>
          <w:lang w:val="en-US" w:eastAsia="zh-CN"/>
        </w:rPr>
        <w:t xml:space="preserve">若响应文件中签字之处均为法定代表人（单位负责人）本人签署，则可不提供本《授权委托书》，但须提供《法定代表人（单位负责人）身份证明》。 </w:t>
      </w:r>
    </w:p>
    <w:p w14:paraId="7D81952A">
      <w:pPr>
        <w:ind w:firstLine="480" w:firstLineChars="200"/>
        <w:rPr>
          <w:rFonts w:hint="eastAsia" w:cs="仿宋_GB2312"/>
          <w:color w:val="auto"/>
          <w:szCs w:val="24"/>
          <w:highlight w:val="none"/>
        </w:rPr>
      </w:pPr>
      <w:r>
        <w:rPr>
          <w:rFonts w:hint="default" w:cs="仿宋_GB2312"/>
          <w:color w:val="auto"/>
          <w:szCs w:val="24"/>
          <w:highlight w:val="none"/>
          <w:lang w:val="en-US" w:eastAsia="zh-CN"/>
        </w:rPr>
        <w:t>3.</w:t>
      </w:r>
      <w:r>
        <w:rPr>
          <w:rFonts w:hint="eastAsia" w:cs="仿宋_GB2312"/>
          <w:color w:val="auto"/>
          <w:szCs w:val="24"/>
          <w:highlight w:val="none"/>
          <w:lang w:val="en-US" w:eastAsia="zh-CN"/>
        </w:rPr>
        <w:t xml:space="preserve">供应商为自然人的情形，可不提供本《授权委托书》。 </w:t>
      </w:r>
    </w:p>
    <w:p w14:paraId="16E91B57">
      <w:pPr>
        <w:ind w:firstLine="480" w:firstLineChars="200"/>
        <w:rPr>
          <w:rFonts w:hint="eastAsia" w:cs="仿宋_GB2312"/>
          <w:color w:val="auto"/>
          <w:szCs w:val="24"/>
          <w:highlight w:val="none"/>
        </w:rPr>
      </w:pPr>
      <w:r>
        <w:rPr>
          <w:rFonts w:hint="default" w:cs="仿宋_GB2312"/>
          <w:color w:val="auto"/>
          <w:szCs w:val="24"/>
          <w:highlight w:val="none"/>
          <w:lang w:val="en-US" w:eastAsia="zh-CN"/>
        </w:rPr>
        <w:t>4.</w:t>
      </w:r>
      <w:r>
        <w:rPr>
          <w:rFonts w:hint="eastAsia" w:cs="仿宋_GB2312"/>
          <w:color w:val="auto"/>
          <w:szCs w:val="24"/>
          <w:highlight w:val="none"/>
          <w:lang w:val="en-US" w:eastAsia="zh-CN"/>
        </w:rPr>
        <w:t>供应商应随本《授权委托书》同时提供法定代表人（单位负责人）及委托代理人的有效的身份证、护照等身份证明文件电子件。提供身份证的，应同时提供身份证</w:t>
      </w:r>
      <w:r>
        <w:rPr>
          <w:rFonts w:hint="eastAsia" w:cs="仿宋_GB2312"/>
          <w:b/>
          <w:bCs/>
          <w:color w:val="auto"/>
          <w:szCs w:val="24"/>
          <w:highlight w:val="none"/>
          <w:lang w:val="en-US" w:eastAsia="zh-CN"/>
        </w:rPr>
        <w:t>双面</w:t>
      </w:r>
      <w:r>
        <w:rPr>
          <w:rFonts w:hint="eastAsia" w:cs="仿宋_GB2312"/>
          <w:color w:val="auto"/>
          <w:szCs w:val="24"/>
          <w:highlight w:val="none"/>
          <w:lang w:val="en-US" w:eastAsia="zh-CN"/>
        </w:rPr>
        <w:t>电子件。</w:t>
      </w:r>
    </w:p>
    <w:p w14:paraId="0B2EBA16">
      <w:pPr>
        <w:rPr>
          <w:color w:val="auto"/>
          <w:highlight w:val="none"/>
        </w:rPr>
      </w:pPr>
      <w:r>
        <w:rPr>
          <w:color w:val="auto"/>
          <w:highlight w:val="none"/>
        </w:rPr>
        <w:br w:type="page"/>
      </w:r>
    </w:p>
    <w:p w14:paraId="117D25C9">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592" w:name="_Toc163492928"/>
      <w:bookmarkStart w:id="593" w:name="_Toc155185934"/>
      <w:bookmarkStart w:id="594" w:name="_Toc28613"/>
      <w:r>
        <w:rPr>
          <w:rFonts w:hint="eastAsia" w:cstheme="majorBidi"/>
          <w:b/>
          <w:bCs/>
          <w:color w:val="auto"/>
          <w:kern w:val="2"/>
          <w:sz w:val="32"/>
          <w:szCs w:val="32"/>
          <w:highlight w:val="none"/>
          <w:lang w:val="en-US" w:eastAsia="zh-CN" w:bidi="ar-SA"/>
        </w:rPr>
        <w:t>四</w:t>
      </w:r>
      <w:r>
        <w:rPr>
          <w:rFonts w:hint="eastAsia" w:eastAsia="宋体" w:asciiTheme="majorHAnsi" w:hAnsiTheme="majorHAnsi" w:cstheme="majorBidi"/>
          <w:b/>
          <w:bCs/>
          <w:color w:val="auto"/>
          <w:kern w:val="2"/>
          <w:sz w:val="32"/>
          <w:szCs w:val="32"/>
          <w:highlight w:val="none"/>
          <w:lang w:val="en-US" w:eastAsia="zh-CN" w:bidi="ar-SA"/>
        </w:rPr>
        <w:t>、</w:t>
      </w:r>
      <w:bookmarkEnd w:id="592"/>
      <w:bookmarkEnd w:id="593"/>
      <w:r>
        <w:rPr>
          <w:rFonts w:hint="eastAsia" w:eastAsia="宋体" w:asciiTheme="majorHAnsi" w:hAnsiTheme="majorHAnsi" w:cstheme="majorBidi"/>
          <w:b/>
          <w:bCs/>
          <w:color w:val="auto"/>
          <w:kern w:val="2"/>
          <w:sz w:val="32"/>
          <w:szCs w:val="32"/>
          <w:highlight w:val="none"/>
          <w:lang w:val="zh-CN" w:eastAsia="zh-CN" w:bidi="ar-SA"/>
        </w:rPr>
        <w:t>政府采购供应商廉洁自律承诺书</w:t>
      </w:r>
      <w:bookmarkEnd w:id="594"/>
    </w:p>
    <w:p w14:paraId="2AB445CF">
      <w:pPr>
        <w:pStyle w:val="11"/>
        <w:rPr>
          <w:color w:val="auto"/>
          <w:highlight w:val="none"/>
        </w:rPr>
      </w:pPr>
    </w:p>
    <w:p w14:paraId="2CE177B4">
      <w:pPr>
        <w:snapToGrid w:val="0"/>
        <w:spacing w:line="360" w:lineRule="auto"/>
        <w:rPr>
          <w:rFonts w:ascii="宋体" w:hAnsi="宋体" w:cs="宋体"/>
          <w:color w:val="auto"/>
          <w:kern w:val="0"/>
          <w:sz w:val="24"/>
          <w:szCs w:val="24"/>
          <w:highlight w:val="none"/>
        </w:rPr>
      </w:pPr>
      <w:r>
        <w:rPr>
          <w:rFonts w:hint="eastAsia" w:ascii="宋体" w:hAnsi="宋体" w:cs="宋体"/>
          <w:color w:val="auto"/>
          <w:sz w:val="24"/>
          <w:szCs w:val="24"/>
          <w:highlight w:val="none"/>
        </w:rPr>
        <w:t>（采购人）、（采购代理机构）</w:t>
      </w:r>
      <w:r>
        <w:rPr>
          <w:rFonts w:hint="eastAsia" w:ascii="宋体" w:hAnsi="宋体" w:cs="宋体"/>
          <w:color w:val="auto"/>
          <w:kern w:val="0"/>
          <w:sz w:val="24"/>
          <w:szCs w:val="24"/>
          <w:highlight w:val="none"/>
          <w:lang w:val="zh-CN"/>
        </w:rPr>
        <w:t>：</w:t>
      </w:r>
    </w:p>
    <w:p w14:paraId="2139BFB4">
      <w:pPr>
        <w:autoSpaceDE w:val="0"/>
        <w:autoSpaceDN w:val="0"/>
        <w:spacing w:line="360" w:lineRule="auto"/>
        <w:ind w:left="2" w:leftChars="1" w:firstLine="480" w:firstLineChars="200"/>
        <w:jc w:val="lef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我单位响应你</w:t>
      </w:r>
      <w:r>
        <w:rPr>
          <w:rFonts w:hint="eastAsia" w:ascii="宋体" w:hAnsi="宋体" w:cs="宋体"/>
          <w:color w:val="auto"/>
          <w:sz w:val="24"/>
          <w:szCs w:val="24"/>
          <w:highlight w:val="none"/>
        </w:rPr>
        <w:t>单位</w:t>
      </w:r>
      <w:r>
        <w:rPr>
          <w:rFonts w:hint="eastAsia" w:ascii="宋体" w:hAnsi="宋体" w:cs="宋体"/>
          <w:color w:val="auto"/>
          <w:kern w:val="0"/>
          <w:sz w:val="24"/>
          <w:szCs w:val="24"/>
          <w:highlight w:val="none"/>
          <w:lang w:val="zh-CN"/>
        </w:rPr>
        <w:t>项目</w:t>
      </w:r>
      <w:r>
        <w:rPr>
          <w:rFonts w:hint="eastAsia" w:cs="宋体"/>
          <w:color w:val="auto"/>
          <w:kern w:val="0"/>
          <w:sz w:val="24"/>
          <w:szCs w:val="24"/>
          <w:highlight w:val="none"/>
          <w:lang w:val="en-US" w:eastAsia="zh-CN"/>
        </w:rPr>
        <w:t>竞争性磋商</w:t>
      </w:r>
      <w:r>
        <w:rPr>
          <w:rFonts w:hint="eastAsia" w:ascii="宋体" w:hAnsi="宋体" w:cs="宋体"/>
          <w:color w:val="auto"/>
          <w:kern w:val="0"/>
          <w:sz w:val="24"/>
          <w:szCs w:val="24"/>
          <w:highlight w:val="none"/>
          <w:lang w:val="zh-CN"/>
        </w:rPr>
        <w:t>要求参加</w:t>
      </w:r>
      <w:r>
        <w:rPr>
          <w:rFonts w:hint="eastAsia" w:cs="宋体"/>
          <w:color w:val="auto"/>
          <w:kern w:val="0"/>
          <w:sz w:val="24"/>
          <w:szCs w:val="24"/>
          <w:highlight w:val="none"/>
          <w:lang w:val="en-US" w:eastAsia="zh-CN"/>
        </w:rPr>
        <w:t>磋商响应</w:t>
      </w:r>
      <w:r>
        <w:rPr>
          <w:rFonts w:hint="eastAsia" w:ascii="宋体" w:hAnsi="宋体" w:cs="宋体"/>
          <w:color w:val="auto"/>
          <w:kern w:val="0"/>
          <w:sz w:val="24"/>
          <w:szCs w:val="24"/>
          <w:highlight w:val="none"/>
          <w:lang w:val="zh-CN"/>
        </w:rPr>
        <w:t>。在这次</w:t>
      </w:r>
      <w:r>
        <w:rPr>
          <w:rFonts w:hint="eastAsia" w:cs="宋体"/>
          <w:color w:val="auto"/>
          <w:kern w:val="0"/>
          <w:sz w:val="24"/>
          <w:szCs w:val="24"/>
          <w:highlight w:val="none"/>
          <w:lang w:val="en-US" w:eastAsia="zh-CN"/>
        </w:rPr>
        <w:t>磋商响应</w:t>
      </w:r>
      <w:r>
        <w:rPr>
          <w:rFonts w:hint="eastAsia" w:ascii="宋体" w:hAnsi="宋体" w:cs="宋体"/>
          <w:color w:val="auto"/>
          <w:kern w:val="0"/>
          <w:sz w:val="24"/>
          <w:szCs w:val="24"/>
          <w:highlight w:val="none"/>
          <w:lang w:val="zh-CN"/>
        </w:rPr>
        <w:t>过程中和</w:t>
      </w:r>
      <w:r>
        <w:rPr>
          <w:rFonts w:hint="eastAsia" w:cs="宋体"/>
          <w:color w:val="auto"/>
          <w:kern w:val="0"/>
          <w:sz w:val="24"/>
          <w:szCs w:val="24"/>
          <w:highlight w:val="none"/>
          <w:lang w:val="en-US" w:eastAsia="zh-CN"/>
        </w:rPr>
        <w:t>成交</w:t>
      </w:r>
      <w:r>
        <w:rPr>
          <w:rFonts w:hint="eastAsia" w:ascii="宋体" w:hAnsi="宋体" w:cs="宋体"/>
          <w:color w:val="auto"/>
          <w:kern w:val="0"/>
          <w:sz w:val="24"/>
          <w:szCs w:val="24"/>
          <w:highlight w:val="none"/>
          <w:lang w:val="zh-CN"/>
        </w:rPr>
        <w:t>后，我们将严格遵守国家法律法规要求，并郑重承诺：</w:t>
      </w:r>
    </w:p>
    <w:p w14:paraId="2B87D13C">
      <w:pPr>
        <w:autoSpaceDE w:val="0"/>
        <w:autoSpaceDN w:val="0"/>
        <w:spacing w:line="360" w:lineRule="auto"/>
        <w:ind w:left="2" w:leftChars="1"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一、不向项目有关人员及部门赠送礼金礼物、有价证券、回扣以及中介费、介绍费、咨询费等好处费； </w:t>
      </w:r>
    </w:p>
    <w:p w14:paraId="063D62B4">
      <w:pPr>
        <w:autoSpaceDE w:val="0"/>
        <w:autoSpaceDN w:val="0"/>
        <w:spacing w:line="360" w:lineRule="auto"/>
        <w:ind w:left="2" w:leftChars="1"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二、不为项目有关人员及部门报销应由你方单位或个人支付的费用； </w:t>
      </w:r>
    </w:p>
    <w:p w14:paraId="5ADDE615">
      <w:pPr>
        <w:autoSpaceDE w:val="0"/>
        <w:autoSpaceDN w:val="0"/>
        <w:spacing w:line="360" w:lineRule="auto"/>
        <w:ind w:left="2" w:leftChars="1"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三、不向项目有关人员及部门提供有可能影响公正的宴请和健身娱乐等活动；</w:t>
      </w:r>
    </w:p>
    <w:p w14:paraId="6B70337F">
      <w:pPr>
        <w:autoSpaceDE w:val="0"/>
        <w:autoSpaceDN w:val="0"/>
        <w:spacing w:line="360" w:lineRule="auto"/>
        <w:ind w:left="2" w:leftChars="1"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四、不为项目有关人员及部门出国（境）、旅游等提供方便；</w:t>
      </w:r>
    </w:p>
    <w:p w14:paraId="6421E616">
      <w:pPr>
        <w:autoSpaceDE w:val="0"/>
        <w:autoSpaceDN w:val="0"/>
        <w:spacing w:line="360" w:lineRule="auto"/>
        <w:ind w:left="2" w:leftChars="1"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五、不为项目有关人员个人装修住房、婚丧嫁娶、配偶子女工作安排等提供好处；</w:t>
      </w:r>
    </w:p>
    <w:p w14:paraId="663761CE">
      <w:pPr>
        <w:autoSpaceDE w:val="0"/>
        <w:autoSpaceDN w:val="0"/>
        <w:spacing w:line="360" w:lineRule="auto"/>
        <w:ind w:left="2" w:leftChars="1"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六、严格遵守《中华人民共和国政府采购法》《中华人民共和国政府采购法</w:t>
      </w:r>
      <w:r>
        <w:rPr>
          <w:rFonts w:hint="eastAsia" w:cs="宋体"/>
          <w:color w:val="auto"/>
          <w:kern w:val="0"/>
          <w:sz w:val="24"/>
          <w:szCs w:val="24"/>
          <w:highlight w:val="none"/>
          <w:lang w:val="en-US" w:eastAsia="zh-CN"/>
        </w:rPr>
        <w:t>实施条例</w:t>
      </w:r>
      <w:r>
        <w:rPr>
          <w:rFonts w:hint="eastAsia" w:ascii="宋体" w:hAnsi="宋体" w:cs="宋体"/>
          <w:color w:val="auto"/>
          <w:kern w:val="0"/>
          <w:sz w:val="24"/>
          <w:szCs w:val="24"/>
          <w:highlight w:val="none"/>
          <w:lang w:val="zh-CN"/>
        </w:rPr>
        <w:t xml:space="preserve">》《中华人民共和国民法典》等法律法规，诚实守信，合法经营，坚决抵制各种违法违纪行为。 </w:t>
      </w:r>
    </w:p>
    <w:p w14:paraId="5C8FD2B8">
      <w:pPr>
        <w:autoSpaceDE w:val="0"/>
        <w:autoSpaceDN w:val="0"/>
        <w:spacing w:line="360" w:lineRule="auto"/>
        <w:ind w:left="2" w:leftChars="1"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如违反上述承诺，你单位有权立即取消我单位</w:t>
      </w:r>
      <w:r>
        <w:rPr>
          <w:rFonts w:hint="eastAsia" w:cs="宋体"/>
          <w:color w:val="auto"/>
          <w:kern w:val="0"/>
          <w:sz w:val="24"/>
          <w:szCs w:val="24"/>
          <w:highlight w:val="none"/>
          <w:lang w:val="en-US" w:eastAsia="zh-CN"/>
        </w:rPr>
        <w:t>磋商响应</w:t>
      </w:r>
      <w:r>
        <w:rPr>
          <w:rFonts w:hint="eastAsia" w:ascii="宋体" w:hAnsi="宋体" w:cs="宋体"/>
          <w:color w:val="auto"/>
          <w:kern w:val="0"/>
          <w:sz w:val="24"/>
          <w:szCs w:val="24"/>
          <w:highlight w:val="none"/>
          <w:lang w:val="zh-CN"/>
        </w:rPr>
        <w:t>、</w:t>
      </w:r>
      <w:r>
        <w:rPr>
          <w:rFonts w:hint="eastAsia" w:cs="宋体"/>
          <w:color w:val="auto"/>
          <w:kern w:val="0"/>
          <w:sz w:val="24"/>
          <w:szCs w:val="24"/>
          <w:highlight w:val="none"/>
          <w:lang w:val="en-US" w:eastAsia="zh-CN"/>
        </w:rPr>
        <w:t>成交</w:t>
      </w:r>
      <w:r>
        <w:rPr>
          <w:rFonts w:hint="eastAsia" w:ascii="宋体" w:hAnsi="宋体" w:cs="宋体"/>
          <w:color w:val="auto"/>
          <w:kern w:val="0"/>
          <w:sz w:val="24"/>
          <w:szCs w:val="24"/>
          <w:highlight w:val="none"/>
          <w:lang w:val="zh-CN"/>
        </w:rPr>
        <w:t>或在建项目的建设资格，有权拒绝我单位在一定时期内进入你单位进行项目建设或其他经营活动，并通报</w:t>
      </w:r>
      <w:r>
        <w:rPr>
          <w:rFonts w:hint="eastAsia" w:ascii="宋体" w:hAnsi="宋体" w:cs="宋体"/>
          <w:color w:val="auto"/>
          <w:kern w:val="0"/>
          <w:sz w:val="24"/>
          <w:szCs w:val="24"/>
          <w:highlight w:val="none"/>
          <w:lang w:val="en-US" w:eastAsia="zh-CN"/>
        </w:rPr>
        <w:t>兵团</w:t>
      </w:r>
      <w:r>
        <w:rPr>
          <w:rFonts w:hint="eastAsia" w:ascii="宋体" w:hAnsi="宋体" w:cs="宋体"/>
          <w:color w:val="auto"/>
          <w:kern w:val="0"/>
          <w:sz w:val="24"/>
          <w:szCs w:val="24"/>
          <w:highlight w:val="none"/>
          <w:lang w:val="zh-CN"/>
        </w:rPr>
        <w:t>财政局。由此引起的相应损失均由我单位承担。</w:t>
      </w:r>
    </w:p>
    <w:p w14:paraId="5E22ECB4">
      <w:pPr>
        <w:autoSpaceDE w:val="0"/>
        <w:autoSpaceDN w:val="0"/>
        <w:spacing w:line="360" w:lineRule="auto"/>
        <w:ind w:left="2"/>
        <w:jc w:val="left"/>
        <w:rPr>
          <w:rFonts w:ascii="宋体" w:hAnsi="宋体" w:cs="宋体"/>
          <w:color w:val="auto"/>
          <w:kern w:val="0"/>
          <w:sz w:val="24"/>
          <w:szCs w:val="24"/>
          <w:highlight w:val="none"/>
          <w:lang w:val="zh-CN"/>
        </w:rPr>
      </w:pPr>
    </w:p>
    <w:p w14:paraId="0914ACDE">
      <w:pPr>
        <w:autoSpaceDE w:val="0"/>
        <w:autoSpaceDN w:val="0"/>
        <w:spacing w:line="360" w:lineRule="auto"/>
        <w:ind w:left="2"/>
        <w:jc w:val="left"/>
        <w:rPr>
          <w:rFonts w:ascii="宋体" w:hAnsi="宋体" w:cs="宋体"/>
          <w:color w:val="auto"/>
          <w:kern w:val="0"/>
          <w:sz w:val="24"/>
          <w:szCs w:val="24"/>
          <w:highlight w:val="none"/>
          <w:lang w:val="zh-CN"/>
        </w:rPr>
      </w:pPr>
    </w:p>
    <w:p w14:paraId="02E01AF0">
      <w:pPr>
        <w:autoSpaceDE w:val="0"/>
        <w:autoSpaceDN w:val="0"/>
        <w:spacing w:line="360" w:lineRule="auto"/>
        <w:ind w:left="2"/>
        <w:jc w:val="left"/>
        <w:rPr>
          <w:rFonts w:ascii="宋体" w:hAnsi="宋体" w:cs="宋体"/>
          <w:color w:val="auto"/>
          <w:kern w:val="0"/>
          <w:sz w:val="24"/>
          <w:szCs w:val="24"/>
          <w:highlight w:val="none"/>
          <w:lang w:val="zh-CN"/>
        </w:rPr>
      </w:pPr>
    </w:p>
    <w:p w14:paraId="3EA46769">
      <w:pPr>
        <w:autoSpaceDE w:val="0"/>
        <w:autoSpaceDN w:val="0"/>
        <w:spacing w:line="360" w:lineRule="auto"/>
        <w:ind w:left="2" w:leftChars="1" w:right="1120" w:firstLine="4560" w:firstLineChars="1900"/>
        <w:jc w:val="left"/>
        <w:rPr>
          <w:rFonts w:ascii="宋体" w:hAnsi="宋体" w:cs="宋体"/>
          <w:color w:val="auto"/>
          <w:kern w:val="0"/>
          <w:sz w:val="24"/>
          <w:szCs w:val="24"/>
          <w:highlight w:val="none"/>
          <w:lang w:val="zh-CN"/>
        </w:rPr>
      </w:pPr>
      <w:r>
        <w:rPr>
          <w:rFonts w:hint="eastAsia" w:cs="宋体"/>
          <w:color w:val="auto"/>
          <w:kern w:val="0"/>
          <w:sz w:val="24"/>
          <w:szCs w:val="24"/>
          <w:highlight w:val="none"/>
          <w:lang w:val="en-US" w:eastAsia="zh-CN"/>
        </w:rPr>
        <w:t>供应商</w:t>
      </w:r>
      <w:r>
        <w:rPr>
          <w:rFonts w:hint="eastAsia" w:ascii="宋体" w:hAnsi="宋体" w:cs="宋体"/>
          <w:color w:val="auto"/>
          <w:kern w:val="0"/>
          <w:sz w:val="24"/>
          <w:szCs w:val="24"/>
          <w:highlight w:val="none"/>
          <w:lang w:val="zh-CN"/>
        </w:rPr>
        <w:t>名称（</w:t>
      </w:r>
      <w:r>
        <w:rPr>
          <w:rFonts w:hint="eastAsia" w:cs="宋体"/>
          <w:color w:val="auto"/>
          <w:sz w:val="24"/>
          <w:szCs w:val="24"/>
          <w:highlight w:val="none"/>
          <w:lang w:eastAsia="zh-CN"/>
        </w:rPr>
        <w:t>公章</w:t>
      </w:r>
      <w:r>
        <w:rPr>
          <w:rFonts w:hint="eastAsia" w:ascii="宋体" w:hAnsi="宋体" w:cs="宋体"/>
          <w:color w:val="auto"/>
          <w:kern w:val="0"/>
          <w:sz w:val="24"/>
          <w:szCs w:val="24"/>
          <w:highlight w:val="none"/>
          <w:lang w:val="zh-CN"/>
        </w:rPr>
        <w:t xml:space="preserve">）：                                                                                                                                                                                                               </w:t>
      </w:r>
    </w:p>
    <w:p w14:paraId="0FD8A2DC">
      <w:pPr>
        <w:ind w:firstLine="4560" w:firstLineChars="1900"/>
        <w:rPr>
          <w:rFonts w:hint="eastAsia" w:eastAsia="宋体" w:asciiTheme="majorHAnsi" w:hAnsiTheme="majorHAnsi" w:cstheme="majorBidi"/>
          <w:b/>
          <w:bCs/>
          <w:color w:val="auto"/>
          <w:kern w:val="2"/>
          <w:sz w:val="24"/>
          <w:szCs w:val="24"/>
          <w:highlight w:val="none"/>
          <w:lang w:val="en-US" w:eastAsia="zh-CN" w:bidi="ar-SA"/>
        </w:rPr>
      </w:pPr>
      <w:r>
        <w:rPr>
          <w:rFonts w:hint="eastAsia" w:ascii="宋体" w:hAnsi="宋体" w:cs="宋体"/>
          <w:color w:val="auto"/>
          <w:kern w:val="0"/>
          <w:sz w:val="24"/>
          <w:szCs w:val="24"/>
          <w:highlight w:val="none"/>
          <w:lang w:val="zh-CN"/>
        </w:rPr>
        <w:t>日期</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 xml:space="preserve">   年   月   日</w:t>
      </w:r>
    </w:p>
    <w:p w14:paraId="5AA40BF9">
      <w:pPr>
        <w:rPr>
          <w:rFonts w:hint="eastAsia" w:eastAsia="宋体" w:asciiTheme="majorHAnsi" w:hAnsiTheme="majorHAnsi" w:cstheme="majorBidi"/>
          <w:b/>
          <w:bCs/>
          <w:color w:val="auto"/>
          <w:kern w:val="2"/>
          <w:sz w:val="24"/>
          <w:szCs w:val="24"/>
          <w:highlight w:val="none"/>
          <w:lang w:val="en-US" w:eastAsia="zh-CN" w:bidi="ar-SA"/>
        </w:rPr>
      </w:pPr>
    </w:p>
    <w:p w14:paraId="2917743B">
      <w:pPr>
        <w:pStyle w:val="11"/>
        <w:rPr>
          <w:rFonts w:hint="eastAsia" w:eastAsia="宋体" w:asciiTheme="majorHAnsi" w:hAnsiTheme="majorHAnsi" w:cstheme="majorBidi"/>
          <w:b/>
          <w:bCs/>
          <w:color w:val="auto"/>
          <w:kern w:val="2"/>
          <w:sz w:val="24"/>
          <w:szCs w:val="24"/>
          <w:highlight w:val="none"/>
          <w:lang w:val="en-US" w:eastAsia="zh-CN" w:bidi="ar-SA"/>
        </w:rPr>
      </w:pPr>
    </w:p>
    <w:p w14:paraId="2CC927CA">
      <w:pPr>
        <w:pStyle w:val="11"/>
        <w:rPr>
          <w:rFonts w:hint="eastAsia" w:eastAsia="宋体" w:asciiTheme="majorHAnsi" w:hAnsiTheme="majorHAnsi" w:cstheme="majorBidi"/>
          <w:b/>
          <w:bCs/>
          <w:color w:val="auto"/>
          <w:kern w:val="2"/>
          <w:sz w:val="24"/>
          <w:szCs w:val="24"/>
          <w:highlight w:val="none"/>
          <w:lang w:val="en-US" w:eastAsia="zh-CN" w:bidi="ar-SA"/>
        </w:rPr>
      </w:pPr>
    </w:p>
    <w:p w14:paraId="18FDCDE0">
      <w:pPr>
        <w:pStyle w:val="11"/>
        <w:rPr>
          <w:rFonts w:hint="eastAsia" w:eastAsia="宋体" w:asciiTheme="majorHAnsi" w:hAnsiTheme="majorHAnsi" w:cstheme="majorBidi"/>
          <w:b/>
          <w:bCs/>
          <w:color w:val="auto"/>
          <w:kern w:val="2"/>
          <w:sz w:val="24"/>
          <w:szCs w:val="24"/>
          <w:highlight w:val="none"/>
          <w:lang w:val="en-US" w:eastAsia="zh-CN" w:bidi="ar-SA"/>
        </w:rPr>
      </w:pPr>
    </w:p>
    <w:p w14:paraId="0D5FD33D">
      <w:pPr>
        <w:keepNext w:val="0"/>
        <w:keepLines w:val="0"/>
        <w:pageBreakBefore w:val="0"/>
        <w:widowControl w:val="0"/>
        <w:shd w:val="clear" w:color="auto" w:fill="FFFFFF"/>
        <w:tabs>
          <w:tab w:val="left" w:pos="3045"/>
        </w:tabs>
        <w:kinsoku/>
        <w:wordWrap/>
        <w:overflowPunct/>
        <w:topLinePunct w:val="0"/>
        <w:autoSpaceDE w:val="0"/>
        <w:autoSpaceDN w:val="0"/>
        <w:bidi w:val="0"/>
        <w:adjustRightInd w:val="0"/>
        <w:snapToGrid w:val="0"/>
        <w:spacing w:before="157" w:beforeLines="50" w:after="80" w:line="360" w:lineRule="exact"/>
        <w:jc w:val="center"/>
        <w:textAlignment w:val="auto"/>
        <w:rPr>
          <w:rFonts w:hint="eastAsia" w:eastAsia="宋体" w:asciiTheme="majorHAnsi" w:hAnsiTheme="majorHAnsi" w:cstheme="majorBidi"/>
          <w:b/>
          <w:bCs/>
          <w:color w:val="auto"/>
          <w:kern w:val="2"/>
          <w:sz w:val="32"/>
          <w:szCs w:val="32"/>
          <w:highlight w:val="none"/>
          <w:lang w:val="en-US" w:eastAsia="zh-CN" w:bidi="ar-SA"/>
        </w:rPr>
      </w:pPr>
      <w:r>
        <w:rPr>
          <w:rFonts w:hint="eastAsia" w:eastAsia="宋体" w:asciiTheme="majorHAnsi" w:hAnsiTheme="majorHAnsi" w:cstheme="majorBidi"/>
          <w:b/>
          <w:bCs/>
          <w:color w:val="auto"/>
          <w:kern w:val="2"/>
          <w:sz w:val="32"/>
          <w:szCs w:val="32"/>
          <w:highlight w:val="none"/>
          <w:lang w:val="en-US" w:eastAsia="zh-CN" w:bidi="ar-SA"/>
        </w:rPr>
        <w:t>五、实质性响应一览表</w:t>
      </w:r>
    </w:p>
    <w:p w14:paraId="72869DE6">
      <w:pPr>
        <w:keepNext w:val="0"/>
        <w:keepLines w:val="0"/>
        <w:pageBreakBefore w:val="0"/>
        <w:widowControl w:val="0"/>
        <w:shd w:val="clear" w:color="auto" w:fill="FFFFFF"/>
        <w:tabs>
          <w:tab w:val="left" w:pos="3045"/>
        </w:tabs>
        <w:kinsoku/>
        <w:wordWrap/>
        <w:overflowPunct/>
        <w:topLinePunct w:val="0"/>
        <w:autoSpaceDE w:val="0"/>
        <w:autoSpaceDN w:val="0"/>
        <w:bidi w:val="0"/>
        <w:adjustRightInd w:val="0"/>
        <w:snapToGrid w:val="0"/>
        <w:spacing w:line="360" w:lineRule="exact"/>
        <w:jc w:val="center"/>
        <w:textAlignment w:val="auto"/>
        <w:rPr>
          <w:rFonts w:hint="eastAsia" w:ascii="宋体" w:hAnsi="宋体" w:cs="宋体"/>
          <w:b/>
          <w:color w:val="auto"/>
          <w:sz w:val="24"/>
          <w:highlight w:val="none"/>
        </w:rPr>
      </w:pPr>
      <w:r>
        <w:rPr>
          <w:rFonts w:hint="eastAsia" w:ascii="宋体" w:hAnsi="宋体" w:cs="宋体"/>
          <w:b w:val="0"/>
          <w:bCs/>
          <w:color w:val="auto"/>
          <w:sz w:val="24"/>
          <w:highlight w:val="none"/>
        </w:rPr>
        <w:t>（供应商须对本附表所有内容逐条响应且无负偏离，否则</w:t>
      </w:r>
      <w:r>
        <w:rPr>
          <w:rFonts w:hint="eastAsia" w:cs="宋体"/>
          <w:b w:val="0"/>
          <w:bCs/>
          <w:color w:val="auto"/>
          <w:sz w:val="24"/>
          <w:highlight w:val="none"/>
          <w:lang w:val="en-US" w:eastAsia="zh-CN"/>
        </w:rPr>
        <w:t>其</w:t>
      </w:r>
      <w:r>
        <w:rPr>
          <w:rFonts w:hint="eastAsia" w:cs="宋体"/>
          <w:b/>
          <w:color w:val="auto"/>
          <w:sz w:val="24"/>
          <w:highlight w:val="none"/>
          <w:lang w:val="en-US" w:eastAsia="zh-CN"/>
        </w:rPr>
        <w:t>响应</w:t>
      </w:r>
      <w:r>
        <w:rPr>
          <w:rFonts w:hint="eastAsia" w:ascii="宋体" w:hAnsi="宋体" w:cs="宋体"/>
          <w:b/>
          <w:color w:val="auto"/>
          <w:sz w:val="24"/>
          <w:highlight w:val="none"/>
        </w:rPr>
        <w:t>无效</w:t>
      </w:r>
      <w:r>
        <w:rPr>
          <w:rFonts w:hint="eastAsia" w:ascii="宋体" w:hAnsi="宋体" w:cs="宋体"/>
          <w:b w:val="0"/>
          <w:bCs/>
          <w:color w:val="auto"/>
          <w:sz w:val="24"/>
          <w:highlight w:val="none"/>
        </w:rPr>
        <w:t>）</w:t>
      </w:r>
    </w:p>
    <w:p w14:paraId="597D85C2">
      <w:pPr>
        <w:pStyle w:val="21"/>
        <w:rPr>
          <w:rFonts w:hint="eastAsia" w:ascii="宋体" w:hAnsi="宋体" w:cs="宋体"/>
          <w:color w:val="auto"/>
          <w:highlight w:val="none"/>
        </w:rPr>
      </w:pPr>
    </w:p>
    <w:tbl>
      <w:tblPr>
        <w:tblStyle w:val="27"/>
        <w:tblW w:w="5590" w:type="pct"/>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96"/>
        <w:gridCol w:w="3671"/>
        <w:gridCol w:w="1957"/>
        <w:gridCol w:w="732"/>
      </w:tblGrid>
      <w:tr w14:paraId="5636C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0" w:hRule="atLeast"/>
        </w:trPr>
        <w:tc>
          <w:tcPr>
            <w:tcW w:w="353" w:type="pct"/>
            <w:vMerge w:val="restart"/>
            <w:noWrap w:val="0"/>
            <w:vAlign w:val="center"/>
          </w:tcPr>
          <w:p w14:paraId="70DEA68C">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235" w:type="pct"/>
            <w:gridSpan w:val="2"/>
            <w:noWrap w:val="0"/>
            <w:vAlign w:val="center"/>
          </w:tcPr>
          <w:p w14:paraId="7BD88E5A">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文件要求的实质性响应内容</w:t>
            </w:r>
          </w:p>
        </w:tc>
        <w:tc>
          <w:tcPr>
            <w:tcW w:w="1026" w:type="pct"/>
            <w:vMerge w:val="restart"/>
            <w:noWrap w:val="0"/>
            <w:vAlign w:val="center"/>
          </w:tcPr>
          <w:p w14:paraId="2598EDF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文件具体</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响应内容</w:t>
            </w:r>
          </w:p>
        </w:tc>
        <w:tc>
          <w:tcPr>
            <w:tcW w:w="384" w:type="pct"/>
            <w:vMerge w:val="restart"/>
            <w:noWrap w:val="0"/>
            <w:vAlign w:val="center"/>
          </w:tcPr>
          <w:p w14:paraId="0E80A1FB">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22BA3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353" w:type="pct"/>
            <w:vMerge w:val="continue"/>
            <w:noWrap w:val="0"/>
            <w:vAlign w:val="center"/>
          </w:tcPr>
          <w:p w14:paraId="788F114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p>
        </w:tc>
        <w:tc>
          <w:tcPr>
            <w:tcW w:w="1309" w:type="pct"/>
            <w:noWrap w:val="0"/>
            <w:vAlign w:val="center"/>
          </w:tcPr>
          <w:p w14:paraId="5B941D5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实质性要求</w:t>
            </w:r>
          </w:p>
        </w:tc>
        <w:tc>
          <w:tcPr>
            <w:tcW w:w="1926" w:type="pct"/>
            <w:noWrap w:val="0"/>
            <w:vAlign w:val="center"/>
          </w:tcPr>
          <w:p w14:paraId="1887A7EA">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磋商文件中的规定</w:t>
            </w:r>
          </w:p>
        </w:tc>
        <w:tc>
          <w:tcPr>
            <w:tcW w:w="1026" w:type="pct"/>
            <w:vMerge w:val="continue"/>
            <w:noWrap w:val="0"/>
            <w:vAlign w:val="center"/>
          </w:tcPr>
          <w:p w14:paraId="5FF6F466">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p>
        </w:tc>
        <w:tc>
          <w:tcPr>
            <w:tcW w:w="384" w:type="pct"/>
            <w:vMerge w:val="continue"/>
            <w:noWrap w:val="0"/>
            <w:vAlign w:val="center"/>
          </w:tcPr>
          <w:p w14:paraId="231BB2B8">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p>
        </w:tc>
      </w:tr>
      <w:tr w14:paraId="19EB2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30499CF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309" w:type="pct"/>
            <w:noWrap w:val="0"/>
            <w:vAlign w:val="center"/>
          </w:tcPr>
          <w:p w14:paraId="1710CDD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1926" w:type="pct"/>
            <w:noWrap w:val="0"/>
            <w:vAlign w:val="center"/>
          </w:tcPr>
          <w:p w14:paraId="63B0DE90">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eastAsia="宋体" w:cs="宋体"/>
                <w:color w:val="auto"/>
                <w:sz w:val="24"/>
                <w:szCs w:val="24"/>
                <w:highlight w:val="none"/>
              </w:rPr>
            </w:pPr>
          </w:p>
        </w:tc>
        <w:tc>
          <w:tcPr>
            <w:tcW w:w="1026" w:type="pct"/>
            <w:noWrap w:val="0"/>
            <w:vAlign w:val="center"/>
          </w:tcPr>
          <w:p w14:paraId="0B1E2FB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259753B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78B0F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4CBD69A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309" w:type="pct"/>
            <w:noWrap w:val="0"/>
            <w:vAlign w:val="center"/>
          </w:tcPr>
          <w:p w14:paraId="07A7760F">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1926" w:type="pct"/>
            <w:noWrap w:val="0"/>
            <w:vAlign w:val="center"/>
          </w:tcPr>
          <w:p w14:paraId="5649ACF6">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eastAsia="宋体" w:cs="宋体"/>
                <w:color w:val="auto"/>
                <w:sz w:val="24"/>
                <w:szCs w:val="24"/>
                <w:highlight w:val="none"/>
                <w:lang w:eastAsia="zh-CN"/>
              </w:rPr>
            </w:pPr>
          </w:p>
        </w:tc>
        <w:tc>
          <w:tcPr>
            <w:tcW w:w="1026" w:type="pct"/>
            <w:noWrap w:val="0"/>
            <w:vAlign w:val="center"/>
          </w:tcPr>
          <w:p w14:paraId="4746B94F">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06627A9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2970E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3B9948B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309" w:type="pct"/>
            <w:noWrap w:val="0"/>
            <w:vAlign w:val="center"/>
          </w:tcPr>
          <w:p w14:paraId="3EA46013">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1926" w:type="pct"/>
            <w:noWrap w:val="0"/>
            <w:vAlign w:val="center"/>
          </w:tcPr>
          <w:p w14:paraId="62EC5B93">
            <w:pPr>
              <w:pStyle w:val="70"/>
              <w:keepNext w:val="0"/>
              <w:keepLines w:val="0"/>
              <w:pageBreakBefore w:val="0"/>
              <w:widowControl w:val="0"/>
              <w:shd w:val="clear" w:color="auto" w:fill="FFFFFF"/>
              <w:kinsoku/>
              <w:wordWrap/>
              <w:overflowPunct/>
              <w:topLinePunct w:val="0"/>
              <w:bidi w:val="0"/>
              <w:adjustRightInd/>
              <w:snapToGrid/>
              <w:spacing w:line="360" w:lineRule="exact"/>
              <w:ind w:firstLine="0" w:firstLineChars="0"/>
              <w:textAlignment w:val="auto"/>
              <w:rPr>
                <w:rFonts w:hint="eastAsia" w:ascii="宋体" w:hAnsi="宋体" w:eastAsia="宋体" w:cs="宋体"/>
                <w:color w:val="auto"/>
                <w:kern w:val="0"/>
                <w:sz w:val="24"/>
                <w:szCs w:val="24"/>
                <w:highlight w:val="none"/>
                <w:lang w:val="en-US" w:eastAsia="zh-CN" w:bidi="ar-SA"/>
              </w:rPr>
            </w:pPr>
          </w:p>
        </w:tc>
        <w:tc>
          <w:tcPr>
            <w:tcW w:w="1026" w:type="pct"/>
            <w:noWrap w:val="0"/>
            <w:vAlign w:val="center"/>
          </w:tcPr>
          <w:p w14:paraId="0A9F8338">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08E089DB">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0C6FC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08F7075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1309" w:type="pct"/>
            <w:noWrap w:val="0"/>
            <w:vAlign w:val="center"/>
          </w:tcPr>
          <w:p w14:paraId="695BCC8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1926" w:type="pct"/>
            <w:noWrap w:val="0"/>
            <w:vAlign w:val="center"/>
          </w:tcPr>
          <w:p w14:paraId="7AA3A6EB">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1026" w:type="pct"/>
            <w:noWrap w:val="0"/>
            <w:vAlign w:val="center"/>
          </w:tcPr>
          <w:p w14:paraId="0F24775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7E099895">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1BAED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01C20FB8">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1309" w:type="pct"/>
            <w:noWrap w:val="0"/>
            <w:vAlign w:val="center"/>
          </w:tcPr>
          <w:p w14:paraId="6450B6FD">
            <w:pPr>
              <w:pStyle w:val="70"/>
              <w:keepNext w:val="0"/>
              <w:keepLines w:val="0"/>
              <w:pageBreakBefore w:val="0"/>
              <w:widowControl w:val="0"/>
              <w:shd w:val="clear" w:color="auto" w:fill="FFFFFF"/>
              <w:kinsoku/>
              <w:wordWrap/>
              <w:overflowPunct/>
              <w:topLinePunct w:val="0"/>
              <w:bidi w:val="0"/>
              <w:adjustRightInd/>
              <w:snapToGrid/>
              <w:spacing w:line="360" w:lineRule="exact"/>
              <w:ind w:firstLine="0" w:firstLineChars="0"/>
              <w:textAlignment w:val="auto"/>
              <w:rPr>
                <w:rFonts w:hint="eastAsia" w:ascii="宋体" w:hAnsi="宋体" w:eastAsia="宋体" w:cs="宋体"/>
                <w:color w:val="auto"/>
                <w:sz w:val="24"/>
                <w:szCs w:val="24"/>
                <w:highlight w:val="none"/>
                <w:lang w:val="en-US" w:eastAsia="zh-CN"/>
              </w:rPr>
            </w:pPr>
          </w:p>
        </w:tc>
        <w:tc>
          <w:tcPr>
            <w:tcW w:w="1926" w:type="pct"/>
            <w:noWrap w:val="0"/>
            <w:vAlign w:val="center"/>
          </w:tcPr>
          <w:p w14:paraId="76FAB450">
            <w:pPr>
              <w:keepNext w:val="0"/>
              <w:keepLines w:val="0"/>
              <w:pageBreakBefore w:val="0"/>
              <w:widowControl w:val="0"/>
              <w:shd w:val="clear" w:color="auto" w:fill="FFFFFF"/>
              <w:kinsoku/>
              <w:wordWrap/>
              <w:overflowPunct/>
              <w:topLinePunct w:val="0"/>
              <w:autoSpaceDE/>
              <w:autoSpaceDN/>
              <w:bidi w:val="0"/>
              <w:adjustRightInd/>
              <w:snapToGrid/>
              <w:spacing w:line="400" w:lineRule="atLeast"/>
              <w:textAlignment w:val="auto"/>
              <w:rPr>
                <w:rFonts w:hint="eastAsia" w:ascii="宋体" w:hAnsi="宋体" w:eastAsia="宋体" w:cs="宋体"/>
                <w:color w:val="auto"/>
                <w:sz w:val="24"/>
                <w:szCs w:val="24"/>
                <w:highlight w:val="none"/>
                <w:lang w:val="en-US" w:eastAsia="zh-CN"/>
              </w:rPr>
            </w:pPr>
          </w:p>
        </w:tc>
        <w:tc>
          <w:tcPr>
            <w:tcW w:w="1026" w:type="pct"/>
            <w:noWrap w:val="0"/>
            <w:vAlign w:val="center"/>
          </w:tcPr>
          <w:p w14:paraId="07DA94E9">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07E6D393">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27D30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4F43B45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309" w:type="pct"/>
            <w:noWrap w:val="0"/>
            <w:vAlign w:val="center"/>
          </w:tcPr>
          <w:p w14:paraId="369ABCB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1926" w:type="pct"/>
            <w:noWrap w:val="0"/>
            <w:vAlign w:val="center"/>
          </w:tcPr>
          <w:p w14:paraId="3A38EA74">
            <w:pPr>
              <w:keepNext w:val="0"/>
              <w:keepLines w:val="0"/>
              <w:pageBreakBefore w:val="0"/>
              <w:widowControl w:val="0"/>
              <w:shd w:val="clear" w:color="auto" w:fill="FFFFFF"/>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p>
        </w:tc>
        <w:tc>
          <w:tcPr>
            <w:tcW w:w="1026" w:type="pct"/>
            <w:noWrap w:val="0"/>
            <w:vAlign w:val="center"/>
          </w:tcPr>
          <w:p w14:paraId="24EE6A9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1ABD1D6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01639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6E2F165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309" w:type="pct"/>
            <w:noWrap w:val="0"/>
            <w:vAlign w:val="center"/>
          </w:tcPr>
          <w:p w14:paraId="317CE50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1926" w:type="pct"/>
            <w:noWrap w:val="0"/>
            <w:vAlign w:val="center"/>
          </w:tcPr>
          <w:p w14:paraId="678C199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p>
        </w:tc>
        <w:tc>
          <w:tcPr>
            <w:tcW w:w="1026" w:type="pct"/>
            <w:noWrap w:val="0"/>
            <w:vAlign w:val="center"/>
          </w:tcPr>
          <w:p w14:paraId="63C11E7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168EE7B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50134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353" w:type="pct"/>
            <w:noWrap w:val="0"/>
            <w:vAlign w:val="center"/>
          </w:tcPr>
          <w:p w14:paraId="65574B3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p>
        </w:tc>
        <w:tc>
          <w:tcPr>
            <w:tcW w:w="1309" w:type="pct"/>
            <w:shd w:val="clear" w:color="auto" w:fill="auto"/>
            <w:noWrap w:val="0"/>
            <w:vAlign w:val="center"/>
          </w:tcPr>
          <w:p w14:paraId="4892F810">
            <w:pPr>
              <w:pStyle w:val="44"/>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w:t>
            </w:r>
          </w:p>
        </w:tc>
        <w:tc>
          <w:tcPr>
            <w:tcW w:w="1926" w:type="pct"/>
            <w:noWrap w:val="0"/>
            <w:vAlign w:val="center"/>
          </w:tcPr>
          <w:p w14:paraId="6EE4960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lang w:eastAsia="zh-CN"/>
              </w:rPr>
            </w:pPr>
          </w:p>
        </w:tc>
        <w:tc>
          <w:tcPr>
            <w:tcW w:w="1026" w:type="pct"/>
            <w:noWrap w:val="0"/>
            <w:vAlign w:val="center"/>
          </w:tcPr>
          <w:p w14:paraId="5A390DA1">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384" w:type="pct"/>
            <w:noWrap w:val="0"/>
            <w:vAlign w:val="center"/>
          </w:tcPr>
          <w:p w14:paraId="639F595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bl>
    <w:p w14:paraId="4758525D">
      <w:pPr>
        <w:rPr>
          <w:rFonts w:hint="eastAsia" w:cstheme="majorBidi"/>
          <w:b/>
          <w:bCs/>
          <w:color w:val="auto"/>
          <w:kern w:val="2"/>
          <w:sz w:val="32"/>
          <w:szCs w:val="32"/>
          <w:highlight w:val="none"/>
          <w:lang w:val="en-US" w:eastAsia="zh-CN" w:bidi="ar-SA"/>
        </w:rPr>
      </w:pPr>
    </w:p>
    <w:p w14:paraId="75D4FE8C">
      <w:pPr>
        <w:rPr>
          <w:rFonts w:hint="eastAsia" w:cstheme="majorBidi"/>
          <w:b/>
          <w:bCs/>
          <w:color w:val="auto"/>
          <w:kern w:val="2"/>
          <w:sz w:val="32"/>
          <w:szCs w:val="32"/>
          <w:highlight w:val="none"/>
          <w:lang w:val="en-US" w:eastAsia="zh-CN" w:bidi="ar-SA"/>
        </w:rPr>
      </w:pPr>
      <w:r>
        <w:rPr>
          <w:rFonts w:hint="eastAsia" w:cstheme="majorBidi"/>
          <w:b/>
          <w:bCs/>
          <w:color w:val="auto"/>
          <w:kern w:val="2"/>
          <w:sz w:val="32"/>
          <w:szCs w:val="32"/>
          <w:highlight w:val="none"/>
          <w:lang w:val="en-US" w:eastAsia="zh-CN" w:bidi="ar-SA"/>
        </w:rPr>
        <w:br w:type="page"/>
      </w:r>
    </w:p>
    <w:p w14:paraId="626EF50E">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595" w:name="_Toc24224"/>
      <w:r>
        <w:rPr>
          <w:rFonts w:hint="eastAsia" w:cstheme="majorBidi"/>
          <w:b/>
          <w:bCs/>
          <w:color w:val="auto"/>
          <w:kern w:val="2"/>
          <w:sz w:val="32"/>
          <w:szCs w:val="32"/>
          <w:highlight w:val="none"/>
          <w:lang w:val="en-US" w:eastAsia="zh-CN" w:bidi="ar-SA"/>
        </w:rPr>
        <w:t>六、</w:t>
      </w:r>
      <w:r>
        <w:rPr>
          <w:rFonts w:hint="eastAsia" w:eastAsia="宋体" w:asciiTheme="majorHAnsi" w:hAnsiTheme="majorHAnsi" w:cstheme="majorBidi"/>
          <w:b/>
          <w:bCs/>
          <w:color w:val="auto"/>
          <w:kern w:val="2"/>
          <w:sz w:val="32"/>
          <w:szCs w:val="32"/>
          <w:highlight w:val="none"/>
          <w:lang w:val="en-US" w:eastAsia="zh-CN" w:bidi="ar-SA"/>
        </w:rPr>
        <w:t>商务响应偏离表</w:t>
      </w:r>
      <w:bookmarkEnd w:id="595"/>
    </w:p>
    <w:p w14:paraId="21AF32D6">
      <w:pPr>
        <w:rPr>
          <w:rFonts w:cs="仿宋_GB2312"/>
          <w:color w:val="auto"/>
          <w:szCs w:val="24"/>
          <w:highlight w:val="none"/>
        </w:rPr>
      </w:pPr>
      <w:r>
        <w:rPr>
          <w:rFonts w:hint="eastAsia" w:cs="仿宋_GB2312"/>
          <w:color w:val="auto"/>
          <w:szCs w:val="24"/>
          <w:highlight w:val="none"/>
        </w:rPr>
        <w:t xml:space="preserve">项目名称：                                         </w:t>
      </w:r>
    </w:p>
    <w:p w14:paraId="0424C095">
      <w:pPr>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27"/>
        <w:tblW w:w="503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2394"/>
        <w:gridCol w:w="1720"/>
        <w:gridCol w:w="1871"/>
        <w:gridCol w:w="1871"/>
      </w:tblGrid>
      <w:tr w14:paraId="16BE7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420" w:type="pct"/>
            <w:vAlign w:val="center"/>
          </w:tcPr>
          <w:p w14:paraId="1A4BE3A9">
            <w:pPr>
              <w:pStyle w:val="44"/>
              <w:jc w:val="center"/>
              <w:rPr>
                <w:color w:val="auto"/>
                <w:highlight w:val="none"/>
              </w:rPr>
            </w:pPr>
            <w:r>
              <w:rPr>
                <w:rFonts w:hint="eastAsia"/>
                <w:color w:val="auto"/>
                <w:highlight w:val="none"/>
              </w:rPr>
              <w:t>序号</w:t>
            </w:r>
          </w:p>
        </w:tc>
        <w:tc>
          <w:tcPr>
            <w:tcW w:w="1395" w:type="pct"/>
            <w:vAlign w:val="center"/>
          </w:tcPr>
          <w:p w14:paraId="7CB83CD6">
            <w:pPr>
              <w:pStyle w:val="44"/>
              <w:jc w:val="center"/>
              <w:rPr>
                <w:color w:val="auto"/>
                <w:highlight w:val="none"/>
              </w:rPr>
            </w:pPr>
            <w:r>
              <w:rPr>
                <w:rFonts w:hint="eastAsia"/>
                <w:color w:val="auto"/>
                <w:highlight w:val="none"/>
                <w:lang w:val="en-US" w:eastAsia="zh-CN"/>
              </w:rPr>
              <w:t>竞争性磋商</w:t>
            </w:r>
            <w:r>
              <w:rPr>
                <w:rFonts w:hint="eastAsia"/>
                <w:color w:val="auto"/>
                <w:highlight w:val="none"/>
              </w:rPr>
              <w:t>文件的商务条款</w:t>
            </w:r>
          </w:p>
        </w:tc>
        <w:tc>
          <w:tcPr>
            <w:tcW w:w="1002" w:type="pct"/>
            <w:vAlign w:val="center"/>
          </w:tcPr>
          <w:p w14:paraId="55A47B57">
            <w:pPr>
              <w:pStyle w:val="44"/>
              <w:jc w:val="center"/>
              <w:rPr>
                <w:color w:val="auto"/>
                <w:highlight w:val="none"/>
              </w:rPr>
            </w:pPr>
            <w:r>
              <w:rPr>
                <w:rFonts w:hint="eastAsia"/>
                <w:color w:val="auto"/>
                <w:highlight w:val="none"/>
                <w:lang w:val="en-US" w:eastAsia="zh-CN"/>
              </w:rPr>
              <w:t>响应</w:t>
            </w:r>
            <w:r>
              <w:rPr>
                <w:rFonts w:hint="eastAsia"/>
                <w:color w:val="auto"/>
                <w:highlight w:val="none"/>
              </w:rPr>
              <w:t>文件的响应内容</w:t>
            </w:r>
          </w:p>
        </w:tc>
        <w:tc>
          <w:tcPr>
            <w:tcW w:w="1090" w:type="pct"/>
            <w:vAlign w:val="center"/>
          </w:tcPr>
          <w:p w14:paraId="2572E859">
            <w:pPr>
              <w:pStyle w:val="44"/>
              <w:jc w:val="center"/>
              <w:rPr>
                <w:color w:val="auto"/>
                <w:highlight w:val="none"/>
              </w:rPr>
            </w:pPr>
            <w:r>
              <w:rPr>
                <w:rFonts w:hint="eastAsia"/>
                <w:color w:val="auto"/>
                <w:highlight w:val="none"/>
              </w:rPr>
              <w:t>响应情况</w:t>
            </w:r>
          </w:p>
        </w:tc>
        <w:tc>
          <w:tcPr>
            <w:tcW w:w="1090" w:type="pct"/>
            <w:vAlign w:val="center"/>
          </w:tcPr>
          <w:p w14:paraId="7884F206">
            <w:pPr>
              <w:pStyle w:val="44"/>
              <w:jc w:val="center"/>
              <w:rPr>
                <w:color w:val="auto"/>
                <w:highlight w:val="none"/>
              </w:rPr>
            </w:pPr>
            <w:r>
              <w:rPr>
                <w:rFonts w:hint="eastAsia"/>
                <w:color w:val="auto"/>
                <w:highlight w:val="none"/>
              </w:rPr>
              <w:t>说明及索引</w:t>
            </w:r>
          </w:p>
        </w:tc>
      </w:tr>
      <w:tr w14:paraId="07285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156411A">
            <w:pPr>
              <w:pStyle w:val="44"/>
              <w:jc w:val="center"/>
              <w:rPr>
                <w:color w:val="auto"/>
                <w:highlight w:val="none"/>
              </w:rPr>
            </w:pPr>
            <w:r>
              <w:rPr>
                <w:rFonts w:hint="eastAsia"/>
                <w:color w:val="auto"/>
                <w:highlight w:val="none"/>
              </w:rPr>
              <w:t>1</w:t>
            </w:r>
          </w:p>
        </w:tc>
        <w:tc>
          <w:tcPr>
            <w:tcW w:w="1395" w:type="pct"/>
            <w:vAlign w:val="center"/>
          </w:tcPr>
          <w:p w14:paraId="34566CA0">
            <w:pPr>
              <w:pStyle w:val="44"/>
              <w:jc w:val="center"/>
              <w:rPr>
                <w:color w:val="auto"/>
                <w:highlight w:val="none"/>
              </w:rPr>
            </w:pPr>
            <w:r>
              <w:rPr>
                <w:rFonts w:hint="eastAsia"/>
                <w:color w:val="auto"/>
                <w:highlight w:val="none"/>
              </w:rPr>
              <w:t>*</w:t>
            </w:r>
            <w:r>
              <w:rPr>
                <w:color w:val="auto"/>
                <w:highlight w:val="none"/>
              </w:rPr>
              <w:t>******</w:t>
            </w:r>
          </w:p>
        </w:tc>
        <w:tc>
          <w:tcPr>
            <w:tcW w:w="1002" w:type="pct"/>
            <w:vAlign w:val="center"/>
          </w:tcPr>
          <w:p w14:paraId="1C6482B4">
            <w:pPr>
              <w:pStyle w:val="44"/>
              <w:jc w:val="center"/>
              <w:rPr>
                <w:color w:val="auto"/>
                <w:highlight w:val="none"/>
              </w:rPr>
            </w:pPr>
            <w:r>
              <w:rPr>
                <w:rFonts w:hint="eastAsia"/>
                <w:color w:val="auto"/>
                <w:highlight w:val="none"/>
              </w:rPr>
              <w:t>*</w:t>
            </w:r>
            <w:r>
              <w:rPr>
                <w:color w:val="auto"/>
                <w:highlight w:val="none"/>
              </w:rPr>
              <w:t>******</w:t>
            </w:r>
          </w:p>
        </w:tc>
        <w:tc>
          <w:tcPr>
            <w:tcW w:w="1090" w:type="pct"/>
            <w:vAlign w:val="center"/>
          </w:tcPr>
          <w:p w14:paraId="1BBD0417">
            <w:pPr>
              <w:pStyle w:val="44"/>
              <w:jc w:val="center"/>
              <w:rPr>
                <w:color w:val="auto"/>
                <w:highlight w:val="none"/>
              </w:rPr>
            </w:pPr>
            <w:r>
              <w:rPr>
                <w:rFonts w:hint="eastAsia"/>
                <w:color w:val="auto"/>
                <w:highlight w:val="none"/>
              </w:rPr>
              <w:t>响应</w:t>
            </w:r>
            <w:r>
              <w:rPr>
                <w:color w:val="auto"/>
                <w:highlight w:val="none"/>
              </w:rPr>
              <w:t>/偏离</w:t>
            </w:r>
          </w:p>
        </w:tc>
        <w:tc>
          <w:tcPr>
            <w:tcW w:w="1090" w:type="pct"/>
            <w:vAlign w:val="center"/>
          </w:tcPr>
          <w:p w14:paraId="1A90E39C">
            <w:pPr>
              <w:pStyle w:val="44"/>
              <w:jc w:val="center"/>
              <w:rPr>
                <w:color w:val="auto"/>
                <w:highlight w:val="none"/>
              </w:rPr>
            </w:pPr>
          </w:p>
        </w:tc>
      </w:tr>
      <w:tr w14:paraId="7C832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5821036">
            <w:pPr>
              <w:pStyle w:val="44"/>
              <w:jc w:val="center"/>
              <w:rPr>
                <w:color w:val="auto"/>
                <w:highlight w:val="none"/>
              </w:rPr>
            </w:pPr>
            <w:r>
              <w:rPr>
                <w:rFonts w:hint="eastAsia"/>
                <w:color w:val="auto"/>
                <w:highlight w:val="none"/>
              </w:rPr>
              <w:t>2</w:t>
            </w:r>
          </w:p>
        </w:tc>
        <w:tc>
          <w:tcPr>
            <w:tcW w:w="1395" w:type="pct"/>
            <w:vAlign w:val="center"/>
          </w:tcPr>
          <w:p w14:paraId="2A717A55">
            <w:pPr>
              <w:pStyle w:val="44"/>
              <w:jc w:val="center"/>
              <w:rPr>
                <w:color w:val="auto"/>
                <w:highlight w:val="none"/>
              </w:rPr>
            </w:pPr>
            <w:r>
              <w:rPr>
                <w:rFonts w:hint="eastAsia"/>
                <w:color w:val="auto"/>
                <w:highlight w:val="none"/>
              </w:rPr>
              <w:t>*</w:t>
            </w:r>
            <w:r>
              <w:rPr>
                <w:color w:val="auto"/>
                <w:highlight w:val="none"/>
              </w:rPr>
              <w:t>******</w:t>
            </w:r>
          </w:p>
        </w:tc>
        <w:tc>
          <w:tcPr>
            <w:tcW w:w="1002" w:type="pct"/>
            <w:vAlign w:val="center"/>
          </w:tcPr>
          <w:p w14:paraId="20EC7575">
            <w:pPr>
              <w:pStyle w:val="44"/>
              <w:jc w:val="center"/>
              <w:rPr>
                <w:color w:val="auto"/>
                <w:highlight w:val="none"/>
              </w:rPr>
            </w:pPr>
            <w:r>
              <w:rPr>
                <w:rFonts w:hint="eastAsia"/>
                <w:color w:val="auto"/>
                <w:highlight w:val="none"/>
              </w:rPr>
              <w:t>*</w:t>
            </w:r>
            <w:r>
              <w:rPr>
                <w:color w:val="auto"/>
                <w:highlight w:val="none"/>
              </w:rPr>
              <w:t>******</w:t>
            </w:r>
          </w:p>
        </w:tc>
        <w:tc>
          <w:tcPr>
            <w:tcW w:w="1090" w:type="pct"/>
            <w:vAlign w:val="center"/>
          </w:tcPr>
          <w:p w14:paraId="5923E58D">
            <w:pPr>
              <w:pStyle w:val="44"/>
              <w:jc w:val="center"/>
              <w:rPr>
                <w:color w:val="auto"/>
                <w:highlight w:val="none"/>
              </w:rPr>
            </w:pPr>
          </w:p>
        </w:tc>
        <w:tc>
          <w:tcPr>
            <w:tcW w:w="1090" w:type="pct"/>
            <w:vAlign w:val="center"/>
          </w:tcPr>
          <w:p w14:paraId="59C2C317">
            <w:pPr>
              <w:pStyle w:val="44"/>
              <w:jc w:val="center"/>
              <w:rPr>
                <w:color w:val="auto"/>
                <w:highlight w:val="none"/>
              </w:rPr>
            </w:pPr>
          </w:p>
        </w:tc>
      </w:tr>
      <w:tr w14:paraId="64353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D563CA4">
            <w:pPr>
              <w:pStyle w:val="44"/>
              <w:jc w:val="center"/>
              <w:rPr>
                <w:color w:val="auto"/>
                <w:highlight w:val="none"/>
              </w:rPr>
            </w:pPr>
            <w:r>
              <w:rPr>
                <w:rFonts w:hint="eastAsia"/>
                <w:color w:val="auto"/>
                <w:highlight w:val="none"/>
              </w:rPr>
              <w:t>3</w:t>
            </w:r>
          </w:p>
        </w:tc>
        <w:tc>
          <w:tcPr>
            <w:tcW w:w="1395" w:type="pct"/>
            <w:vAlign w:val="center"/>
          </w:tcPr>
          <w:p w14:paraId="595245DB">
            <w:pPr>
              <w:pStyle w:val="44"/>
              <w:jc w:val="center"/>
              <w:rPr>
                <w:color w:val="auto"/>
                <w:highlight w:val="none"/>
              </w:rPr>
            </w:pPr>
            <w:r>
              <w:rPr>
                <w:rFonts w:hint="eastAsia"/>
                <w:color w:val="auto"/>
                <w:highlight w:val="none"/>
              </w:rPr>
              <w:t>*</w:t>
            </w:r>
            <w:r>
              <w:rPr>
                <w:color w:val="auto"/>
                <w:highlight w:val="none"/>
              </w:rPr>
              <w:t>******</w:t>
            </w:r>
          </w:p>
        </w:tc>
        <w:tc>
          <w:tcPr>
            <w:tcW w:w="1002" w:type="pct"/>
            <w:vAlign w:val="center"/>
          </w:tcPr>
          <w:p w14:paraId="0A16B4B6">
            <w:pPr>
              <w:pStyle w:val="44"/>
              <w:jc w:val="center"/>
              <w:rPr>
                <w:color w:val="auto"/>
                <w:highlight w:val="none"/>
              </w:rPr>
            </w:pPr>
            <w:r>
              <w:rPr>
                <w:rFonts w:hint="eastAsia"/>
                <w:color w:val="auto"/>
                <w:highlight w:val="none"/>
              </w:rPr>
              <w:t>*</w:t>
            </w:r>
            <w:r>
              <w:rPr>
                <w:color w:val="auto"/>
                <w:highlight w:val="none"/>
              </w:rPr>
              <w:t>******</w:t>
            </w:r>
          </w:p>
        </w:tc>
        <w:tc>
          <w:tcPr>
            <w:tcW w:w="1090" w:type="pct"/>
            <w:vAlign w:val="center"/>
          </w:tcPr>
          <w:p w14:paraId="58535F72">
            <w:pPr>
              <w:pStyle w:val="44"/>
              <w:jc w:val="center"/>
              <w:rPr>
                <w:color w:val="auto"/>
                <w:highlight w:val="none"/>
              </w:rPr>
            </w:pPr>
          </w:p>
        </w:tc>
        <w:tc>
          <w:tcPr>
            <w:tcW w:w="1090" w:type="pct"/>
            <w:vAlign w:val="center"/>
          </w:tcPr>
          <w:p w14:paraId="50AB520B">
            <w:pPr>
              <w:pStyle w:val="44"/>
              <w:jc w:val="center"/>
              <w:rPr>
                <w:color w:val="auto"/>
                <w:highlight w:val="none"/>
              </w:rPr>
            </w:pPr>
          </w:p>
        </w:tc>
      </w:tr>
      <w:tr w14:paraId="669EA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4127D5E">
            <w:pPr>
              <w:pStyle w:val="44"/>
              <w:jc w:val="center"/>
              <w:rPr>
                <w:color w:val="auto"/>
                <w:highlight w:val="none"/>
              </w:rPr>
            </w:pPr>
          </w:p>
        </w:tc>
        <w:tc>
          <w:tcPr>
            <w:tcW w:w="1395" w:type="pct"/>
            <w:vAlign w:val="center"/>
          </w:tcPr>
          <w:p w14:paraId="14968038">
            <w:pPr>
              <w:pStyle w:val="44"/>
              <w:jc w:val="center"/>
              <w:rPr>
                <w:color w:val="auto"/>
                <w:highlight w:val="none"/>
              </w:rPr>
            </w:pPr>
          </w:p>
        </w:tc>
        <w:tc>
          <w:tcPr>
            <w:tcW w:w="1002" w:type="pct"/>
            <w:vAlign w:val="center"/>
          </w:tcPr>
          <w:p w14:paraId="10A6B59E">
            <w:pPr>
              <w:pStyle w:val="44"/>
              <w:jc w:val="center"/>
              <w:rPr>
                <w:color w:val="auto"/>
                <w:highlight w:val="none"/>
              </w:rPr>
            </w:pPr>
          </w:p>
        </w:tc>
        <w:tc>
          <w:tcPr>
            <w:tcW w:w="1090" w:type="pct"/>
            <w:vAlign w:val="center"/>
          </w:tcPr>
          <w:p w14:paraId="61702DF6">
            <w:pPr>
              <w:pStyle w:val="44"/>
              <w:jc w:val="center"/>
              <w:rPr>
                <w:color w:val="auto"/>
                <w:highlight w:val="none"/>
              </w:rPr>
            </w:pPr>
          </w:p>
        </w:tc>
        <w:tc>
          <w:tcPr>
            <w:tcW w:w="1090" w:type="pct"/>
            <w:vAlign w:val="center"/>
          </w:tcPr>
          <w:p w14:paraId="0CC18FC2">
            <w:pPr>
              <w:pStyle w:val="44"/>
              <w:jc w:val="center"/>
              <w:rPr>
                <w:color w:val="auto"/>
                <w:highlight w:val="none"/>
              </w:rPr>
            </w:pPr>
          </w:p>
        </w:tc>
      </w:tr>
      <w:tr w14:paraId="57F34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561F269">
            <w:pPr>
              <w:pStyle w:val="44"/>
              <w:jc w:val="center"/>
              <w:rPr>
                <w:color w:val="auto"/>
                <w:highlight w:val="none"/>
              </w:rPr>
            </w:pPr>
          </w:p>
        </w:tc>
        <w:tc>
          <w:tcPr>
            <w:tcW w:w="1395" w:type="pct"/>
            <w:vAlign w:val="center"/>
          </w:tcPr>
          <w:p w14:paraId="5DDD9937">
            <w:pPr>
              <w:pStyle w:val="44"/>
              <w:jc w:val="center"/>
              <w:rPr>
                <w:color w:val="auto"/>
                <w:highlight w:val="none"/>
              </w:rPr>
            </w:pPr>
          </w:p>
        </w:tc>
        <w:tc>
          <w:tcPr>
            <w:tcW w:w="1002" w:type="pct"/>
            <w:vAlign w:val="center"/>
          </w:tcPr>
          <w:p w14:paraId="0B29A018">
            <w:pPr>
              <w:pStyle w:val="44"/>
              <w:jc w:val="center"/>
              <w:rPr>
                <w:color w:val="auto"/>
                <w:highlight w:val="none"/>
              </w:rPr>
            </w:pPr>
          </w:p>
        </w:tc>
        <w:tc>
          <w:tcPr>
            <w:tcW w:w="1090" w:type="pct"/>
            <w:vAlign w:val="center"/>
          </w:tcPr>
          <w:p w14:paraId="1FA693DE">
            <w:pPr>
              <w:pStyle w:val="44"/>
              <w:jc w:val="center"/>
              <w:rPr>
                <w:color w:val="auto"/>
                <w:highlight w:val="none"/>
              </w:rPr>
            </w:pPr>
          </w:p>
        </w:tc>
        <w:tc>
          <w:tcPr>
            <w:tcW w:w="1090" w:type="pct"/>
            <w:vAlign w:val="center"/>
          </w:tcPr>
          <w:p w14:paraId="3D633AB6">
            <w:pPr>
              <w:pStyle w:val="44"/>
              <w:jc w:val="center"/>
              <w:rPr>
                <w:color w:val="auto"/>
                <w:highlight w:val="none"/>
              </w:rPr>
            </w:pPr>
          </w:p>
        </w:tc>
      </w:tr>
      <w:tr w14:paraId="12449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59A5171A">
            <w:pPr>
              <w:pStyle w:val="44"/>
              <w:jc w:val="center"/>
              <w:rPr>
                <w:color w:val="auto"/>
                <w:highlight w:val="none"/>
              </w:rPr>
            </w:pPr>
          </w:p>
        </w:tc>
        <w:tc>
          <w:tcPr>
            <w:tcW w:w="1395" w:type="pct"/>
            <w:vAlign w:val="center"/>
          </w:tcPr>
          <w:p w14:paraId="014A297F">
            <w:pPr>
              <w:pStyle w:val="44"/>
              <w:jc w:val="center"/>
              <w:rPr>
                <w:color w:val="auto"/>
                <w:highlight w:val="none"/>
              </w:rPr>
            </w:pPr>
          </w:p>
        </w:tc>
        <w:tc>
          <w:tcPr>
            <w:tcW w:w="1002" w:type="pct"/>
            <w:vAlign w:val="center"/>
          </w:tcPr>
          <w:p w14:paraId="51467013">
            <w:pPr>
              <w:pStyle w:val="44"/>
              <w:jc w:val="center"/>
              <w:rPr>
                <w:color w:val="auto"/>
                <w:highlight w:val="none"/>
              </w:rPr>
            </w:pPr>
          </w:p>
        </w:tc>
        <w:tc>
          <w:tcPr>
            <w:tcW w:w="1090" w:type="pct"/>
            <w:vAlign w:val="center"/>
          </w:tcPr>
          <w:p w14:paraId="011E40CA">
            <w:pPr>
              <w:pStyle w:val="44"/>
              <w:jc w:val="center"/>
              <w:rPr>
                <w:color w:val="auto"/>
                <w:highlight w:val="none"/>
              </w:rPr>
            </w:pPr>
          </w:p>
        </w:tc>
        <w:tc>
          <w:tcPr>
            <w:tcW w:w="1090" w:type="pct"/>
            <w:vAlign w:val="center"/>
          </w:tcPr>
          <w:p w14:paraId="7062C313">
            <w:pPr>
              <w:pStyle w:val="44"/>
              <w:jc w:val="center"/>
              <w:rPr>
                <w:color w:val="auto"/>
                <w:highlight w:val="none"/>
              </w:rPr>
            </w:pPr>
          </w:p>
        </w:tc>
      </w:tr>
      <w:tr w14:paraId="7994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0B6F410">
            <w:pPr>
              <w:pStyle w:val="44"/>
              <w:jc w:val="center"/>
              <w:rPr>
                <w:color w:val="auto"/>
                <w:highlight w:val="none"/>
              </w:rPr>
            </w:pPr>
          </w:p>
        </w:tc>
        <w:tc>
          <w:tcPr>
            <w:tcW w:w="1395" w:type="pct"/>
            <w:vAlign w:val="center"/>
          </w:tcPr>
          <w:p w14:paraId="010A1BB0">
            <w:pPr>
              <w:pStyle w:val="44"/>
              <w:jc w:val="center"/>
              <w:rPr>
                <w:color w:val="auto"/>
                <w:highlight w:val="none"/>
              </w:rPr>
            </w:pPr>
          </w:p>
        </w:tc>
        <w:tc>
          <w:tcPr>
            <w:tcW w:w="1002" w:type="pct"/>
            <w:vAlign w:val="center"/>
          </w:tcPr>
          <w:p w14:paraId="1EE22C75">
            <w:pPr>
              <w:pStyle w:val="44"/>
              <w:jc w:val="center"/>
              <w:rPr>
                <w:color w:val="auto"/>
                <w:highlight w:val="none"/>
              </w:rPr>
            </w:pPr>
          </w:p>
        </w:tc>
        <w:tc>
          <w:tcPr>
            <w:tcW w:w="1090" w:type="pct"/>
            <w:vAlign w:val="center"/>
          </w:tcPr>
          <w:p w14:paraId="3C86F2CC">
            <w:pPr>
              <w:pStyle w:val="44"/>
              <w:jc w:val="center"/>
              <w:rPr>
                <w:color w:val="auto"/>
                <w:highlight w:val="none"/>
              </w:rPr>
            </w:pPr>
          </w:p>
        </w:tc>
        <w:tc>
          <w:tcPr>
            <w:tcW w:w="1090" w:type="pct"/>
            <w:vAlign w:val="center"/>
          </w:tcPr>
          <w:p w14:paraId="515EA04E">
            <w:pPr>
              <w:pStyle w:val="44"/>
              <w:jc w:val="center"/>
              <w:rPr>
                <w:color w:val="auto"/>
                <w:highlight w:val="none"/>
              </w:rPr>
            </w:pPr>
          </w:p>
        </w:tc>
      </w:tr>
      <w:tr w14:paraId="2D75C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7EFA1E0">
            <w:pPr>
              <w:pStyle w:val="44"/>
              <w:jc w:val="center"/>
              <w:rPr>
                <w:color w:val="auto"/>
                <w:highlight w:val="none"/>
              </w:rPr>
            </w:pPr>
          </w:p>
        </w:tc>
        <w:tc>
          <w:tcPr>
            <w:tcW w:w="1395" w:type="pct"/>
            <w:vAlign w:val="center"/>
          </w:tcPr>
          <w:p w14:paraId="1C7A6406">
            <w:pPr>
              <w:pStyle w:val="44"/>
              <w:jc w:val="center"/>
              <w:rPr>
                <w:color w:val="auto"/>
                <w:highlight w:val="none"/>
              </w:rPr>
            </w:pPr>
          </w:p>
        </w:tc>
        <w:tc>
          <w:tcPr>
            <w:tcW w:w="1002" w:type="pct"/>
            <w:vAlign w:val="center"/>
          </w:tcPr>
          <w:p w14:paraId="7F774DAF">
            <w:pPr>
              <w:pStyle w:val="44"/>
              <w:jc w:val="center"/>
              <w:rPr>
                <w:color w:val="auto"/>
                <w:highlight w:val="none"/>
              </w:rPr>
            </w:pPr>
          </w:p>
        </w:tc>
        <w:tc>
          <w:tcPr>
            <w:tcW w:w="1090" w:type="pct"/>
            <w:vAlign w:val="center"/>
          </w:tcPr>
          <w:p w14:paraId="66A55C54">
            <w:pPr>
              <w:pStyle w:val="44"/>
              <w:jc w:val="center"/>
              <w:rPr>
                <w:color w:val="auto"/>
                <w:highlight w:val="none"/>
              </w:rPr>
            </w:pPr>
          </w:p>
        </w:tc>
        <w:tc>
          <w:tcPr>
            <w:tcW w:w="1090" w:type="pct"/>
            <w:vAlign w:val="center"/>
          </w:tcPr>
          <w:p w14:paraId="6FC3A7DB">
            <w:pPr>
              <w:pStyle w:val="44"/>
              <w:jc w:val="center"/>
              <w:rPr>
                <w:color w:val="auto"/>
                <w:highlight w:val="none"/>
              </w:rPr>
            </w:pPr>
          </w:p>
        </w:tc>
      </w:tr>
      <w:tr w14:paraId="2B937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D84A230">
            <w:pPr>
              <w:pStyle w:val="44"/>
              <w:jc w:val="center"/>
              <w:rPr>
                <w:color w:val="auto"/>
                <w:highlight w:val="none"/>
              </w:rPr>
            </w:pPr>
          </w:p>
        </w:tc>
        <w:tc>
          <w:tcPr>
            <w:tcW w:w="1395" w:type="pct"/>
            <w:vAlign w:val="center"/>
          </w:tcPr>
          <w:p w14:paraId="5A1690B5">
            <w:pPr>
              <w:pStyle w:val="44"/>
              <w:jc w:val="center"/>
              <w:rPr>
                <w:color w:val="auto"/>
                <w:highlight w:val="none"/>
              </w:rPr>
            </w:pPr>
          </w:p>
        </w:tc>
        <w:tc>
          <w:tcPr>
            <w:tcW w:w="1002" w:type="pct"/>
            <w:vAlign w:val="center"/>
          </w:tcPr>
          <w:p w14:paraId="735418C2">
            <w:pPr>
              <w:pStyle w:val="44"/>
              <w:jc w:val="center"/>
              <w:rPr>
                <w:color w:val="auto"/>
                <w:highlight w:val="none"/>
              </w:rPr>
            </w:pPr>
          </w:p>
        </w:tc>
        <w:tc>
          <w:tcPr>
            <w:tcW w:w="1090" w:type="pct"/>
            <w:vAlign w:val="center"/>
          </w:tcPr>
          <w:p w14:paraId="13F6671D">
            <w:pPr>
              <w:pStyle w:val="44"/>
              <w:jc w:val="center"/>
              <w:rPr>
                <w:color w:val="auto"/>
                <w:highlight w:val="none"/>
              </w:rPr>
            </w:pPr>
          </w:p>
        </w:tc>
        <w:tc>
          <w:tcPr>
            <w:tcW w:w="1090" w:type="pct"/>
            <w:vAlign w:val="center"/>
          </w:tcPr>
          <w:p w14:paraId="3DC0B3BB">
            <w:pPr>
              <w:pStyle w:val="44"/>
              <w:jc w:val="center"/>
              <w:rPr>
                <w:color w:val="auto"/>
                <w:highlight w:val="none"/>
              </w:rPr>
            </w:pPr>
          </w:p>
        </w:tc>
      </w:tr>
      <w:tr w14:paraId="23E04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1109CF1">
            <w:pPr>
              <w:pStyle w:val="44"/>
              <w:jc w:val="center"/>
              <w:rPr>
                <w:color w:val="auto"/>
                <w:highlight w:val="none"/>
              </w:rPr>
            </w:pPr>
          </w:p>
        </w:tc>
        <w:tc>
          <w:tcPr>
            <w:tcW w:w="1395" w:type="pct"/>
            <w:vAlign w:val="center"/>
          </w:tcPr>
          <w:p w14:paraId="4E1F25E0">
            <w:pPr>
              <w:pStyle w:val="44"/>
              <w:jc w:val="center"/>
              <w:rPr>
                <w:color w:val="auto"/>
                <w:highlight w:val="none"/>
              </w:rPr>
            </w:pPr>
          </w:p>
        </w:tc>
        <w:tc>
          <w:tcPr>
            <w:tcW w:w="1002" w:type="pct"/>
            <w:vAlign w:val="center"/>
          </w:tcPr>
          <w:p w14:paraId="4F1707F4">
            <w:pPr>
              <w:pStyle w:val="44"/>
              <w:jc w:val="center"/>
              <w:rPr>
                <w:color w:val="auto"/>
                <w:highlight w:val="none"/>
              </w:rPr>
            </w:pPr>
          </w:p>
        </w:tc>
        <w:tc>
          <w:tcPr>
            <w:tcW w:w="1090" w:type="pct"/>
            <w:vAlign w:val="center"/>
          </w:tcPr>
          <w:p w14:paraId="59E61A3B">
            <w:pPr>
              <w:pStyle w:val="44"/>
              <w:jc w:val="center"/>
              <w:rPr>
                <w:color w:val="auto"/>
                <w:highlight w:val="none"/>
              </w:rPr>
            </w:pPr>
          </w:p>
        </w:tc>
        <w:tc>
          <w:tcPr>
            <w:tcW w:w="1090" w:type="pct"/>
            <w:vAlign w:val="center"/>
          </w:tcPr>
          <w:p w14:paraId="33E07ECA">
            <w:pPr>
              <w:pStyle w:val="44"/>
              <w:jc w:val="center"/>
              <w:rPr>
                <w:color w:val="auto"/>
                <w:highlight w:val="none"/>
              </w:rPr>
            </w:pPr>
          </w:p>
        </w:tc>
      </w:tr>
      <w:tr w14:paraId="6B929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1CB3DA8">
            <w:pPr>
              <w:pStyle w:val="44"/>
              <w:jc w:val="center"/>
              <w:rPr>
                <w:color w:val="auto"/>
                <w:highlight w:val="none"/>
              </w:rPr>
            </w:pPr>
          </w:p>
        </w:tc>
        <w:tc>
          <w:tcPr>
            <w:tcW w:w="1395" w:type="pct"/>
            <w:vAlign w:val="center"/>
          </w:tcPr>
          <w:p w14:paraId="494F1780">
            <w:pPr>
              <w:pStyle w:val="44"/>
              <w:jc w:val="center"/>
              <w:rPr>
                <w:color w:val="auto"/>
                <w:highlight w:val="none"/>
              </w:rPr>
            </w:pPr>
          </w:p>
        </w:tc>
        <w:tc>
          <w:tcPr>
            <w:tcW w:w="1002" w:type="pct"/>
            <w:vAlign w:val="center"/>
          </w:tcPr>
          <w:p w14:paraId="02E24AFD">
            <w:pPr>
              <w:pStyle w:val="44"/>
              <w:jc w:val="center"/>
              <w:rPr>
                <w:color w:val="auto"/>
                <w:highlight w:val="none"/>
              </w:rPr>
            </w:pPr>
          </w:p>
        </w:tc>
        <w:tc>
          <w:tcPr>
            <w:tcW w:w="1090" w:type="pct"/>
            <w:vAlign w:val="center"/>
          </w:tcPr>
          <w:p w14:paraId="15C952B3">
            <w:pPr>
              <w:pStyle w:val="44"/>
              <w:jc w:val="center"/>
              <w:rPr>
                <w:color w:val="auto"/>
                <w:highlight w:val="none"/>
              </w:rPr>
            </w:pPr>
          </w:p>
        </w:tc>
        <w:tc>
          <w:tcPr>
            <w:tcW w:w="1090" w:type="pct"/>
            <w:vAlign w:val="center"/>
          </w:tcPr>
          <w:p w14:paraId="042480C5">
            <w:pPr>
              <w:pStyle w:val="44"/>
              <w:jc w:val="center"/>
              <w:rPr>
                <w:color w:val="auto"/>
                <w:highlight w:val="none"/>
              </w:rPr>
            </w:pPr>
          </w:p>
        </w:tc>
      </w:tr>
      <w:tr w14:paraId="13BE0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D3D8B34">
            <w:pPr>
              <w:pStyle w:val="44"/>
              <w:jc w:val="center"/>
              <w:rPr>
                <w:color w:val="auto"/>
                <w:highlight w:val="none"/>
              </w:rPr>
            </w:pPr>
          </w:p>
        </w:tc>
        <w:tc>
          <w:tcPr>
            <w:tcW w:w="1395" w:type="pct"/>
            <w:vAlign w:val="center"/>
          </w:tcPr>
          <w:p w14:paraId="3FA50495">
            <w:pPr>
              <w:pStyle w:val="44"/>
              <w:jc w:val="center"/>
              <w:rPr>
                <w:color w:val="auto"/>
                <w:highlight w:val="none"/>
              </w:rPr>
            </w:pPr>
          </w:p>
        </w:tc>
        <w:tc>
          <w:tcPr>
            <w:tcW w:w="1002" w:type="pct"/>
            <w:vAlign w:val="center"/>
          </w:tcPr>
          <w:p w14:paraId="65521973">
            <w:pPr>
              <w:pStyle w:val="44"/>
              <w:jc w:val="center"/>
              <w:rPr>
                <w:color w:val="auto"/>
                <w:highlight w:val="none"/>
              </w:rPr>
            </w:pPr>
          </w:p>
        </w:tc>
        <w:tc>
          <w:tcPr>
            <w:tcW w:w="1090" w:type="pct"/>
            <w:vAlign w:val="center"/>
          </w:tcPr>
          <w:p w14:paraId="505486BC">
            <w:pPr>
              <w:pStyle w:val="44"/>
              <w:jc w:val="center"/>
              <w:rPr>
                <w:color w:val="auto"/>
                <w:highlight w:val="none"/>
              </w:rPr>
            </w:pPr>
          </w:p>
        </w:tc>
        <w:tc>
          <w:tcPr>
            <w:tcW w:w="1090" w:type="pct"/>
            <w:vAlign w:val="center"/>
          </w:tcPr>
          <w:p w14:paraId="40E41834">
            <w:pPr>
              <w:pStyle w:val="44"/>
              <w:jc w:val="center"/>
              <w:rPr>
                <w:color w:val="auto"/>
                <w:highlight w:val="none"/>
              </w:rPr>
            </w:pPr>
          </w:p>
        </w:tc>
      </w:tr>
      <w:tr w14:paraId="322EB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E27F183">
            <w:pPr>
              <w:pStyle w:val="44"/>
              <w:jc w:val="center"/>
              <w:rPr>
                <w:color w:val="auto"/>
                <w:highlight w:val="none"/>
              </w:rPr>
            </w:pPr>
          </w:p>
        </w:tc>
        <w:tc>
          <w:tcPr>
            <w:tcW w:w="1395" w:type="pct"/>
            <w:vAlign w:val="center"/>
          </w:tcPr>
          <w:p w14:paraId="199507E1">
            <w:pPr>
              <w:pStyle w:val="44"/>
              <w:jc w:val="center"/>
              <w:rPr>
                <w:color w:val="auto"/>
                <w:highlight w:val="none"/>
              </w:rPr>
            </w:pPr>
          </w:p>
        </w:tc>
        <w:tc>
          <w:tcPr>
            <w:tcW w:w="1002" w:type="pct"/>
            <w:vAlign w:val="center"/>
          </w:tcPr>
          <w:p w14:paraId="6691FD82">
            <w:pPr>
              <w:pStyle w:val="44"/>
              <w:jc w:val="center"/>
              <w:rPr>
                <w:color w:val="auto"/>
                <w:highlight w:val="none"/>
              </w:rPr>
            </w:pPr>
          </w:p>
        </w:tc>
        <w:tc>
          <w:tcPr>
            <w:tcW w:w="1090" w:type="pct"/>
            <w:vAlign w:val="center"/>
          </w:tcPr>
          <w:p w14:paraId="6E35002B">
            <w:pPr>
              <w:pStyle w:val="44"/>
              <w:jc w:val="center"/>
              <w:rPr>
                <w:color w:val="auto"/>
                <w:highlight w:val="none"/>
              </w:rPr>
            </w:pPr>
          </w:p>
        </w:tc>
        <w:tc>
          <w:tcPr>
            <w:tcW w:w="1090" w:type="pct"/>
            <w:vAlign w:val="center"/>
          </w:tcPr>
          <w:p w14:paraId="69818ED1">
            <w:pPr>
              <w:pStyle w:val="44"/>
              <w:jc w:val="center"/>
              <w:rPr>
                <w:color w:val="auto"/>
                <w:highlight w:val="none"/>
              </w:rPr>
            </w:pPr>
          </w:p>
        </w:tc>
      </w:tr>
      <w:tr w14:paraId="79F3B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0" w:type="pct"/>
            <w:vAlign w:val="center"/>
          </w:tcPr>
          <w:p w14:paraId="71E185D4">
            <w:pPr>
              <w:pStyle w:val="44"/>
              <w:jc w:val="center"/>
              <w:rPr>
                <w:color w:val="auto"/>
                <w:highlight w:val="none"/>
              </w:rPr>
            </w:pPr>
            <w:r>
              <w:rPr>
                <w:rFonts w:hint="eastAsia"/>
                <w:color w:val="auto"/>
                <w:highlight w:val="none"/>
              </w:rPr>
              <w:t>……</w:t>
            </w:r>
          </w:p>
        </w:tc>
        <w:tc>
          <w:tcPr>
            <w:tcW w:w="1395" w:type="pct"/>
            <w:vAlign w:val="center"/>
          </w:tcPr>
          <w:p w14:paraId="6324A49D">
            <w:pPr>
              <w:pStyle w:val="44"/>
              <w:jc w:val="center"/>
              <w:rPr>
                <w:color w:val="auto"/>
                <w:highlight w:val="none"/>
              </w:rPr>
            </w:pPr>
            <w:r>
              <w:rPr>
                <w:rFonts w:hint="eastAsia"/>
                <w:color w:val="auto"/>
                <w:highlight w:val="none"/>
              </w:rPr>
              <w:t>…………</w:t>
            </w:r>
          </w:p>
        </w:tc>
        <w:tc>
          <w:tcPr>
            <w:tcW w:w="1002" w:type="pct"/>
            <w:vAlign w:val="center"/>
          </w:tcPr>
          <w:p w14:paraId="0EE83785">
            <w:pPr>
              <w:pStyle w:val="44"/>
              <w:jc w:val="center"/>
              <w:rPr>
                <w:color w:val="auto"/>
                <w:highlight w:val="none"/>
              </w:rPr>
            </w:pPr>
            <w:r>
              <w:rPr>
                <w:rFonts w:hint="eastAsia"/>
                <w:color w:val="auto"/>
                <w:highlight w:val="none"/>
              </w:rPr>
              <w:t>…………</w:t>
            </w:r>
          </w:p>
        </w:tc>
        <w:tc>
          <w:tcPr>
            <w:tcW w:w="1090" w:type="pct"/>
            <w:vAlign w:val="center"/>
          </w:tcPr>
          <w:p w14:paraId="7A24BB2D">
            <w:pPr>
              <w:pStyle w:val="44"/>
              <w:jc w:val="center"/>
              <w:rPr>
                <w:color w:val="auto"/>
                <w:highlight w:val="none"/>
              </w:rPr>
            </w:pPr>
            <w:r>
              <w:rPr>
                <w:rFonts w:hint="eastAsia"/>
                <w:color w:val="auto"/>
                <w:highlight w:val="none"/>
              </w:rPr>
              <w:t>……</w:t>
            </w:r>
          </w:p>
        </w:tc>
        <w:tc>
          <w:tcPr>
            <w:tcW w:w="1090" w:type="pct"/>
            <w:vAlign w:val="center"/>
          </w:tcPr>
          <w:p w14:paraId="7CC08218">
            <w:pPr>
              <w:pStyle w:val="44"/>
              <w:jc w:val="center"/>
              <w:rPr>
                <w:color w:val="auto"/>
                <w:highlight w:val="none"/>
              </w:rPr>
            </w:pPr>
          </w:p>
        </w:tc>
      </w:tr>
    </w:tbl>
    <w:p w14:paraId="3AE7676B">
      <w:pPr>
        <w:ind w:firstLine="420" w:firstLineChars="200"/>
        <w:rPr>
          <w:rFonts w:hint="eastAsia" w:cs="仿宋_GB2312"/>
          <w:color w:val="auto"/>
          <w:sz w:val="21"/>
          <w:szCs w:val="21"/>
          <w:highlight w:val="none"/>
        </w:rPr>
      </w:pPr>
    </w:p>
    <w:p w14:paraId="79243E57">
      <w:pPr>
        <w:ind w:firstLine="420" w:firstLineChars="200"/>
        <w:rPr>
          <w:rFonts w:cs="仿宋_GB2312"/>
          <w:color w:val="auto"/>
          <w:sz w:val="21"/>
          <w:szCs w:val="21"/>
          <w:highlight w:val="none"/>
        </w:rPr>
      </w:pPr>
      <w:r>
        <w:rPr>
          <w:rFonts w:hint="eastAsia" w:cs="仿宋_GB2312"/>
          <w:color w:val="auto"/>
          <w:sz w:val="21"/>
          <w:szCs w:val="21"/>
          <w:highlight w:val="none"/>
        </w:rPr>
        <w:t>注：</w:t>
      </w:r>
      <w:r>
        <w:rPr>
          <w:rFonts w:hint="eastAsia" w:cs="仿宋_GB2312"/>
          <w:color w:val="auto"/>
          <w:sz w:val="21"/>
          <w:szCs w:val="21"/>
          <w:highlight w:val="none"/>
          <w:lang w:val="en-US" w:eastAsia="zh-CN"/>
        </w:rPr>
        <w:t>供应商</w:t>
      </w:r>
      <w:r>
        <w:rPr>
          <w:rFonts w:hint="eastAsia" w:cs="仿宋_GB2312"/>
          <w:color w:val="auto"/>
          <w:sz w:val="21"/>
          <w:szCs w:val="21"/>
          <w:highlight w:val="none"/>
        </w:rPr>
        <w:t>应按照</w:t>
      </w:r>
      <w:r>
        <w:rPr>
          <w:rFonts w:hint="eastAsia" w:cs="仿宋_GB2312"/>
          <w:color w:val="auto"/>
          <w:sz w:val="21"/>
          <w:szCs w:val="21"/>
          <w:highlight w:val="none"/>
          <w:lang w:val="en-US" w:eastAsia="zh-CN"/>
        </w:rPr>
        <w:t>竞争性磋商</w:t>
      </w:r>
      <w:r>
        <w:rPr>
          <w:rFonts w:hint="eastAsia" w:cs="仿宋_GB2312"/>
          <w:color w:val="auto"/>
          <w:sz w:val="21"/>
          <w:szCs w:val="21"/>
          <w:highlight w:val="none"/>
        </w:rPr>
        <w:t>文件</w:t>
      </w:r>
      <w:r>
        <w:rPr>
          <w:rFonts w:hint="eastAsia" w:cs="仿宋_GB2312"/>
          <w:color w:val="auto"/>
          <w:sz w:val="21"/>
          <w:szCs w:val="21"/>
          <w:highlight w:val="none"/>
          <w:lang w:eastAsia="zh-CN"/>
        </w:rPr>
        <w:t>“</w:t>
      </w:r>
      <w:r>
        <w:rPr>
          <w:rFonts w:hint="eastAsia" w:cs="仿宋_GB2312"/>
          <w:color w:val="auto"/>
          <w:sz w:val="21"/>
          <w:szCs w:val="21"/>
          <w:highlight w:val="none"/>
        </w:rPr>
        <w:t xml:space="preserve">第三章 </w:t>
      </w:r>
      <w:r>
        <w:rPr>
          <w:rFonts w:hint="eastAsia" w:cs="仿宋_GB2312"/>
          <w:color w:val="auto"/>
          <w:sz w:val="21"/>
          <w:szCs w:val="21"/>
          <w:highlight w:val="none"/>
          <w:lang w:val="en-US" w:eastAsia="zh-CN"/>
        </w:rPr>
        <w:t>项目</w:t>
      </w:r>
      <w:r>
        <w:rPr>
          <w:rFonts w:hint="eastAsia" w:cs="仿宋_GB2312"/>
          <w:color w:val="auto"/>
          <w:sz w:val="21"/>
          <w:szCs w:val="21"/>
          <w:highlight w:val="none"/>
        </w:rPr>
        <w:t>采购需求</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中的商务要求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“响应/偏离”应据实填写“响应”、“正偏离”或“负偏离”</w:t>
      </w:r>
      <w:r>
        <w:rPr>
          <w:rFonts w:hint="eastAsia" w:cs="仿宋_GB2312"/>
          <w:color w:val="auto"/>
          <w:sz w:val="21"/>
          <w:szCs w:val="21"/>
          <w:highlight w:val="none"/>
        </w:rPr>
        <w:t>。</w:t>
      </w:r>
    </w:p>
    <w:p w14:paraId="1A3EAC71">
      <w:pPr>
        <w:rPr>
          <w:rFonts w:cs="仿宋_GB2312"/>
          <w:color w:val="auto"/>
          <w:szCs w:val="24"/>
          <w:highlight w:val="none"/>
        </w:rPr>
      </w:pPr>
    </w:p>
    <w:p w14:paraId="5CB06622">
      <w:pPr>
        <w:ind w:firstLine="480" w:firstLineChars="200"/>
        <w:rPr>
          <w:rFonts w:cs="仿宋_GB2312"/>
          <w:color w:val="auto"/>
          <w:szCs w:val="24"/>
          <w:highlight w:val="none"/>
        </w:rPr>
      </w:pPr>
    </w:p>
    <w:p w14:paraId="01107FC6">
      <w:pPr>
        <w:autoSpaceDE w:val="0"/>
        <w:autoSpaceDN w:val="0"/>
        <w:spacing w:line="360" w:lineRule="auto"/>
        <w:ind w:left="2" w:leftChars="1" w:right="1120" w:firstLine="4560" w:firstLineChars="1900"/>
        <w:jc w:val="left"/>
        <w:rPr>
          <w:rFonts w:ascii="宋体" w:hAnsi="宋体" w:cs="宋体"/>
          <w:color w:val="auto"/>
          <w:kern w:val="0"/>
          <w:sz w:val="24"/>
          <w:szCs w:val="24"/>
          <w:highlight w:val="none"/>
          <w:lang w:val="zh-CN"/>
        </w:rPr>
      </w:pPr>
      <w:r>
        <w:rPr>
          <w:rFonts w:hint="eastAsia" w:cs="宋体"/>
          <w:color w:val="auto"/>
          <w:kern w:val="0"/>
          <w:sz w:val="24"/>
          <w:szCs w:val="24"/>
          <w:highlight w:val="none"/>
          <w:lang w:val="en-US" w:eastAsia="zh-CN"/>
        </w:rPr>
        <w:t>供应商</w:t>
      </w:r>
      <w:r>
        <w:rPr>
          <w:rFonts w:hint="eastAsia" w:ascii="宋体" w:hAnsi="宋体" w:cs="宋体"/>
          <w:color w:val="auto"/>
          <w:kern w:val="0"/>
          <w:sz w:val="24"/>
          <w:szCs w:val="24"/>
          <w:highlight w:val="none"/>
          <w:lang w:val="zh-CN"/>
        </w:rPr>
        <w:t>名称（</w:t>
      </w:r>
      <w:r>
        <w:rPr>
          <w:rFonts w:hint="eastAsia" w:cs="宋体"/>
          <w:color w:val="auto"/>
          <w:sz w:val="24"/>
          <w:szCs w:val="24"/>
          <w:highlight w:val="none"/>
          <w:lang w:eastAsia="zh-CN"/>
        </w:rPr>
        <w:t>公章</w:t>
      </w:r>
      <w:r>
        <w:rPr>
          <w:rFonts w:hint="eastAsia" w:ascii="宋体" w:hAnsi="宋体" w:cs="宋体"/>
          <w:color w:val="auto"/>
          <w:kern w:val="0"/>
          <w:sz w:val="24"/>
          <w:szCs w:val="24"/>
          <w:highlight w:val="none"/>
          <w:lang w:val="zh-CN"/>
        </w:rPr>
        <w:t xml:space="preserve">）：                                                                                                                                                                                                               </w:t>
      </w:r>
    </w:p>
    <w:p w14:paraId="14E042A5">
      <w:pPr>
        <w:ind w:firstLine="4560" w:firstLineChars="1900"/>
        <w:rPr>
          <w:rFonts w:hint="eastAsia" w:eastAsia="宋体" w:asciiTheme="majorHAnsi" w:hAnsiTheme="majorHAnsi" w:cstheme="majorBidi"/>
          <w:b/>
          <w:bCs/>
          <w:color w:val="auto"/>
          <w:kern w:val="2"/>
          <w:sz w:val="24"/>
          <w:szCs w:val="24"/>
          <w:highlight w:val="none"/>
          <w:lang w:val="en-US" w:eastAsia="zh-CN" w:bidi="ar-SA"/>
        </w:rPr>
      </w:pPr>
      <w:r>
        <w:rPr>
          <w:rFonts w:hint="eastAsia" w:ascii="宋体" w:hAnsi="宋体" w:cs="宋体"/>
          <w:color w:val="auto"/>
          <w:kern w:val="0"/>
          <w:sz w:val="24"/>
          <w:szCs w:val="24"/>
          <w:highlight w:val="none"/>
          <w:lang w:val="zh-CN"/>
        </w:rPr>
        <w:t>日期</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 xml:space="preserve">   年   月   日</w:t>
      </w:r>
    </w:p>
    <w:p w14:paraId="598C43A6">
      <w:pPr>
        <w:ind w:firstLine="420"/>
        <w:rPr>
          <w:rFonts w:cs="仿宋_GB2312"/>
          <w:color w:val="auto"/>
          <w:szCs w:val="24"/>
          <w:highlight w:val="none"/>
        </w:rPr>
      </w:pPr>
      <w:r>
        <w:rPr>
          <w:rFonts w:cs="仿宋_GB2312"/>
          <w:color w:val="auto"/>
          <w:szCs w:val="24"/>
          <w:highlight w:val="none"/>
        </w:rPr>
        <w:br w:type="page"/>
      </w:r>
    </w:p>
    <w:p w14:paraId="3BEF2EC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eastAsia="宋体" w:asciiTheme="majorHAnsi" w:hAnsiTheme="majorHAnsi" w:cstheme="majorBidi"/>
          <w:b/>
          <w:bCs/>
          <w:color w:val="auto"/>
          <w:kern w:val="2"/>
          <w:sz w:val="28"/>
          <w:szCs w:val="28"/>
          <w:highlight w:val="none"/>
          <w:lang w:val="en-US" w:eastAsia="zh-CN" w:bidi="ar-SA"/>
        </w:rPr>
      </w:pPr>
    </w:p>
    <w:p w14:paraId="287724F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596" w:name="_Toc19928"/>
      <w:r>
        <w:rPr>
          <w:rFonts w:hint="eastAsia" w:cstheme="majorBidi"/>
          <w:b/>
          <w:bCs/>
          <w:color w:val="auto"/>
          <w:kern w:val="2"/>
          <w:sz w:val="32"/>
          <w:szCs w:val="32"/>
          <w:highlight w:val="none"/>
          <w:lang w:val="en-US" w:eastAsia="zh-CN" w:bidi="ar-SA"/>
        </w:rPr>
        <w:t>七、</w:t>
      </w:r>
      <w:r>
        <w:rPr>
          <w:rFonts w:hint="eastAsia" w:eastAsia="宋体" w:asciiTheme="majorHAnsi" w:hAnsiTheme="majorHAnsi" w:cstheme="majorBidi"/>
          <w:b/>
          <w:bCs/>
          <w:color w:val="auto"/>
          <w:kern w:val="2"/>
          <w:sz w:val="32"/>
          <w:szCs w:val="32"/>
          <w:highlight w:val="none"/>
          <w:lang w:val="en-US" w:eastAsia="zh-CN" w:bidi="ar-SA"/>
        </w:rPr>
        <w:t>业绩证明文件</w:t>
      </w:r>
      <w:bookmarkEnd w:id="596"/>
    </w:p>
    <w:p w14:paraId="4541380C">
      <w:pPr>
        <w:rPr>
          <w:rFonts w:cs="仿宋_GB2312"/>
          <w:color w:val="auto"/>
          <w:szCs w:val="24"/>
          <w:highlight w:val="none"/>
        </w:rPr>
      </w:pPr>
      <w:r>
        <w:rPr>
          <w:rFonts w:cs="Arial"/>
          <w:bCs/>
          <w:color w:val="auto"/>
          <w:szCs w:val="21"/>
          <w:highlight w:val="none"/>
        </w:rPr>
        <w:fldChar w:fldCharType="begin"/>
      </w:r>
      <w:r>
        <w:rPr>
          <w:rFonts w:cs="Arial"/>
          <w:bCs/>
          <w:color w:val="auto"/>
          <w:szCs w:val="21"/>
          <w:highlight w:val="none"/>
        </w:rPr>
        <w:instrText xml:space="preserve"> LINK Word.Document.8 "D:\\音乐厅\\4通用设备\\招标文件\\音乐厅空调设备招标文件v1.0.doc" "OLE_LINK8" \r  \* MERGEFORMAT </w:instrText>
      </w:r>
      <w:r>
        <w:rPr>
          <w:rFonts w:cs="Arial"/>
          <w:bCs/>
          <w:color w:val="auto"/>
          <w:szCs w:val="21"/>
          <w:highlight w:val="none"/>
        </w:rPr>
        <w:fldChar w:fldCharType="separate"/>
      </w:r>
      <w:r>
        <w:rPr>
          <w:rFonts w:hint="eastAsia" w:cs="仿宋_GB2312"/>
          <w:color w:val="auto"/>
          <w:szCs w:val="24"/>
          <w:highlight w:val="none"/>
        </w:rPr>
        <w:t xml:space="preserve">项目名称：                                         </w:t>
      </w:r>
    </w:p>
    <w:p w14:paraId="159B24BA">
      <w:pPr>
        <w:rPr>
          <w:rFonts w:cs="Arial"/>
          <w:bCs/>
          <w:color w:val="auto"/>
          <w:szCs w:val="21"/>
          <w:highlight w:val="none"/>
        </w:rPr>
      </w:pPr>
      <w:r>
        <w:rPr>
          <w:rFonts w:hint="eastAsia" w:cs="仿宋_GB2312"/>
          <w:color w:val="auto"/>
          <w:szCs w:val="24"/>
          <w:highlight w:val="none"/>
        </w:rPr>
        <w:t>项目编号</w:t>
      </w:r>
      <w:r>
        <w:rPr>
          <w:rFonts w:hint="eastAsia" w:cs="仿宋_GB2312"/>
          <w:color w:val="auto"/>
          <w:szCs w:val="24"/>
          <w:highlight w:val="none"/>
          <w:lang w:val="en-US" w:eastAsia="zh-CN"/>
        </w:rPr>
        <w:t>/</w:t>
      </w:r>
      <w:r>
        <w:rPr>
          <w:rFonts w:hint="eastAsia" w:cs="仿宋_GB2312"/>
          <w:color w:val="auto"/>
          <w:szCs w:val="24"/>
          <w:highlight w:val="none"/>
          <w:lang w:val="zh-CN"/>
        </w:rPr>
        <w:t>包号</w:t>
      </w:r>
      <w:r>
        <w:rPr>
          <w:rFonts w:hint="eastAsia" w:cs="仿宋_GB2312"/>
          <w:color w:val="auto"/>
          <w:szCs w:val="24"/>
          <w:highlight w:val="none"/>
        </w:rPr>
        <w:t xml:space="preserve">：      </w:t>
      </w:r>
      <w:r>
        <w:rPr>
          <w:rFonts w:cs="Arial"/>
          <w:bCs/>
          <w:color w:val="auto"/>
          <w:szCs w:val="21"/>
          <w:highlight w:val="none"/>
        </w:rPr>
        <w:fldChar w:fldCharType="end"/>
      </w:r>
    </w:p>
    <w:tbl>
      <w:tblPr>
        <w:tblStyle w:val="27"/>
        <w:tblW w:w="9854" w:type="dxa"/>
        <w:tblInd w:w="-5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295"/>
        <w:gridCol w:w="1295"/>
        <w:gridCol w:w="1295"/>
        <w:gridCol w:w="1428"/>
        <w:gridCol w:w="1471"/>
        <w:gridCol w:w="1097"/>
        <w:gridCol w:w="1190"/>
      </w:tblGrid>
      <w:tr w14:paraId="387D3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4E9572F9">
            <w:pPr>
              <w:jc w:val="center"/>
              <w:rPr>
                <w:rFonts w:cs="仿宋_GB2312"/>
                <w:color w:val="auto"/>
                <w:sz w:val="24"/>
                <w:szCs w:val="24"/>
                <w:highlight w:val="none"/>
              </w:rPr>
            </w:pPr>
            <w:bookmarkStart w:id="597" w:name="_Hlk46779239"/>
            <w:r>
              <w:rPr>
                <w:rFonts w:hint="eastAsia" w:cs="仿宋_GB2312"/>
                <w:color w:val="auto"/>
                <w:sz w:val="24"/>
                <w:szCs w:val="24"/>
                <w:highlight w:val="none"/>
              </w:rPr>
              <w:t>序号</w:t>
            </w:r>
          </w:p>
        </w:tc>
        <w:tc>
          <w:tcPr>
            <w:tcW w:w="1295" w:type="dxa"/>
            <w:vAlign w:val="center"/>
          </w:tcPr>
          <w:p w14:paraId="51F55A40">
            <w:pPr>
              <w:rPr>
                <w:rFonts w:cs="仿宋_GB2312"/>
                <w:color w:val="auto"/>
                <w:sz w:val="24"/>
                <w:szCs w:val="24"/>
                <w:highlight w:val="none"/>
              </w:rPr>
            </w:pPr>
            <w:r>
              <w:rPr>
                <w:rFonts w:hint="eastAsia" w:cs="仿宋_GB2312"/>
                <w:color w:val="auto"/>
                <w:sz w:val="24"/>
                <w:szCs w:val="24"/>
                <w:highlight w:val="none"/>
              </w:rPr>
              <w:t>完成时间</w:t>
            </w:r>
          </w:p>
        </w:tc>
        <w:tc>
          <w:tcPr>
            <w:tcW w:w="1295" w:type="dxa"/>
            <w:vAlign w:val="center"/>
          </w:tcPr>
          <w:p w14:paraId="4D5C38D5">
            <w:pPr>
              <w:jc w:val="center"/>
              <w:rPr>
                <w:rFonts w:cs="仿宋_GB2312"/>
                <w:color w:val="auto"/>
                <w:sz w:val="24"/>
                <w:szCs w:val="24"/>
                <w:highlight w:val="none"/>
              </w:rPr>
            </w:pPr>
            <w:r>
              <w:rPr>
                <w:rFonts w:hint="eastAsia" w:cs="仿宋_GB2312"/>
                <w:color w:val="auto"/>
                <w:sz w:val="24"/>
                <w:szCs w:val="24"/>
                <w:highlight w:val="none"/>
              </w:rPr>
              <w:t>项目名称</w:t>
            </w:r>
          </w:p>
        </w:tc>
        <w:tc>
          <w:tcPr>
            <w:tcW w:w="1295" w:type="dxa"/>
            <w:vAlign w:val="center"/>
          </w:tcPr>
          <w:p w14:paraId="69717F2A">
            <w:pPr>
              <w:jc w:val="center"/>
              <w:rPr>
                <w:rFonts w:cs="仿宋_GB2312"/>
                <w:color w:val="auto"/>
                <w:sz w:val="24"/>
                <w:szCs w:val="24"/>
                <w:highlight w:val="none"/>
              </w:rPr>
            </w:pPr>
            <w:r>
              <w:rPr>
                <w:rFonts w:hint="eastAsia" w:cs="仿宋_GB2312"/>
                <w:color w:val="auto"/>
                <w:sz w:val="24"/>
                <w:szCs w:val="24"/>
                <w:highlight w:val="none"/>
                <w:lang w:val="en-US" w:eastAsia="zh-CN"/>
              </w:rPr>
              <w:t>标的</w:t>
            </w:r>
            <w:r>
              <w:rPr>
                <w:rFonts w:hint="eastAsia" w:cs="仿宋_GB2312"/>
                <w:color w:val="auto"/>
                <w:sz w:val="24"/>
                <w:szCs w:val="24"/>
                <w:highlight w:val="none"/>
              </w:rPr>
              <w:t>内容</w:t>
            </w:r>
          </w:p>
        </w:tc>
        <w:tc>
          <w:tcPr>
            <w:tcW w:w="1428" w:type="dxa"/>
            <w:vAlign w:val="center"/>
          </w:tcPr>
          <w:p w14:paraId="57C35070">
            <w:pPr>
              <w:jc w:val="center"/>
              <w:rPr>
                <w:rFonts w:cs="仿宋_GB2312"/>
                <w:color w:val="auto"/>
                <w:sz w:val="24"/>
                <w:szCs w:val="24"/>
                <w:highlight w:val="none"/>
              </w:rPr>
            </w:pPr>
            <w:r>
              <w:rPr>
                <w:rFonts w:hint="eastAsia" w:cs="仿宋_GB2312"/>
                <w:color w:val="auto"/>
                <w:sz w:val="24"/>
                <w:szCs w:val="24"/>
                <w:highlight w:val="none"/>
                <w:lang w:val="en-US" w:eastAsia="zh-CN"/>
              </w:rPr>
              <w:t>采购人</w:t>
            </w:r>
            <w:r>
              <w:rPr>
                <w:rFonts w:hint="eastAsia" w:cs="仿宋_GB2312"/>
                <w:color w:val="auto"/>
                <w:sz w:val="24"/>
                <w:szCs w:val="24"/>
                <w:highlight w:val="none"/>
              </w:rPr>
              <w:t>名称</w:t>
            </w:r>
          </w:p>
        </w:tc>
        <w:tc>
          <w:tcPr>
            <w:tcW w:w="1471" w:type="dxa"/>
            <w:vAlign w:val="center"/>
          </w:tcPr>
          <w:p w14:paraId="63FA3FA5">
            <w:pPr>
              <w:jc w:val="center"/>
              <w:rPr>
                <w:rFonts w:hint="eastAsia" w:cs="仿宋_GB2312"/>
                <w:color w:val="auto"/>
                <w:sz w:val="24"/>
                <w:szCs w:val="24"/>
                <w:highlight w:val="none"/>
              </w:rPr>
            </w:pPr>
            <w:r>
              <w:rPr>
                <w:rFonts w:hint="eastAsia" w:cs="仿宋_GB2312"/>
                <w:color w:val="auto"/>
                <w:sz w:val="24"/>
                <w:szCs w:val="24"/>
                <w:highlight w:val="none"/>
                <w:lang w:val="en-US" w:eastAsia="zh-CN"/>
              </w:rPr>
              <w:t>中标（成交）金额</w:t>
            </w:r>
          </w:p>
        </w:tc>
        <w:tc>
          <w:tcPr>
            <w:tcW w:w="1097" w:type="dxa"/>
            <w:vAlign w:val="center"/>
          </w:tcPr>
          <w:p w14:paraId="01352CB9">
            <w:pPr>
              <w:jc w:val="center"/>
              <w:rPr>
                <w:rFonts w:cs="仿宋_GB2312"/>
                <w:color w:val="auto"/>
                <w:sz w:val="24"/>
                <w:szCs w:val="24"/>
                <w:highlight w:val="none"/>
              </w:rPr>
            </w:pPr>
            <w:r>
              <w:rPr>
                <w:rFonts w:hint="eastAsia" w:cs="仿宋_GB2312"/>
                <w:color w:val="auto"/>
                <w:sz w:val="24"/>
                <w:szCs w:val="24"/>
                <w:highlight w:val="none"/>
              </w:rPr>
              <w:t>联系人</w:t>
            </w:r>
          </w:p>
        </w:tc>
        <w:tc>
          <w:tcPr>
            <w:tcW w:w="1190" w:type="dxa"/>
            <w:vAlign w:val="center"/>
          </w:tcPr>
          <w:p w14:paraId="2DA424BF">
            <w:pPr>
              <w:jc w:val="center"/>
              <w:rPr>
                <w:rFonts w:cs="仿宋_GB2312"/>
                <w:color w:val="auto"/>
                <w:sz w:val="24"/>
                <w:szCs w:val="24"/>
                <w:highlight w:val="none"/>
              </w:rPr>
            </w:pPr>
            <w:r>
              <w:rPr>
                <w:rFonts w:hint="eastAsia" w:cs="仿宋_GB2312"/>
                <w:color w:val="auto"/>
                <w:sz w:val="24"/>
                <w:szCs w:val="24"/>
                <w:highlight w:val="none"/>
              </w:rPr>
              <w:t>联系电话</w:t>
            </w:r>
          </w:p>
        </w:tc>
      </w:tr>
      <w:tr w14:paraId="25958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27508E81">
            <w:pPr>
              <w:jc w:val="center"/>
              <w:rPr>
                <w:rFonts w:cs="仿宋_GB2312"/>
                <w:color w:val="auto"/>
                <w:sz w:val="24"/>
                <w:szCs w:val="24"/>
                <w:highlight w:val="none"/>
              </w:rPr>
            </w:pPr>
            <w:r>
              <w:rPr>
                <w:rFonts w:hint="eastAsia" w:cs="仿宋_GB2312"/>
                <w:color w:val="auto"/>
                <w:sz w:val="24"/>
                <w:szCs w:val="24"/>
                <w:highlight w:val="none"/>
              </w:rPr>
              <w:t>1</w:t>
            </w:r>
          </w:p>
        </w:tc>
        <w:tc>
          <w:tcPr>
            <w:tcW w:w="1295" w:type="dxa"/>
            <w:vAlign w:val="center"/>
          </w:tcPr>
          <w:p w14:paraId="27562AF7">
            <w:pPr>
              <w:rPr>
                <w:rFonts w:cs="仿宋_GB2312"/>
                <w:color w:val="auto"/>
                <w:sz w:val="24"/>
                <w:szCs w:val="24"/>
                <w:highlight w:val="none"/>
              </w:rPr>
            </w:pPr>
          </w:p>
        </w:tc>
        <w:tc>
          <w:tcPr>
            <w:tcW w:w="1295" w:type="dxa"/>
            <w:vAlign w:val="center"/>
          </w:tcPr>
          <w:p w14:paraId="02799269">
            <w:pPr>
              <w:rPr>
                <w:rFonts w:cs="仿宋_GB2312"/>
                <w:color w:val="auto"/>
                <w:sz w:val="24"/>
                <w:szCs w:val="24"/>
                <w:highlight w:val="none"/>
              </w:rPr>
            </w:pPr>
          </w:p>
        </w:tc>
        <w:tc>
          <w:tcPr>
            <w:tcW w:w="1295" w:type="dxa"/>
            <w:vAlign w:val="center"/>
          </w:tcPr>
          <w:p w14:paraId="6449ADDF">
            <w:pPr>
              <w:rPr>
                <w:rFonts w:cs="仿宋_GB2312"/>
                <w:color w:val="auto"/>
                <w:sz w:val="24"/>
                <w:szCs w:val="24"/>
                <w:highlight w:val="none"/>
              </w:rPr>
            </w:pPr>
          </w:p>
        </w:tc>
        <w:tc>
          <w:tcPr>
            <w:tcW w:w="1428" w:type="dxa"/>
            <w:vAlign w:val="center"/>
          </w:tcPr>
          <w:p w14:paraId="183C0714">
            <w:pPr>
              <w:rPr>
                <w:rFonts w:cs="仿宋_GB2312"/>
                <w:color w:val="auto"/>
                <w:sz w:val="24"/>
                <w:szCs w:val="24"/>
                <w:highlight w:val="none"/>
              </w:rPr>
            </w:pPr>
          </w:p>
        </w:tc>
        <w:tc>
          <w:tcPr>
            <w:tcW w:w="1471" w:type="dxa"/>
            <w:vAlign w:val="center"/>
          </w:tcPr>
          <w:p w14:paraId="4F169081">
            <w:pPr>
              <w:rPr>
                <w:rFonts w:cs="仿宋_GB2312"/>
                <w:color w:val="auto"/>
                <w:sz w:val="24"/>
                <w:szCs w:val="24"/>
                <w:highlight w:val="none"/>
              </w:rPr>
            </w:pPr>
          </w:p>
        </w:tc>
        <w:tc>
          <w:tcPr>
            <w:tcW w:w="1097" w:type="dxa"/>
            <w:vAlign w:val="center"/>
          </w:tcPr>
          <w:p w14:paraId="64A9DF2C">
            <w:pPr>
              <w:rPr>
                <w:rFonts w:cs="仿宋_GB2312"/>
                <w:color w:val="auto"/>
                <w:sz w:val="24"/>
                <w:szCs w:val="24"/>
                <w:highlight w:val="none"/>
              </w:rPr>
            </w:pPr>
          </w:p>
        </w:tc>
        <w:tc>
          <w:tcPr>
            <w:tcW w:w="1190" w:type="dxa"/>
            <w:vAlign w:val="center"/>
          </w:tcPr>
          <w:p w14:paraId="09D0936A">
            <w:pPr>
              <w:rPr>
                <w:rFonts w:cs="仿宋_GB2312"/>
                <w:color w:val="auto"/>
                <w:sz w:val="24"/>
                <w:szCs w:val="24"/>
                <w:highlight w:val="none"/>
              </w:rPr>
            </w:pPr>
          </w:p>
        </w:tc>
      </w:tr>
      <w:tr w14:paraId="79366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4A21BB39">
            <w:pPr>
              <w:jc w:val="center"/>
              <w:rPr>
                <w:rFonts w:cs="仿宋_GB2312"/>
                <w:color w:val="auto"/>
                <w:sz w:val="24"/>
                <w:szCs w:val="24"/>
                <w:highlight w:val="none"/>
              </w:rPr>
            </w:pPr>
            <w:r>
              <w:rPr>
                <w:rFonts w:hint="eastAsia" w:cs="仿宋_GB2312"/>
                <w:color w:val="auto"/>
                <w:sz w:val="24"/>
                <w:szCs w:val="24"/>
                <w:highlight w:val="none"/>
              </w:rPr>
              <w:t>2</w:t>
            </w:r>
          </w:p>
        </w:tc>
        <w:tc>
          <w:tcPr>
            <w:tcW w:w="1295" w:type="dxa"/>
            <w:vAlign w:val="center"/>
          </w:tcPr>
          <w:p w14:paraId="7CA4B3F3">
            <w:pPr>
              <w:rPr>
                <w:rFonts w:cs="仿宋_GB2312"/>
                <w:color w:val="auto"/>
                <w:sz w:val="24"/>
                <w:szCs w:val="24"/>
                <w:highlight w:val="none"/>
              </w:rPr>
            </w:pPr>
          </w:p>
        </w:tc>
        <w:tc>
          <w:tcPr>
            <w:tcW w:w="1295" w:type="dxa"/>
            <w:vAlign w:val="center"/>
          </w:tcPr>
          <w:p w14:paraId="59CCECB1">
            <w:pPr>
              <w:rPr>
                <w:rFonts w:cs="仿宋_GB2312"/>
                <w:color w:val="auto"/>
                <w:sz w:val="24"/>
                <w:szCs w:val="24"/>
                <w:highlight w:val="none"/>
              </w:rPr>
            </w:pPr>
          </w:p>
        </w:tc>
        <w:tc>
          <w:tcPr>
            <w:tcW w:w="1295" w:type="dxa"/>
            <w:vAlign w:val="center"/>
          </w:tcPr>
          <w:p w14:paraId="4E8043C4">
            <w:pPr>
              <w:rPr>
                <w:rFonts w:cs="仿宋_GB2312"/>
                <w:color w:val="auto"/>
                <w:sz w:val="24"/>
                <w:szCs w:val="24"/>
                <w:highlight w:val="none"/>
              </w:rPr>
            </w:pPr>
          </w:p>
        </w:tc>
        <w:tc>
          <w:tcPr>
            <w:tcW w:w="1428" w:type="dxa"/>
            <w:vAlign w:val="center"/>
          </w:tcPr>
          <w:p w14:paraId="2E195778">
            <w:pPr>
              <w:rPr>
                <w:rFonts w:cs="仿宋_GB2312"/>
                <w:color w:val="auto"/>
                <w:sz w:val="24"/>
                <w:szCs w:val="24"/>
                <w:highlight w:val="none"/>
              </w:rPr>
            </w:pPr>
          </w:p>
        </w:tc>
        <w:tc>
          <w:tcPr>
            <w:tcW w:w="1471" w:type="dxa"/>
            <w:vAlign w:val="center"/>
          </w:tcPr>
          <w:p w14:paraId="49A8CC13">
            <w:pPr>
              <w:rPr>
                <w:rFonts w:cs="仿宋_GB2312"/>
                <w:color w:val="auto"/>
                <w:sz w:val="24"/>
                <w:szCs w:val="24"/>
                <w:highlight w:val="none"/>
              </w:rPr>
            </w:pPr>
          </w:p>
        </w:tc>
        <w:tc>
          <w:tcPr>
            <w:tcW w:w="1097" w:type="dxa"/>
            <w:vAlign w:val="center"/>
          </w:tcPr>
          <w:p w14:paraId="60A21668">
            <w:pPr>
              <w:rPr>
                <w:rFonts w:cs="仿宋_GB2312"/>
                <w:color w:val="auto"/>
                <w:sz w:val="24"/>
                <w:szCs w:val="24"/>
                <w:highlight w:val="none"/>
              </w:rPr>
            </w:pPr>
          </w:p>
        </w:tc>
        <w:tc>
          <w:tcPr>
            <w:tcW w:w="1190" w:type="dxa"/>
            <w:vAlign w:val="center"/>
          </w:tcPr>
          <w:p w14:paraId="185645D3">
            <w:pPr>
              <w:rPr>
                <w:rFonts w:cs="仿宋_GB2312"/>
                <w:color w:val="auto"/>
                <w:sz w:val="24"/>
                <w:szCs w:val="24"/>
                <w:highlight w:val="none"/>
              </w:rPr>
            </w:pPr>
          </w:p>
        </w:tc>
      </w:tr>
      <w:tr w14:paraId="624A4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4428D324">
            <w:pPr>
              <w:jc w:val="center"/>
              <w:rPr>
                <w:rFonts w:cs="仿宋_GB2312"/>
                <w:color w:val="auto"/>
                <w:sz w:val="24"/>
                <w:szCs w:val="24"/>
                <w:highlight w:val="none"/>
              </w:rPr>
            </w:pPr>
            <w:r>
              <w:rPr>
                <w:rFonts w:hint="eastAsia" w:cs="仿宋_GB2312"/>
                <w:color w:val="auto"/>
                <w:sz w:val="24"/>
                <w:szCs w:val="24"/>
                <w:highlight w:val="none"/>
              </w:rPr>
              <w:t>3</w:t>
            </w:r>
          </w:p>
        </w:tc>
        <w:tc>
          <w:tcPr>
            <w:tcW w:w="1295" w:type="dxa"/>
            <w:vAlign w:val="center"/>
          </w:tcPr>
          <w:p w14:paraId="46AEF6AC">
            <w:pPr>
              <w:rPr>
                <w:rFonts w:cs="仿宋_GB2312"/>
                <w:color w:val="auto"/>
                <w:sz w:val="24"/>
                <w:szCs w:val="24"/>
                <w:highlight w:val="none"/>
              </w:rPr>
            </w:pPr>
          </w:p>
        </w:tc>
        <w:tc>
          <w:tcPr>
            <w:tcW w:w="1295" w:type="dxa"/>
            <w:vAlign w:val="center"/>
          </w:tcPr>
          <w:p w14:paraId="601B0208">
            <w:pPr>
              <w:rPr>
                <w:rFonts w:cs="仿宋_GB2312"/>
                <w:color w:val="auto"/>
                <w:sz w:val="24"/>
                <w:szCs w:val="24"/>
                <w:highlight w:val="none"/>
              </w:rPr>
            </w:pPr>
          </w:p>
        </w:tc>
        <w:tc>
          <w:tcPr>
            <w:tcW w:w="1295" w:type="dxa"/>
            <w:vAlign w:val="center"/>
          </w:tcPr>
          <w:p w14:paraId="56885EE6">
            <w:pPr>
              <w:rPr>
                <w:rFonts w:cs="仿宋_GB2312"/>
                <w:color w:val="auto"/>
                <w:sz w:val="24"/>
                <w:szCs w:val="24"/>
                <w:highlight w:val="none"/>
              </w:rPr>
            </w:pPr>
          </w:p>
        </w:tc>
        <w:tc>
          <w:tcPr>
            <w:tcW w:w="1428" w:type="dxa"/>
            <w:vAlign w:val="center"/>
          </w:tcPr>
          <w:p w14:paraId="00552B19">
            <w:pPr>
              <w:rPr>
                <w:rFonts w:cs="仿宋_GB2312"/>
                <w:color w:val="auto"/>
                <w:sz w:val="24"/>
                <w:szCs w:val="24"/>
                <w:highlight w:val="none"/>
              </w:rPr>
            </w:pPr>
          </w:p>
        </w:tc>
        <w:tc>
          <w:tcPr>
            <w:tcW w:w="1471" w:type="dxa"/>
            <w:vAlign w:val="center"/>
          </w:tcPr>
          <w:p w14:paraId="77BC6128">
            <w:pPr>
              <w:rPr>
                <w:rFonts w:cs="仿宋_GB2312"/>
                <w:color w:val="auto"/>
                <w:sz w:val="24"/>
                <w:szCs w:val="24"/>
                <w:highlight w:val="none"/>
              </w:rPr>
            </w:pPr>
          </w:p>
        </w:tc>
        <w:tc>
          <w:tcPr>
            <w:tcW w:w="1097" w:type="dxa"/>
            <w:vAlign w:val="center"/>
          </w:tcPr>
          <w:p w14:paraId="26162792">
            <w:pPr>
              <w:rPr>
                <w:rFonts w:cs="仿宋_GB2312"/>
                <w:color w:val="auto"/>
                <w:sz w:val="24"/>
                <w:szCs w:val="24"/>
                <w:highlight w:val="none"/>
              </w:rPr>
            </w:pPr>
          </w:p>
        </w:tc>
        <w:tc>
          <w:tcPr>
            <w:tcW w:w="1190" w:type="dxa"/>
            <w:vAlign w:val="center"/>
          </w:tcPr>
          <w:p w14:paraId="20173386">
            <w:pPr>
              <w:rPr>
                <w:rFonts w:cs="仿宋_GB2312"/>
                <w:color w:val="auto"/>
                <w:sz w:val="24"/>
                <w:szCs w:val="24"/>
                <w:highlight w:val="none"/>
              </w:rPr>
            </w:pPr>
          </w:p>
        </w:tc>
      </w:tr>
      <w:tr w14:paraId="3BC2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5" w:hRule="atLeast"/>
        </w:trPr>
        <w:tc>
          <w:tcPr>
            <w:tcW w:w="783" w:type="dxa"/>
            <w:vAlign w:val="center"/>
          </w:tcPr>
          <w:p w14:paraId="433A34E7">
            <w:pPr>
              <w:jc w:val="center"/>
              <w:rPr>
                <w:rFonts w:cs="仿宋_GB2312"/>
                <w:color w:val="auto"/>
                <w:sz w:val="24"/>
                <w:szCs w:val="24"/>
                <w:highlight w:val="none"/>
              </w:rPr>
            </w:pPr>
            <w:r>
              <w:rPr>
                <w:rFonts w:hint="eastAsia" w:cs="仿宋_GB2312"/>
                <w:color w:val="auto"/>
                <w:sz w:val="24"/>
                <w:szCs w:val="24"/>
                <w:highlight w:val="none"/>
              </w:rPr>
              <w:t>…</w:t>
            </w:r>
          </w:p>
        </w:tc>
        <w:tc>
          <w:tcPr>
            <w:tcW w:w="1295" w:type="dxa"/>
            <w:vAlign w:val="center"/>
          </w:tcPr>
          <w:p w14:paraId="5D94CAA1">
            <w:pPr>
              <w:rPr>
                <w:rFonts w:cs="仿宋_GB2312"/>
                <w:color w:val="auto"/>
                <w:sz w:val="24"/>
                <w:szCs w:val="24"/>
                <w:highlight w:val="none"/>
              </w:rPr>
            </w:pPr>
          </w:p>
        </w:tc>
        <w:tc>
          <w:tcPr>
            <w:tcW w:w="1295" w:type="dxa"/>
            <w:vAlign w:val="center"/>
          </w:tcPr>
          <w:p w14:paraId="48AC7386">
            <w:pPr>
              <w:rPr>
                <w:rFonts w:cs="仿宋_GB2312"/>
                <w:color w:val="auto"/>
                <w:sz w:val="24"/>
                <w:szCs w:val="24"/>
                <w:highlight w:val="none"/>
              </w:rPr>
            </w:pPr>
          </w:p>
        </w:tc>
        <w:tc>
          <w:tcPr>
            <w:tcW w:w="1295" w:type="dxa"/>
            <w:vAlign w:val="center"/>
          </w:tcPr>
          <w:p w14:paraId="20172F35">
            <w:pPr>
              <w:rPr>
                <w:rFonts w:cs="仿宋_GB2312"/>
                <w:color w:val="auto"/>
                <w:sz w:val="24"/>
                <w:szCs w:val="24"/>
                <w:highlight w:val="none"/>
              </w:rPr>
            </w:pPr>
          </w:p>
        </w:tc>
        <w:tc>
          <w:tcPr>
            <w:tcW w:w="1428" w:type="dxa"/>
            <w:vAlign w:val="center"/>
          </w:tcPr>
          <w:p w14:paraId="75CF74D1">
            <w:pPr>
              <w:rPr>
                <w:rFonts w:cs="仿宋_GB2312"/>
                <w:color w:val="auto"/>
                <w:sz w:val="24"/>
                <w:szCs w:val="24"/>
                <w:highlight w:val="none"/>
              </w:rPr>
            </w:pPr>
          </w:p>
        </w:tc>
        <w:tc>
          <w:tcPr>
            <w:tcW w:w="1471" w:type="dxa"/>
            <w:vAlign w:val="center"/>
          </w:tcPr>
          <w:p w14:paraId="52CF4BF0">
            <w:pPr>
              <w:rPr>
                <w:rFonts w:cs="仿宋_GB2312"/>
                <w:color w:val="auto"/>
                <w:sz w:val="24"/>
                <w:szCs w:val="24"/>
                <w:highlight w:val="none"/>
              </w:rPr>
            </w:pPr>
          </w:p>
        </w:tc>
        <w:tc>
          <w:tcPr>
            <w:tcW w:w="1097" w:type="dxa"/>
            <w:vAlign w:val="center"/>
          </w:tcPr>
          <w:p w14:paraId="77C9A88B">
            <w:pPr>
              <w:rPr>
                <w:rFonts w:cs="仿宋_GB2312"/>
                <w:color w:val="auto"/>
                <w:sz w:val="24"/>
                <w:szCs w:val="24"/>
                <w:highlight w:val="none"/>
              </w:rPr>
            </w:pPr>
          </w:p>
        </w:tc>
        <w:tc>
          <w:tcPr>
            <w:tcW w:w="1190" w:type="dxa"/>
            <w:vAlign w:val="center"/>
          </w:tcPr>
          <w:p w14:paraId="52BCFD5F">
            <w:pPr>
              <w:rPr>
                <w:rFonts w:cs="仿宋_GB2312"/>
                <w:color w:val="auto"/>
                <w:sz w:val="24"/>
                <w:szCs w:val="24"/>
                <w:highlight w:val="none"/>
              </w:rPr>
            </w:pPr>
          </w:p>
        </w:tc>
      </w:tr>
      <w:bookmarkEnd w:id="597"/>
    </w:tbl>
    <w:p w14:paraId="5F4B4635">
      <w:pPr>
        <w:rPr>
          <w:rFonts w:hint="eastAsia" w:cs="仿宋_GB2312"/>
          <w:color w:val="auto"/>
          <w:szCs w:val="24"/>
          <w:highlight w:val="none"/>
        </w:rPr>
      </w:pPr>
    </w:p>
    <w:p w14:paraId="58FF379C">
      <w:pPr>
        <w:rPr>
          <w:rFonts w:cs="仿宋_GB2312"/>
          <w:color w:val="auto"/>
          <w:sz w:val="21"/>
          <w:szCs w:val="21"/>
          <w:highlight w:val="none"/>
        </w:rPr>
      </w:pPr>
      <w:r>
        <w:rPr>
          <w:rFonts w:hint="eastAsia" w:cs="仿宋_GB2312"/>
          <w:color w:val="auto"/>
          <w:sz w:val="21"/>
          <w:szCs w:val="21"/>
          <w:highlight w:val="none"/>
        </w:rPr>
        <w:t>注：</w:t>
      </w:r>
      <w:r>
        <w:rPr>
          <w:rFonts w:hint="eastAsia" w:cs="仿宋_GB2312"/>
          <w:color w:val="auto"/>
          <w:sz w:val="21"/>
          <w:szCs w:val="21"/>
          <w:highlight w:val="none"/>
          <w:lang w:val="en-US" w:eastAsia="zh-CN"/>
        </w:rPr>
        <w:t>供应商</w:t>
      </w:r>
      <w:r>
        <w:rPr>
          <w:rFonts w:hint="eastAsia" w:cs="仿宋_GB2312"/>
          <w:color w:val="auto"/>
          <w:sz w:val="21"/>
          <w:szCs w:val="21"/>
          <w:highlight w:val="none"/>
        </w:rPr>
        <w:t>须按上表提供相应的</w:t>
      </w:r>
      <w:r>
        <w:rPr>
          <w:rFonts w:hint="eastAsia" w:cs="仿宋_GB2312"/>
          <w:color w:val="auto"/>
          <w:sz w:val="21"/>
          <w:szCs w:val="21"/>
          <w:highlight w:val="none"/>
          <w:lang w:val="en-US" w:eastAsia="zh-CN"/>
        </w:rPr>
        <w:t>中标（成交）通知书、采购合同等</w:t>
      </w:r>
      <w:r>
        <w:rPr>
          <w:rFonts w:hint="eastAsia" w:cs="仿宋_GB2312"/>
          <w:color w:val="auto"/>
          <w:sz w:val="21"/>
          <w:szCs w:val="21"/>
          <w:highlight w:val="none"/>
        </w:rPr>
        <w:t>业绩证明资料。</w:t>
      </w:r>
    </w:p>
    <w:p w14:paraId="5DB99613">
      <w:pPr>
        <w:widowControl/>
        <w:spacing w:before="100" w:beforeAutospacing="1" w:after="100" w:afterAutospacing="1"/>
        <w:rPr>
          <w:rFonts w:cs="Arial"/>
          <w:color w:val="auto"/>
          <w:szCs w:val="21"/>
          <w:highlight w:val="none"/>
        </w:rPr>
      </w:pPr>
    </w:p>
    <w:p w14:paraId="24086818">
      <w:pPr>
        <w:autoSpaceDE w:val="0"/>
        <w:autoSpaceDN w:val="0"/>
        <w:spacing w:line="360" w:lineRule="auto"/>
        <w:ind w:left="2" w:leftChars="1" w:right="1120" w:firstLine="4560" w:firstLineChars="1900"/>
        <w:jc w:val="left"/>
        <w:rPr>
          <w:rFonts w:ascii="宋体" w:hAnsi="宋体" w:cs="宋体"/>
          <w:color w:val="auto"/>
          <w:kern w:val="0"/>
          <w:sz w:val="24"/>
          <w:szCs w:val="24"/>
          <w:highlight w:val="none"/>
          <w:lang w:val="zh-CN"/>
        </w:rPr>
      </w:pPr>
      <w:r>
        <w:rPr>
          <w:rFonts w:hint="eastAsia" w:cs="宋体"/>
          <w:color w:val="auto"/>
          <w:kern w:val="0"/>
          <w:sz w:val="24"/>
          <w:szCs w:val="24"/>
          <w:highlight w:val="none"/>
          <w:lang w:val="en-US" w:eastAsia="zh-CN"/>
        </w:rPr>
        <w:t>供应商</w:t>
      </w:r>
      <w:r>
        <w:rPr>
          <w:rFonts w:hint="eastAsia" w:ascii="宋体" w:hAnsi="宋体" w:cs="宋体"/>
          <w:color w:val="auto"/>
          <w:kern w:val="0"/>
          <w:sz w:val="24"/>
          <w:szCs w:val="24"/>
          <w:highlight w:val="none"/>
          <w:lang w:val="zh-CN"/>
        </w:rPr>
        <w:t>名称（</w:t>
      </w:r>
      <w:r>
        <w:rPr>
          <w:rFonts w:hint="eastAsia" w:cs="宋体"/>
          <w:color w:val="auto"/>
          <w:sz w:val="24"/>
          <w:szCs w:val="24"/>
          <w:highlight w:val="none"/>
          <w:lang w:eastAsia="zh-CN"/>
        </w:rPr>
        <w:t>公章</w:t>
      </w:r>
      <w:r>
        <w:rPr>
          <w:rFonts w:hint="eastAsia" w:ascii="宋体" w:hAnsi="宋体" w:cs="宋体"/>
          <w:color w:val="auto"/>
          <w:kern w:val="0"/>
          <w:sz w:val="24"/>
          <w:szCs w:val="24"/>
          <w:highlight w:val="none"/>
          <w:lang w:val="zh-CN"/>
        </w:rPr>
        <w:t xml:space="preserve">）：                                                                                                                                                                                                               </w:t>
      </w:r>
    </w:p>
    <w:p w14:paraId="142B0179">
      <w:pPr>
        <w:ind w:firstLine="4560" w:firstLineChars="1900"/>
        <w:rPr>
          <w:rFonts w:hint="eastAsia" w:eastAsia="宋体" w:asciiTheme="majorHAnsi" w:hAnsiTheme="majorHAnsi" w:cstheme="majorBidi"/>
          <w:b/>
          <w:bCs/>
          <w:color w:val="auto"/>
          <w:kern w:val="2"/>
          <w:sz w:val="24"/>
          <w:szCs w:val="24"/>
          <w:highlight w:val="none"/>
          <w:lang w:val="en-US" w:eastAsia="zh-CN" w:bidi="ar-SA"/>
        </w:rPr>
      </w:pPr>
      <w:r>
        <w:rPr>
          <w:rFonts w:hint="eastAsia" w:ascii="宋体" w:hAnsi="宋体" w:cs="宋体"/>
          <w:color w:val="auto"/>
          <w:kern w:val="0"/>
          <w:sz w:val="24"/>
          <w:szCs w:val="24"/>
          <w:highlight w:val="none"/>
          <w:lang w:val="zh-CN"/>
        </w:rPr>
        <w:t>日期</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 xml:space="preserve">   年   月   日</w:t>
      </w:r>
    </w:p>
    <w:p w14:paraId="095105C8">
      <w:pPr>
        <w:ind w:firstLine="420"/>
        <w:rPr>
          <w:rFonts w:cs="仿宋_GB2312"/>
          <w:color w:val="auto"/>
          <w:szCs w:val="24"/>
          <w:highlight w:val="none"/>
        </w:rPr>
      </w:pPr>
      <w:r>
        <w:rPr>
          <w:rFonts w:cs="仿宋_GB2312"/>
          <w:color w:val="auto"/>
          <w:szCs w:val="24"/>
          <w:highlight w:val="none"/>
        </w:rPr>
        <w:br w:type="page"/>
      </w:r>
    </w:p>
    <w:p w14:paraId="4E924C81">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598" w:name="_Toc25864"/>
      <w:r>
        <w:rPr>
          <w:rFonts w:hint="eastAsia" w:cstheme="majorBidi"/>
          <w:b/>
          <w:bCs/>
          <w:color w:val="auto"/>
          <w:kern w:val="2"/>
          <w:sz w:val="32"/>
          <w:szCs w:val="32"/>
          <w:highlight w:val="none"/>
          <w:lang w:val="en-US" w:eastAsia="zh-CN" w:bidi="ar-SA"/>
        </w:rPr>
        <w:t>八、</w:t>
      </w:r>
      <w:r>
        <w:rPr>
          <w:rFonts w:hint="eastAsia" w:eastAsia="宋体" w:asciiTheme="majorHAnsi" w:hAnsiTheme="majorHAnsi" w:cstheme="majorBidi"/>
          <w:b/>
          <w:bCs/>
          <w:color w:val="auto"/>
          <w:kern w:val="2"/>
          <w:sz w:val="32"/>
          <w:szCs w:val="32"/>
          <w:highlight w:val="none"/>
          <w:lang w:val="en-US" w:eastAsia="zh-CN" w:bidi="ar-SA"/>
        </w:rPr>
        <w:t>拟派项目团队</w:t>
      </w:r>
      <w:bookmarkEnd w:id="598"/>
    </w:p>
    <w:tbl>
      <w:tblPr>
        <w:tblStyle w:val="27"/>
        <w:tblW w:w="9162" w:type="dxa"/>
        <w:tblInd w:w="-3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143"/>
        <w:gridCol w:w="1203"/>
        <w:gridCol w:w="1224"/>
        <w:gridCol w:w="876"/>
        <w:gridCol w:w="1850"/>
        <w:gridCol w:w="1277"/>
        <w:gridCol w:w="816"/>
      </w:tblGrid>
      <w:tr w14:paraId="044EA1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27A52654">
            <w:pPr>
              <w:pStyle w:val="44"/>
              <w:jc w:val="center"/>
              <w:rPr>
                <w:color w:val="auto"/>
                <w:highlight w:val="none"/>
              </w:rPr>
            </w:pPr>
            <w:r>
              <w:rPr>
                <w:rFonts w:hint="eastAsia"/>
                <w:color w:val="auto"/>
                <w:highlight w:val="none"/>
              </w:rPr>
              <w:t>序号</w:t>
            </w:r>
          </w:p>
        </w:tc>
        <w:tc>
          <w:tcPr>
            <w:tcW w:w="1143" w:type="dxa"/>
            <w:vAlign w:val="center"/>
          </w:tcPr>
          <w:p w14:paraId="06896F70">
            <w:pPr>
              <w:pStyle w:val="44"/>
              <w:jc w:val="center"/>
              <w:rPr>
                <w:color w:val="auto"/>
                <w:highlight w:val="none"/>
              </w:rPr>
            </w:pPr>
            <w:r>
              <w:rPr>
                <w:rFonts w:hint="eastAsia"/>
                <w:color w:val="auto"/>
                <w:highlight w:val="none"/>
                <w:lang w:val="en-US" w:eastAsia="zh-CN"/>
              </w:rPr>
              <w:t>团队成员</w:t>
            </w:r>
          </w:p>
          <w:p w14:paraId="4131E775">
            <w:pPr>
              <w:pStyle w:val="44"/>
              <w:jc w:val="center"/>
              <w:rPr>
                <w:color w:val="auto"/>
                <w:highlight w:val="none"/>
              </w:rPr>
            </w:pPr>
            <w:r>
              <w:rPr>
                <w:rFonts w:hint="eastAsia"/>
                <w:color w:val="auto"/>
                <w:highlight w:val="none"/>
              </w:rPr>
              <w:t>姓名</w:t>
            </w:r>
          </w:p>
        </w:tc>
        <w:tc>
          <w:tcPr>
            <w:tcW w:w="1203" w:type="dxa"/>
            <w:tcBorders>
              <w:right w:val="single" w:color="auto" w:sz="4" w:space="0"/>
            </w:tcBorders>
            <w:vAlign w:val="center"/>
          </w:tcPr>
          <w:p w14:paraId="5B1E627A">
            <w:pPr>
              <w:pStyle w:val="44"/>
              <w:jc w:val="center"/>
              <w:rPr>
                <w:color w:val="auto"/>
                <w:highlight w:val="none"/>
              </w:rPr>
            </w:pPr>
            <w:r>
              <w:rPr>
                <w:rFonts w:hint="eastAsia"/>
                <w:color w:val="auto"/>
                <w:highlight w:val="none"/>
              </w:rPr>
              <w:t>工作单位</w:t>
            </w:r>
          </w:p>
        </w:tc>
        <w:tc>
          <w:tcPr>
            <w:tcW w:w="1224" w:type="dxa"/>
            <w:tcBorders>
              <w:left w:val="single" w:color="auto" w:sz="4" w:space="0"/>
            </w:tcBorders>
            <w:vAlign w:val="center"/>
          </w:tcPr>
          <w:p w14:paraId="566C9824">
            <w:pPr>
              <w:pStyle w:val="44"/>
              <w:jc w:val="center"/>
              <w:rPr>
                <w:color w:val="auto"/>
                <w:highlight w:val="none"/>
              </w:rPr>
            </w:pPr>
            <w:r>
              <w:rPr>
                <w:rFonts w:hint="eastAsia"/>
                <w:color w:val="auto"/>
                <w:highlight w:val="none"/>
              </w:rPr>
              <w:t>身份证号</w:t>
            </w:r>
          </w:p>
        </w:tc>
        <w:tc>
          <w:tcPr>
            <w:tcW w:w="876" w:type="dxa"/>
            <w:tcBorders>
              <w:left w:val="single" w:color="auto" w:sz="4" w:space="0"/>
            </w:tcBorders>
            <w:vAlign w:val="center"/>
          </w:tcPr>
          <w:p w14:paraId="3241822A">
            <w:pPr>
              <w:pStyle w:val="44"/>
              <w:jc w:val="center"/>
              <w:rPr>
                <w:color w:val="auto"/>
                <w:highlight w:val="none"/>
              </w:rPr>
            </w:pPr>
            <w:r>
              <w:rPr>
                <w:rFonts w:hint="eastAsia"/>
                <w:color w:val="auto"/>
                <w:highlight w:val="none"/>
              </w:rPr>
              <w:t>职称</w:t>
            </w:r>
          </w:p>
        </w:tc>
        <w:tc>
          <w:tcPr>
            <w:tcW w:w="1850" w:type="dxa"/>
            <w:vAlign w:val="center"/>
          </w:tcPr>
          <w:p w14:paraId="57503923">
            <w:pPr>
              <w:pStyle w:val="44"/>
              <w:jc w:val="center"/>
              <w:rPr>
                <w:rFonts w:hint="default" w:eastAsia="宋体"/>
                <w:color w:val="auto"/>
                <w:highlight w:val="none"/>
                <w:lang w:val="en-US" w:eastAsia="zh-CN"/>
              </w:rPr>
            </w:pPr>
            <w:r>
              <w:rPr>
                <w:rFonts w:hint="eastAsia"/>
                <w:color w:val="auto"/>
                <w:highlight w:val="none"/>
                <w:lang w:val="en-US" w:eastAsia="zh-CN"/>
              </w:rPr>
              <w:t>注册证书（岗位证书）名称及编号</w:t>
            </w:r>
          </w:p>
        </w:tc>
        <w:tc>
          <w:tcPr>
            <w:tcW w:w="1277" w:type="dxa"/>
            <w:vAlign w:val="center"/>
          </w:tcPr>
          <w:p w14:paraId="726B2B6A">
            <w:pPr>
              <w:pStyle w:val="44"/>
              <w:jc w:val="center"/>
              <w:rPr>
                <w:color w:val="auto"/>
                <w:highlight w:val="none"/>
              </w:rPr>
            </w:pPr>
            <w:r>
              <w:rPr>
                <w:rFonts w:hint="eastAsia" w:eastAsia="宋体"/>
                <w:color w:val="auto"/>
                <w:highlight w:val="none"/>
                <w:lang w:val="en-US" w:eastAsia="zh-CN"/>
              </w:rPr>
              <w:t>在团队中职务（岗位）</w:t>
            </w:r>
          </w:p>
        </w:tc>
        <w:tc>
          <w:tcPr>
            <w:tcW w:w="816" w:type="dxa"/>
            <w:vAlign w:val="center"/>
          </w:tcPr>
          <w:p w14:paraId="3D92204D">
            <w:pPr>
              <w:pStyle w:val="44"/>
              <w:jc w:val="center"/>
              <w:rPr>
                <w:color w:val="auto"/>
                <w:highlight w:val="none"/>
              </w:rPr>
            </w:pPr>
            <w:r>
              <w:rPr>
                <w:rFonts w:hint="eastAsia"/>
                <w:color w:val="auto"/>
                <w:highlight w:val="none"/>
              </w:rPr>
              <w:t>自有</w:t>
            </w:r>
            <w:r>
              <w:rPr>
                <w:color w:val="auto"/>
                <w:highlight w:val="none"/>
              </w:rPr>
              <w:t>/外聘</w:t>
            </w:r>
          </w:p>
        </w:tc>
      </w:tr>
      <w:tr w14:paraId="31719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296F11C3">
            <w:pPr>
              <w:pStyle w:val="44"/>
              <w:jc w:val="center"/>
              <w:rPr>
                <w:color w:val="auto"/>
                <w:highlight w:val="none"/>
              </w:rPr>
            </w:pPr>
            <w:bookmarkStart w:id="599" w:name="_Toc100090784"/>
            <w:bookmarkStart w:id="600" w:name="_Toc99533292"/>
            <w:r>
              <w:rPr>
                <w:rFonts w:hint="eastAsia"/>
                <w:color w:val="auto"/>
                <w:highlight w:val="none"/>
              </w:rPr>
              <w:t>1</w:t>
            </w:r>
            <w:bookmarkEnd w:id="599"/>
            <w:bookmarkEnd w:id="600"/>
          </w:p>
        </w:tc>
        <w:tc>
          <w:tcPr>
            <w:tcW w:w="1143" w:type="dxa"/>
            <w:vAlign w:val="center"/>
          </w:tcPr>
          <w:p w14:paraId="17E08D36">
            <w:pPr>
              <w:pStyle w:val="44"/>
              <w:jc w:val="center"/>
              <w:rPr>
                <w:color w:val="auto"/>
                <w:highlight w:val="none"/>
              </w:rPr>
            </w:pPr>
          </w:p>
        </w:tc>
        <w:tc>
          <w:tcPr>
            <w:tcW w:w="1203" w:type="dxa"/>
            <w:tcBorders>
              <w:right w:val="single" w:color="auto" w:sz="4" w:space="0"/>
            </w:tcBorders>
            <w:vAlign w:val="center"/>
          </w:tcPr>
          <w:p w14:paraId="210B6FB1">
            <w:pPr>
              <w:pStyle w:val="44"/>
              <w:jc w:val="center"/>
              <w:rPr>
                <w:color w:val="auto"/>
                <w:highlight w:val="none"/>
              </w:rPr>
            </w:pPr>
          </w:p>
        </w:tc>
        <w:tc>
          <w:tcPr>
            <w:tcW w:w="1224" w:type="dxa"/>
            <w:tcBorders>
              <w:left w:val="single" w:color="auto" w:sz="4" w:space="0"/>
            </w:tcBorders>
            <w:vAlign w:val="center"/>
          </w:tcPr>
          <w:p w14:paraId="3462C04F">
            <w:pPr>
              <w:pStyle w:val="44"/>
              <w:jc w:val="center"/>
              <w:rPr>
                <w:color w:val="auto"/>
                <w:highlight w:val="none"/>
              </w:rPr>
            </w:pPr>
          </w:p>
        </w:tc>
        <w:tc>
          <w:tcPr>
            <w:tcW w:w="876" w:type="dxa"/>
            <w:tcBorders>
              <w:left w:val="single" w:color="auto" w:sz="4" w:space="0"/>
            </w:tcBorders>
            <w:vAlign w:val="center"/>
          </w:tcPr>
          <w:p w14:paraId="1BA89E69">
            <w:pPr>
              <w:pStyle w:val="44"/>
              <w:jc w:val="center"/>
              <w:rPr>
                <w:color w:val="auto"/>
                <w:highlight w:val="none"/>
              </w:rPr>
            </w:pPr>
          </w:p>
        </w:tc>
        <w:tc>
          <w:tcPr>
            <w:tcW w:w="1850" w:type="dxa"/>
            <w:vAlign w:val="center"/>
          </w:tcPr>
          <w:p w14:paraId="033DBB1F">
            <w:pPr>
              <w:pStyle w:val="44"/>
              <w:jc w:val="center"/>
              <w:rPr>
                <w:color w:val="auto"/>
                <w:highlight w:val="none"/>
              </w:rPr>
            </w:pPr>
          </w:p>
        </w:tc>
        <w:tc>
          <w:tcPr>
            <w:tcW w:w="1277" w:type="dxa"/>
            <w:vAlign w:val="center"/>
          </w:tcPr>
          <w:p w14:paraId="2148FD62">
            <w:pPr>
              <w:pStyle w:val="44"/>
              <w:jc w:val="center"/>
              <w:rPr>
                <w:color w:val="auto"/>
                <w:highlight w:val="none"/>
              </w:rPr>
            </w:pPr>
          </w:p>
        </w:tc>
        <w:tc>
          <w:tcPr>
            <w:tcW w:w="816" w:type="dxa"/>
            <w:vAlign w:val="center"/>
          </w:tcPr>
          <w:p w14:paraId="73D8F053">
            <w:pPr>
              <w:pStyle w:val="44"/>
              <w:jc w:val="center"/>
              <w:rPr>
                <w:color w:val="auto"/>
                <w:highlight w:val="none"/>
              </w:rPr>
            </w:pPr>
          </w:p>
        </w:tc>
      </w:tr>
      <w:tr w14:paraId="43844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7" w:hRule="atLeast"/>
        </w:trPr>
        <w:tc>
          <w:tcPr>
            <w:tcW w:w="773" w:type="dxa"/>
            <w:vAlign w:val="center"/>
          </w:tcPr>
          <w:p w14:paraId="046A6AD6">
            <w:pPr>
              <w:pStyle w:val="44"/>
              <w:jc w:val="center"/>
              <w:rPr>
                <w:color w:val="auto"/>
                <w:highlight w:val="none"/>
              </w:rPr>
            </w:pPr>
            <w:bookmarkStart w:id="601" w:name="_Toc100090785"/>
            <w:bookmarkStart w:id="602" w:name="_Toc99533293"/>
            <w:r>
              <w:rPr>
                <w:rFonts w:hint="eastAsia"/>
                <w:color w:val="auto"/>
                <w:highlight w:val="none"/>
              </w:rPr>
              <w:t>2</w:t>
            </w:r>
            <w:bookmarkEnd w:id="601"/>
            <w:bookmarkEnd w:id="602"/>
          </w:p>
        </w:tc>
        <w:tc>
          <w:tcPr>
            <w:tcW w:w="1143" w:type="dxa"/>
            <w:vAlign w:val="center"/>
          </w:tcPr>
          <w:p w14:paraId="3D8D2A32">
            <w:pPr>
              <w:pStyle w:val="44"/>
              <w:jc w:val="center"/>
              <w:rPr>
                <w:color w:val="auto"/>
                <w:highlight w:val="none"/>
              </w:rPr>
            </w:pPr>
          </w:p>
        </w:tc>
        <w:tc>
          <w:tcPr>
            <w:tcW w:w="1203" w:type="dxa"/>
            <w:tcBorders>
              <w:right w:val="single" w:color="auto" w:sz="4" w:space="0"/>
            </w:tcBorders>
            <w:vAlign w:val="center"/>
          </w:tcPr>
          <w:p w14:paraId="2762151A">
            <w:pPr>
              <w:pStyle w:val="44"/>
              <w:jc w:val="center"/>
              <w:rPr>
                <w:color w:val="auto"/>
                <w:highlight w:val="none"/>
              </w:rPr>
            </w:pPr>
          </w:p>
        </w:tc>
        <w:tc>
          <w:tcPr>
            <w:tcW w:w="1224" w:type="dxa"/>
            <w:tcBorders>
              <w:left w:val="single" w:color="auto" w:sz="4" w:space="0"/>
            </w:tcBorders>
            <w:vAlign w:val="center"/>
          </w:tcPr>
          <w:p w14:paraId="372D6CF0">
            <w:pPr>
              <w:pStyle w:val="44"/>
              <w:jc w:val="center"/>
              <w:rPr>
                <w:color w:val="auto"/>
                <w:highlight w:val="none"/>
              </w:rPr>
            </w:pPr>
          </w:p>
        </w:tc>
        <w:tc>
          <w:tcPr>
            <w:tcW w:w="876" w:type="dxa"/>
            <w:tcBorders>
              <w:left w:val="single" w:color="auto" w:sz="4" w:space="0"/>
            </w:tcBorders>
            <w:vAlign w:val="center"/>
          </w:tcPr>
          <w:p w14:paraId="2BCE8297">
            <w:pPr>
              <w:pStyle w:val="44"/>
              <w:jc w:val="center"/>
              <w:rPr>
                <w:color w:val="auto"/>
                <w:highlight w:val="none"/>
              </w:rPr>
            </w:pPr>
          </w:p>
        </w:tc>
        <w:tc>
          <w:tcPr>
            <w:tcW w:w="1850" w:type="dxa"/>
            <w:vAlign w:val="center"/>
          </w:tcPr>
          <w:p w14:paraId="0DB83334">
            <w:pPr>
              <w:pStyle w:val="44"/>
              <w:jc w:val="center"/>
              <w:rPr>
                <w:color w:val="auto"/>
                <w:highlight w:val="none"/>
              </w:rPr>
            </w:pPr>
          </w:p>
        </w:tc>
        <w:tc>
          <w:tcPr>
            <w:tcW w:w="1277" w:type="dxa"/>
            <w:vAlign w:val="center"/>
          </w:tcPr>
          <w:p w14:paraId="77E48E09">
            <w:pPr>
              <w:pStyle w:val="44"/>
              <w:jc w:val="center"/>
              <w:rPr>
                <w:color w:val="auto"/>
                <w:highlight w:val="none"/>
              </w:rPr>
            </w:pPr>
          </w:p>
        </w:tc>
        <w:tc>
          <w:tcPr>
            <w:tcW w:w="816" w:type="dxa"/>
            <w:vAlign w:val="center"/>
          </w:tcPr>
          <w:p w14:paraId="32CE3B63">
            <w:pPr>
              <w:pStyle w:val="44"/>
              <w:jc w:val="center"/>
              <w:rPr>
                <w:color w:val="auto"/>
                <w:highlight w:val="none"/>
              </w:rPr>
            </w:pPr>
          </w:p>
        </w:tc>
      </w:tr>
      <w:tr w14:paraId="5E7FA7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E23E322">
            <w:pPr>
              <w:pStyle w:val="44"/>
              <w:jc w:val="center"/>
              <w:rPr>
                <w:color w:val="auto"/>
                <w:highlight w:val="none"/>
              </w:rPr>
            </w:pPr>
            <w:bookmarkStart w:id="603" w:name="_Toc99533294"/>
            <w:bookmarkStart w:id="604" w:name="_Toc100090786"/>
            <w:r>
              <w:rPr>
                <w:rFonts w:hint="eastAsia"/>
                <w:color w:val="auto"/>
                <w:highlight w:val="none"/>
              </w:rPr>
              <w:t>3</w:t>
            </w:r>
            <w:bookmarkEnd w:id="603"/>
            <w:bookmarkEnd w:id="604"/>
          </w:p>
        </w:tc>
        <w:tc>
          <w:tcPr>
            <w:tcW w:w="1143" w:type="dxa"/>
            <w:vAlign w:val="center"/>
          </w:tcPr>
          <w:p w14:paraId="5622553E">
            <w:pPr>
              <w:pStyle w:val="44"/>
              <w:jc w:val="center"/>
              <w:rPr>
                <w:color w:val="auto"/>
                <w:highlight w:val="none"/>
              </w:rPr>
            </w:pPr>
          </w:p>
        </w:tc>
        <w:tc>
          <w:tcPr>
            <w:tcW w:w="1203" w:type="dxa"/>
            <w:tcBorders>
              <w:right w:val="single" w:color="auto" w:sz="4" w:space="0"/>
            </w:tcBorders>
            <w:vAlign w:val="center"/>
          </w:tcPr>
          <w:p w14:paraId="145347C3">
            <w:pPr>
              <w:pStyle w:val="44"/>
              <w:jc w:val="center"/>
              <w:rPr>
                <w:color w:val="auto"/>
                <w:highlight w:val="none"/>
              </w:rPr>
            </w:pPr>
          </w:p>
        </w:tc>
        <w:tc>
          <w:tcPr>
            <w:tcW w:w="1224" w:type="dxa"/>
            <w:tcBorders>
              <w:left w:val="single" w:color="auto" w:sz="4" w:space="0"/>
            </w:tcBorders>
            <w:vAlign w:val="center"/>
          </w:tcPr>
          <w:p w14:paraId="78C911C0">
            <w:pPr>
              <w:pStyle w:val="44"/>
              <w:jc w:val="center"/>
              <w:rPr>
                <w:color w:val="auto"/>
                <w:highlight w:val="none"/>
              </w:rPr>
            </w:pPr>
          </w:p>
        </w:tc>
        <w:tc>
          <w:tcPr>
            <w:tcW w:w="876" w:type="dxa"/>
            <w:tcBorders>
              <w:left w:val="single" w:color="auto" w:sz="4" w:space="0"/>
            </w:tcBorders>
            <w:vAlign w:val="center"/>
          </w:tcPr>
          <w:p w14:paraId="1632F2FA">
            <w:pPr>
              <w:pStyle w:val="44"/>
              <w:jc w:val="center"/>
              <w:rPr>
                <w:color w:val="auto"/>
                <w:highlight w:val="none"/>
              </w:rPr>
            </w:pPr>
          </w:p>
        </w:tc>
        <w:tc>
          <w:tcPr>
            <w:tcW w:w="1850" w:type="dxa"/>
            <w:vAlign w:val="center"/>
          </w:tcPr>
          <w:p w14:paraId="4AE50BE4">
            <w:pPr>
              <w:pStyle w:val="44"/>
              <w:jc w:val="center"/>
              <w:rPr>
                <w:color w:val="auto"/>
                <w:highlight w:val="none"/>
              </w:rPr>
            </w:pPr>
          </w:p>
        </w:tc>
        <w:tc>
          <w:tcPr>
            <w:tcW w:w="1277" w:type="dxa"/>
            <w:vAlign w:val="center"/>
          </w:tcPr>
          <w:p w14:paraId="107FDE9E">
            <w:pPr>
              <w:pStyle w:val="44"/>
              <w:jc w:val="center"/>
              <w:rPr>
                <w:color w:val="auto"/>
                <w:highlight w:val="none"/>
              </w:rPr>
            </w:pPr>
          </w:p>
        </w:tc>
        <w:tc>
          <w:tcPr>
            <w:tcW w:w="816" w:type="dxa"/>
            <w:vAlign w:val="center"/>
          </w:tcPr>
          <w:p w14:paraId="0FCF0246">
            <w:pPr>
              <w:pStyle w:val="44"/>
              <w:jc w:val="center"/>
              <w:rPr>
                <w:color w:val="auto"/>
                <w:highlight w:val="none"/>
              </w:rPr>
            </w:pPr>
          </w:p>
        </w:tc>
      </w:tr>
      <w:tr w14:paraId="076A7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85BF670">
            <w:pPr>
              <w:pStyle w:val="44"/>
              <w:jc w:val="center"/>
              <w:rPr>
                <w:color w:val="auto"/>
                <w:highlight w:val="none"/>
              </w:rPr>
            </w:pPr>
            <w:bookmarkStart w:id="605" w:name="_Toc99533295"/>
            <w:bookmarkStart w:id="606" w:name="_Toc100090787"/>
            <w:r>
              <w:rPr>
                <w:rFonts w:hint="eastAsia"/>
                <w:color w:val="auto"/>
                <w:highlight w:val="none"/>
              </w:rPr>
              <w:t>4</w:t>
            </w:r>
            <w:bookmarkEnd w:id="605"/>
            <w:bookmarkEnd w:id="606"/>
          </w:p>
        </w:tc>
        <w:tc>
          <w:tcPr>
            <w:tcW w:w="1143" w:type="dxa"/>
            <w:vAlign w:val="center"/>
          </w:tcPr>
          <w:p w14:paraId="06A33E5B">
            <w:pPr>
              <w:pStyle w:val="44"/>
              <w:jc w:val="center"/>
              <w:rPr>
                <w:color w:val="auto"/>
                <w:highlight w:val="none"/>
              </w:rPr>
            </w:pPr>
          </w:p>
        </w:tc>
        <w:tc>
          <w:tcPr>
            <w:tcW w:w="1203" w:type="dxa"/>
            <w:tcBorders>
              <w:right w:val="single" w:color="auto" w:sz="4" w:space="0"/>
            </w:tcBorders>
            <w:vAlign w:val="center"/>
          </w:tcPr>
          <w:p w14:paraId="7BBB4E02">
            <w:pPr>
              <w:pStyle w:val="44"/>
              <w:jc w:val="center"/>
              <w:rPr>
                <w:color w:val="auto"/>
                <w:highlight w:val="none"/>
              </w:rPr>
            </w:pPr>
          </w:p>
        </w:tc>
        <w:tc>
          <w:tcPr>
            <w:tcW w:w="1224" w:type="dxa"/>
            <w:tcBorders>
              <w:left w:val="single" w:color="auto" w:sz="4" w:space="0"/>
            </w:tcBorders>
            <w:vAlign w:val="center"/>
          </w:tcPr>
          <w:p w14:paraId="260605CA">
            <w:pPr>
              <w:pStyle w:val="44"/>
              <w:jc w:val="center"/>
              <w:rPr>
                <w:color w:val="auto"/>
                <w:highlight w:val="none"/>
              </w:rPr>
            </w:pPr>
          </w:p>
        </w:tc>
        <w:tc>
          <w:tcPr>
            <w:tcW w:w="876" w:type="dxa"/>
            <w:tcBorders>
              <w:left w:val="single" w:color="auto" w:sz="4" w:space="0"/>
            </w:tcBorders>
            <w:vAlign w:val="center"/>
          </w:tcPr>
          <w:p w14:paraId="55F61FA3">
            <w:pPr>
              <w:pStyle w:val="44"/>
              <w:jc w:val="center"/>
              <w:rPr>
                <w:color w:val="auto"/>
                <w:highlight w:val="none"/>
              </w:rPr>
            </w:pPr>
          </w:p>
        </w:tc>
        <w:tc>
          <w:tcPr>
            <w:tcW w:w="1850" w:type="dxa"/>
            <w:vAlign w:val="center"/>
          </w:tcPr>
          <w:p w14:paraId="05E14483">
            <w:pPr>
              <w:pStyle w:val="44"/>
              <w:jc w:val="center"/>
              <w:rPr>
                <w:color w:val="auto"/>
                <w:highlight w:val="none"/>
              </w:rPr>
            </w:pPr>
          </w:p>
        </w:tc>
        <w:tc>
          <w:tcPr>
            <w:tcW w:w="1277" w:type="dxa"/>
            <w:vAlign w:val="center"/>
          </w:tcPr>
          <w:p w14:paraId="7A6D63FA">
            <w:pPr>
              <w:pStyle w:val="44"/>
              <w:jc w:val="center"/>
              <w:rPr>
                <w:color w:val="auto"/>
                <w:highlight w:val="none"/>
              </w:rPr>
            </w:pPr>
          </w:p>
        </w:tc>
        <w:tc>
          <w:tcPr>
            <w:tcW w:w="816" w:type="dxa"/>
            <w:vAlign w:val="center"/>
          </w:tcPr>
          <w:p w14:paraId="20DFABE1">
            <w:pPr>
              <w:pStyle w:val="44"/>
              <w:jc w:val="center"/>
              <w:rPr>
                <w:color w:val="auto"/>
                <w:highlight w:val="none"/>
              </w:rPr>
            </w:pPr>
          </w:p>
        </w:tc>
      </w:tr>
      <w:tr w14:paraId="5F3FD7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7" w:hRule="atLeast"/>
        </w:trPr>
        <w:tc>
          <w:tcPr>
            <w:tcW w:w="773" w:type="dxa"/>
            <w:vAlign w:val="center"/>
          </w:tcPr>
          <w:p w14:paraId="6043CD23">
            <w:pPr>
              <w:pStyle w:val="44"/>
              <w:jc w:val="center"/>
              <w:rPr>
                <w:color w:val="auto"/>
                <w:highlight w:val="none"/>
              </w:rPr>
            </w:pPr>
            <w:bookmarkStart w:id="607" w:name="_Toc100090788"/>
            <w:bookmarkStart w:id="608" w:name="_Toc99533296"/>
            <w:r>
              <w:rPr>
                <w:rFonts w:hint="eastAsia"/>
                <w:color w:val="auto"/>
                <w:highlight w:val="none"/>
              </w:rPr>
              <w:t>5</w:t>
            </w:r>
            <w:bookmarkEnd w:id="607"/>
            <w:bookmarkEnd w:id="608"/>
          </w:p>
        </w:tc>
        <w:tc>
          <w:tcPr>
            <w:tcW w:w="1143" w:type="dxa"/>
            <w:vAlign w:val="center"/>
          </w:tcPr>
          <w:p w14:paraId="1A0773CB">
            <w:pPr>
              <w:pStyle w:val="44"/>
              <w:jc w:val="center"/>
              <w:rPr>
                <w:color w:val="auto"/>
                <w:highlight w:val="none"/>
              </w:rPr>
            </w:pPr>
          </w:p>
        </w:tc>
        <w:tc>
          <w:tcPr>
            <w:tcW w:w="1203" w:type="dxa"/>
            <w:tcBorders>
              <w:right w:val="single" w:color="auto" w:sz="4" w:space="0"/>
            </w:tcBorders>
            <w:vAlign w:val="center"/>
          </w:tcPr>
          <w:p w14:paraId="61787A67">
            <w:pPr>
              <w:pStyle w:val="44"/>
              <w:jc w:val="center"/>
              <w:rPr>
                <w:color w:val="auto"/>
                <w:highlight w:val="none"/>
              </w:rPr>
            </w:pPr>
          </w:p>
        </w:tc>
        <w:tc>
          <w:tcPr>
            <w:tcW w:w="1224" w:type="dxa"/>
            <w:tcBorders>
              <w:left w:val="single" w:color="auto" w:sz="4" w:space="0"/>
            </w:tcBorders>
            <w:vAlign w:val="center"/>
          </w:tcPr>
          <w:p w14:paraId="15BBA932">
            <w:pPr>
              <w:pStyle w:val="44"/>
              <w:jc w:val="center"/>
              <w:rPr>
                <w:color w:val="auto"/>
                <w:highlight w:val="none"/>
              </w:rPr>
            </w:pPr>
          </w:p>
        </w:tc>
        <w:tc>
          <w:tcPr>
            <w:tcW w:w="876" w:type="dxa"/>
            <w:tcBorders>
              <w:left w:val="single" w:color="auto" w:sz="4" w:space="0"/>
            </w:tcBorders>
            <w:vAlign w:val="center"/>
          </w:tcPr>
          <w:p w14:paraId="48AABD5E">
            <w:pPr>
              <w:pStyle w:val="44"/>
              <w:jc w:val="center"/>
              <w:rPr>
                <w:color w:val="auto"/>
                <w:highlight w:val="none"/>
              </w:rPr>
            </w:pPr>
          </w:p>
        </w:tc>
        <w:tc>
          <w:tcPr>
            <w:tcW w:w="1850" w:type="dxa"/>
            <w:vAlign w:val="center"/>
          </w:tcPr>
          <w:p w14:paraId="2BC300D7">
            <w:pPr>
              <w:pStyle w:val="44"/>
              <w:jc w:val="center"/>
              <w:rPr>
                <w:color w:val="auto"/>
                <w:highlight w:val="none"/>
              </w:rPr>
            </w:pPr>
          </w:p>
        </w:tc>
        <w:tc>
          <w:tcPr>
            <w:tcW w:w="1277" w:type="dxa"/>
            <w:vAlign w:val="center"/>
          </w:tcPr>
          <w:p w14:paraId="3943C72A">
            <w:pPr>
              <w:pStyle w:val="44"/>
              <w:jc w:val="center"/>
              <w:rPr>
                <w:color w:val="auto"/>
                <w:highlight w:val="none"/>
              </w:rPr>
            </w:pPr>
          </w:p>
        </w:tc>
        <w:tc>
          <w:tcPr>
            <w:tcW w:w="816" w:type="dxa"/>
            <w:vAlign w:val="center"/>
          </w:tcPr>
          <w:p w14:paraId="04141556">
            <w:pPr>
              <w:pStyle w:val="44"/>
              <w:jc w:val="center"/>
              <w:rPr>
                <w:color w:val="auto"/>
                <w:highlight w:val="none"/>
              </w:rPr>
            </w:pPr>
          </w:p>
        </w:tc>
      </w:tr>
      <w:tr w14:paraId="0EDD6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2E74CE0E">
            <w:pPr>
              <w:pStyle w:val="44"/>
              <w:jc w:val="center"/>
              <w:rPr>
                <w:color w:val="auto"/>
                <w:highlight w:val="none"/>
              </w:rPr>
            </w:pPr>
            <w:bookmarkStart w:id="609" w:name="_Toc100090789"/>
            <w:bookmarkStart w:id="610" w:name="_Toc99533297"/>
            <w:r>
              <w:rPr>
                <w:rFonts w:hint="eastAsia"/>
                <w:color w:val="auto"/>
                <w:highlight w:val="none"/>
              </w:rPr>
              <w:t>6</w:t>
            </w:r>
            <w:bookmarkEnd w:id="609"/>
            <w:bookmarkEnd w:id="610"/>
          </w:p>
        </w:tc>
        <w:tc>
          <w:tcPr>
            <w:tcW w:w="1143" w:type="dxa"/>
            <w:vAlign w:val="center"/>
          </w:tcPr>
          <w:p w14:paraId="629198B4">
            <w:pPr>
              <w:pStyle w:val="44"/>
              <w:jc w:val="center"/>
              <w:rPr>
                <w:color w:val="auto"/>
                <w:highlight w:val="none"/>
              </w:rPr>
            </w:pPr>
          </w:p>
        </w:tc>
        <w:tc>
          <w:tcPr>
            <w:tcW w:w="1203" w:type="dxa"/>
            <w:tcBorders>
              <w:right w:val="single" w:color="auto" w:sz="4" w:space="0"/>
            </w:tcBorders>
            <w:vAlign w:val="center"/>
          </w:tcPr>
          <w:p w14:paraId="612B4791">
            <w:pPr>
              <w:pStyle w:val="44"/>
              <w:jc w:val="center"/>
              <w:rPr>
                <w:color w:val="auto"/>
                <w:highlight w:val="none"/>
              </w:rPr>
            </w:pPr>
          </w:p>
        </w:tc>
        <w:tc>
          <w:tcPr>
            <w:tcW w:w="1224" w:type="dxa"/>
            <w:tcBorders>
              <w:left w:val="single" w:color="auto" w:sz="4" w:space="0"/>
            </w:tcBorders>
            <w:vAlign w:val="center"/>
          </w:tcPr>
          <w:p w14:paraId="13596CFC">
            <w:pPr>
              <w:pStyle w:val="44"/>
              <w:jc w:val="center"/>
              <w:rPr>
                <w:color w:val="auto"/>
                <w:highlight w:val="none"/>
              </w:rPr>
            </w:pPr>
          </w:p>
        </w:tc>
        <w:tc>
          <w:tcPr>
            <w:tcW w:w="876" w:type="dxa"/>
            <w:tcBorders>
              <w:left w:val="single" w:color="auto" w:sz="4" w:space="0"/>
            </w:tcBorders>
            <w:vAlign w:val="center"/>
          </w:tcPr>
          <w:p w14:paraId="26E67AC9">
            <w:pPr>
              <w:pStyle w:val="44"/>
              <w:jc w:val="center"/>
              <w:rPr>
                <w:color w:val="auto"/>
                <w:highlight w:val="none"/>
              </w:rPr>
            </w:pPr>
          </w:p>
        </w:tc>
        <w:tc>
          <w:tcPr>
            <w:tcW w:w="1850" w:type="dxa"/>
            <w:vAlign w:val="center"/>
          </w:tcPr>
          <w:p w14:paraId="0134580B">
            <w:pPr>
              <w:pStyle w:val="44"/>
              <w:jc w:val="center"/>
              <w:rPr>
                <w:color w:val="auto"/>
                <w:highlight w:val="none"/>
              </w:rPr>
            </w:pPr>
          </w:p>
        </w:tc>
        <w:tc>
          <w:tcPr>
            <w:tcW w:w="1277" w:type="dxa"/>
            <w:vAlign w:val="center"/>
          </w:tcPr>
          <w:p w14:paraId="6FF03D95">
            <w:pPr>
              <w:pStyle w:val="44"/>
              <w:jc w:val="center"/>
              <w:rPr>
                <w:color w:val="auto"/>
                <w:highlight w:val="none"/>
              </w:rPr>
            </w:pPr>
          </w:p>
        </w:tc>
        <w:tc>
          <w:tcPr>
            <w:tcW w:w="816" w:type="dxa"/>
            <w:vAlign w:val="center"/>
          </w:tcPr>
          <w:p w14:paraId="01F1AED7">
            <w:pPr>
              <w:pStyle w:val="44"/>
              <w:jc w:val="center"/>
              <w:rPr>
                <w:color w:val="auto"/>
                <w:highlight w:val="none"/>
              </w:rPr>
            </w:pPr>
          </w:p>
        </w:tc>
      </w:tr>
      <w:tr w14:paraId="4DB1BA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2F34A3A2">
            <w:pPr>
              <w:pStyle w:val="44"/>
              <w:jc w:val="center"/>
              <w:rPr>
                <w:color w:val="auto"/>
                <w:highlight w:val="none"/>
              </w:rPr>
            </w:pPr>
            <w:bookmarkStart w:id="611" w:name="_Toc100090790"/>
            <w:bookmarkStart w:id="612" w:name="_Toc99533298"/>
            <w:r>
              <w:rPr>
                <w:rFonts w:hint="eastAsia"/>
                <w:color w:val="auto"/>
                <w:highlight w:val="none"/>
              </w:rPr>
              <w:t>7</w:t>
            </w:r>
            <w:bookmarkEnd w:id="611"/>
            <w:bookmarkEnd w:id="612"/>
          </w:p>
        </w:tc>
        <w:tc>
          <w:tcPr>
            <w:tcW w:w="1143" w:type="dxa"/>
            <w:vAlign w:val="center"/>
          </w:tcPr>
          <w:p w14:paraId="652A7D64">
            <w:pPr>
              <w:pStyle w:val="44"/>
              <w:jc w:val="center"/>
              <w:rPr>
                <w:color w:val="auto"/>
                <w:highlight w:val="none"/>
              </w:rPr>
            </w:pPr>
          </w:p>
        </w:tc>
        <w:tc>
          <w:tcPr>
            <w:tcW w:w="1203" w:type="dxa"/>
            <w:tcBorders>
              <w:right w:val="single" w:color="auto" w:sz="4" w:space="0"/>
            </w:tcBorders>
            <w:vAlign w:val="center"/>
          </w:tcPr>
          <w:p w14:paraId="05008CFD">
            <w:pPr>
              <w:pStyle w:val="44"/>
              <w:jc w:val="center"/>
              <w:rPr>
                <w:color w:val="auto"/>
                <w:highlight w:val="none"/>
              </w:rPr>
            </w:pPr>
          </w:p>
        </w:tc>
        <w:tc>
          <w:tcPr>
            <w:tcW w:w="1224" w:type="dxa"/>
            <w:tcBorders>
              <w:left w:val="single" w:color="auto" w:sz="4" w:space="0"/>
            </w:tcBorders>
            <w:vAlign w:val="center"/>
          </w:tcPr>
          <w:p w14:paraId="3050402F">
            <w:pPr>
              <w:pStyle w:val="44"/>
              <w:jc w:val="center"/>
              <w:rPr>
                <w:color w:val="auto"/>
                <w:highlight w:val="none"/>
              </w:rPr>
            </w:pPr>
          </w:p>
        </w:tc>
        <w:tc>
          <w:tcPr>
            <w:tcW w:w="876" w:type="dxa"/>
            <w:tcBorders>
              <w:left w:val="single" w:color="auto" w:sz="4" w:space="0"/>
            </w:tcBorders>
            <w:vAlign w:val="center"/>
          </w:tcPr>
          <w:p w14:paraId="358C0B3B">
            <w:pPr>
              <w:pStyle w:val="44"/>
              <w:jc w:val="center"/>
              <w:rPr>
                <w:color w:val="auto"/>
                <w:highlight w:val="none"/>
              </w:rPr>
            </w:pPr>
          </w:p>
        </w:tc>
        <w:tc>
          <w:tcPr>
            <w:tcW w:w="1850" w:type="dxa"/>
            <w:vAlign w:val="center"/>
          </w:tcPr>
          <w:p w14:paraId="706D8915">
            <w:pPr>
              <w:pStyle w:val="44"/>
              <w:jc w:val="center"/>
              <w:rPr>
                <w:color w:val="auto"/>
                <w:highlight w:val="none"/>
              </w:rPr>
            </w:pPr>
          </w:p>
        </w:tc>
        <w:tc>
          <w:tcPr>
            <w:tcW w:w="1277" w:type="dxa"/>
            <w:vAlign w:val="center"/>
          </w:tcPr>
          <w:p w14:paraId="5FBF328E">
            <w:pPr>
              <w:pStyle w:val="44"/>
              <w:jc w:val="center"/>
              <w:rPr>
                <w:color w:val="auto"/>
                <w:highlight w:val="none"/>
              </w:rPr>
            </w:pPr>
          </w:p>
        </w:tc>
        <w:tc>
          <w:tcPr>
            <w:tcW w:w="816" w:type="dxa"/>
            <w:vAlign w:val="center"/>
          </w:tcPr>
          <w:p w14:paraId="1DADAFB4">
            <w:pPr>
              <w:pStyle w:val="44"/>
              <w:jc w:val="center"/>
              <w:rPr>
                <w:color w:val="auto"/>
                <w:highlight w:val="none"/>
              </w:rPr>
            </w:pPr>
          </w:p>
        </w:tc>
      </w:tr>
      <w:tr w14:paraId="736D4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7" w:hRule="atLeast"/>
        </w:trPr>
        <w:tc>
          <w:tcPr>
            <w:tcW w:w="773" w:type="dxa"/>
            <w:vAlign w:val="center"/>
          </w:tcPr>
          <w:p w14:paraId="20C2EDAD">
            <w:pPr>
              <w:pStyle w:val="44"/>
              <w:jc w:val="center"/>
              <w:rPr>
                <w:color w:val="auto"/>
                <w:highlight w:val="none"/>
              </w:rPr>
            </w:pPr>
            <w:bookmarkStart w:id="613" w:name="_Toc99533299"/>
            <w:bookmarkStart w:id="614" w:name="_Toc100090791"/>
            <w:r>
              <w:rPr>
                <w:rFonts w:hint="eastAsia"/>
                <w:color w:val="auto"/>
                <w:highlight w:val="none"/>
              </w:rPr>
              <w:t>8</w:t>
            </w:r>
            <w:bookmarkEnd w:id="613"/>
            <w:bookmarkEnd w:id="614"/>
          </w:p>
        </w:tc>
        <w:tc>
          <w:tcPr>
            <w:tcW w:w="1143" w:type="dxa"/>
            <w:vAlign w:val="center"/>
          </w:tcPr>
          <w:p w14:paraId="4937ABBF">
            <w:pPr>
              <w:pStyle w:val="44"/>
              <w:jc w:val="center"/>
              <w:rPr>
                <w:color w:val="auto"/>
                <w:highlight w:val="none"/>
              </w:rPr>
            </w:pPr>
          </w:p>
        </w:tc>
        <w:tc>
          <w:tcPr>
            <w:tcW w:w="1203" w:type="dxa"/>
            <w:tcBorders>
              <w:right w:val="single" w:color="auto" w:sz="4" w:space="0"/>
            </w:tcBorders>
            <w:vAlign w:val="center"/>
          </w:tcPr>
          <w:p w14:paraId="5907D5C6">
            <w:pPr>
              <w:pStyle w:val="44"/>
              <w:jc w:val="center"/>
              <w:rPr>
                <w:color w:val="auto"/>
                <w:highlight w:val="none"/>
              </w:rPr>
            </w:pPr>
          </w:p>
        </w:tc>
        <w:tc>
          <w:tcPr>
            <w:tcW w:w="1224" w:type="dxa"/>
            <w:tcBorders>
              <w:left w:val="single" w:color="auto" w:sz="4" w:space="0"/>
            </w:tcBorders>
            <w:vAlign w:val="center"/>
          </w:tcPr>
          <w:p w14:paraId="397DE284">
            <w:pPr>
              <w:pStyle w:val="44"/>
              <w:jc w:val="center"/>
              <w:rPr>
                <w:color w:val="auto"/>
                <w:highlight w:val="none"/>
              </w:rPr>
            </w:pPr>
          </w:p>
        </w:tc>
        <w:tc>
          <w:tcPr>
            <w:tcW w:w="876" w:type="dxa"/>
            <w:tcBorders>
              <w:left w:val="single" w:color="auto" w:sz="4" w:space="0"/>
            </w:tcBorders>
            <w:vAlign w:val="center"/>
          </w:tcPr>
          <w:p w14:paraId="2E8853F7">
            <w:pPr>
              <w:pStyle w:val="44"/>
              <w:jc w:val="center"/>
              <w:rPr>
                <w:color w:val="auto"/>
                <w:highlight w:val="none"/>
              </w:rPr>
            </w:pPr>
          </w:p>
        </w:tc>
        <w:tc>
          <w:tcPr>
            <w:tcW w:w="1850" w:type="dxa"/>
            <w:vAlign w:val="center"/>
          </w:tcPr>
          <w:p w14:paraId="32E60044">
            <w:pPr>
              <w:pStyle w:val="44"/>
              <w:jc w:val="center"/>
              <w:rPr>
                <w:color w:val="auto"/>
                <w:highlight w:val="none"/>
              </w:rPr>
            </w:pPr>
          </w:p>
        </w:tc>
        <w:tc>
          <w:tcPr>
            <w:tcW w:w="1277" w:type="dxa"/>
            <w:vAlign w:val="center"/>
          </w:tcPr>
          <w:p w14:paraId="7107F6B0">
            <w:pPr>
              <w:pStyle w:val="44"/>
              <w:jc w:val="center"/>
              <w:rPr>
                <w:color w:val="auto"/>
                <w:highlight w:val="none"/>
              </w:rPr>
            </w:pPr>
          </w:p>
        </w:tc>
        <w:tc>
          <w:tcPr>
            <w:tcW w:w="816" w:type="dxa"/>
            <w:vAlign w:val="center"/>
          </w:tcPr>
          <w:p w14:paraId="5E455759">
            <w:pPr>
              <w:pStyle w:val="44"/>
              <w:jc w:val="center"/>
              <w:rPr>
                <w:color w:val="auto"/>
                <w:highlight w:val="none"/>
              </w:rPr>
            </w:pPr>
          </w:p>
        </w:tc>
      </w:tr>
      <w:tr w14:paraId="71A5BD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7" w:hRule="atLeast"/>
        </w:trPr>
        <w:tc>
          <w:tcPr>
            <w:tcW w:w="773" w:type="dxa"/>
            <w:vAlign w:val="center"/>
          </w:tcPr>
          <w:p w14:paraId="4C0658B4">
            <w:pPr>
              <w:pStyle w:val="44"/>
              <w:jc w:val="center"/>
              <w:rPr>
                <w:color w:val="auto"/>
                <w:highlight w:val="none"/>
              </w:rPr>
            </w:pPr>
            <w:bookmarkStart w:id="615" w:name="_Toc99533300"/>
            <w:bookmarkStart w:id="616" w:name="_Toc100090792"/>
            <w:r>
              <w:rPr>
                <w:rFonts w:hint="eastAsia"/>
                <w:color w:val="auto"/>
                <w:highlight w:val="none"/>
              </w:rPr>
              <w:t>9</w:t>
            </w:r>
            <w:bookmarkEnd w:id="615"/>
            <w:bookmarkEnd w:id="616"/>
          </w:p>
        </w:tc>
        <w:tc>
          <w:tcPr>
            <w:tcW w:w="1143" w:type="dxa"/>
            <w:vAlign w:val="center"/>
          </w:tcPr>
          <w:p w14:paraId="6A62F423">
            <w:pPr>
              <w:pStyle w:val="44"/>
              <w:jc w:val="center"/>
              <w:rPr>
                <w:color w:val="auto"/>
                <w:highlight w:val="none"/>
              </w:rPr>
            </w:pPr>
          </w:p>
        </w:tc>
        <w:tc>
          <w:tcPr>
            <w:tcW w:w="1203" w:type="dxa"/>
            <w:tcBorders>
              <w:right w:val="single" w:color="auto" w:sz="4" w:space="0"/>
            </w:tcBorders>
            <w:vAlign w:val="center"/>
          </w:tcPr>
          <w:p w14:paraId="651A0213">
            <w:pPr>
              <w:pStyle w:val="44"/>
              <w:jc w:val="center"/>
              <w:rPr>
                <w:color w:val="auto"/>
                <w:highlight w:val="none"/>
              </w:rPr>
            </w:pPr>
          </w:p>
        </w:tc>
        <w:tc>
          <w:tcPr>
            <w:tcW w:w="1224" w:type="dxa"/>
            <w:tcBorders>
              <w:left w:val="single" w:color="auto" w:sz="4" w:space="0"/>
            </w:tcBorders>
            <w:vAlign w:val="center"/>
          </w:tcPr>
          <w:p w14:paraId="4A278517">
            <w:pPr>
              <w:pStyle w:val="44"/>
              <w:jc w:val="center"/>
              <w:rPr>
                <w:color w:val="auto"/>
                <w:highlight w:val="none"/>
              </w:rPr>
            </w:pPr>
          </w:p>
        </w:tc>
        <w:tc>
          <w:tcPr>
            <w:tcW w:w="876" w:type="dxa"/>
            <w:tcBorders>
              <w:left w:val="single" w:color="auto" w:sz="4" w:space="0"/>
            </w:tcBorders>
            <w:vAlign w:val="center"/>
          </w:tcPr>
          <w:p w14:paraId="3F670292">
            <w:pPr>
              <w:pStyle w:val="44"/>
              <w:jc w:val="center"/>
              <w:rPr>
                <w:color w:val="auto"/>
                <w:highlight w:val="none"/>
              </w:rPr>
            </w:pPr>
          </w:p>
        </w:tc>
        <w:tc>
          <w:tcPr>
            <w:tcW w:w="1850" w:type="dxa"/>
            <w:vAlign w:val="center"/>
          </w:tcPr>
          <w:p w14:paraId="00A3D20D">
            <w:pPr>
              <w:pStyle w:val="44"/>
              <w:jc w:val="center"/>
              <w:rPr>
                <w:color w:val="auto"/>
                <w:highlight w:val="none"/>
              </w:rPr>
            </w:pPr>
          </w:p>
        </w:tc>
        <w:tc>
          <w:tcPr>
            <w:tcW w:w="1277" w:type="dxa"/>
            <w:vAlign w:val="center"/>
          </w:tcPr>
          <w:p w14:paraId="6968EA5F">
            <w:pPr>
              <w:pStyle w:val="44"/>
              <w:jc w:val="center"/>
              <w:rPr>
                <w:color w:val="auto"/>
                <w:highlight w:val="none"/>
              </w:rPr>
            </w:pPr>
          </w:p>
        </w:tc>
        <w:tc>
          <w:tcPr>
            <w:tcW w:w="816" w:type="dxa"/>
            <w:vAlign w:val="center"/>
          </w:tcPr>
          <w:p w14:paraId="6E89C893">
            <w:pPr>
              <w:pStyle w:val="44"/>
              <w:jc w:val="center"/>
              <w:rPr>
                <w:color w:val="auto"/>
                <w:highlight w:val="none"/>
              </w:rPr>
            </w:pPr>
          </w:p>
        </w:tc>
      </w:tr>
      <w:tr w14:paraId="063697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773" w:type="dxa"/>
            <w:vAlign w:val="center"/>
          </w:tcPr>
          <w:p w14:paraId="07A94533">
            <w:pPr>
              <w:pStyle w:val="44"/>
              <w:jc w:val="center"/>
              <w:rPr>
                <w:color w:val="auto"/>
                <w:highlight w:val="none"/>
              </w:rPr>
            </w:pPr>
            <w:bookmarkStart w:id="617" w:name="_Toc99533301"/>
            <w:bookmarkStart w:id="618" w:name="_Toc100090793"/>
            <w:r>
              <w:rPr>
                <w:rFonts w:hint="eastAsia"/>
                <w:color w:val="auto"/>
                <w:highlight w:val="none"/>
              </w:rPr>
              <w:t>10</w:t>
            </w:r>
            <w:bookmarkEnd w:id="617"/>
            <w:bookmarkEnd w:id="618"/>
          </w:p>
        </w:tc>
        <w:tc>
          <w:tcPr>
            <w:tcW w:w="1143" w:type="dxa"/>
            <w:vAlign w:val="center"/>
          </w:tcPr>
          <w:p w14:paraId="3DA04C3D">
            <w:pPr>
              <w:pStyle w:val="44"/>
              <w:jc w:val="center"/>
              <w:rPr>
                <w:color w:val="auto"/>
                <w:highlight w:val="none"/>
              </w:rPr>
            </w:pPr>
          </w:p>
        </w:tc>
        <w:tc>
          <w:tcPr>
            <w:tcW w:w="1203" w:type="dxa"/>
            <w:tcBorders>
              <w:right w:val="single" w:color="auto" w:sz="4" w:space="0"/>
            </w:tcBorders>
            <w:vAlign w:val="center"/>
          </w:tcPr>
          <w:p w14:paraId="4BA13044">
            <w:pPr>
              <w:pStyle w:val="44"/>
              <w:jc w:val="center"/>
              <w:rPr>
                <w:color w:val="auto"/>
                <w:highlight w:val="none"/>
              </w:rPr>
            </w:pPr>
          </w:p>
        </w:tc>
        <w:tc>
          <w:tcPr>
            <w:tcW w:w="1224" w:type="dxa"/>
            <w:tcBorders>
              <w:left w:val="single" w:color="auto" w:sz="4" w:space="0"/>
            </w:tcBorders>
            <w:vAlign w:val="center"/>
          </w:tcPr>
          <w:p w14:paraId="16B84266">
            <w:pPr>
              <w:pStyle w:val="44"/>
              <w:jc w:val="center"/>
              <w:rPr>
                <w:color w:val="auto"/>
                <w:highlight w:val="none"/>
              </w:rPr>
            </w:pPr>
          </w:p>
        </w:tc>
        <w:tc>
          <w:tcPr>
            <w:tcW w:w="876" w:type="dxa"/>
            <w:tcBorders>
              <w:left w:val="single" w:color="auto" w:sz="4" w:space="0"/>
            </w:tcBorders>
            <w:vAlign w:val="center"/>
          </w:tcPr>
          <w:p w14:paraId="71FC8978">
            <w:pPr>
              <w:pStyle w:val="44"/>
              <w:jc w:val="center"/>
              <w:rPr>
                <w:color w:val="auto"/>
                <w:highlight w:val="none"/>
              </w:rPr>
            </w:pPr>
          </w:p>
        </w:tc>
        <w:tc>
          <w:tcPr>
            <w:tcW w:w="1850" w:type="dxa"/>
            <w:vAlign w:val="center"/>
          </w:tcPr>
          <w:p w14:paraId="737A59E9">
            <w:pPr>
              <w:pStyle w:val="44"/>
              <w:jc w:val="center"/>
              <w:rPr>
                <w:color w:val="auto"/>
                <w:highlight w:val="none"/>
              </w:rPr>
            </w:pPr>
          </w:p>
        </w:tc>
        <w:tc>
          <w:tcPr>
            <w:tcW w:w="1277" w:type="dxa"/>
            <w:vAlign w:val="center"/>
          </w:tcPr>
          <w:p w14:paraId="292E64B7">
            <w:pPr>
              <w:pStyle w:val="44"/>
              <w:jc w:val="center"/>
              <w:rPr>
                <w:color w:val="auto"/>
                <w:highlight w:val="none"/>
              </w:rPr>
            </w:pPr>
          </w:p>
        </w:tc>
        <w:tc>
          <w:tcPr>
            <w:tcW w:w="816" w:type="dxa"/>
            <w:vAlign w:val="center"/>
          </w:tcPr>
          <w:p w14:paraId="44A42518">
            <w:pPr>
              <w:pStyle w:val="44"/>
              <w:jc w:val="center"/>
              <w:rPr>
                <w:color w:val="auto"/>
                <w:highlight w:val="none"/>
              </w:rPr>
            </w:pPr>
          </w:p>
        </w:tc>
      </w:tr>
    </w:tbl>
    <w:p w14:paraId="51ED7B0D">
      <w:pPr>
        <w:rPr>
          <w:color w:val="auto"/>
          <w:highlight w:val="none"/>
        </w:rPr>
      </w:pPr>
      <w:r>
        <w:rPr>
          <w:color w:val="auto"/>
          <w:highlight w:val="none"/>
        </w:rPr>
        <w:br w:type="page"/>
      </w:r>
    </w:p>
    <w:p w14:paraId="1358285E">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619" w:name="_Toc26722"/>
      <w:r>
        <w:rPr>
          <w:rFonts w:hint="eastAsia" w:cstheme="majorBidi"/>
          <w:b/>
          <w:bCs/>
          <w:color w:val="auto"/>
          <w:kern w:val="2"/>
          <w:sz w:val="32"/>
          <w:szCs w:val="32"/>
          <w:highlight w:val="none"/>
          <w:lang w:val="en-US" w:eastAsia="zh-CN" w:bidi="ar-SA"/>
        </w:rPr>
        <w:t>九、</w:t>
      </w:r>
      <w:r>
        <w:rPr>
          <w:rFonts w:hint="eastAsia" w:eastAsia="宋体" w:asciiTheme="majorHAnsi" w:hAnsiTheme="majorHAnsi" w:cstheme="majorBidi"/>
          <w:b/>
          <w:bCs/>
          <w:color w:val="auto"/>
          <w:kern w:val="2"/>
          <w:sz w:val="32"/>
          <w:szCs w:val="32"/>
          <w:highlight w:val="none"/>
          <w:lang w:val="en-US" w:eastAsia="zh-CN" w:bidi="ar-SA"/>
        </w:rPr>
        <w:t>技术响应偏离表</w:t>
      </w:r>
      <w:bookmarkEnd w:id="619"/>
    </w:p>
    <w:p w14:paraId="7EE50E6A">
      <w:pPr>
        <w:rPr>
          <w:rFonts w:cs="仿宋_GB2312"/>
          <w:color w:val="auto"/>
          <w:szCs w:val="24"/>
          <w:highlight w:val="none"/>
        </w:rPr>
      </w:pPr>
      <w:r>
        <w:rPr>
          <w:rFonts w:hint="eastAsia" w:cs="仿宋_GB2312"/>
          <w:color w:val="auto"/>
          <w:szCs w:val="24"/>
          <w:highlight w:val="none"/>
        </w:rPr>
        <w:t xml:space="preserve">项目名称：                                         </w:t>
      </w:r>
    </w:p>
    <w:p w14:paraId="10CF1BE4">
      <w:pPr>
        <w:rPr>
          <w:rFonts w:cs="仿宋_GB2312"/>
          <w:color w:val="auto"/>
          <w:szCs w:val="24"/>
          <w:highlight w:val="none"/>
        </w:rPr>
      </w:pPr>
      <w:r>
        <w:rPr>
          <w:rFonts w:hint="eastAsia" w:cs="仿宋_GB2312"/>
          <w:color w:val="auto"/>
          <w:szCs w:val="24"/>
          <w:highlight w:val="none"/>
        </w:rPr>
        <w:t>项目编号</w:t>
      </w:r>
      <w:r>
        <w:rPr>
          <w:rFonts w:hint="eastAsia" w:cs="仿宋_GB2312"/>
          <w:color w:val="auto"/>
          <w:szCs w:val="24"/>
          <w:highlight w:val="none"/>
          <w:lang w:val="en-US" w:eastAsia="zh-CN"/>
        </w:rPr>
        <w:t>/</w:t>
      </w:r>
      <w:r>
        <w:rPr>
          <w:rFonts w:hint="eastAsia" w:cs="仿宋_GB2312"/>
          <w:color w:val="auto"/>
          <w:szCs w:val="24"/>
          <w:highlight w:val="none"/>
          <w:lang w:val="zh-CN"/>
        </w:rPr>
        <w:t>包号</w:t>
      </w:r>
      <w:r>
        <w:rPr>
          <w:rFonts w:hint="eastAsia" w:cs="仿宋_GB2312"/>
          <w:color w:val="auto"/>
          <w:szCs w:val="24"/>
          <w:highlight w:val="none"/>
        </w:rPr>
        <w:t xml:space="preserve">：         </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4"/>
        <w:gridCol w:w="2177"/>
        <w:gridCol w:w="1556"/>
        <w:gridCol w:w="2046"/>
        <w:gridCol w:w="2046"/>
      </w:tblGrid>
      <w:tr w14:paraId="23CC5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5F892E53">
            <w:pPr>
              <w:pStyle w:val="44"/>
              <w:jc w:val="center"/>
              <w:rPr>
                <w:color w:val="auto"/>
                <w:highlight w:val="none"/>
              </w:rPr>
            </w:pPr>
            <w:r>
              <w:rPr>
                <w:rFonts w:hint="eastAsia"/>
                <w:color w:val="auto"/>
                <w:highlight w:val="none"/>
              </w:rPr>
              <w:t>序号</w:t>
            </w:r>
          </w:p>
        </w:tc>
        <w:tc>
          <w:tcPr>
            <w:tcW w:w="1277" w:type="pct"/>
            <w:vAlign w:val="center"/>
          </w:tcPr>
          <w:p w14:paraId="0C5608DB">
            <w:pPr>
              <w:pStyle w:val="44"/>
              <w:jc w:val="center"/>
              <w:rPr>
                <w:color w:val="auto"/>
                <w:highlight w:val="none"/>
              </w:rPr>
            </w:pPr>
            <w:r>
              <w:rPr>
                <w:rFonts w:hint="eastAsia"/>
                <w:color w:val="auto"/>
                <w:highlight w:val="none"/>
                <w:lang w:val="en-US" w:eastAsia="zh-CN"/>
              </w:rPr>
              <w:t>竞争性磋商</w:t>
            </w:r>
            <w:r>
              <w:rPr>
                <w:rFonts w:hint="eastAsia"/>
                <w:color w:val="auto"/>
                <w:highlight w:val="none"/>
              </w:rPr>
              <w:t>文件技术要求条款</w:t>
            </w:r>
          </w:p>
        </w:tc>
        <w:tc>
          <w:tcPr>
            <w:tcW w:w="913" w:type="pct"/>
            <w:vAlign w:val="center"/>
          </w:tcPr>
          <w:p w14:paraId="0B845CF1">
            <w:pPr>
              <w:pStyle w:val="44"/>
              <w:jc w:val="center"/>
              <w:rPr>
                <w:color w:val="auto"/>
                <w:highlight w:val="none"/>
              </w:rPr>
            </w:pPr>
            <w:r>
              <w:rPr>
                <w:rFonts w:hint="eastAsia"/>
                <w:color w:val="auto"/>
                <w:highlight w:val="none"/>
                <w:lang w:val="en-US" w:eastAsia="zh-CN"/>
              </w:rPr>
              <w:t>响应</w:t>
            </w:r>
            <w:r>
              <w:rPr>
                <w:rFonts w:hint="eastAsia"/>
                <w:color w:val="auto"/>
                <w:highlight w:val="none"/>
              </w:rPr>
              <w:t>文件内容</w:t>
            </w:r>
          </w:p>
          <w:p w14:paraId="4F79E073">
            <w:pPr>
              <w:pStyle w:val="44"/>
              <w:jc w:val="center"/>
              <w:rPr>
                <w:color w:val="auto"/>
                <w:highlight w:val="none"/>
              </w:rPr>
            </w:pPr>
            <w:r>
              <w:rPr>
                <w:rFonts w:hint="eastAsia"/>
                <w:color w:val="auto"/>
                <w:highlight w:val="none"/>
              </w:rPr>
              <w:t>对应简述</w:t>
            </w:r>
          </w:p>
        </w:tc>
        <w:tc>
          <w:tcPr>
            <w:tcW w:w="1200" w:type="pct"/>
            <w:vAlign w:val="center"/>
          </w:tcPr>
          <w:p w14:paraId="4AB4E9C3">
            <w:pPr>
              <w:pStyle w:val="44"/>
              <w:jc w:val="center"/>
              <w:rPr>
                <w:color w:val="auto"/>
                <w:highlight w:val="none"/>
              </w:rPr>
            </w:pPr>
            <w:r>
              <w:rPr>
                <w:rFonts w:hint="eastAsia"/>
                <w:color w:val="auto"/>
                <w:highlight w:val="none"/>
              </w:rPr>
              <w:t>响应情况</w:t>
            </w:r>
          </w:p>
        </w:tc>
        <w:tc>
          <w:tcPr>
            <w:tcW w:w="1200" w:type="pct"/>
            <w:vAlign w:val="center"/>
          </w:tcPr>
          <w:p w14:paraId="09D725B9">
            <w:pPr>
              <w:pStyle w:val="44"/>
              <w:jc w:val="center"/>
              <w:rPr>
                <w:color w:val="auto"/>
                <w:highlight w:val="none"/>
              </w:rPr>
            </w:pPr>
            <w:r>
              <w:rPr>
                <w:rFonts w:hint="eastAsia"/>
                <w:color w:val="auto"/>
                <w:highlight w:val="none"/>
                <w:lang w:val="en-US" w:eastAsia="zh-CN"/>
              </w:rPr>
              <w:t>证明资料</w:t>
            </w:r>
            <w:r>
              <w:rPr>
                <w:rFonts w:hint="eastAsia"/>
                <w:color w:val="auto"/>
                <w:highlight w:val="none"/>
              </w:rPr>
              <w:t>及索引</w:t>
            </w:r>
          </w:p>
        </w:tc>
      </w:tr>
      <w:tr w14:paraId="39EC0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29950C57">
            <w:pPr>
              <w:pStyle w:val="44"/>
              <w:jc w:val="center"/>
              <w:rPr>
                <w:color w:val="auto"/>
                <w:highlight w:val="none"/>
              </w:rPr>
            </w:pPr>
            <w:r>
              <w:rPr>
                <w:rFonts w:hint="eastAsia"/>
                <w:color w:val="auto"/>
                <w:highlight w:val="none"/>
              </w:rPr>
              <w:t>1</w:t>
            </w:r>
          </w:p>
        </w:tc>
        <w:tc>
          <w:tcPr>
            <w:tcW w:w="1277" w:type="pct"/>
            <w:vAlign w:val="center"/>
          </w:tcPr>
          <w:p w14:paraId="69B288A0">
            <w:pPr>
              <w:pStyle w:val="44"/>
              <w:jc w:val="center"/>
              <w:rPr>
                <w:color w:val="auto"/>
                <w:highlight w:val="none"/>
              </w:rPr>
            </w:pPr>
            <w:r>
              <w:rPr>
                <w:rFonts w:hint="eastAsia"/>
                <w:color w:val="auto"/>
                <w:highlight w:val="none"/>
              </w:rPr>
              <w:t>*</w:t>
            </w:r>
            <w:r>
              <w:rPr>
                <w:color w:val="auto"/>
                <w:highlight w:val="none"/>
              </w:rPr>
              <w:t>*******</w:t>
            </w:r>
          </w:p>
        </w:tc>
        <w:tc>
          <w:tcPr>
            <w:tcW w:w="913" w:type="pct"/>
            <w:vAlign w:val="center"/>
          </w:tcPr>
          <w:p w14:paraId="0E04AD72">
            <w:pPr>
              <w:pStyle w:val="44"/>
              <w:jc w:val="center"/>
              <w:rPr>
                <w:color w:val="auto"/>
                <w:highlight w:val="none"/>
              </w:rPr>
            </w:pPr>
            <w:r>
              <w:rPr>
                <w:rFonts w:hint="eastAsia"/>
                <w:color w:val="auto"/>
                <w:highlight w:val="none"/>
              </w:rPr>
              <w:t>*</w:t>
            </w:r>
            <w:r>
              <w:rPr>
                <w:color w:val="auto"/>
                <w:highlight w:val="none"/>
              </w:rPr>
              <w:t>*****</w:t>
            </w:r>
          </w:p>
        </w:tc>
        <w:tc>
          <w:tcPr>
            <w:tcW w:w="1200" w:type="pct"/>
            <w:vAlign w:val="center"/>
          </w:tcPr>
          <w:p w14:paraId="585AEA1C">
            <w:pPr>
              <w:pStyle w:val="44"/>
              <w:jc w:val="center"/>
              <w:rPr>
                <w:color w:val="auto"/>
                <w:highlight w:val="none"/>
              </w:rPr>
            </w:pPr>
            <w:r>
              <w:rPr>
                <w:rFonts w:hint="eastAsia"/>
                <w:color w:val="auto"/>
                <w:highlight w:val="none"/>
              </w:rPr>
              <w:t>响应/正偏离/负偏离</w:t>
            </w:r>
          </w:p>
        </w:tc>
        <w:tc>
          <w:tcPr>
            <w:tcW w:w="1200" w:type="pct"/>
            <w:vAlign w:val="center"/>
          </w:tcPr>
          <w:p w14:paraId="02D97874">
            <w:pPr>
              <w:pStyle w:val="44"/>
              <w:jc w:val="center"/>
              <w:rPr>
                <w:color w:val="auto"/>
                <w:highlight w:val="none"/>
              </w:rPr>
            </w:pPr>
          </w:p>
        </w:tc>
      </w:tr>
      <w:tr w14:paraId="4EC68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195B6778">
            <w:pPr>
              <w:pStyle w:val="44"/>
              <w:jc w:val="center"/>
              <w:rPr>
                <w:color w:val="auto"/>
                <w:highlight w:val="none"/>
              </w:rPr>
            </w:pPr>
            <w:r>
              <w:rPr>
                <w:rFonts w:hint="eastAsia"/>
                <w:color w:val="auto"/>
                <w:highlight w:val="none"/>
              </w:rPr>
              <w:t>2</w:t>
            </w:r>
          </w:p>
        </w:tc>
        <w:tc>
          <w:tcPr>
            <w:tcW w:w="1277" w:type="pct"/>
            <w:vAlign w:val="center"/>
          </w:tcPr>
          <w:p w14:paraId="30E52A7F">
            <w:pPr>
              <w:pStyle w:val="44"/>
              <w:jc w:val="center"/>
              <w:rPr>
                <w:color w:val="auto"/>
                <w:highlight w:val="none"/>
              </w:rPr>
            </w:pPr>
            <w:r>
              <w:rPr>
                <w:rFonts w:hint="eastAsia"/>
                <w:color w:val="auto"/>
                <w:highlight w:val="none"/>
              </w:rPr>
              <w:t>*</w:t>
            </w:r>
            <w:r>
              <w:rPr>
                <w:color w:val="auto"/>
                <w:highlight w:val="none"/>
              </w:rPr>
              <w:t>*******</w:t>
            </w:r>
          </w:p>
        </w:tc>
        <w:tc>
          <w:tcPr>
            <w:tcW w:w="913" w:type="pct"/>
            <w:vAlign w:val="center"/>
          </w:tcPr>
          <w:p w14:paraId="29A6C1E1">
            <w:pPr>
              <w:pStyle w:val="44"/>
              <w:jc w:val="center"/>
              <w:rPr>
                <w:color w:val="auto"/>
                <w:highlight w:val="none"/>
              </w:rPr>
            </w:pPr>
            <w:r>
              <w:rPr>
                <w:rFonts w:hint="eastAsia"/>
                <w:color w:val="auto"/>
                <w:highlight w:val="none"/>
              </w:rPr>
              <w:t>*</w:t>
            </w:r>
            <w:r>
              <w:rPr>
                <w:color w:val="auto"/>
                <w:highlight w:val="none"/>
              </w:rPr>
              <w:t>*****</w:t>
            </w:r>
          </w:p>
        </w:tc>
        <w:tc>
          <w:tcPr>
            <w:tcW w:w="1200" w:type="pct"/>
            <w:vAlign w:val="center"/>
          </w:tcPr>
          <w:p w14:paraId="5D92E460">
            <w:pPr>
              <w:pStyle w:val="44"/>
              <w:jc w:val="center"/>
              <w:rPr>
                <w:color w:val="auto"/>
                <w:highlight w:val="none"/>
              </w:rPr>
            </w:pPr>
            <w:r>
              <w:rPr>
                <w:rFonts w:hint="eastAsia"/>
                <w:color w:val="auto"/>
                <w:highlight w:val="none"/>
              </w:rPr>
              <w:t>响应/正偏离/负偏离</w:t>
            </w:r>
          </w:p>
        </w:tc>
        <w:tc>
          <w:tcPr>
            <w:tcW w:w="1200" w:type="pct"/>
            <w:vAlign w:val="center"/>
          </w:tcPr>
          <w:p w14:paraId="63E16449">
            <w:pPr>
              <w:pStyle w:val="44"/>
              <w:jc w:val="center"/>
              <w:rPr>
                <w:color w:val="auto"/>
                <w:highlight w:val="none"/>
              </w:rPr>
            </w:pPr>
          </w:p>
        </w:tc>
      </w:tr>
      <w:tr w14:paraId="0C008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C45FE18">
            <w:pPr>
              <w:pStyle w:val="44"/>
              <w:jc w:val="center"/>
              <w:rPr>
                <w:color w:val="auto"/>
                <w:highlight w:val="none"/>
              </w:rPr>
            </w:pPr>
          </w:p>
        </w:tc>
        <w:tc>
          <w:tcPr>
            <w:tcW w:w="1277" w:type="pct"/>
            <w:vAlign w:val="center"/>
          </w:tcPr>
          <w:p w14:paraId="6D1DD644">
            <w:pPr>
              <w:pStyle w:val="44"/>
              <w:jc w:val="center"/>
              <w:rPr>
                <w:color w:val="auto"/>
                <w:highlight w:val="none"/>
              </w:rPr>
            </w:pPr>
          </w:p>
        </w:tc>
        <w:tc>
          <w:tcPr>
            <w:tcW w:w="913" w:type="pct"/>
            <w:vAlign w:val="center"/>
          </w:tcPr>
          <w:p w14:paraId="2982168B">
            <w:pPr>
              <w:pStyle w:val="44"/>
              <w:jc w:val="center"/>
              <w:rPr>
                <w:color w:val="auto"/>
                <w:highlight w:val="none"/>
              </w:rPr>
            </w:pPr>
          </w:p>
        </w:tc>
        <w:tc>
          <w:tcPr>
            <w:tcW w:w="1200" w:type="pct"/>
            <w:vAlign w:val="center"/>
          </w:tcPr>
          <w:p w14:paraId="78EC7D09">
            <w:pPr>
              <w:pStyle w:val="44"/>
              <w:jc w:val="center"/>
              <w:rPr>
                <w:color w:val="auto"/>
                <w:highlight w:val="none"/>
              </w:rPr>
            </w:pPr>
          </w:p>
        </w:tc>
        <w:tc>
          <w:tcPr>
            <w:tcW w:w="1200" w:type="pct"/>
            <w:vAlign w:val="center"/>
          </w:tcPr>
          <w:p w14:paraId="46369488">
            <w:pPr>
              <w:pStyle w:val="44"/>
              <w:jc w:val="center"/>
              <w:rPr>
                <w:color w:val="auto"/>
                <w:highlight w:val="none"/>
              </w:rPr>
            </w:pPr>
          </w:p>
        </w:tc>
      </w:tr>
      <w:tr w14:paraId="28C8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3874C19">
            <w:pPr>
              <w:pStyle w:val="44"/>
              <w:jc w:val="center"/>
              <w:rPr>
                <w:color w:val="auto"/>
                <w:highlight w:val="none"/>
              </w:rPr>
            </w:pPr>
          </w:p>
        </w:tc>
        <w:tc>
          <w:tcPr>
            <w:tcW w:w="1277" w:type="pct"/>
            <w:vAlign w:val="center"/>
          </w:tcPr>
          <w:p w14:paraId="529041E2">
            <w:pPr>
              <w:pStyle w:val="44"/>
              <w:jc w:val="center"/>
              <w:rPr>
                <w:color w:val="auto"/>
                <w:highlight w:val="none"/>
              </w:rPr>
            </w:pPr>
          </w:p>
        </w:tc>
        <w:tc>
          <w:tcPr>
            <w:tcW w:w="913" w:type="pct"/>
            <w:vAlign w:val="center"/>
          </w:tcPr>
          <w:p w14:paraId="301E476D">
            <w:pPr>
              <w:pStyle w:val="44"/>
              <w:jc w:val="center"/>
              <w:rPr>
                <w:color w:val="auto"/>
                <w:highlight w:val="none"/>
              </w:rPr>
            </w:pPr>
          </w:p>
        </w:tc>
        <w:tc>
          <w:tcPr>
            <w:tcW w:w="1200" w:type="pct"/>
            <w:vAlign w:val="center"/>
          </w:tcPr>
          <w:p w14:paraId="06F8AED7">
            <w:pPr>
              <w:pStyle w:val="44"/>
              <w:jc w:val="center"/>
              <w:rPr>
                <w:color w:val="auto"/>
                <w:highlight w:val="none"/>
              </w:rPr>
            </w:pPr>
          </w:p>
        </w:tc>
        <w:tc>
          <w:tcPr>
            <w:tcW w:w="1200" w:type="pct"/>
            <w:vAlign w:val="center"/>
          </w:tcPr>
          <w:p w14:paraId="0CE9DF45">
            <w:pPr>
              <w:pStyle w:val="44"/>
              <w:jc w:val="center"/>
              <w:rPr>
                <w:color w:val="auto"/>
                <w:highlight w:val="none"/>
              </w:rPr>
            </w:pPr>
          </w:p>
        </w:tc>
      </w:tr>
      <w:tr w14:paraId="72916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1433E5C">
            <w:pPr>
              <w:pStyle w:val="44"/>
              <w:jc w:val="center"/>
              <w:rPr>
                <w:color w:val="auto"/>
                <w:highlight w:val="none"/>
              </w:rPr>
            </w:pPr>
          </w:p>
        </w:tc>
        <w:tc>
          <w:tcPr>
            <w:tcW w:w="1277" w:type="pct"/>
            <w:vAlign w:val="center"/>
          </w:tcPr>
          <w:p w14:paraId="77107295">
            <w:pPr>
              <w:pStyle w:val="44"/>
              <w:jc w:val="center"/>
              <w:rPr>
                <w:color w:val="auto"/>
                <w:highlight w:val="none"/>
              </w:rPr>
            </w:pPr>
          </w:p>
        </w:tc>
        <w:tc>
          <w:tcPr>
            <w:tcW w:w="913" w:type="pct"/>
            <w:vAlign w:val="center"/>
          </w:tcPr>
          <w:p w14:paraId="4D01D78E">
            <w:pPr>
              <w:pStyle w:val="44"/>
              <w:jc w:val="center"/>
              <w:rPr>
                <w:color w:val="auto"/>
                <w:highlight w:val="none"/>
              </w:rPr>
            </w:pPr>
          </w:p>
        </w:tc>
        <w:tc>
          <w:tcPr>
            <w:tcW w:w="1200" w:type="pct"/>
            <w:vAlign w:val="center"/>
          </w:tcPr>
          <w:p w14:paraId="6D546857">
            <w:pPr>
              <w:pStyle w:val="44"/>
              <w:jc w:val="center"/>
              <w:rPr>
                <w:color w:val="auto"/>
                <w:highlight w:val="none"/>
              </w:rPr>
            </w:pPr>
          </w:p>
        </w:tc>
        <w:tc>
          <w:tcPr>
            <w:tcW w:w="1200" w:type="pct"/>
            <w:vAlign w:val="center"/>
          </w:tcPr>
          <w:p w14:paraId="2E1B7D0B">
            <w:pPr>
              <w:pStyle w:val="44"/>
              <w:jc w:val="center"/>
              <w:rPr>
                <w:color w:val="auto"/>
                <w:highlight w:val="none"/>
              </w:rPr>
            </w:pPr>
          </w:p>
        </w:tc>
      </w:tr>
      <w:tr w14:paraId="39F80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6AF16AFE">
            <w:pPr>
              <w:pStyle w:val="44"/>
              <w:jc w:val="center"/>
              <w:rPr>
                <w:color w:val="auto"/>
                <w:highlight w:val="none"/>
              </w:rPr>
            </w:pPr>
          </w:p>
        </w:tc>
        <w:tc>
          <w:tcPr>
            <w:tcW w:w="1277" w:type="pct"/>
            <w:vAlign w:val="center"/>
          </w:tcPr>
          <w:p w14:paraId="5C7E043B">
            <w:pPr>
              <w:pStyle w:val="44"/>
              <w:jc w:val="center"/>
              <w:rPr>
                <w:color w:val="auto"/>
                <w:highlight w:val="none"/>
              </w:rPr>
            </w:pPr>
          </w:p>
        </w:tc>
        <w:tc>
          <w:tcPr>
            <w:tcW w:w="913" w:type="pct"/>
            <w:vAlign w:val="center"/>
          </w:tcPr>
          <w:p w14:paraId="64166C7A">
            <w:pPr>
              <w:pStyle w:val="44"/>
              <w:jc w:val="center"/>
              <w:rPr>
                <w:color w:val="auto"/>
                <w:highlight w:val="none"/>
              </w:rPr>
            </w:pPr>
          </w:p>
        </w:tc>
        <w:tc>
          <w:tcPr>
            <w:tcW w:w="1200" w:type="pct"/>
            <w:vAlign w:val="center"/>
          </w:tcPr>
          <w:p w14:paraId="2817CCE5">
            <w:pPr>
              <w:pStyle w:val="44"/>
              <w:jc w:val="center"/>
              <w:rPr>
                <w:color w:val="auto"/>
                <w:highlight w:val="none"/>
              </w:rPr>
            </w:pPr>
          </w:p>
        </w:tc>
        <w:tc>
          <w:tcPr>
            <w:tcW w:w="1200" w:type="pct"/>
            <w:vAlign w:val="center"/>
          </w:tcPr>
          <w:p w14:paraId="184E3F96">
            <w:pPr>
              <w:pStyle w:val="44"/>
              <w:jc w:val="center"/>
              <w:rPr>
                <w:color w:val="auto"/>
                <w:highlight w:val="none"/>
              </w:rPr>
            </w:pPr>
          </w:p>
        </w:tc>
      </w:tr>
      <w:tr w14:paraId="60C9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5F23FFC2">
            <w:pPr>
              <w:pStyle w:val="44"/>
              <w:jc w:val="center"/>
              <w:rPr>
                <w:color w:val="auto"/>
                <w:highlight w:val="none"/>
              </w:rPr>
            </w:pPr>
          </w:p>
        </w:tc>
        <w:tc>
          <w:tcPr>
            <w:tcW w:w="1277" w:type="pct"/>
            <w:vAlign w:val="center"/>
          </w:tcPr>
          <w:p w14:paraId="565EC642">
            <w:pPr>
              <w:pStyle w:val="44"/>
              <w:jc w:val="center"/>
              <w:rPr>
                <w:color w:val="auto"/>
                <w:highlight w:val="none"/>
              </w:rPr>
            </w:pPr>
          </w:p>
        </w:tc>
        <w:tc>
          <w:tcPr>
            <w:tcW w:w="913" w:type="pct"/>
            <w:vAlign w:val="center"/>
          </w:tcPr>
          <w:p w14:paraId="4813DEC4">
            <w:pPr>
              <w:pStyle w:val="44"/>
              <w:jc w:val="center"/>
              <w:rPr>
                <w:color w:val="auto"/>
                <w:highlight w:val="none"/>
              </w:rPr>
            </w:pPr>
          </w:p>
        </w:tc>
        <w:tc>
          <w:tcPr>
            <w:tcW w:w="1200" w:type="pct"/>
            <w:vAlign w:val="center"/>
          </w:tcPr>
          <w:p w14:paraId="6FC99520">
            <w:pPr>
              <w:pStyle w:val="44"/>
              <w:jc w:val="center"/>
              <w:rPr>
                <w:color w:val="auto"/>
                <w:highlight w:val="none"/>
              </w:rPr>
            </w:pPr>
          </w:p>
        </w:tc>
        <w:tc>
          <w:tcPr>
            <w:tcW w:w="1200" w:type="pct"/>
            <w:vAlign w:val="center"/>
          </w:tcPr>
          <w:p w14:paraId="6C388A43">
            <w:pPr>
              <w:pStyle w:val="44"/>
              <w:jc w:val="center"/>
              <w:rPr>
                <w:color w:val="auto"/>
                <w:highlight w:val="none"/>
              </w:rPr>
            </w:pPr>
          </w:p>
        </w:tc>
      </w:tr>
      <w:tr w14:paraId="668F3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0AF398B2">
            <w:pPr>
              <w:pStyle w:val="44"/>
              <w:jc w:val="center"/>
              <w:rPr>
                <w:color w:val="auto"/>
                <w:highlight w:val="none"/>
              </w:rPr>
            </w:pPr>
          </w:p>
        </w:tc>
        <w:tc>
          <w:tcPr>
            <w:tcW w:w="1277" w:type="pct"/>
            <w:vAlign w:val="center"/>
          </w:tcPr>
          <w:p w14:paraId="7E5C6D21">
            <w:pPr>
              <w:pStyle w:val="44"/>
              <w:jc w:val="center"/>
              <w:rPr>
                <w:color w:val="auto"/>
                <w:highlight w:val="none"/>
              </w:rPr>
            </w:pPr>
          </w:p>
        </w:tc>
        <w:tc>
          <w:tcPr>
            <w:tcW w:w="913" w:type="pct"/>
            <w:vAlign w:val="center"/>
          </w:tcPr>
          <w:p w14:paraId="449C5534">
            <w:pPr>
              <w:pStyle w:val="44"/>
              <w:jc w:val="center"/>
              <w:rPr>
                <w:color w:val="auto"/>
                <w:highlight w:val="none"/>
              </w:rPr>
            </w:pPr>
          </w:p>
        </w:tc>
        <w:tc>
          <w:tcPr>
            <w:tcW w:w="1200" w:type="pct"/>
            <w:vAlign w:val="center"/>
          </w:tcPr>
          <w:p w14:paraId="43936EF1">
            <w:pPr>
              <w:pStyle w:val="44"/>
              <w:jc w:val="center"/>
              <w:rPr>
                <w:color w:val="auto"/>
                <w:highlight w:val="none"/>
              </w:rPr>
            </w:pPr>
          </w:p>
        </w:tc>
        <w:tc>
          <w:tcPr>
            <w:tcW w:w="1200" w:type="pct"/>
            <w:vAlign w:val="center"/>
          </w:tcPr>
          <w:p w14:paraId="015081ED">
            <w:pPr>
              <w:pStyle w:val="44"/>
              <w:jc w:val="center"/>
              <w:rPr>
                <w:color w:val="auto"/>
                <w:highlight w:val="none"/>
              </w:rPr>
            </w:pPr>
          </w:p>
        </w:tc>
      </w:tr>
      <w:tr w14:paraId="576C8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3BE7E344">
            <w:pPr>
              <w:pStyle w:val="44"/>
              <w:jc w:val="center"/>
              <w:rPr>
                <w:color w:val="auto"/>
                <w:highlight w:val="none"/>
              </w:rPr>
            </w:pPr>
          </w:p>
        </w:tc>
        <w:tc>
          <w:tcPr>
            <w:tcW w:w="1277" w:type="pct"/>
            <w:vAlign w:val="center"/>
          </w:tcPr>
          <w:p w14:paraId="4E7FED0B">
            <w:pPr>
              <w:pStyle w:val="44"/>
              <w:jc w:val="center"/>
              <w:rPr>
                <w:color w:val="auto"/>
                <w:highlight w:val="none"/>
              </w:rPr>
            </w:pPr>
          </w:p>
        </w:tc>
        <w:tc>
          <w:tcPr>
            <w:tcW w:w="913" w:type="pct"/>
            <w:vAlign w:val="center"/>
          </w:tcPr>
          <w:p w14:paraId="07398BD3">
            <w:pPr>
              <w:pStyle w:val="44"/>
              <w:jc w:val="center"/>
              <w:rPr>
                <w:color w:val="auto"/>
                <w:highlight w:val="none"/>
              </w:rPr>
            </w:pPr>
          </w:p>
        </w:tc>
        <w:tc>
          <w:tcPr>
            <w:tcW w:w="1200" w:type="pct"/>
            <w:vAlign w:val="center"/>
          </w:tcPr>
          <w:p w14:paraId="085E5102">
            <w:pPr>
              <w:pStyle w:val="44"/>
              <w:jc w:val="center"/>
              <w:rPr>
                <w:color w:val="auto"/>
                <w:highlight w:val="none"/>
              </w:rPr>
            </w:pPr>
          </w:p>
        </w:tc>
        <w:tc>
          <w:tcPr>
            <w:tcW w:w="1200" w:type="pct"/>
            <w:vAlign w:val="center"/>
          </w:tcPr>
          <w:p w14:paraId="74B87043">
            <w:pPr>
              <w:pStyle w:val="44"/>
              <w:jc w:val="center"/>
              <w:rPr>
                <w:color w:val="auto"/>
                <w:highlight w:val="none"/>
              </w:rPr>
            </w:pPr>
          </w:p>
        </w:tc>
      </w:tr>
      <w:tr w14:paraId="4BD9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5DBDBE11">
            <w:pPr>
              <w:pStyle w:val="44"/>
              <w:jc w:val="center"/>
              <w:rPr>
                <w:color w:val="auto"/>
                <w:highlight w:val="none"/>
              </w:rPr>
            </w:pPr>
          </w:p>
        </w:tc>
        <w:tc>
          <w:tcPr>
            <w:tcW w:w="1277" w:type="pct"/>
            <w:vAlign w:val="center"/>
          </w:tcPr>
          <w:p w14:paraId="1F11A7BE">
            <w:pPr>
              <w:pStyle w:val="44"/>
              <w:jc w:val="center"/>
              <w:rPr>
                <w:color w:val="auto"/>
                <w:highlight w:val="none"/>
              </w:rPr>
            </w:pPr>
          </w:p>
        </w:tc>
        <w:tc>
          <w:tcPr>
            <w:tcW w:w="913" w:type="pct"/>
            <w:vAlign w:val="center"/>
          </w:tcPr>
          <w:p w14:paraId="09342B6E">
            <w:pPr>
              <w:pStyle w:val="44"/>
              <w:jc w:val="center"/>
              <w:rPr>
                <w:color w:val="auto"/>
                <w:highlight w:val="none"/>
              </w:rPr>
            </w:pPr>
          </w:p>
        </w:tc>
        <w:tc>
          <w:tcPr>
            <w:tcW w:w="1200" w:type="pct"/>
            <w:vAlign w:val="center"/>
          </w:tcPr>
          <w:p w14:paraId="6742B646">
            <w:pPr>
              <w:pStyle w:val="44"/>
              <w:jc w:val="center"/>
              <w:rPr>
                <w:color w:val="auto"/>
                <w:highlight w:val="none"/>
              </w:rPr>
            </w:pPr>
          </w:p>
        </w:tc>
        <w:tc>
          <w:tcPr>
            <w:tcW w:w="1200" w:type="pct"/>
            <w:vAlign w:val="center"/>
          </w:tcPr>
          <w:p w14:paraId="4C72FCC2">
            <w:pPr>
              <w:pStyle w:val="44"/>
              <w:jc w:val="center"/>
              <w:rPr>
                <w:color w:val="auto"/>
                <w:highlight w:val="none"/>
              </w:rPr>
            </w:pPr>
          </w:p>
        </w:tc>
      </w:tr>
      <w:tr w14:paraId="26694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2" w:hRule="atLeast"/>
        </w:trPr>
        <w:tc>
          <w:tcPr>
            <w:tcW w:w="407" w:type="pct"/>
            <w:vAlign w:val="center"/>
          </w:tcPr>
          <w:p w14:paraId="0D811F11">
            <w:pPr>
              <w:pStyle w:val="44"/>
              <w:jc w:val="center"/>
              <w:rPr>
                <w:color w:val="auto"/>
                <w:highlight w:val="none"/>
              </w:rPr>
            </w:pPr>
            <w:r>
              <w:rPr>
                <w:rFonts w:hint="eastAsia"/>
                <w:color w:val="auto"/>
                <w:highlight w:val="none"/>
              </w:rPr>
              <w:t>……</w:t>
            </w:r>
          </w:p>
        </w:tc>
        <w:tc>
          <w:tcPr>
            <w:tcW w:w="1277" w:type="pct"/>
            <w:vAlign w:val="center"/>
          </w:tcPr>
          <w:p w14:paraId="7D0AF02A">
            <w:pPr>
              <w:pStyle w:val="44"/>
              <w:jc w:val="center"/>
              <w:rPr>
                <w:color w:val="auto"/>
                <w:highlight w:val="none"/>
              </w:rPr>
            </w:pPr>
            <w:r>
              <w:rPr>
                <w:rFonts w:hint="eastAsia"/>
                <w:color w:val="auto"/>
                <w:highlight w:val="none"/>
              </w:rPr>
              <w:t>…………</w:t>
            </w:r>
          </w:p>
        </w:tc>
        <w:tc>
          <w:tcPr>
            <w:tcW w:w="913" w:type="pct"/>
            <w:vAlign w:val="center"/>
          </w:tcPr>
          <w:p w14:paraId="6EC8C4F3">
            <w:pPr>
              <w:pStyle w:val="44"/>
              <w:jc w:val="center"/>
              <w:rPr>
                <w:color w:val="auto"/>
                <w:highlight w:val="none"/>
              </w:rPr>
            </w:pPr>
            <w:r>
              <w:rPr>
                <w:rFonts w:hint="eastAsia"/>
                <w:color w:val="auto"/>
                <w:highlight w:val="none"/>
              </w:rPr>
              <w:t>………………</w:t>
            </w:r>
          </w:p>
        </w:tc>
        <w:tc>
          <w:tcPr>
            <w:tcW w:w="1200" w:type="pct"/>
            <w:vAlign w:val="center"/>
          </w:tcPr>
          <w:p w14:paraId="59EB3DF9">
            <w:pPr>
              <w:pStyle w:val="44"/>
              <w:jc w:val="center"/>
              <w:rPr>
                <w:color w:val="auto"/>
                <w:highlight w:val="none"/>
              </w:rPr>
            </w:pPr>
            <w:r>
              <w:rPr>
                <w:rFonts w:hint="eastAsia"/>
                <w:color w:val="auto"/>
                <w:highlight w:val="none"/>
              </w:rPr>
              <w:t>…………</w:t>
            </w:r>
          </w:p>
        </w:tc>
        <w:tc>
          <w:tcPr>
            <w:tcW w:w="1200" w:type="pct"/>
            <w:vAlign w:val="center"/>
          </w:tcPr>
          <w:p w14:paraId="1BF96619">
            <w:pPr>
              <w:pStyle w:val="44"/>
              <w:jc w:val="center"/>
              <w:rPr>
                <w:color w:val="auto"/>
                <w:highlight w:val="none"/>
              </w:rPr>
            </w:pPr>
          </w:p>
        </w:tc>
      </w:tr>
    </w:tbl>
    <w:p w14:paraId="7E9541B9">
      <w:pPr>
        <w:ind w:firstLine="420" w:firstLineChars="200"/>
        <w:rPr>
          <w:rFonts w:hint="eastAsia" w:cs="仿宋_GB2312"/>
          <w:color w:val="auto"/>
          <w:sz w:val="21"/>
          <w:szCs w:val="21"/>
          <w:highlight w:val="none"/>
        </w:rPr>
      </w:pPr>
    </w:p>
    <w:p w14:paraId="2B5EBACC">
      <w:pPr>
        <w:ind w:firstLine="420" w:firstLineChars="200"/>
        <w:rPr>
          <w:rFonts w:cs="仿宋_GB2312"/>
          <w:color w:val="auto"/>
          <w:sz w:val="21"/>
          <w:szCs w:val="21"/>
          <w:highlight w:val="none"/>
        </w:rPr>
      </w:pPr>
      <w:r>
        <w:rPr>
          <w:rFonts w:hint="eastAsia" w:cs="仿宋_GB2312"/>
          <w:color w:val="auto"/>
          <w:sz w:val="21"/>
          <w:szCs w:val="21"/>
          <w:highlight w:val="none"/>
        </w:rPr>
        <w:t>说明：</w:t>
      </w:r>
      <w:r>
        <w:rPr>
          <w:rFonts w:hint="eastAsia" w:cs="仿宋_GB2312"/>
          <w:color w:val="auto"/>
          <w:sz w:val="21"/>
          <w:szCs w:val="21"/>
          <w:highlight w:val="none"/>
          <w:lang w:val="en-US" w:eastAsia="zh-CN"/>
        </w:rPr>
        <w:t>供应商</w:t>
      </w:r>
      <w:r>
        <w:rPr>
          <w:rFonts w:hint="eastAsia" w:cs="仿宋_GB2312"/>
          <w:color w:val="auto"/>
          <w:sz w:val="21"/>
          <w:szCs w:val="21"/>
          <w:highlight w:val="none"/>
        </w:rPr>
        <w:t>应按照</w:t>
      </w:r>
      <w:r>
        <w:rPr>
          <w:rFonts w:hint="eastAsia"/>
          <w:color w:val="auto"/>
          <w:sz w:val="21"/>
          <w:szCs w:val="21"/>
          <w:highlight w:val="none"/>
          <w:lang w:val="en-US" w:eastAsia="zh-CN"/>
        </w:rPr>
        <w:t>竞争性磋商</w:t>
      </w:r>
      <w:r>
        <w:rPr>
          <w:rFonts w:hint="eastAsia" w:cs="仿宋_GB2312"/>
          <w:color w:val="auto"/>
          <w:sz w:val="21"/>
          <w:szCs w:val="21"/>
          <w:highlight w:val="none"/>
        </w:rPr>
        <w:t xml:space="preserve">文件“第三章 </w:t>
      </w:r>
      <w:r>
        <w:rPr>
          <w:rFonts w:hint="eastAsia" w:cs="仿宋_GB2312"/>
          <w:color w:val="auto"/>
          <w:sz w:val="21"/>
          <w:szCs w:val="21"/>
          <w:highlight w:val="none"/>
          <w:lang w:val="en-US" w:eastAsia="zh-CN"/>
        </w:rPr>
        <w:t>项目</w:t>
      </w:r>
      <w:r>
        <w:rPr>
          <w:rFonts w:hint="eastAsia" w:cs="仿宋_GB2312"/>
          <w:color w:val="auto"/>
          <w:sz w:val="21"/>
          <w:szCs w:val="21"/>
          <w:highlight w:val="none"/>
        </w:rPr>
        <w:t>采购需求</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中的</w:t>
      </w:r>
      <w:r>
        <w:rPr>
          <w:rFonts w:hint="eastAsia" w:cs="仿宋_GB2312"/>
          <w:color w:val="auto"/>
          <w:sz w:val="21"/>
          <w:szCs w:val="21"/>
          <w:highlight w:val="none"/>
        </w:rPr>
        <w:t>技术要求填写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“响应/正偏离/负偏离”应据实填写“响应”、“正偏离”或“负偏离”</w:t>
      </w:r>
      <w:r>
        <w:rPr>
          <w:rFonts w:hint="eastAsia" w:cs="仿宋_GB2312"/>
          <w:color w:val="auto"/>
          <w:sz w:val="21"/>
          <w:szCs w:val="21"/>
          <w:highlight w:val="none"/>
        </w:rPr>
        <w:t>。</w:t>
      </w:r>
    </w:p>
    <w:p w14:paraId="12AEBD40">
      <w:pPr>
        <w:ind w:firstLine="480" w:firstLineChars="200"/>
        <w:rPr>
          <w:rFonts w:cs="仿宋_GB2312"/>
          <w:color w:val="auto"/>
          <w:szCs w:val="24"/>
          <w:highlight w:val="none"/>
        </w:rPr>
      </w:pPr>
    </w:p>
    <w:p w14:paraId="71C6318B">
      <w:pPr>
        <w:autoSpaceDE w:val="0"/>
        <w:autoSpaceDN w:val="0"/>
        <w:spacing w:line="360" w:lineRule="auto"/>
        <w:ind w:left="2" w:leftChars="1" w:right="1120" w:firstLine="4560" w:firstLineChars="1900"/>
        <w:jc w:val="left"/>
        <w:rPr>
          <w:rFonts w:ascii="宋体" w:hAnsi="宋体" w:cs="宋体"/>
          <w:color w:val="auto"/>
          <w:kern w:val="0"/>
          <w:sz w:val="24"/>
          <w:szCs w:val="24"/>
          <w:highlight w:val="none"/>
          <w:lang w:val="zh-CN"/>
        </w:rPr>
      </w:pPr>
      <w:r>
        <w:rPr>
          <w:rFonts w:hint="eastAsia" w:cs="宋体"/>
          <w:color w:val="auto"/>
          <w:kern w:val="0"/>
          <w:sz w:val="24"/>
          <w:szCs w:val="24"/>
          <w:highlight w:val="none"/>
          <w:lang w:val="en-US" w:eastAsia="zh-CN"/>
        </w:rPr>
        <w:t>供应商</w:t>
      </w:r>
      <w:r>
        <w:rPr>
          <w:rFonts w:hint="eastAsia" w:ascii="宋体" w:hAnsi="宋体" w:cs="宋体"/>
          <w:color w:val="auto"/>
          <w:kern w:val="0"/>
          <w:sz w:val="24"/>
          <w:szCs w:val="24"/>
          <w:highlight w:val="none"/>
          <w:lang w:val="zh-CN"/>
        </w:rPr>
        <w:t>名称（</w:t>
      </w:r>
      <w:r>
        <w:rPr>
          <w:rFonts w:hint="eastAsia" w:cs="宋体"/>
          <w:color w:val="auto"/>
          <w:sz w:val="24"/>
          <w:szCs w:val="24"/>
          <w:highlight w:val="none"/>
          <w:lang w:eastAsia="zh-CN"/>
        </w:rPr>
        <w:t>公章</w:t>
      </w:r>
      <w:r>
        <w:rPr>
          <w:rFonts w:hint="eastAsia" w:ascii="宋体" w:hAnsi="宋体" w:cs="宋体"/>
          <w:color w:val="auto"/>
          <w:kern w:val="0"/>
          <w:sz w:val="24"/>
          <w:szCs w:val="24"/>
          <w:highlight w:val="none"/>
          <w:lang w:val="zh-CN"/>
        </w:rPr>
        <w:t xml:space="preserve">）：                                                                                                                                                                                                               </w:t>
      </w:r>
    </w:p>
    <w:p w14:paraId="66182CD9">
      <w:pPr>
        <w:ind w:firstLine="4560" w:firstLineChars="1900"/>
        <w:rPr>
          <w:rFonts w:hint="eastAsia" w:eastAsia="宋体" w:asciiTheme="majorHAnsi" w:hAnsiTheme="majorHAnsi" w:cstheme="majorBidi"/>
          <w:b/>
          <w:bCs/>
          <w:color w:val="auto"/>
          <w:kern w:val="2"/>
          <w:sz w:val="24"/>
          <w:szCs w:val="24"/>
          <w:highlight w:val="none"/>
          <w:lang w:val="en-US" w:eastAsia="zh-CN" w:bidi="ar-SA"/>
        </w:rPr>
      </w:pPr>
      <w:r>
        <w:rPr>
          <w:rFonts w:hint="eastAsia" w:ascii="宋体" w:hAnsi="宋体" w:cs="宋体"/>
          <w:color w:val="auto"/>
          <w:kern w:val="0"/>
          <w:sz w:val="24"/>
          <w:szCs w:val="24"/>
          <w:highlight w:val="none"/>
          <w:lang w:val="zh-CN"/>
        </w:rPr>
        <w:t>日期</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 xml:space="preserve">   年   月   日</w:t>
      </w:r>
    </w:p>
    <w:p w14:paraId="414C3B01">
      <w:pPr>
        <w:ind w:firstLine="420"/>
        <w:rPr>
          <w:rFonts w:cs="仿宋_GB2312"/>
          <w:color w:val="auto"/>
          <w:szCs w:val="24"/>
          <w:highlight w:val="none"/>
        </w:rPr>
      </w:pPr>
    </w:p>
    <w:p w14:paraId="49A1A5E5">
      <w:pPr>
        <w:ind w:firstLine="420"/>
        <w:rPr>
          <w:rFonts w:cs="仿宋_GB2312"/>
          <w:color w:val="auto"/>
          <w:sz w:val="21"/>
          <w:szCs w:val="21"/>
          <w:highlight w:val="none"/>
        </w:rPr>
      </w:pPr>
      <w:r>
        <w:rPr>
          <w:rFonts w:hint="eastAsia" w:cs="仿宋_GB2312"/>
          <w:color w:val="auto"/>
          <w:sz w:val="21"/>
          <w:szCs w:val="21"/>
          <w:highlight w:val="none"/>
          <w:lang w:val="en-US" w:eastAsia="zh-CN"/>
        </w:rPr>
        <w:t>备注：供应商在本表中须标注产品实际参数数值，照搬照抄采购文件参数、不注明实际数值者</w:t>
      </w:r>
      <w:r>
        <w:rPr>
          <w:rFonts w:hint="eastAsia" w:cs="仿宋_GB2312"/>
          <w:b/>
          <w:bCs/>
          <w:color w:val="auto"/>
          <w:sz w:val="21"/>
          <w:szCs w:val="21"/>
          <w:highlight w:val="none"/>
          <w:lang w:val="en-US" w:eastAsia="zh-CN"/>
        </w:rPr>
        <w:t>视为未响应</w:t>
      </w:r>
      <w:r>
        <w:rPr>
          <w:rFonts w:hint="eastAsia" w:cs="仿宋_GB2312"/>
          <w:color w:val="auto"/>
          <w:sz w:val="21"/>
          <w:szCs w:val="21"/>
          <w:highlight w:val="none"/>
          <w:lang w:val="en-US" w:eastAsia="zh-CN"/>
        </w:rPr>
        <w:t>。</w:t>
      </w:r>
      <w:r>
        <w:rPr>
          <w:rFonts w:cs="仿宋_GB2312"/>
          <w:color w:val="auto"/>
          <w:sz w:val="21"/>
          <w:szCs w:val="21"/>
          <w:highlight w:val="none"/>
        </w:rPr>
        <w:br w:type="page"/>
      </w:r>
    </w:p>
    <w:p w14:paraId="600EA7EE">
      <w:pPr>
        <w:pStyle w:val="15"/>
        <w:spacing w:line="360" w:lineRule="auto"/>
        <w:jc w:val="center"/>
        <w:rPr>
          <w:rFonts w:hint="eastAsia" w:ascii="方正小标宋_GBK" w:hAnsi="方正小标宋_GBK" w:eastAsia="方正小标宋_GBK" w:cs="方正小标宋_GBK"/>
          <w:bCs/>
          <w:color w:val="auto"/>
          <w:sz w:val="36"/>
          <w:szCs w:val="36"/>
          <w:highlight w:val="none"/>
          <w:lang w:val="en-US" w:eastAsia="zh-CN"/>
        </w:rPr>
      </w:pPr>
    </w:p>
    <w:p w14:paraId="06C98EB9">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620" w:name="_Toc23875"/>
      <w:r>
        <w:rPr>
          <w:rFonts w:hint="eastAsia" w:cstheme="majorBidi"/>
          <w:b/>
          <w:bCs/>
          <w:color w:val="auto"/>
          <w:kern w:val="2"/>
          <w:sz w:val="32"/>
          <w:szCs w:val="32"/>
          <w:highlight w:val="none"/>
          <w:lang w:val="en-US" w:eastAsia="zh-CN" w:bidi="ar-SA"/>
        </w:rPr>
        <w:t>十、</w:t>
      </w:r>
      <w:r>
        <w:rPr>
          <w:rFonts w:hint="eastAsia" w:eastAsia="宋体" w:asciiTheme="majorHAnsi" w:hAnsiTheme="majorHAnsi" w:cstheme="majorBidi"/>
          <w:b/>
          <w:bCs/>
          <w:color w:val="auto"/>
          <w:kern w:val="2"/>
          <w:sz w:val="32"/>
          <w:szCs w:val="32"/>
          <w:highlight w:val="none"/>
          <w:lang w:val="en-US" w:eastAsia="zh-CN" w:bidi="ar-SA"/>
        </w:rPr>
        <w:t>技术方案</w:t>
      </w:r>
      <w:bookmarkEnd w:id="620"/>
    </w:p>
    <w:p w14:paraId="3878D3F5">
      <w:pPr>
        <w:pStyle w:val="33"/>
        <w:rPr>
          <w:color w:val="auto"/>
          <w:highlight w:val="none"/>
        </w:rPr>
      </w:pPr>
      <w:r>
        <w:rPr>
          <w:rFonts w:hint="eastAsia"/>
          <w:color w:val="auto"/>
          <w:highlight w:val="none"/>
          <w:lang w:val="en-US" w:eastAsia="zh-CN"/>
        </w:rPr>
        <w:t>供应商</w:t>
      </w:r>
      <w:r>
        <w:rPr>
          <w:rFonts w:hint="eastAsia"/>
          <w:color w:val="auto"/>
          <w:highlight w:val="none"/>
        </w:rPr>
        <w:t>应按照</w:t>
      </w:r>
      <w:r>
        <w:rPr>
          <w:rFonts w:hint="eastAsia"/>
          <w:color w:val="auto"/>
          <w:highlight w:val="none"/>
          <w:lang w:val="en-US" w:eastAsia="zh-CN"/>
        </w:rPr>
        <w:t>竞争性磋商</w:t>
      </w:r>
      <w:r>
        <w:rPr>
          <w:rFonts w:hint="eastAsia"/>
          <w:color w:val="auto"/>
          <w:highlight w:val="none"/>
        </w:rPr>
        <w:t>文件的要求，提供详细的</w:t>
      </w:r>
      <w:r>
        <w:rPr>
          <w:rFonts w:hint="eastAsia"/>
          <w:color w:val="auto"/>
          <w:highlight w:val="none"/>
          <w:lang w:val="en-US" w:eastAsia="zh-CN"/>
        </w:rPr>
        <w:t>供货及相关</w:t>
      </w:r>
      <w:r>
        <w:rPr>
          <w:rFonts w:hint="eastAsia"/>
          <w:color w:val="auto"/>
          <w:highlight w:val="none"/>
        </w:rPr>
        <w:t>服务方案，包括文字描述或图表显示。格式自拟。</w:t>
      </w:r>
    </w:p>
    <w:p w14:paraId="7EE77353">
      <w:pPr>
        <w:pStyle w:val="33"/>
        <w:rPr>
          <w:color w:val="auto"/>
          <w:highlight w:val="none"/>
        </w:rPr>
      </w:pPr>
      <w:r>
        <w:rPr>
          <w:color w:val="auto"/>
          <w:highlight w:val="none"/>
        </w:rPr>
        <w:br w:type="page"/>
      </w:r>
    </w:p>
    <w:p w14:paraId="7AD86D6F">
      <w:pPr>
        <w:pStyle w:val="15"/>
        <w:spacing w:line="360" w:lineRule="auto"/>
        <w:jc w:val="center"/>
        <w:rPr>
          <w:rFonts w:hint="eastAsia" w:cstheme="minorBidi"/>
          <w:b/>
          <w:bCs/>
          <w:color w:val="auto"/>
          <w:kern w:val="2"/>
          <w:sz w:val="44"/>
          <w:szCs w:val="44"/>
          <w:highlight w:val="none"/>
          <w:lang w:val="en-US" w:eastAsia="zh-CN" w:bidi="ar-SA"/>
        </w:rPr>
      </w:pPr>
    </w:p>
    <w:p w14:paraId="68D392B1">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621" w:name="_Toc13506"/>
      <w:r>
        <w:rPr>
          <w:rFonts w:hint="eastAsia" w:cstheme="majorBidi"/>
          <w:b/>
          <w:bCs/>
          <w:color w:val="auto"/>
          <w:kern w:val="2"/>
          <w:sz w:val="32"/>
          <w:szCs w:val="32"/>
          <w:highlight w:val="none"/>
          <w:lang w:val="en-US" w:eastAsia="zh-CN" w:bidi="ar-SA"/>
        </w:rPr>
        <w:t>十一、</w:t>
      </w:r>
      <w:r>
        <w:rPr>
          <w:rFonts w:hint="eastAsia" w:eastAsia="宋体" w:asciiTheme="majorHAnsi" w:hAnsiTheme="majorHAnsi" w:cstheme="majorBidi"/>
          <w:b/>
          <w:bCs/>
          <w:color w:val="auto"/>
          <w:kern w:val="2"/>
          <w:sz w:val="32"/>
          <w:szCs w:val="32"/>
          <w:highlight w:val="none"/>
          <w:lang w:val="en-US" w:eastAsia="zh-CN" w:bidi="ar-SA"/>
        </w:rPr>
        <w:t>其他文件</w:t>
      </w:r>
      <w:bookmarkEnd w:id="621"/>
    </w:p>
    <w:p w14:paraId="6EF40482">
      <w:pPr>
        <w:pStyle w:val="33"/>
        <w:ind w:left="0" w:leftChars="0" w:firstLine="0" w:firstLineChars="0"/>
        <w:rPr>
          <w:rFonts w:hint="eastAsia"/>
          <w:b/>
          <w:bCs/>
          <w:iCs/>
          <w:color w:val="auto"/>
          <w:sz w:val="24"/>
          <w:szCs w:val="24"/>
          <w:highlight w:val="none"/>
          <w:shd w:val="clear" w:color="auto" w:fill="FFFFFF" w:themeFill="background1"/>
          <w:lang w:val="zh-CN" w:eastAsia="zh-CN"/>
        </w:rPr>
      </w:pPr>
      <w:r>
        <w:rPr>
          <w:rFonts w:hint="eastAsia"/>
          <w:b/>
          <w:bCs/>
          <w:iCs/>
          <w:color w:val="auto"/>
          <w:sz w:val="24"/>
          <w:szCs w:val="24"/>
          <w:highlight w:val="none"/>
          <w:shd w:val="clear" w:color="auto" w:fill="FFFFFF" w:themeFill="background1"/>
          <w:lang w:val="en-US" w:eastAsia="zh-CN"/>
        </w:rPr>
        <w:t>（一）竞争性磋商</w:t>
      </w:r>
      <w:r>
        <w:rPr>
          <w:rFonts w:hint="eastAsia"/>
          <w:b/>
          <w:bCs/>
          <w:iCs/>
          <w:color w:val="auto"/>
          <w:sz w:val="24"/>
          <w:szCs w:val="24"/>
          <w:highlight w:val="none"/>
          <w:shd w:val="clear" w:color="auto" w:fill="FFFFFF" w:themeFill="background1"/>
          <w:lang w:val="zh-CN" w:eastAsia="zh-CN"/>
        </w:rPr>
        <w:t>文件要求提供的其它商务、技术资料和证明材料；</w:t>
      </w:r>
    </w:p>
    <w:p w14:paraId="1AB0431C">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1.1供应商信息采集表</w:t>
      </w:r>
    </w:p>
    <w:tbl>
      <w:tblPr>
        <w:tblStyle w:val="28"/>
        <w:tblW w:w="0" w:type="auto"/>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8"/>
        <w:gridCol w:w="2841"/>
        <w:gridCol w:w="2743"/>
      </w:tblGrid>
      <w:tr w14:paraId="321A6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1508E63E">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供应商名称</w:t>
            </w:r>
          </w:p>
        </w:tc>
        <w:tc>
          <w:tcPr>
            <w:tcW w:w="2841" w:type="dxa"/>
            <w:vAlign w:val="center"/>
          </w:tcPr>
          <w:p w14:paraId="525F160D">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供应商实际控制人性别</w:t>
            </w:r>
          </w:p>
        </w:tc>
        <w:tc>
          <w:tcPr>
            <w:tcW w:w="2743" w:type="dxa"/>
            <w:vAlign w:val="center"/>
          </w:tcPr>
          <w:p w14:paraId="6288AB90">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外商投资类型</w:t>
            </w:r>
          </w:p>
        </w:tc>
      </w:tr>
      <w:tr w14:paraId="0694C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5BC16E3C">
            <w:pPr>
              <w:pStyle w:val="33"/>
              <w:rPr>
                <w:rFonts w:hint="eastAsia" w:ascii="宋体" w:hAnsi="宋体" w:eastAsia="宋体" w:cs="宋体"/>
                <w:color w:val="auto"/>
                <w:sz w:val="24"/>
                <w:szCs w:val="24"/>
                <w:highlight w:val="none"/>
                <w:vertAlign w:val="baseline"/>
                <w:lang w:val="en-US" w:eastAsia="zh-CN"/>
              </w:rPr>
            </w:pPr>
          </w:p>
        </w:tc>
        <w:tc>
          <w:tcPr>
            <w:tcW w:w="2841" w:type="dxa"/>
          </w:tcPr>
          <w:p w14:paraId="471F983C">
            <w:pPr>
              <w:pStyle w:val="33"/>
              <w:rPr>
                <w:rFonts w:hint="eastAsia" w:ascii="宋体" w:hAnsi="宋体" w:eastAsia="宋体" w:cs="宋体"/>
                <w:color w:val="auto"/>
                <w:sz w:val="24"/>
                <w:szCs w:val="24"/>
                <w:highlight w:val="none"/>
                <w:vertAlign w:val="baseline"/>
                <w:lang w:val="en-US" w:eastAsia="zh-CN"/>
              </w:rPr>
            </w:pPr>
          </w:p>
        </w:tc>
        <w:tc>
          <w:tcPr>
            <w:tcW w:w="2743" w:type="dxa"/>
          </w:tcPr>
          <w:p w14:paraId="59E9D0CB">
            <w:pPr>
              <w:pStyle w:val="33"/>
              <w:rPr>
                <w:rFonts w:hint="eastAsia" w:ascii="宋体" w:hAnsi="宋体" w:eastAsia="宋体" w:cs="宋体"/>
                <w:color w:val="auto"/>
                <w:sz w:val="24"/>
                <w:szCs w:val="24"/>
                <w:highlight w:val="none"/>
                <w:vertAlign w:val="baseline"/>
                <w:lang w:val="en-US" w:eastAsia="zh-CN"/>
              </w:rPr>
            </w:pPr>
          </w:p>
        </w:tc>
      </w:tr>
      <w:tr w14:paraId="6D8FF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BE5BC20">
            <w:pPr>
              <w:pStyle w:val="33"/>
              <w:rPr>
                <w:rFonts w:hint="eastAsia" w:ascii="宋体" w:hAnsi="宋体" w:eastAsia="宋体" w:cs="宋体"/>
                <w:color w:val="auto"/>
                <w:sz w:val="24"/>
                <w:szCs w:val="24"/>
                <w:highlight w:val="none"/>
                <w:vertAlign w:val="baseline"/>
                <w:lang w:val="en-US" w:eastAsia="zh-CN"/>
              </w:rPr>
            </w:pPr>
          </w:p>
        </w:tc>
        <w:tc>
          <w:tcPr>
            <w:tcW w:w="2841" w:type="dxa"/>
          </w:tcPr>
          <w:p w14:paraId="65335BA2">
            <w:pPr>
              <w:pStyle w:val="33"/>
              <w:rPr>
                <w:rFonts w:hint="eastAsia" w:ascii="宋体" w:hAnsi="宋体" w:eastAsia="宋体" w:cs="宋体"/>
                <w:color w:val="auto"/>
                <w:sz w:val="24"/>
                <w:szCs w:val="24"/>
                <w:highlight w:val="none"/>
                <w:vertAlign w:val="baseline"/>
                <w:lang w:val="en-US" w:eastAsia="zh-CN"/>
              </w:rPr>
            </w:pPr>
          </w:p>
        </w:tc>
        <w:tc>
          <w:tcPr>
            <w:tcW w:w="2743" w:type="dxa"/>
          </w:tcPr>
          <w:p w14:paraId="331FBFA7">
            <w:pPr>
              <w:pStyle w:val="33"/>
              <w:rPr>
                <w:rFonts w:hint="eastAsia" w:ascii="宋体" w:hAnsi="宋体" w:eastAsia="宋体" w:cs="宋体"/>
                <w:color w:val="auto"/>
                <w:sz w:val="24"/>
                <w:szCs w:val="24"/>
                <w:highlight w:val="none"/>
                <w:vertAlign w:val="baseline"/>
                <w:lang w:val="en-US" w:eastAsia="zh-CN"/>
              </w:rPr>
            </w:pPr>
          </w:p>
        </w:tc>
      </w:tr>
      <w:tr w14:paraId="1A91A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99AB141">
            <w:pPr>
              <w:pStyle w:val="33"/>
              <w:rPr>
                <w:rFonts w:hint="eastAsia" w:ascii="宋体" w:hAnsi="宋体" w:eastAsia="宋体" w:cs="宋体"/>
                <w:color w:val="auto"/>
                <w:sz w:val="24"/>
                <w:szCs w:val="24"/>
                <w:highlight w:val="none"/>
                <w:vertAlign w:val="baseline"/>
                <w:lang w:val="en-US" w:eastAsia="zh-CN"/>
              </w:rPr>
            </w:pPr>
          </w:p>
        </w:tc>
        <w:tc>
          <w:tcPr>
            <w:tcW w:w="2841" w:type="dxa"/>
          </w:tcPr>
          <w:p w14:paraId="00E4C5E8">
            <w:pPr>
              <w:pStyle w:val="33"/>
              <w:rPr>
                <w:rFonts w:hint="eastAsia" w:ascii="宋体" w:hAnsi="宋体" w:eastAsia="宋体" w:cs="宋体"/>
                <w:color w:val="auto"/>
                <w:sz w:val="24"/>
                <w:szCs w:val="24"/>
                <w:highlight w:val="none"/>
                <w:vertAlign w:val="baseline"/>
                <w:lang w:val="en-US" w:eastAsia="zh-CN"/>
              </w:rPr>
            </w:pPr>
          </w:p>
        </w:tc>
        <w:tc>
          <w:tcPr>
            <w:tcW w:w="2743" w:type="dxa"/>
          </w:tcPr>
          <w:p w14:paraId="42125693">
            <w:pPr>
              <w:pStyle w:val="33"/>
              <w:rPr>
                <w:rFonts w:hint="eastAsia" w:ascii="宋体" w:hAnsi="宋体" w:eastAsia="宋体" w:cs="宋体"/>
                <w:color w:val="auto"/>
                <w:sz w:val="24"/>
                <w:szCs w:val="24"/>
                <w:highlight w:val="none"/>
                <w:vertAlign w:val="baseline"/>
                <w:lang w:val="en-US" w:eastAsia="zh-CN"/>
              </w:rPr>
            </w:pPr>
          </w:p>
        </w:tc>
      </w:tr>
      <w:tr w14:paraId="24B46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2995954E">
            <w:pPr>
              <w:pStyle w:val="33"/>
              <w:rPr>
                <w:rFonts w:hint="eastAsia" w:ascii="宋体" w:hAnsi="宋体" w:eastAsia="宋体" w:cs="宋体"/>
                <w:color w:val="auto"/>
                <w:sz w:val="24"/>
                <w:szCs w:val="24"/>
                <w:highlight w:val="none"/>
                <w:vertAlign w:val="baseline"/>
                <w:lang w:val="en-US" w:eastAsia="zh-CN"/>
              </w:rPr>
            </w:pPr>
          </w:p>
        </w:tc>
        <w:tc>
          <w:tcPr>
            <w:tcW w:w="2841" w:type="dxa"/>
          </w:tcPr>
          <w:p w14:paraId="75889361">
            <w:pPr>
              <w:pStyle w:val="33"/>
              <w:rPr>
                <w:rFonts w:hint="eastAsia" w:ascii="宋体" w:hAnsi="宋体" w:eastAsia="宋体" w:cs="宋体"/>
                <w:color w:val="auto"/>
                <w:sz w:val="24"/>
                <w:szCs w:val="24"/>
                <w:highlight w:val="none"/>
                <w:vertAlign w:val="baseline"/>
                <w:lang w:val="en-US" w:eastAsia="zh-CN"/>
              </w:rPr>
            </w:pPr>
          </w:p>
        </w:tc>
        <w:tc>
          <w:tcPr>
            <w:tcW w:w="2743" w:type="dxa"/>
          </w:tcPr>
          <w:p w14:paraId="760C7D5C">
            <w:pPr>
              <w:pStyle w:val="33"/>
              <w:rPr>
                <w:rFonts w:hint="eastAsia" w:ascii="宋体" w:hAnsi="宋体" w:eastAsia="宋体" w:cs="宋体"/>
                <w:color w:val="auto"/>
                <w:sz w:val="24"/>
                <w:szCs w:val="24"/>
                <w:highlight w:val="none"/>
                <w:vertAlign w:val="baseline"/>
                <w:lang w:val="en-US" w:eastAsia="zh-CN"/>
              </w:rPr>
            </w:pPr>
          </w:p>
        </w:tc>
      </w:tr>
    </w:tbl>
    <w:p w14:paraId="799D1172">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注：1.供应商如为联合体，则应填写联合体各成员信息。 </w:t>
      </w:r>
    </w:p>
    <w:p w14:paraId="429C5533">
      <w:pPr>
        <w:keepNext w:val="0"/>
        <w:keepLines w:val="0"/>
        <w:widowControl/>
        <w:suppressLineNumbers w:val="0"/>
        <w:ind w:firstLine="420" w:firstLineChars="20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2.“供应商实际控制人性别”按供应商实际控制人性别划分请填写“男”或“女”，指拥有供应商 51%以上绝对所有权的性；绝对所有权拥有者可以是一个人，也可以是多人合计计算。</w:t>
      </w:r>
    </w:p>
    <w:p w14:paraId="6C85D95C">
      <w:pPr>
        <w:pStyle w:val="33"/>
        <w:ind w:left="0" w:lef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3.“外商投资类型”请填写“外商单独投资”、“外商部分投资”或“内资”。</w:t>
      </w:r>
    </w:p>
    <w:p w14:paraId="55FB009A">
      <w:pPr>
        <w:pStyle w:val="33"/>
        <w:rPr>
          <w:rFonts w:hint="eastAsia" w:ascii="宋体" w:hAnsi="宋体" w:eastAsia="宋体" w:cs="宋体"/>
          <w:color w:val="auto"/>
          <w:sz w:val="24"/>
          <w:szCs w:val="24"/>
          <w:highlight w:val="none"/>
          <w:lang w:val="en-US" w:eastAsia="zh-CN"/>
        </w:rPr>
      </w:pPr>
    </w:p>
    <w:p w14:paraId="7953C59C">
      <w:pPr>
        <w:pStyle w:val="33"/>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1.2其它商务、技术资料和证明材料</w:t>
      </w:r>
    </w:p>
    <w:p w14:paraId="3A11A162">
      <w:pPr>
        <w:pStyle w:val="33"/>
        <w:rPr>
          <w:rFonts w:hint="default"/>
          <w:color w:val="auto"/>
          <w:sz w:val="28"/>
          <w:szCs w:val="28"/>
          <w:highlight w:val="none"/>
          <w:lang w:val="en-US" w:eastAsia="zh-CN"/>
        </w:rPr>
      </w:pPr>
    </w:p>
    <w:p w14:paraId="7DF13FE9">
      <w:pPr>
        <w:pStyle w:val="33"/>
        <w:ind w:left="0" w:leftChars="0" w:firstLine="0" w:firstLineChars="0"/>
        <w:rPr>
          <w:rFonts w:hint="eastAsia"/>
          <w:b/>
          <w:bCs/>
          <w:iCs/>
          <w:color w:val="auto"/>
          <w:sz w:val="24"/>
          <w:szCs w:val="24"/>
          <w:highlight w:val="none"/>
          <w:shd w:val="clear" w:color="auto" w:fill="FFFFFF" w:themeFill="background1"/>
          <w:lang w:val="en-US" w:eastAsia="zh-CN"/>
        </w:rPr>
      </w:pPr>
      <w:r>
        <w:rPr>
          <w:rFonts w:hint="eastAsia"/>
          <w:b/>
          <w:bCs/>
          <w:iCs/>
          <w:color w:val="auto"/>
          <w:sz w:val="24"/>
          <w:szCs w:val="24"/>
          <w:highlight w:val="none"/>
          <w:shd w:val="clear" w:color="auto" w:fill="FFFFFF" w:themeFill="background1"/>
          <w:lang w:val="en-US" w:eastAsia="zh-CN"/>
        </w:rPr>
        <w:t>（二）供应商认为需要提供的其它商务、技术资料和说明。</w:t>
      </w:r>
    </w:p>
    <w:p w14:paraId="1B27B21C">
      <w:pPr>
        <w:pStyle w:val="33"/>
        <w:rPr>
          <w:rFonts w:hint="eastAsia"/>
          <w:color w:val="auto"/>
          <w:highlight w:val="none"/>
        </w:rPr>
      </w:pPr>
    </w:p>
    <w:p w14:paraId="3352B805">
      <w:pPr>
        <w:pStyle w:val="33"/>
        <w:rPr>
          <w:rFonts w:hint="eastAsia"/>
          <w:color w:val="auto"/>
          <w:highlight w:val="none"/>
        </w:rPr>
      </w:pPr>
    </w:p>
    <w:p w14:paraId="19B7C1E0">
      <w:pPr>
        <w:pStyle w:val="33"/>
        <w:rPr>
          <w:rFonts w:hint="eastAsia"/>
          <w:color w:val="auto"/>
          <w:highlight w:val="none"/>
        </w:rPr>
      </w:pPr>
    </w:p>
    <w:bookmarkEnd w:id="532"/>
    <w:p w14:paraId="2423BE53">
      <w:pPr>
        <w:rPr>
          <w:color w:val="auto"/>
          <w:highlight w:val="none"/>
        </w:rPr>
      </w:pPr>
    </w:p>
    <w:sectPr>
      <w:pgSz w:w="11906" w:h="16838"/>
      <w:pgMar w:top="1440" w:right="1800" w:bottom="1440" w:left="1800"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
    <w:altName w:val="宋体"/>
    <w:panose1 w:val="00000000000000000000"/>
    <w:charset w:val="86"/>
    <w:family w:val="auto"/>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Undefine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504020202020204"/>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auto"/>
    <w:pitch w:val="default"/>
    <w:sig w:usb0="00000001" w:usb1="080E0000" w:usb2="00000000" w:usb3="00000000" w:csb0="00040000" w:csb1="00000000"/>
  </w:font>
  <w:font w:name="DejaVuSans">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75237">
    <w:pPr>
      <w:pStyle w:val="17"/>
      <w:spacing w:line="240" w:lineRule="auto"/>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2202"/>
                          </w:sdtPr>
                          <w:sdtContent>
                            <w:p w14:paraId="348BD687">
                              <w:pPr>
                                <w:pStyle w:val="17"/>
                                <w:keepNext w:val="0"/>
                                <w:keepLines w:val="0"/>
                                <w:pageBreakBefore w:val="0"/>
                                <w:widowControl w:val="0"/>
                                <w:kinsoku/>
                                <w:wordWrap/>
                                <w:overflowPunct/>
                                <w:topLinePunct w:val="0"/>
                                <w:bidi w:val="0"/>
                                <w:adjustRightInd/>
                                <w:snapToGrid w:val="0"/>
                                <w:spacing w:line="240" w:lineRule="auto"/>
                                <w:jc w:val="center"/>
                                <w:textAlignment w:val="auto"/>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7011BEB"/>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sdt>
                    <w:sdtPr>
                      <w:id w:val="147462202"/>
                    </w:sdtPr>
                    <w:sdtContent>
                      <w:p w14:paraId="348BD687">
                        <w:pPr>
                          <w:pStyle w:val="17"/>
                          <w:keepNext w:val="0"/>
                          <w:keepLines w:val="0"/>
                          <w:pageBreakBefore w:val="0"/>
                          <w:widowControl w:val="0"/>
                          <w:kinsoku/>
                          <w:wordWrap/>
                          <w:overflowPunct/>
                          <w:topLinePunct w:val="0"/>
                          <w:bidi w:val="0"/>
                          <w:adjustRightInd/>
                          <w:snapToGrid w:val="0"/>
                          <w:spacing w:line="240" w:lineRule="auto"/>
                          <w:jc w:val="center"/>
                          <w:textAlignment w:val="auto"/>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7011BEB"/>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86791">
    <w:pPr>
      <w:pStyle w:val="17"/>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9134"/>
                            <w:docPartObj>
                              <w:docPartGallery w:val="autotext"/>
                            </w:docPartObj>
                          </w:sdtPr>
                          <w:sdtContent>
                            <w:p w14:paraId="4419F667">
                              <w:pPr>
                                <w:pStyle w:val="17"/>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960C0BC"/>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sdt>
                    <w:sdtPr>
                      <w:id w:val="147459134"/>
                      <w:docPartObj>
                        <w:docPartGallery w:val="autotext"/>
                      </w:docPartObj>
                    </w:sdtPr>
                    <w:sdtContent>
                      <w:p w14:paraId="4419F667">
                        <w:pPr>
                          <w:pStyle w:val="17"/>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960C0BC"/>
                </w:txbxContent>
              </v:textbox>
            </v:shape>
          </w:pict>
        </mc:Fallback>
      </mc:AlternateContent>
    </w:r>
  </w:p>
  <w:p w14:paraId="1D038EF8">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A2D5C">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3757FD">
                          <w:pPr>
                            <w:pStyle w:val="17"/>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13757FD">
                    <w:pPr>
                      <w:pStyle w:val="17"/>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8C037">
    <w:pPr>
      <w:pStyle w:val="18"/>
      <w:tabs>
        <w:tab w:val="left" w:pos="3120"/>
      </w:tabs>
      <w:spacing w:line="240" w:lineRule="auto"/>
      <w:jc w:val="right"/>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2F3D0">
    <w:pPr>
      <w:pStyle w:val="18"/>
      <w:spacing w:line="240" w:lineRule="auto"/>
    </w:pPr>
    <w:r>
      <w:rPr>
        <w:rFonts w:hint="eastAsia"/>
        <w:sz w:val="24"/>
        <w:szCs w:val="24"/>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1C761375"/>
    <w:multiLevelType w:val="multilevel"/>
    <w:tmpl w:val="1C761375"/>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5504026"/>
    <w:multiLevelType w:val="multilevel"/>
    <w:tmpl w:val="75504026"/>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A0F6431"/>
    <w:multiLevelType w:val="singleLevel"/>
    <w:tmpl w:val="7A0F6431"/>
    <w:lvl w:ilvl="0" w:tentative="0">
      <w:start w:val="1"/>
      <w:numFmt w:val="decimal"/>
      <w:suff w:val="space"/>
      <w:lvlText w:val="%1."/>
      <w:lvlJc w:val="left"/>
    </w:lvl>
  </w:abstractNum>
  <w:num w:numId="1">
    <w:abstractNumId w:val="8"/>
  </w:num>
  <w:num w:numId="2">
    <w:abstractNumId w:val="1"/>
  </w:num>
  <w:num w:numId="3">
    <w:abstractNumId w:val="5"/>
  </w:num>
  <w:num w:numId="4">
    <w:abstractNumId w:val="3"/>
  </w:num>
  <w:num w:numId="5">
    <w:abstractNumId w:val="2"/>
  </w:num>
  <w:num w:numId="6">
    <w:abstractNumId w:val="0"/>
  </w:num>
  <w:num w:numId="7">
    <w:abstractNumId w:val="4"/>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6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DA2E46"/>
    <w:rsid w:val="00010DF5"/>
    <w:rsid w:val="0002050C"/>
    <w:rsid w:val="00031D74"/>
    <w:rsid w:val="00031EDA"/>
    <w:rsid w:val="00035FD6"/>
    <w:rsid w:val="00041275"/>
    <w:rsid w:val="00041E23"/>
    <w:rsid w:val="00057979"/>
    <w:rsid w:val="00062839"/>
    <w:rsid w:val="000640B1"/>
    <w:rsid w:val="0006527E"/>
    <w:rsid w:val="000716F8"/>
    <w:rsid w:val="000725C9"/>
    <w:rsid w:val="000751D5"/>
    <w:rsid w:val="00077F3F"/>
    <w:rsid w:val="00080BBF"/>
    <w:rsid w:val="00094137"/>
    <w:rsid w:val="000A301B"/>
    <w:rsid w:val="000A519B"/>
    <w:rsid w:val="000A7A3F"/>
    <w:rsid w:val="000B0E52"/>
    <w:rsid w:val="000B7490"/>
    <w:rsid w:val="000D18E4"/>
    <w:rsid w:val="000D1DA9"/>
    <w:rsid w:val="000D2926"/>
    <w:rsid w:val="000D48B5"/>
    <w:rsid w:val="0011305B"/>
    <w:rsid w:val="00115707"/>
    <w:rsid w:val="0012011D"/>
    <w:rsid w:val="0012733E"/>
    <w:rsid w:val="00127F58"/>
    <w:rsid w:val="00131A1C"/>
    <w:rsid w:val="001361D8"/>
    <w:rsid w:val="00140C6C"/>
    <w:rsid w:val="00144643"/>
    <w:rsid w:val="00160D0D"/>
    <w:rsid w:val="0016196A"/>
    <w:rsid w:val="00161FD2"/>
    <w:rsid w:val="00167161"/>
    <w:rsid w:val="0019372B"/>
    <w:rsid w:val="00197CB9"/>
    <w:rsid w:val="001D1DC9"/>
    <w:rsid w:val="001E2156"/>
    <w:rsid w:val="001F00D7"/>
    <w:rsid w:val="001F0B83"/>
    <w:rsid w:val="002232D4"/>
    <w:rsid w:val="00230459"/>
    <w:rsid w:val="002416CF"/>
    <w:rsid w:val="00247842"/>
    <w:rsid w:val="002554AB"/>
    <w:rsid w:val="002629DD"/>
    <w:rsid w:val="00262A33"/>
    <w:rsid w:val="00264A6E"/>
    <w:rsid w:val="00266970"/>
    <w:rsid w:val="002746A9"/>
    <w:rsid w:val="00285085"/>
    <w:rsid w:val="00290F66"/>
    <w:rsid w:val="0029432F"/>
    <w:rsid w:val="002A1AEC"/>
    <w:rsid w:val="002A1FBA"/>
    <w:rsid w:val="002A5F16"/>
    <w:rsid w:val="002A6FAF"/>
    <w:rsid w:val="002B0E82"/>
    <w:rsid w:val="002C4B74"/>
    <w:rsid w:val="002C7C83"/>
    <w:rsid w:val="002D34F4"/>
    <w:rsid w:val="002D3A54"/>
    <w:rsid w:val="002D518A"/>
    <w:rsid w:val="002E0B52"/>
    <w:rsid w:val="002E34F0"/>
    <w:rsid w:val="002E6413"/>
    <w:rsid w:val="002E7870"/>
    <w:rsid w:val="002F0DD6"/>
    <w:rsid w:val="002F3C1F"/>
    <w:rsid w:val="003025BA"/>
    <w:rsid w:val="0030326B"/>
    <w:rsid w:val="00303828"/>
    <w:rsid w:val="00321CAC"/>
    <w:rsid w:val="00325002"/>
    <w:rsid w:val="003259BD"/>
    <w:rsid w:val="003327F2"/>
    <w:rsid w:val="00333AF9"/>
    <w:rsid w:val="0033438F"/>
    <w:rsid w:val="00343177"/>
    <w:rsid w:val="00343F73"/>
    <w:rsid w:val="00345C72"/>
    <w:rsid w:val="00345DEA"/>
    <w:rsid w:val="00346801"/>
    <w:rsid w:val="00346FB8"/>
    <w:rsid w:val="0034739D"/>
    <w:rsid w:val="00350BD8"/>
    <w:rsid w:val="00365E80"/>
    <w:rsid w:val="00381A77"/>
    <w:rsid w:val="00384C92"/>
    <w:rsid w:val="0038618F"/>
    <w:rsid w:val="003A07A4"/>
    <w:rsid w:val="003A4878"/>
    <w:rsid w:val="003B1785"/>
    <w:rsid w:val="003C4B9C"/>
    <w:rsid w:val="003C68DF"/>
    <w:rsid w:val="003D21B2"/>
    <w:rsid w:val="003E0B9F"/>
    <w:rsid w:val="003E2527"/>
    <w:rsid w:val="004017D6"/>
    <w:rsid w:val="0040190B"/>
    <w:rsid w:val="00411AB3"/>
    <w:rsid w:val="00411C17"/>
    <w:rsid w:val="00420DD8"/>
    <w:rsid w:val="00423A88"/>
    <w:rsid w:val="00425B35"/>
    <w:rsid w:val="0042756D"/>
    <w:rsid w:val="00427D0A"/>
    <w:rsid w:val="00437213"/>
    <w:rsid w:val="00443B3B"/>
    <w:rsid w:val="0044711D"/>
    <w:rsid w:val="00462EBD"/>
    <w:rsid w:val="0047182E"/>
    <w:rsid w:val="0048656E"/>
    <w:rsid w:val="00490932"/>
    <w:rsid w:val="00490B57"/>
    <w:rsid w:val="00492077"/>
    <w:rsid w:val="00492402"/>
    <w:rsid w:val="004A5602"/>
    <w:rsid w:val="004B29A0"/>
    <w:rsid w:val="004C31F0"/>
    <w:rsid w:val="004D65D4"/>
    <w:rsid w:val="004E09FC"/>
    <w:rsid w:val="004E0CE0"/>
    <w:rsid w:val="004E5531"/>
    <w:rsid w:val="004E5E3E"/>
    <w:rsid w:val="005001D8"/>
    <w:rsid w:val="00512CBB"/>
    <w:rsid w:val="00523D61"/>
    <w:rsid w:val="00535A35"/>
    <w:rsid w:val="00543B0C"/>
    <w:rsid w:val="00552FD8"/>
    <w:rsid w:val="00555F96"/>
    <w:rsid w:val="0055725A"/>
    <w:rsid w:val="00557310"/>
    <w:rsid w:val="00561A07"/>
    <w:rsid w:val="00562895"/>
    <w:rsid w:val="00574A51"/>
    <w:rsid w:val="00582A20"/>
    <w:rsid w:val="00590283"/>
    <w:rsid w:val="00594A14"/>
    <w:rsid w:val="005A3570"/>
    <w:rsid w:val="005A7750"/>
    <w:rsid w:val="005B55AC"/>
    <w:rsid w:val="005C18C8"/>
    <w:rsid w:val="005C30DA"/>
    <w:rsid w:val="005C3DD9"/>
    <w:rsid w:val="005C7693"/>
    <w:rsid w:val="005C77AF"/>
    <w:rsid w:val="005D689D"/>
    <w:rsid w:val="005E12E8"/>
    <w:rsid w:val="005E483B"/>
    <w:rsid w:val="005E4988"/>
    <w:rsid w:val="005E77BD"/>
    <w:rsid w:val="005F5FDD"/>
    <w:rsid w:val="00601022"/>
    <w:rsid w:val="0060162F"/>
    <w:rsid w:val="00602CF4"/>
    <w:rsid w:val="0060487D"/>
    <w:rsid w:val="00615D07"/>
    <w:rsid w:val="00623DA8"/>
    <w:rsid w:val="00626D3F"/>
    <w:rsid w:val="00630151"/>
    <w:rsid w:val="0064251F"/>
    <w:rsid w:val="00643F74"/>
    <w:rsid w:val="00662692"/>
    <w:rsid w:val="006664E4"/>
    <w:rsid w:val="00666E2F"/>
    <w:rsid w:val="00675096"/>
    <w:rsid w:val="006849F1"/>
    <w:rsid w:val="00687D2D"/>
    <w:rsid w:val="00691A5B"/>
    <w:rsid w:val="006926FF"/>
    <w:rsid w:val="006A28D1"/>
    <w:rsid w:val="006C0E57"/>
    <w:rsid w:val="006C30ED"/>
    <w:rsid w:val="006D2DE3"/>
    <w:rsid w:val="006D333D"/>
    <w:rsid w:val="006D6279"/>
    <w:rsid w:val="006E05F6"/>
    <w:rsid w:val="006E6126"/>
    <w:rsid w:val="006E7A70"/>
    <w:rsid w:val="006E7AAC"/>
    <w:rsid w:val="006F0A97"/>
    <w:rsid w:val="006F1007"/>
    <w:rsid w:val="006F1D7F"/>
    <w:rsid w:val="006F37E1"/>
    <w:rsid w:val="006F5BD9"/>
    <w:rsid w:val="00710747"/>
    <w:rsid w:val="00711E45"/>
    <w:rsid w:val="00712591"/>
    <w:rsid w:val="00714959"/>
    <w:rsid w:val="00720085"/>
    <w:rsid w:val="0072447B"/>
    <w:rsid w:val="007308A0"/>
    <w:rsid w:val="00733184"/>
    <w:rsid w:val="00735F23"/>
    <w:rsid w:val="00742B38"/>
    <w:rsid w:val="007439AE"/>
    <w:rsid w:val="00744ABD"/>
    <w:rsid w:val="00752609"/>
    <w:rsid w:val="0075271A"/>
    <w:rsid w:val="007625D0"/>
    <w:rsid w:val="0078326D"/>
    <w:rsid w:val="007840EB"/>
    <w:rsid w:val="007953A3"/>
    <w:rsid w:val="007953FA"/>
    <w:rsid w:val="007A3868"/>
    <w:rsid w:val="007B0927"/>
    <w:rsid w:val="007B31D2"/>
    <w:rsid w:val="007C1714"/>
    <w:rsid w:val="007C25B6"/>
    <w:rsid w:val="007C69D0"/>
    <w:rsid w:val="007C7E56"/>
    <w:rsid w:val="007D2501"/>
    <w:rsid w:val="007D3FAB"/>
    <w:rsid w:val="007E1B6D"/>
    <w:rsid w:val="007E1F79"/>
    <w:rsid w:val="007E27BF"/>
    <w:rsid w:val="007F2F74"/>
    <w:rsid w:val="007F7C6A"/>
    <w:rsid w:val="00805604"/>
    <w:rsid w:val="00814B4D"/>
    <w:rsid w:val="008155C5"/>
    <w:rsid w:val="00816516"/>
    <w:rsid w:val="00816A64"/>
    <w:rsid w:val="0083010B"/>
    <w:rsid w:val="0083496F"/>
    <w:rsid w:val="00836A98"/>
    <w:rsid w:val="00836FF3"/>
    <w:rsid w:val="00837654"/>
    <w:rsid w:val="0083775E"/>
    <w:rsid w:val="00837818"/>
    <w:rsid w:val="00861791"/>
    <w:rsid w:val="00866CA2"/>
    <w:rsid w:val="0086739C"/>
    <w:rsid w:val="0087004C"/>
    <w:rsid w:val="008700B2"/>
    <w:rsid w:val="00870A31"/>
    <w:rsid w:val="008744F5"/>
    <w:rsid w:val="00875ABA"/>
    <w:rsid w:val="00875E7B"/>
    <w:rsid w:val="008849F0"/>
    <w:rsid w:val="00884D19"/>
    <w:rsid w:val="0088780F"/>
    <w:rsid w:val="00893784"/>
    <w:rsid w:val="00896666"/>
    <w:rsid w:val="008A0CEF"/>
    <w:rsid w:val="008B0233"/>
    <w:rsid w:val="008B0B41"/>
    <w:rsid w:val="008B31A7"/>
    <w:rsid w:val="008D0B3B"/>
    <w:rsid w:val="008D33D3"/>
    <w:rsid w:val="008D5158"/>
    <w:rsid w:val="008D5F39"/>
    <w:rsid w:val="008D7F29"/>
    <w:rsid w:val="008E1419"/>
    <w:rsid w:val="008F3D10"/>
    <w:rsid w:val="008F4F88"/>
    <w:rsid w:val="00902C2A"/>
    <w:rsid w:val="009166DF"/>
    <w:rsid w:val="009312E6"/>
    <w:rsid w:val="0093260C"/>
    <w:rsid w:val="00937503"/>
    <w:rsid w:val="00942B9F"/>
    <w:rsid w:val="00943319"/>
    <w:rsid w:val="0094346F"/>
    <w:rsid w:val="00947447"/>
    <w:rsid w:val="009613A1"/>
    <w:rsid w:val="0097494E"/>
    <w:rsid w:val="00976A8C"/>
    <w:rsid w:val="00977FF3"/>
    <w:rsid w:val="0098091D"/>
    <w:rsid w:val="00980D3C"/>
    <w:rsid w:val="00984CC9"/>
    <w:rsid w:val="009941A6"/>
    <w:rsid w:val="0099510C"/>
    <w:rsid w:val="009A27AF"/>
    <w:rsid w:val="009A4A48"/>
    <w:rsid w:val="009A6DC0"/>
    <w:rsid w:val="009B74C7"/>
    <w:rsid w:val="009C06EE"/>
    <w:rsid w:val="009C4C40"/>
    <w:rsid w:val="009C5078"/>
    <w:rsid w:val="009F0E95"/>
    <w:rsid w:val="009F620C"/>
    <w:rsid w:val="00A00250"/>
    <w:rsid w:val="00A009BC"/>
    <w:rsid w:val="00A03C8F"/>
    <w:rsid w:val="00A208D0"/>
    <w:rsid w:val="00A2153A"/>
    <w:rsid w:val="00A3620F"/>
    <w:rsid w:val="00A36D87"/>
    <w:rsid w:val="00A42BA3"/>
    <w:rsid w:val="00A5026C"/>
    <w:rsid w:val="00A61ADA"/>
    <w:rsid w:val="00A67B9F"/>
    <w:rsid w:val="00A80437"/>
    <w:rsid w:val="00AA0034"/>
    <w:rsid w:val="00AA4E14"/>
    <w:rsid w:val="00AC1AE7"/>
    <w:rsid w:val="00AC7E4E"/>
    <w:rsid w:val="00B03E70"/>
    <w:rsid w:val="00B0667D"/>
    <w:rsid w:val="00B075F8"/>
    <w:rsid w:val="00B10CBD"/>
    <w:rsid w:val="00B15249"/>
    <w:rsid w:val="00B22126"/>
    <w:rsid w:val="00B23B20"/>
    <w:rsid w:val="00B24932"/>
    <w:rsid w:val="00B30024"/>
    <w:rsid w:val="00B35E10"/>
    <w:rsid w:val="00B67AB7"/>
    <w:rsid w:val="00B76EBE"/>
    <w:rsid w:val="00B807B2"/>
    <w:rsid w:val="00B81261"/>
    <w:rsid w:val="00B831FD"/>
    <w:rsid w:val="00B93E93"/>
    <w:rsid w:val="00BA0002"/>
    <w:rsid w:val="00BA7887"/>
    <w:rsid w:val="00BB0695"/>
    <w:rsid w:val="00BB0AA9"/>
    <w:rsid w:val="00BB389C"/>
    <w:rsid w:val="00BB5E22"/>
    <w:rsid w:val="00BC1538"/>
    <w:rsid w:val="00BC1927"/>
    <w:rsid w:val="00BC3D6E"/>
    <w:rsid w:val="00BC43BB"/>
    <w:rsid w:val="00BD0190"/>
    <w:rsid w:val="00BD36BD"/>
    <w:rsid w:val="00BD49FC"/>
    <w:rsid w:val="00BE027C"/>
    <w:rsid w:val="00BE229C"/>
    <w:rsid w:val="00BE2BE6"/>
    <w:rsid w:val="00BE359F"/>
    <w:rsid w:val="00BE6FC4"/>
    <w:rsid w:val="00BF2390"/>
    <w:rsid w:val="00BF2E8C"/>
    <w:rsid w:val="00BF513D"/>
    <w:rsid w:val="00BF52B9"/>
    <w:rsid w:val="00C2211B"/>
    <w:rsid w:val="00C24E2A"/>
    <w:rsid w:val="00C32FB4"/>
    <w:rsid w:val="00C34601"/>
    <w:rsid w:val="00C415A9"/>
    <w:rsid w:val="00C45CBF"/>
    <w:rsid w:val="00C47234"/>
    <w:rsid w:val="00C5578E"/>
    <w:rsid w:val="00C56F38"/>
    <w:rsid w:val="00C57229"/>
    <w:rsid w:val="00C57A04"/>
    <w:rsid w:val="00C74942"/>
    <w:rsid w:val="00C808EB"/>
    <w:rsid w:val="00C8512E"/>
    <w:rsid w:val="00C87E32"/>
    <w:rsid w:val="00C9657E"/>
    <w:rsid w:val="00CA1AB8"/>
    <w:rsid w:val="00CA3606"/>
    <w:rsid w:val="00CA5E59"/>
    <w:rsid w:val="00CB4EE6"/>
    <w:rsid w:val="00CB6539"/>
    <w:rsid w:val="00CC25B9"/>
    <w:rsid w:val="00CD5867"/>
    <w:rsid w:val="00CD6536"/>
    <w:rsid w:val="00CD674A"/>
    <w:rsid w:val="00CD73E5"/>
    <w:rsid w:val="00CE2D16"/>
    <w:rsid w:val="00CE2E34"/>
    <w:rsid w:val="00CE3408"/>
    <w:rsid w:val="00CE6C2F"/>
    <w:rsid w:val="00CE6E51"/>
    <w:rsid w:val="00CF3BE6"/>
    <w:rsid w:val="00D0326E"/>
    <w:rsid w:val="00D039E3"/>
    <w:rsid w:val="00D04025"/>
    <w:rsid w:val="00D11BF3"/>
    <w:rsid w:val="00D15C83"/>
    <w:rsid w:val="00D22E42"/>
    <w:rsid w:val="00D32675"/>
    <w:rsid w:val="00D337FF"/>
    <w:rsid w:val="00D36F93"/>
    <w:rsid w:val="00D43106"/>
    <w:rsid w:val="00D43B65"/>
    <w:rsid w:val="00D4715E"/>
    <w:rsid w:val="00D50483"/>
    <w:rsid w:val="00D50FA2"/>
    <w:rsid w:val="00D51CA5"/>
    <w:rsid w:val="00D605D6"/>
    <w:rsid w:val="00D91B19"/>
    <w:rsid w:val="00D93134"/>
    <w:rsid w:val="00D95972"/>
    <w:rsid w:val="00DA19EF"/>
    <w:rsid w:val="00DA2E46"/>
    <w:rsid w:val="00DA3EA5"/>
    <w:rsid w:val="00DA4062"/>
    <w:rsid w:val="00DB07DE"/>
    <w:rsid w:val="00DB6470"/>
    <w:rsid w:val="00DB648D"/>
    <w:rsid w:val="00DD2AE9"/>
    <w:rsid w:val="00DE21E8"/>
    <w:rsid w:val="00DE279C"/>
    <w:rsid w:val="00E131D1"/>
    <w:rsid w:val="00E22CBF"/>
    <w:rsid w:val="00E24A49"/>
    <w:rsid w:val="00E3190C"/>
    <w:rsid w:val="00E33B4C"/>
    <w:rsid w:val="00E346C5"/>
    <w:rsid w:val="00E40218"/>
    <w:rsid w:val="00E44C93"/>
    <w:rsid w:val="00E6060C"/>
    <w:rsid w:val="00E637A9"/>
    <w:rsid w:val="00E67DF9"/>
    <w:rsid w:val="00E71A4E"/>
    <w:rsid w:val="00E92BA7"/>
    <w:rsid w:val="00E957E7"/>
    <w:rsid w:val="00EB4AEC"/>
    <w:rsid w:val="00ED4D5F"/>
    <w:rsid w:val="00ED6D28"/>
    <w:rsid w:val="00ED72DC"/>
    <w:rsid w:val="00EE1389"/>
    <w:rsid w:val="00EE3D1C"/>
    <w:rsid w:val="00EE3FF1"/>
    <w:rsid w:val="00EE6A89"/>
    <w:rsid w:val="00EF2CF1"/>
    <w:rsid w:val="00F02A03"/>
    <w:rsid w:val="00F16856"/>
    <w:rsid w:val="00F23C03"/>
    <w:rsid w:val="00F43B46"/>
    <w:rsid w:val="00F46C50"/>
    <w:rsid w:val="00F50CDF"/>
    <w:rsid w:val="00F50DD6"/>
    <w:rsid w:val="00F517BA"/>
    <w:rsid w:val="00F538E2"/>
    <w:rsid w:val="00F76A89"/>
    <w:rsid w:val="00F8151A"/>
    <w:rsid w:val="00F822CF"/>
    <w:rsid w:val="00F93C6F"/>
    <w:rsid w:val="00F9418D"/>
    <w:rsid w:val="00F94BDC"/>
    <w:rsid w:val="00FA29A1"/>
    <w:rsid w:val="00FA7B4A"/>
    <w:rsid w:val="00FB50E5"/>
    <w:rsid w:val="00FB6912"/>
    <w:rsid w:val="00FC12AF"/>
    <w:rsid w:val="00FC1536"/>
    <w:rsid w:val="00FC2785"/>
    <w:rsid w:val="00FC4922"/>
    <w:rsid w:val="00FD19D9"/>
    <w:rsid w:val="00FD51C3"/>
    <w:rsid w:val="00FE4777"/>
    <w:rsid w:val="00FE4FF0"/>
    <w:rsid w:val="00FE551A"/>
    <w:rsid w:val="00FE60DA"/>
    <w:rsid w:val="00FE6DDE"/>
    <w:rsid w:val="00FF415F"/>
    <w:rsid w:val="00FF74A7"/>
    <w:rsid w:val="00FF75EA"/>
    <w:rsid w:val="01011432"/>
    <w:rsid w:val="01172A03"/>
    <w:rsid w:val="01176EA7"/>
    <w:rsid w:val="011A5E25"/>
    <w:rsid w:val="012A118F"/>
    <w:rsid w:val="014F6641"/>
    <w:rsid w:val="01521C8D"/>
    <w:rsid w:val="0168325F"/>
    <w:rsid w:val="01A544B3"/>
    <w:rsid w:val="01AE15BA"/>
    <w:rsid w:val="01AE3368"/>
    <w:rsid w:val="01C43140"/>
    <w:rsid w:val="01C506B1"/>
    <w:rsid w:val="01CC7C92"/>
    <w:rsid w:val="01D17056"/>
    <w:rsid w:val="021D673F"/>
    <w:rsid w:val="02245258"/>
    <w:rsid w:val="025263E9"/>
    <w:rsid w:val="02AE4AFE"/>
    <w:rsid w:val="02C72207"/>
    <w:rsid w:val="0317318F"/>
    <w:rsid w:val="031B2C7F"/>
    <w:rsid w:val="031D69B6"/>
    <w:rsid w:val="03265180"/>
    <w:rsid w:val="035937A7"/>
    <w:rsid w:val="035E2B6B"/>
    <w:rsid w:val="0387014A"/>
    <w:rsid w:val="03C84489"/>
    <w:rsid w:val="03E5503B"/>
    <w:rsid w:val="03EF1A15"/>
    <w:rsid w:val="04335DA6"/>
    <w:rsid w:val="047C599F"/>
    <w:rsid w:val="04842AA6"/>
    <w:rsid w:val="049802FF"/>
    <w:rsid w:val="04AB5878"/>
    <w:rsid w:val="04B0389B"/>
    <w:rsid w:val="04DA4474"/>
    <w:rsid w:val="04FF037E"/>
    <w:rsid w:val="05047743"/>
    <w:rsid w:val="05214D81"/>
    <w:rsid w:val="053B7608"/>
    <w:rsid w:val="05465FAD"/>
    <w:rsid w:val="056F2E0E"/>
    <w:rsid w:val="05832D5D"/>
    <w:rsid w:val="05B44CC5"/>
    <w:rsid w:val="05DB04A3"/>
    <w:rsid w:val="05E530D0"/>
    <w:rsid w:val="05EF624C"/>
    <w:rsid w:val="05F25272"/>
    <w:rsid w:val="0644429B"/>
    <w:rsid w:val="067D77AC"/>
    <w:rsid w:val="068C79F0"/>
    <w:rsid w:val="069C40D7"/>
    <w:rsid w:val="06A0349B"/>
    <w:rsid w:val="06A411DD"/>
    <w:rsid w:val="06C07699"/>
    <w:rsid w:val="06C62167"/>
    <w:rsid w:val="06D80BD5"/>
    <w:rsid w:val="06F537E7"/>
    <w:rsid w:val="070E75E1"/>
    <w:rsid w:val="07222102"/>
    <w:rsid w:val="07542E7B"/>
    <w:rsid w:val="07577FFE"/>
    <w:rsid w:val="076B1CFB"/>
    <w:rsid w:val="07B0770E"/>
    <w:rsid w:val="07BE62CF"/>
    <w:rsid w:val="07C531B9"/>
    <w:rsid w:val="07CA07CF"/>
    <w:rsid w:val="07F27D26"/>
    <w:rsid w:val="07FA3E48"/>
    <w:rsid w:val="08002443"/>
    <w:rsid w:val="08027530"/>
    <w:rsid w:val="086230FE"/>
    <w:rsid w:val="08766BA9"/>
    <w:rsid w:val="088272FC"/>
    <w:rsid w:val="088C3CD7"/>
    <w:rsid w:val="08BA08C0"/>
    <w:rsid w:val="08E81CF0"/>
    <w:rsid w:val="092403B3"/>
    <w:rsid w:val="094C3466"/>
    <w:rsid w:val="094F0D3C"/>
    <w:rsid w:val="09694018"/>
    <w:rsid w:val="097924AD"/>
    <w:rsid w:val="09B07E99"/>
    <w:rsid w:val="09C86F91"/>
    <w:rsid w:val="09FC4E8C"/>
    <w:rsid w:val="0A3C34DB"/>
    <w:rsid w:val="0A430BD6"/>
    <w:rsid w:val="0A73514E"/>
    <w:rsid w:val="0A7F7F97"/>
    <w:rsid w:val="0AA479FE"/>
    <w:rsid w:val="0ACC485F"/>
    <w:rsid w:val="0ADA3F4C"/>
    <w:rsid w:val="0AF049F1"/>
    <w:rsid w:val="0B0E131B"/>
    <w:rsid w:val="0B116715"/>
    <w:rsid w:val="0B161163"/>
    <w:rsid w:val="0B48482D"/>
    <w:rsid w:val="0B5A00BC"/>
    <w:rsid w:val="0B6727D9"/>
    <w:rsid w:val="0B680A2B"/>
    <w:rsid w:val="0B7844F0"/>
    <w:rsid w:val="0B7F5D75"/>
    <w:rsid w:val="0B9C6927"/>
    <w:rsid w:val="0B9D61FB"/>
    <w:rsid w:val="0BB27EF8"/>
    <w:rsid w:val="0BBF2208"/>
    <w:rsid w:val="0BBF61BC"/>
    <w:rsid w:val="0BCB5C52"/>
    <w:rsid w:val="0BE300B2"/>
    <w:rsid w:val="0C01678A"/>
    <w:rsid w:val="0C060E10"/>
    <w:rsid w:val="0C085D6A"/>
    <w:rsid w:val="0C0A7D34"/>
    <w:rsid w:val="0C124F52"/>
    <w:rsid w:val="0C193AD3"/>
    <w:rsid w:val="0C7B29E0"/>
    <w:rsid w:val="0C7D22B4"/>
    <w:rsid w:val="0CD935FB"/>
    <w:rsid w:val="0CE00A95"/>
    <w:rsid w:val="0D074274"/>
    <w:rsid w:val="0D3870E2"/>
    <w:rsid w:val="0D3951D6"/>
    <w:rsid w:val="0D3A63F7"/>
    <w:rsid w:val="0D8C18C1"/>
    <w:rsid w:val="0E0013EF"/>
    <w:rsid w:val="0E2B3F92"/>
    <w:rsid w:val="0E2B5D40"/>
    <w:rsid w:val="0E772D33"/>
    <w:rsid w:val="0E7B7815"/>
    <w:rsid w:val="0E88562B"/>
    <w:rsid w:val="0E8B67DF"/>
    <w:rsid w:val="0E925DBF"/>
    <w:rsid w:val="0EC37B54"/>
    <w:rsid w:val="0EDB7766"/>
    <w:rsid w:val="0EEF3211"/>
    <w:rsid w:val="0EF3685E"/>
    <w:rsid w:val="0EFB1BB6"/>
    <w:rsid w:val="0EFE3455"/>
    <w:rsid w:val="0F29227F"/>
    <w:rsid w:val="0F3375A2"/>
    <w:rsid w:val="0F3F7CF5"/>
    <w:rsid w:val="0F4F5A5E"/>
    <w:rsid w:val="0F6634D4"/>
    <w:rsid w:val="0F707EAE"/>
    <w:rsid w:val="0F7200CA"/>
    <w:rsid w:val="0F7F4595"/>
    <w:rsid w:val="0F8C280E"/>
    <w:rsid w:val="0FB35FED"/>
    <w:rsid w:val="0FDC3796"/>
    <w:rsid w:val="0FDC6611"/>
    <w:rsid w:val="10637A13"/>
    <w:rsid w:val="1081433D"/>
    <w:rsid w:val="108D2CE2"/>
    <w:rsid w:val="10944070"/>
    <w:rsid w:val="10A36062"/>
    <w:rsid w:val="10A5627E"/>
    <w:rsid w:val="10BD35C7"/>
    <w:rsid w:val="10D461A4"/>
    <w:rsid w:val="10D95F27"/>
    <w:rsid w:val="10EF574B"/>
    <w:rsid w:val="1104261B"/>
    <w:rsid w:val="11254CC9"/>
    <w:rsid w:val="115C16CF"/>
    <w:rsid w:val="11801B30"/>
    <w:rsid w:val="11E626AA"/>
    <w:rsid w:val="11F50B3F"/>
    <w:rsid w:val="12096398"/>
    <w:rsid w:val="1218364A"/>
    <w:rsid w:val="12241424"/>
    <w:rsid w:val="122F22A3"/>
    <w:rsid w:val="12505D75"/>
    <w:rsid w:val="126C51BD"/>
    <w:rsid w:val="12745F08"/>
    <w:rsid w:val="12863E8D"/>
    <w:rsid w:val="12A8795F"/>
    <w:rsid w:val="12AA36D7"/>
    <w:rsid w:val="12B83BBB"/>
    <w:rsid w:val="12BB58E4"/>
    <w:rsid w:val="12C0739F"/>
    <w:rsid w:val="12CC676F"/>
    <w:rsid w:val="12D6271E"/>
    <w:rsid w:val="12E34E3B"/>
    <w:rsid w:val="12E9012D"/>
    <w:rsid w:val="12F209B1"/>
    <w:rsid w:val="12F9465F"/>
    <w:rsid w:val="12FC7CAB"/>
    <w:rsid w:val="13685340"/>
    <w:rsid w:val="136D604A"/>
    <w:rsid w:val="136F6DBA"/>
    <w:rsid w:val="137B1518"/>
    <w:rsid w:val="138008DC"/>
    <w:rsid w:val="13931986"/>
    <w:rsid w:val="13A73607"/>
    <w:rsid w:val="13F54E26"/>
    <w:rsid w:val="13FB7F63"/>
    <w:rsid w:val="140432BB"/>
    <w:rsid w:val="140908D1"/>
    <w:rsid w:val="140E413A"/>
    <w:rsid w:val="1422618B"/>
    <w:rsid w:val="142E20E6"/>
    <w:rsid w:val="14733F9D"/>
    <w:rsid w:val="147C10A3"/>
    <w:rsid w:val="14B46A8F"/>
    <w:rsid w:val="14C447F8"/>
    <w:rsid w:val="14F275B8"/>
    <w:rsid w:val="15115C90"/>
    <w:rsid w:val="15175270"/>
    <w:rsid w:val="151B4D60"/>
    <w:rsid w:val="152C2AC9"/>
    <w:rsid w:val="15AF54A9"/>
    <w:rsid w:val="15AF7257"/>
    <w:rsid w:val="15E52C78"/>
    <w:rsid w:val="160752E5"/>
    <w:rsid w:val="16104199"/>
    <w:rsid w:val="16140F28"/>
    <w:rsid w:val="163D4862"/>
    <w:rsid w:val="164E4CC1"/>
    <w:rsid w:val="165247B2"/>
    <w:rsid w:val="1654042C"/>
    <w:rsid w:val="16556050"/>
    <w:rsid w:val="16820AD6"/>
    <w:rsid w:val="169923E1"/>
    <w:rsid w:val="16994D22"/>
    <w:rsid w:val="169D3553"/>
    <w:rsid w:val="16AC04CA"/>
    <w:rsid w:val="16B84207"/>
    <w:rsid w:val="16BC7E7D"/>
    <w:rsid w:val="16CB6312"/>
    <w:rsid w:val="16DC4224"/>
    <w:rsid w:val="16EB2510"/>
    <w:rsid w:val="16F55828"/>
    <w:rsid w:val="17081314"/>
    <w:rsid w:val="17163A31"/>
    <w:rsid w:val="17237EFC"/>
    <w:rsid w:val="17326391"/>
    <w:rsid w:val="173739A8"/>
    <w:rsid w:val="1743234C"/>
    <w:rsid w:val="175C6F6A"/>
    <w:rsid w:val="176C0FBA"/>
    <w:rsid w:val="177B1AE6"/>
    <w:rsid w:val="17AF1790"/>
    <w:rsid w:val="17F83137"/>
    <w:rsid w:val="1804388A"/>
    <w:rsid w:val="183D6D9C"/>
    <w:rsid w:val="183F0D66"/>
    <w:rsid w:val="186407CC"/>
    <w:rsid w:val="18823AC5"/>
    <w:rsid w:val="18934C0E"/>
    <w:rsid w:val="189A5F9C"/>
    <w:rsid w:val="189B3AC2"/>
    <w:rsid w:val="18D70F9E"/>
    <w:rsid w:val="18FE2FBD"/>
    <w:rsid w:val="190B1333"/>
    <w:rsid w:val="191775ED"/>
    <w:rsid w:val="194523AC"/>
    <w:rsid w:val="196934AD"/>
    <w:rsid w:val="197030A6"/>
    <w:rsid w:val="197E58BE"/>
    <w:rsid w:val="199D21E8"/>
    <w:rsid w:val="19A277FE"/>
    <w:rsid w:val="19C72DC1"/>
    <w:rsid w:val="19E45129"/>
    <w:rsid w:val="1A240213"/>
    <w:rsid w:val="1A271AB1"/>
    <w:rsid w:val="1A5B175B"/>
    <w:rsid w:val="1A705206"/>
    <w:rsid w:val="1A7D7923"/>
    <w:rsid w:val="1A8D2B13"/>
    <w:rsid w:val="1AC437A4"/>
    <w:rsid w:val="1AC92B69"/>
    <w:rsid w:val="1ADF238C"/>
    <w:rsid w:val="1AF92BB3"/>
    <w:rsid w:val="1B0E451B"/>
    <w:rsid w:val="1B2B2D19"/>
    <w:rsid w:val="1B3C158C"/>
    <w:rsid w:val="1B4E2991"/>
    <w:rsid w:val="1B684130"/>
    <w:rsid w:val="1B697EA8"/>
    <w:rsid w:val="1B6A60FA"/>
    <w:rsid w:val="1B7F6F38"/>
    <w:rsid w:val="1BC7354C"/>
    <w:rsid w:val="1BCA303C"/>
    <w:rsid w:val="1C033E58"/>
    <w:rsid w:val="1C071B9A"/>
    <w:rsid w:val="1C0C0F5F"/>
    <w:rsid w:val="1C0F6CA1"/>
    <w:rsid w:val="1C3D380E"/>
    <w:rsid w:val="1C4C3A51"/>
    <w:rsid w:val="1C534DE0"/>
    <w:rsid w:val="1C542906"/>
    <w:rsid w:val="1C6A6B78"/>
    <w:rsid w:val="1C766D20"/>
    <w:rsid w:val="1CB17D58"/>
    <w:rsid w:val="1CB52A2F"/>
    <w:rsid w:val="1CEE68B6"/>
    <w:rsid w:val="1CF37EB8"/>
    <w:rsid w:val="1D2A4350"/>
    <w:rsid w:val="1D320E99"/>
    <w:rsid w:val="1DAB47A7"/>
    <w:rsid w:val="1DBE44DB"/>
    <w:rsid w:val="1DDC5D1E"/>
    <w:rsid w:val="1E0C793C"/>
    <w:rsid w:val="1E236A34"/>
    <w:rsid w:val="1E252D30"/>
    <w:rsid w:val="1E293FBC"/>
    <w:rsid w:val="1E2A6014"/>
    <w:rsid w:val="1E3D3153"/>
    <w:rsid w:val="1E5E7A6C"/>
    <w:rsid w:val="1E6037E4"/>
    <w:rsid w:val="1EDD6BE3"/>
    <w:rsid w:val="1EE77A61"/>
    <w:rsid w:val="1EEE7042"/>
    <w:rsid w:val="1EF74148"/>
    <w:rsid w:val="1F4C5B16"/>
    <w:rsid w:val="1FA63478"/>
    <w:rsid w:val="1FBF278C"/>
    <w:rsid w:val="1FE741BD"/>
    <w:rsid w:val="1FEA5A5B"/>
    <w:rsid w:val="20126D60"/>
    <w:rsid w:val="205E01F7"/>
    <w:rsid w:val="20665E37"/>
    <w:rsid w:val="207215AC"/>
    <w:rsid w:val="208F6602"/>
    <w:rsid w:val="20967991"/>
    <w:rsid w:val="20A51982"/>
    <w:rsid w:val="20D02EA3"/>
    <w:rsid w:val="20EF0E4F"/>
    <w:rsid w:val="20F85F56"/>
    <w:rsid w:val="211014F1"/>
    <w:rsid w:val="21254871"/>
    <w:rsid w:val="212C5BFF"/>
    <w:rsid w:val="215A09BE"/>
    <w:rsid w:val="216B497A"/>
    <w:rsid w:val="2184195C"/>
    <w:rsid w:val="218C0AD3"/>
    <w:rsid w:val="21937A2C"/>
    <w:rsid w:val="21A8155E"/>
    <w:rsid w:val="21C85928"/>
    <w:rsid w:val="21C916A0"/>
    <w:rsid w:val="220426D8"/>
    <w:rsid w:val="22124DF5"/>
    <w:rsid w:val="222F3BF9"/>
    <w:rsid w:val="224F1BA5"/>
    <w:rsid w:val="22642828"/>
    <w:rsid w:val="228D6B72"/>
    <w:rsid w:val="22A2261D"/>
    <w:rsid w:val="22AB6CF5"/>
    <w:rsid w:val="22BD2FB3"/>
    <w:rsid w:val="22C12BAD"/>
    <w:rsid w:val="22CE1AC1"/>
    <w:rsid w:val="22FD3CF7"/>
    <w:rsid w:val="230E1A60"/>
    <w:rsid w:val="231F5A1C"/>
    <w:rsid w:val="23377209"/>
    <w:rsid w:val="2342795C"/>
    <w:rsid w:val="235D44ED"/>
    <w:rsid w:val="23636185"/>
    <w:rsid w:val="239F090A"/>
    <w:rsid w:val="23B56380"/>
    <w:rsid w:val="23C72304"/>
    <w:rsid w:val="23F46EA8"/>
    <w:rsid w:val="241C63FF"/>
    <w:rsid w:val="241F37F9"/>
    <w:rsid w:val="24561911"/>
    <w:rsid w:val="24653902"/>
    <w:rsid w:val="246D27B7"/>
    <w:rsid w:val="24885842"/>
    <w:rsid w:val="24AF254A"/>
    <w:rsid w:val="24AF7273"/>
    <w:rsid w:val="24B108F5"/>
    <w:rsid w:val="24C525F3"/>
    <w:rsid w:val="24CA19B7"/>
    <w:rsid w:val="24E24F53"/>
    <w:rsid w:val="25096983"/>
    <w:rsid w:val="25270BB7"/>
    <w:rsid w:val="253F23A5"/>
    <w:rsid w:val="25853B30"/>
    <w:rsid w:val="25950217"/>
    <w:rsid w:val="25A20B86"/>
    <w:rsid w:val="25BD32CA"/>
    <w:rsid w:val="25C40AFC"/>
    <w:rsid w:val="25CC175F"/>
    <w:rsid w:val="25CE197B"/>
    <w:rsid w:val="25D0124F"/>
    <w:rsid w:val="25EE7927"/>
    <w:rsid w:val="2628108B"/>
    <w:rsid w:val="26667E05"/>
    <w:rsid w:val="267047E0"/>
    <w:rsid w:val="26771661"/>
    <w:rsid w:val="26976211"/>
    <w:rsid w:val="271B0BF0"/>
    <w:rsid w:val="271C2272"/>
    <w:rsid w:val="272F1FA5"/>
    <w:rsid w:val="27315D1D"/>
    <w:rsid w:val="27433CA3"/>
    <w:rsid w:val="274C0C22"/>
    <w:rsid w:val="2751016E"/>
    <w:rsid w:val="2767173F"/>
    <w:rsid w:val="277327DA"/>
    <w:rsid w:val="2787443F"/>
    <w:rsid w:val="27AE55C0"/>
    <w:rsid w:val="27B5694E"/>
    <w:rsid w:val="27C13D12"/>
    <w:rsid w:val="27C76682"/>
    <w:rsid w:val="27D8263D"/>
    <w:rsid w:val="27EB6814"/>
    <w:rsid w:val="27FE7638"/>
    <w:rsid w:val="280B5E71"/>
    <w:rsid w:val="28177609"/>
    <w:rsid w:val="281C2BC6"/>
    <w:rsid w:val="281C4C20"/>
    <w:rsid w:val="28235FAE"/>
    <w:rsid w:val="28327F9F"/>
    <w:rsid w:val="285C0DA0"/>
    <w:rsid w:val="285F4B0C"/>
    <w:rsid w:val="28757E8C"/>
    <w:rsid w:val="287F6F5C"/>
    <w:rsid w:val="28956780"/>
    <w:rsid w:val="28AD1D1C"/>
    <w:rsid w:val="28AD3ACA"/>
    <w:rsid w:val="28B22E8E"/>
    <w:rsid w:val="28D41056"/>
    <w:rsid w:val="28DC7F0B"/>
    <w:rsid w:val="28F416F8"/>
    <w:rsid w:val="28F811E9"/>
    <w:rsid w:val="29001E4B"/>
    <w:rsid w:val="291F68C4"/>
    <w:rsid w:val="298F1421"/>
    <w:rsid w:val="29AE7AF9"/>
    <w:rsid w:val="29C91AA7"/>
    <w:rsid w:val="29D62BAC"/>
    <w:rsid w:val="29DD3F3B"/>
    <w:rsid w:val="2A32072A"/>
    <w:rsid w:val="2A391AB9"/>
    <w:rsid w:val="2A481CFC"/>
    <w:rsid w:val="2A4B359A"/>
    <w:rsid w:val="2A950CB9"/>
    <w:rsid w:val="2A9D2605"/>
    <w:rsid w:val="2ADE440E"/>
    <w:rsid w:val="2AE80DE9"/>
    <w:rsid w:val="2B053749"/>
    <w:rsid w:val="2B147E30"/>
    <w:rsid w:val="2B3202B6"/>
    <w:rsid w:val="2B512E32"/>
    <w:rsid w:val="2B683CD8"/>
    <w:rsid w:val="2B76279E"/>
    <w:rsid w:val="2B786611"/>
    <w:rsid w:val="2B797C93"/>
    <w:rsid w:val="2B7D59D5"/>
    <w:rsid w:val="2BC23873"/>
    <w:rsid w:val="2BD25682"/>
    <w:rsid w:val="2BD55811"/>
    <w:rsid w:val="2BE27F2E"/>
    <w:rsid w:val="2C153E60"/>
    <w:rsid w:val="2C210A56"/>
    <w:rsid w:val="2C414C55"/>
    <w:rsid w:val="2C475FE3"/>
    <w:rsid w:val="2C4907B9"/>
    <w:rsid w:val="2C81364F"/>
    <w:rsid w:val="2C9A4365"/>
    <w:rsid w:val="2CC633AC"/>
    <w:rsid w:val="2CD05FD9"/>
    <w:rsid w:val="2CDE6947"/>
    <w:rsid w:val="2CEF7A50"/>
    <w:rsid w:val="2CF75313"/>
    <w:rsid w:val="2D3227EF"/>
    <w:rsid w:val="2D3565B5"/>
    <w:rsid w:val="2D39592C"/>
    <w:rsid w:val="2D3E2F42"/>
    <w:rsid w:val="2D8868B3"/>
    <w:rsid w:val="2DA03BFD"/>
    <w:rsid w:val="2DA336ED"/>
    <w:rsid w:val="2DC01BA9"/>
    <w:rsid w:val="2DE0049D"/>
    <w:rsid w:val="2E310CF9"/>
    <w:rsid w:val="2E3F6F72"/>
    <w:rsid w:val="2E933762"/>
    <w:rsid w:val="2E9C2616"/>
    <w:rsid w:val="2EB536D8"/>
    <w:rsid w:val="2ECD0A22"/>
    <w:rsid w:val="2ECD316E"/>
    <w:rsid w:val="2EDA313F"/>
    <w:rsid w:val="2EF841B3"/>
    <w:rsid w:val="2F1C6FCF"/>
    <w:rsid w:val="2F5C7FF7"/>
    <w:rsid w:val="2F5E167A"/>
    <w:rsid w:val="2F650C5A"/>
    <w:rsid w:val="2F880DEC"/>
    <w:rsid w:val="2F917CA1"/>
    <w:rsid w:val="2F9B28CE"/>
    <w:rsid w:val="3034062C"/>
    <w:rsid w:val="30396AEC"/>
    <w:rsid w:val="304C544B"/>
    <w:rsid w:val="30536D05"/>
    <w:rsid w:val="305F1B4D"/>
    <w:rsid w:val="30705B08"/>
    <w:rsid w:val="30A63CC6"/>
    <w:rsid w:val="30C0743E"/>
    <w:rsid w:val="30E56588"/>
    <w:rsid w:val="30E91417"/>
    <w:rsid w:val="31293F09"/>
    <w:rsid w:val="31433A7F"/>
    <w:rsid w:val="3159659D"/>
    <w:rsid w:val="315E3BB3"/>
    <w:rsid w:val="31727D49"/>
    <w:rsid w:val="317E24A7"/>
    <w:rsid w:val="319A0E2B"/>
    <w:rsid w:val="319C292D"/>
    <w:rsid w:val="31B41A25"/>
    <w:rsid w:val="320504D2"/>
    <w:rsid w:val="320C7AB3"/>
    <w:rsid w:val="32144BB9"/>
    <w:rsid w:val="324803BF"/>
    <w:rsid w:val="32513718"/>
    <w:rsid w:val="326A2A2B"/>
    <w:rsid w:val="326A47D9"/>
    <w:rsid w:val="32840F7B"/>
    <w:rsid w:val="32B1065A"/>
    <w:rsid w:val="32C94CC0"/>
    <w:rsid w:val="32E4458C"/>
    <w:rsid w:val="33150BE9"/>
    <w:rsid w:val="332D26D2"/>
    <w:rsid w:val="33443C83"/>
    <w:rsid w:val="335D1C8B"/>
    <w:rsid w:val="337136E8"/>
    <w:rsid w:val="339715FE"/>
    <w:rsid w:val="33997124"/>
    <w:rsid w:val="33EA3E24"/>
    <w:rsid w:val="34256C0A"/>
    <w:rsid w:val="343230D5"/>
    <w:rsid w:val="34B65664"/>
    <w:rsid w:val="34E16FD5"/>
    <w:rsid w:val="34FD1935"/>
    <w:rsid w:val="35571045"/>
    <w:rsid w:val="355D23D3"/>
    <w:rsid w:val="3566572C"/>
    <w:rsid w:val="3571636E"/>
    <w:rsid w:val="358362DE"/>
    <w:rsid w:val="358F4AB7"/>
    <w:rsid w:val="35942299"/>
    <w:rsid w:val="35C506A4"/>
    <w:rsid w:val="35C8047F"/>
    <w:rsid w:val="35CB558F"/>
    <w:rsid w:val="36021D61"/>
    <w:rsid w:val="3618288B"/>
    <w:rsid w:val="36213401"/>
    <w:rsid w:val="36392E40"/>
    <w:rsid w:val="365D5425"/>
    <w:rsid w:val="36633A19"/>
    <w:rsid w:val="36794FEB"/>
    <w:rsid w:val="3687595A"/>
    <w:rsid w:val="368816D2"/>
    <w:rsid w:val="36AC716F"/>
    <w:rsid w:val="36D6243D"/>
    <w:rsid w:val="36D87F64"/>
    <w:rsid w:val="36F32FEF"/>
    <w:rsid w:val="371A057C"/>
    <w:rsid w:val="373553B6"/>
    <w:rsid w:val="373B6744"/>
    <w:rsid w:val="3748158D"/>
    <w:rsid w:val="37490E61"/>
    <w:rsid w:val="37695060"/>
    <w:rsid w:val="377D0B0B"/>
    <w:rsid w:val="37A662B4"/>
    <w:rsid w:val="37BE35FD"/>
    <w:rsid w:val="37BF7375"/>
    <w:rsid w:val="37C94F8C"/>
    <w:rsid w:val="37D72911"/>
    <w:rsid w:val="37DF17C6"/>
    <w:rsid w:val="37F2147A"/>
    <w:rsid w:val="3814146F"/>
    <w:rsid w:val="381A45AC"/>
    <w:rsid w:val="383B4C4E"/>
    <w:rsid w:val="386555A5"/>
    <w:rsid w:val="38795776"/>
    <w:rsid w:val="38AA1DD4"/>
    <w:rsid w:val="38C5276A"/>
    <w:rsid w:val="38CE5AC2"/>
    <w:rsid w:val="38D34E86"/>
    <w:rsid w:val="38DE382B"/>
    <w:rsid w:val="38F31B98"/>
    <w:rsid w:val="391A2AB5"/>
    <w:rsid w:val="391C5EDB"/>
    <w:rsid w:val="392C27E9"/>
    <w:rsid w:val="39610CA2"/>
    <w:rsid w:val="39BC1DBE"/>
    <w:rsid w:val="3A1C0AAF"/>
    <w:rsid w:val="3A500759"/>
    <w:rsid w:val="3A557B1D"/>
    <w:rsid w:val="3A905C8A"/>
    <w:rsid w:val="3A916DA7"/>
    <w:rsid w:val="3A961B24"/>
    <w:rsid w:val="3AA36ADA"/>
    <w:rsid w:val="3AEE274E"/>
    <w:rsid w:val="3B091033"/>
    <w:rsid w:val="3B0F23C2"/>
    <w:rsid w:val="3B111A40"/>
    <w:rsid w:val="3B3360B0"/>
    <w:rsid w:val="3B365BA1"/>
    <w:rsid w:val="3B4B53E2"/>
    <w:rsid w:val="3B60677A"/>
    <w:rsid w:val="3B636954"/>
    <w:rsid w:val="3B70517C"/>
    <w:rsid w:val="3B81506E"/>
    <w:rsid w:val="3B862684"/>
    <w:rsid w:val="3B967B1B"/>
    <w:rsid w:val="3B9E60AB"/>
    <w:rsid w:val="3BB15227"/>
    <w:rsid w:val="3BD11425"/>
    <w:rsid w:val="3BDD7DCA"/>
    <w:rsid w:val="3BEB698B"/>
    <w:rsid w:val="3C213A4C"/>
    <w:rsid w:val="3C552056"/>
    <w:rsid w:val="3C574020"/>
    <w:rsid w:val="3CA8662A"/>
    <w:rsid w:val="3CAA23A2"/>
    <w:rsid w:val="3CB72D11"/>
    <w:rsid w:val="3CBA010B"/>
    <w:rsid w:val="3CC33464"/>
    <w:rsid w:val="3CF33D49"/>
    <w:rsid w:val="3D0870C9"/>
    <w:rsid w:val="3D1160FD"/>
    <w:rsid w:val="3D4A5E08"/>
    <w:rsid w:val="3D5B019B"/>
    <w:rsid w:val="3D6372EC"/>
    <w:rsid w:val="3D69400B"/>
    <w:rsid w:val="3D7724B9"/>
    <w:rsid w:val="3D8C7CFA"/>
    <w:rsid w:val="3DC56D68"/>
    <w:rsid w:val="3E10092B"/>
    <w:rsid w:val="3E18333B"/>
    <w:rsid w:val="3E3E7246"/>
    <w:rsid w:val="3E4B1963"/>
    <w:rsid w:val="3E75253C"/>
    <w:rsid w:val="3E774506"/>
    <w:rsid w:val="3E7C7D6E"/>
    <w:rsid w:val="3E8135D7"/>
    <w:rsid w:val="3E8978EB"/>
    <w:rsid w:val="3EB94B1E"/>
    <w:rsid w:val="3ED74FA5"/>
    <w:rsid w:val="3EDB4A95"/>
    <w:rsid w:val="3EE218BB"/>
    <w:rsid w:val="3F150636"/>
    <w:rsid w:val="3F204B9E"/>
    <w:rsid w:val="3F367F1D"/>
    <w:rsid w:val="3F6525B0"/>
    <w:rsid w:val="3F9133A5"/>
    <w:rsid w:val="3FA806EF"/>
    <w:rsid w:val="3FB11C9A"/>
    <w:rsid w:val="3FCE0156"/>
    <w:rsid w:val="3FD31124"/>
    <w:rsid w:val="3FEE07F8"/>
    <w:rsid w:val="401B1A9A"/>
    <w:rsid w:val="401C35B7"/>
    <w:rsid w:val="404C3770"/>
    <w:rsid w:val="404E573A"/>
    <w:rsid w:val="40580367"/>
    <w:rsid w:val="406B009A"/>
    <w:rsid w:val="40703903"/>
    <w:rsid w:val="40833636"/>
    <w:rsid w:val="408D0011"/>
    <w:rsid w:val="40D43E92"/>
    <w:rsid w:val="40D65011"/>
    <w:rsid w:val="40E109B7"/>
    <w:rsid w:val="40E67721"/>
    <w:rsid w:val="40F24318"/>
    <w:rsid w:val="41456B3D"/>
    <w:rsid w:val="41662610"/>
    <w:rsid w:val="418F600A"/>
    <w:rsid w:val="41911D83"/>
    <w:rsid w:val="41AA69A0"/>
    <w:rsid w:val="41B25855"/>
    <w:rsid w:val="41C21F3C"/>
    <w:rsid w:val="41CA2B9F"/>
    <w:rsid w:val="41EA1493"/>
    <w:rsid w:val="41FF6CEC"/>
    <w:rsid w:val="421D7172"/>
    <w:rsid w:val="422B7AE1"/>
    <w:rsid w:val="42332CE9"/>
    <w:rsid w:val="424C5CAA"/>
    <w:rsid w:val="425F3C2F"/>
    <w:rsid w:val="42786A9F"/>
    <w:rsid w:val="427C033D"/>
    <w:rsid w:val="42892A5A"/>
    <w:rsid w:val="42A87384"/>
    <w:rsid w:val="42B850ED"/>
    <w:rsid w:val="42E63A08"/>
    <w:rsid w:val="43171E14"/>
    <w:rsid w:val="431762B8"/>
    <w:rsid w:val="43210EE4"/>
    <w:rsid w:val="432A0910"/>
    <w:rsid w:val="432A5FEB"/>
    <w:rsid w:val="43421586"/>
    <w:rsid w:val="43544E16"/>
    <w:rsid w:val="4374738E"/>
    <w:rsid w:val="43831019"/>
    <w:rsid w:val="43866F99"/>
    <w:rsid w:val="43B27D8E"/>
    <w:rsid w:val="43DD4E0B"/>
    <w:rsid w:val="43E738FD"/>
    <w:rsid w:val="43E77A38"/>
    <w:rsid w:val="43EC32A0"/>
    <w:rsid w:val="43F62371"/>
    <w:rsid w:val="43FF1225"/>
    <w:rsid w:val="444C01E3"/>
    <w:rsid w:val="447137A5"/>
    <w:rsid w:val="448C6831"/>
    <w:rsid w:val="449000D0"/>
    <w:rsid w:val="44C24001"/>
    <w:rsid w:val="44DA57EF"/>
    <w:rsid w:val="44DC50C3"/>
    <w:rsid w:val="44EB79FC"/>
    <w:rsid w:val="45050ABD"/>
    <w:rsid w:val="4508235C"/>
    <w:rsid w:val="450D7972"/>
    <w:rsid w:val="45126D36"/>
    <w:rsid w:val="452623BD"/>
    <w:rsid w:val="452B4BB5"/>
    <w:rsid w:val="452B604A"/>
    <w:rsid w:val="45344C8A"/>
    <w:rsid w:val="454F3AE7"/>
    <w:rsid w:val="45504460"/>
    <w:rsid w:val="457B0D80"/>
    <w:rsid w:val="45A76173"/>
    <w:rsid w:val="45D40490"/>
    <w:rsid w:val="45EF323D"/>
    <w:rsid w:val="45F14B9E"/>
    <w:rsid w:val="45FD79E7"/>
    <w:rsid w:val="46144D30"/>
    <w:rsid w:val="462100F9"/>
    <w:rsid w:val="46317690"/>
    <w:rsid w:val="46445615"/>
    <w:rsid w:val="46477F15"/>
    <w:rsid w:val="46511AE0"/>
    <w:rsid w:val="46A460B4"/>
    <w:rsid w:val="46B53E1D"/>
    <w:rsid w:val="46D5626E"/>
    <w:rsid w:val="47072D52"/>
    <w:rsid w:val="47134FE8"/>
    <w:rsid w:val="47460F19"/>
    <w:rsid w:val="47632D59"/>
    <w:rsid w:val="47857C94"/>
    <w:rsid w:val="478B4B7E"/>
    <w:rsid w:val="47B73BC5"/>
    <w:rsid w:val="47EB386F"/>
    <w:rsid w:val="47EC39BF"/>
    <w:rsid w:val="47FB1D04"/>
    <w:rsid w:val="47FE35A2"/>
    <w:rsid w:val="48396CD0"/>
    <w:rsid w:val="483D40CA"/>
    <w:rsid w:val="483E7E42"/>
    <w:rsid w:val="48660E58"/>
    <w:rsid w:val="48741AB6"/>
    <w:rsid w:val="487F0B87"/>
    <w:rsid w:val="488241D3"/>
    <w:rsid w:val="48825F81"/>
    <w:rsid w:val="48961A2D"/>
    <w:rsid w:val="48B85E47"/>
    <w:rsid w:val="48D30B46"/>
    <w:rsid w:val="48EE2BC9"/>
    <w:rsid w:val="49364C33"/>
    <w:rsid w:val="49830203"/>
    <w:rsid w:val="49A44BB2"/>
    <w:rsid w:val="49B06B1E"/>
    <w:rsid w:val="49B72A97"/>
    <w:rsid w:val="49E54A1A"/>
    <w:rsid w:val="49E8275C"/>
    <w:rsid w:val="4A0B36CD"/>
    <w:rsid w:val="4A4F4589"/>
    <w:rsid w:val="4A600544"/>
    <w:rsid w:val="4A630034"/>
    <w:rsid w:val="4A69564B"/>
    <w:rsid w:val="4AA30431"/>
    <w:rsid w:val="4ABB39CC"/>
    <w:rsid w:val="4ACA1E61"/>
    <w:rsid w:val="4ACE1952"/>
    <w:rsid w:val="4AD66A58"/>
    <w:rsid w:val="4B3A7B4E"/>
    <w:rsid w:val="4B3D2633"/>
    <w:rsid w:val="4B490FD8"/>
    <w:rsid w:val="4B555BCF"/>
    <w:rsid w:val="4B614574"/>
    <w:rsid w:val="4B771FE9"/>
    <w:rsid w:val="4BCE772F"/>
    <w:rsid w:val="4C511FFD"/>
    <w:rsid w:val="4C516396"/>
    <w:rsid w:val="4C6A56AA"/>
    <w:rsid w:val="4C8A5D4C"/>
    <w:rsid w:val="4C8F3363"/>
    <w:rsid w:val="4CCE3E8B"/>
    <w:rsid w:val="4CFB4554"/>
    <w:rsid w:val="4D3A5B11"/>
    <w:rsid w:val="4D3D691B"/>
    <w:rsid w:val="4D6B792C"/>
    <w:rsid w:val="4D7A36CB"/>
    <w:rsid w:val="4D891114"/>
    <w:rsid w:val="4DC44E80"/>
    <w:rsid w:val="4DD74FC1"/>
    <w:rsid w:val="4DFC0584"/>
    <w:rsid w:val="4E0631B0"/>
    <w:rsid w:val="4E0B07C7"/>
    <w:rsid w:val="4E2A50F1"/>
    <w:rsid w:val="4E342F84"/>
    <w:rsid w:val="4E4F7A0A"/>
    <w:rsid w:val="4E656129"/>
    <w:rsid w:val="4E8A5B90"/>
    <w:rsid w:val="4E9B7735"/>
    <w:rsid w:val="4EA76741"/>
    <w:rsid w:val="4ECC6B98"/>
    <w:rsid w:val="4ED17C62"/>
    <w:rsid w:val="4ED80FF1"/>
    <w:rsid w:val="4ED92673"/>
    <w:rsid w:val="4EE74D90"/>
    <w:rsid w:val="4EEB576A"/>
    <w:rsid w:val="4EFB4CDF"/>
    <w:rsid w:val="4F3302E1"/>
    <w:rsid w:val="4F391364"/>
    <w:rsid w:val="4F42290E"/>
    <w:rsid w:val="4F7F321A"/>
    <w:rsid w:val="4F823BE1"/>
    <w:rsid w:val="4F895E47"/>
    <w:rsid w:val="4F90367A"/>
    <w:rsid w:val="4F9D5D96"/>
    <w:rsid w:val="4FF9121F"/>
    <w:rsid w:val="50033E4B"/>
    <w:rsid w:val="50062B38"/>
    <w:rsid w:val="500D4CCA"/>
    <w:rsid w:val="50236859"/>
    <w:rsid w:val="506F1074"/>
    <w:rsid w:val="507146DC"/>
    <w:rsid w:val="508A00C9"/>
    <w:rsid w:val="50926F7D"/>
    <w:rsid w:val="50964CC0"/>
    <w:rsid w:val="50B52C6C"/>
    <w:rsid w:val="50BB64D4"/>
    <w:rsid w:val="50BD049E"/>
    <w:rsid w:val="50EE68AA"/>
    <w:rsid w:val="512322CB"/>
    <w:rsid w:val="5134567A"/>
    <w:rsid w:val="5139564B"/>
    <w:rsid w:val="516C62F1"/>
    <w:rsid w:val="51894824"/>
    <w:rsid w:val="51937451"/>
    <w:rsid w:val="51986815"/>
    <w:rsid w:val="51EB4B97"/>
    <w:rsid w:val="526B3F2A"/>
    <w:rsid w:val="52775DEE"/>
    <w:rsid w:val="527E3C5D"/>
    <w:rsid w:val="5290573F"/>
    <w:rsid w:val="52AF3E17"/>
    <w:rsid w:val="52D95337"/>
    <w:rsid w:val="52DD4E28"/>
    <w:rsid w:val="52E02860"/>
    <w:rsid w:val="52E166C3"/>
    <w:rsid w:val="53035F10"/>
    <w:rsid w:val="531620E8"/>
    <w:rsid w:val="53226CDE"/>
    <w:rsid w:val="53285977"/>
    <w:rsid w:val="532E5683"/>
    <w:rsid w:val="53394B05"/>
    <w:rsid w:val="534C3D5B"/>
    <w:rsid w:val="5382152B"/>
    <w:rsid w:val="538C23AA"/>
    <w:rsid w:val="53B17155"/>
    <w:rsid w:val="53B61F77"/>
    <w:rsid w:val="53D77AC9"/>
    <w:rsid w:val="53E46B80"/>
    <w:rsid w:val="53E775E0"/>
    <w:rsid w:val="53EE2FD4"/>
    <w:rsid w:val="541A79B6"/>
    <w:rsid w:val="541B5774"/>
    <w:rsid w:val="543A6EAD"/>
    <w:rsid w:val="54422A68"/>
    <w:rsid w:val="544467E1"/>
    <w:rsid w:val="544E11C2"/>
    <w:rsid w:val="544E765F"/>
    <w:rsid w:val="54617548"/>
    <w:rsid w:val="5463310B"/>
    <w:rsid w:val="54A51975"/>
    <w:rsid w:val="54BE3514"/>
    <w:rsid w:val="54E3249D"/>
    <w:rsid w:val="54F71AA5"/>
    <w:rsid w:val="551E7032"/>
    <w:rsid w:val="55432450"/>
    <w:rsid w:val="555E38D2"/>
    <w:rsid w:val="558C043F"/>
    <w:rsid w:val="55985036"/>
    <w:rsid w:val="55AE2AAB"/>
    <w:rsid w:val="55CA0F67"/>
    <w:rsid w:val="55F304BE"/>
    <w:rsid w:val="563805C7"/>
    <w:rsid w:val="56694C24"/>
    <w:rsid w:val="56A1160C"/>
    <w:rsid w:val="56B04601"/>
    <w:rsid w:val="56BD287A"/>
    <w:rsid w:val="56C43C09"/>
    <w:rsid w:val="56D57BC4"/>
    <w:rsid w:val="56DB78D0"/>
    <w:rsid w:val="56ED7603"/>
    <w:rsid w:val="56F3629C"/>
    <w:rsid w:val="56F72230"/>
    <w:rsid w:val="56FC7846"/>
    <w:rsid w:val="5721105B"/>
    <w:rsid w:val="57672F12"/>
    <w:rsid w:val="57741E27"/>
    <w:rsid w:val="57917F8F"/>
    <w:rsid w:val="579E776A"/>
    <w:rsid w:val="57B343A9"/>
    <w:rsid w:val="57C32112"/>
    <w:rsid w:val="57C57C38"/>
    <w:rsid w:val="57CC7219"/>
    <w:rsid w:val="57D1482F"/>
    <w:rsid w:val="57D63BF4"/>
    <w:rsid w:val="5803016F"/>
    <w:rsid w:val="582708F3"/>
    <w:rsid w:val="583C7C96"/>
    <w:rsid w:val="584E7C2E"/>
    <w:rsid w:val="586438F5"/>
    <w:rsid w:val="58711B6E"/>
    <w:rsid w:val="5875340D"/>
    <w:rsid w:val="58856AF7"/>
    <w:rsid w:val="588C69A8"/>
    <w:rsid w:val="589A2E73"/>
    <w:rsid w:val="58BA19B2"/>
    <w:rsid w:val="58CD149A"/>
    <w:rsid w:val="58F72073"/>
    <w:rsid w:val="58FC3B2E"/>
    <w:rsid w:val="590D1897"/>
    <w:rsid w:val="592117E6"/>
    <w:rsid w:val="593432C8"/>
    <w:rsid w:val="593C217C"/>
    <w:rsid w:val="5943175D"/>
    <w:rsid w:val="594D25DB"/>
    <w:rsid w:val="594E4DC3"/>
    <w:rsid w:val="59561490"/>
    <w:rsid w:val="59705BA9"/>
    <w:rsid w:val="597E09E7"/>
    <w:rsid w:val="598D700C"/>
    <w:rsid w:val="598F04FE"/>
    <w:rsid w:val="59C77C98"/>
    <w:rsid w:val="59CC10D9"/>
    <w:rsid w:val="5A105AE3"/>
    <w:rsid w:val="5A2A0227"/>
    <w:rsid w:val="5A382944"/>
    <w:rsid w:val="5A3B4BCC"/>
    <w:rsid w:val="5A584D94"/>
    <w:rsid w:val="5A83592C"/>
    <w:rsid w:val="5AB9459A"/>
    <w:rsid w:val="5AD15BF9"/>
    <w:rsid w:val="5AEB20AC"/>
    <w:rsid w:val="5B2829B8"/>
    <w:rsid w:val="5B663971"/>
    <w:rsid w:val="5B9B5880"/>
    <w:rsid w:val="5BA67D81"/>
    <w:rsid w:val="5BC533DA"/>
    <w:rsid w:val="5BCD17B1"/>
    <w:rsid w:val="5BED775E"/>
    <w:rsid w:val="5BF907F8"/>
    <w:rsid w:val="5C162C69"/>
    <w:rsid w:val="5C464A56"/>
    <w:rsid w:val="5C4E644E"/>
    <w:rsid w:val="5C6A7000"/>
    <w:rsid w:val="5C7B120D"/>
    <w:rsid w:val="5C920267"/>
    <w:rsid w:val="5CAC13C7"/>
    <w:rsid w:val="5CCC1A69"/>
    <w:rsid w:val="5CE768A3"/>
    <w:rsid w:val="5D2E4FDA"/>
    <w:rsid w:val="5D5201C0"/>
    <w:rsid w:val="5D7B36EF"/>
    <w:rsid w:val="5D9E4E29"/>
    <w:rsid w:val="5DB744C7"/>
    <w:rsid w:val="5DB84221"/>
    <w:rsid w:val="5DEB5F1F"/>
    <w:rsid w:val="5DED2828"/>
    <w:rsid w:val="5E135D11"/>
    <w:rsid w:val="5E6E2F22"/>
    <w:rsid w:val="5E84014A"/>
    <w:rsid w:val="5E9B59CB"/>
    <w:rsid w:val="5EB10F16"/>
    <w:rsid w:val="5ECE6AE2"/>
    <w:rsid w:val="5EFA0B0F"/>
    <w:rsid w:val="5EFB03E4"/>
    <w:rsid w:val="5F0977E5"/>
    <w:rsid w:val="5F0B4ACB"/>
    <w:rsid w:val="5F0C439F"/>
    <w:rsid w:val="5F1B5C08"/>
    <w:rsid w:val="5F313E05"/>
    <w:rsid w:val="5F645F89"/>
    <w:rsid w:val="5F824661"/>
    <w:rsid w:val="5F8D1984"/>
    <w:rsid w:val="5F961333"/>
    <w:rsid w:val="5FB52C88"/>
    <w:rsid w:val="5FC058B5"/>
    <w:rsid w:val="5FC30F01"/>
    <w:rsid w:val="5FC52ECB"/>
    <w:rsid w:val="5FE07D05"/>
    <w:rsid w:val="5FF27A39"/>
    <w:rsid w:val="600F3677"/>
    <w:rsid w:val="602B6AA7"/>
    <w:rsid w:val="60433DF0"/>
    <w:rsid w:val="604C539B"/>
    <w:rsid w:val="60636240"/>
    <w:rsid w:val="6065645C"/>
    <w:rsid w:val="60681AA9"/>
    <w:rsid w:val="609F196E"/>
    <w:rsid w:val="60A26D69"/>
    <w:rsid w:val="60B62814"/>
    <w:rsid w:val="61096DE8"/>
    <w:rsid w:val="610C4B2A"/>
    <w:rsid w:val="6131633F"/>
    <w:rsid w:val="6149011F"/>
    <w:rsid w:val="6171498D"/>
    <w:rsid w:val="618B118B"/>
    <w:rsid w:val="619012B7"/>
    <w:rsid w:val="61954B1F"/>
    <w:rsid w:val="619E438F"/>
    <w:rsid w:val="61A86601"/>
    <w:rsid w:val="61AD3E67"/>
    <w:rsid w:val="61B64F19"/>
    <w:rsid w:val="61CD7F83"/>
    <w:rsid w:val="61D7354F"/>
    <w:rsid w:val="61ED495B"/>
    <w:rsid w:val="61EE5FDE"/>
    <w:rsid w:val="61FA0313"/>
    <w:rsid w:val="620D2908"/>
    <w:rsid w:val="62377985"/>
    <w:rsid w:val="623E6F65"/>
    <w:rsid w:val="62516C98"/>
    <w:rsid w:val="62522A10"/>
    <w:rsid w:val="625D388F"/>
    <w:rsid w:val="626F5370"/>
    <w:rsid w:val="627B5AC3"/>
    <w:rsid w:val="62A74B0A"/>
    <w:rsid w:val="62B249B4"/>
    <w:rsid w:val="62D13935"/>
    <w:rsid w:val="62EA49F7"/>
    <w:rsid w:val="630261E5"/>
    <w:rsid w:val="630930CF"/>
    <w:rsid w:val="630A6E47"/>
    <w:rsid w:val="632A1297"/>
    <w:rsid w:val="632F68AE"/>
    <w:rsid w:val="635E019B"/>
    <w:rsid w:val="63732C3E"/>
    <w:rsid w:val="637A221F"/>
    <w:rsid w:val="63A177AC"/>
    <w:rsid w:val="63BF4FE8"/>
    <w:rsid w:val="63CC234F"/>
    <w:rsid w:val="63E038EF"/>
    <w:rsid w:val="640D6BEF"/>
    <w:rsid w:val="64356146"/>
    <w:rsid w:val="646D1D84"/>
    <w:rsid w:val="647A41FA"/>
    <w:rsid w:val="649E3CEB"/>
    <w:rsid w:val="64A62BA0"/>
    <w:rsid w:val="64F77491"/>
    <w:rsid w:val="65000502"/>
    <w:rsid w:val="65046244"/>
    <w:rsid w:val="651A39E8"/>
    <w:rsid w:val="654B6723"/>
    <w:rsid w:val="654E5711"/>
    <w:rsid w:val="65554CF2"/>
    <w:rsid w:val="65741C3D"/>
    <w:rsid w:val="65907AD8"/>
    <w:rsid w:val="65984BDE"/>
    <w:rsid w:val="65B23EF2"/>
    <w:rsid w:val="65E17F2C"/>
    <w:rsid w:val="6618187B"/>
    <w:rsid w:val="662D17CA"/>
    <w:rsid w:val="664B39FF"/>
    <w:rsid w:val="6659611C"/>
    <w:rsid w:val="66650F64"/>
    <w:rsid w:val="667E2026"/>
    <w:rsid w:val="66833198"/>
    <w:rsid w:val="66A15D14"/>
    <w:rsid w:val="66B25244"/>
    <w:rsid w:val="66BC2B4E"/>
    <w:rsid w:val="66C37A39"/>
    <w:rsid w:val="66CF2882"/>
    <w:rsid w:val="672524A2"/>
    <w:rsid w:val="6759039D"/>
    <w:rsid w:val="67784CC7"/>
    <w:rsid w:val="67BF46A4"/>
    <w:rsid w:val="67E60BCD"/>
    <w:rsid w:val="67FA1A5E"/>
    <w:rsid w:val="6804655B"/>
    <w:rsid w:val="682B7F8C"/>
    <w:rsid w:val="68381AF2"/>
    <w:rsid w:val="68525518"/>
    <w:rsid w:val="688A2F04"/>
    <w:rsid w:val="68907DEF"/>
    <w:rsid w:val="68CC7194"/>
    <w:rsid w:val="690A5DF3"/>
    <w:rsid w:val="69112CDD"/>
    <w:rsid w:val="69194288"/>
    <w:rsid w:val="693115D2"/>
    <w:rsid w:val="69354EFB"/>
    <w:rsid w:val="6937396B"/>
    <w:rsid w:val="693966D8"/>
    <w:rsid w:val="697119CE"/>
    <w:rsid w:val="69BD0841"/>
    <w:rsid w:val="69C75B99"/>
    <w:rsid w:val="69FC398E"/>
    <w:rsid w:val="6A211646"/>
    <w:rsid w:val="6A3550F2"/>
    <w:rsid w:val="6A570BC4"/>
    <w:rsid w:val="6A627569"/>
    <w:rsid w:val="6A841BD5"/>
    <w:rsid w:val="6AB53B3C"/>
    <w:rsid w:val="6AC02C0D"/>
    <w:rsid w:val="6AE807CF"/>
    <w:rsid w:val="6AF24D91"/>
    <w:rsid w:val="6B036F9E"/>
    <w:rsid w:val="6B086362"/>
    <w:rsid w:val="6B1B6095"/>
    <w:rsid w:val="6B321631"/>
    <w:rsid w:val="6B562347"/>
    <w:rsid w:val="6B947BF6"/>
    <w:rsid w:val="6BD6020E"/>
    <w:rsid w:val="6C3F4006"/>
    <w:rsid w:val="6C4E4249"/>
    <w:rsid w:val="6C841DBF"/>
    <w:rsid w:val="6C8C6B1F"/>
    <w:rsid w:val="6CA83959"/>
    <w:rsid w:val="6CAB51F7"/>
    <w:rsid w:val="6CCF5389"/>
    <w:rsid w:val="6D0668D1"/>
    <w:rsid w:val="6D156B14"/>
    <w:rsid w:val="6D1E3C1B"/>
    <w:rsid w:val="6D2C27DC"/>
    <w:rsid w:val="6D2F7BD6"/>
    <w:rsid w:val="6D604233"/>
    <w:rsid w:val="6D785A21"/>
    <w:rsid w:val="6DAF51BB"/>
    <w:rsid w:val="6DD8026E"/>
    <w:rsid w:val="6DDB7D5E"/>
    <w:rsid w:val="6DEE7A91"/>
    <w:rsid w:val="6E1F649C"/>
    <w:rsid w:val="6E3B6A4F"/>
    <w:rsid w:val="6E4C47B8"/>
    <w:rsid w:val="6E751F61"/>
    <w:rsid w:val="6EA6036C"/>
    <w:rsid w:val="6EA939B8"/>
    <w:rsid w:val="6EC47C66"/>
    <w:rsid w:val="6ED8604B"/>
    <w:rsid w:val="6EF015E7"/>
    <w:rsid w:val="6F047DDC"/>
    <w:rsid w:val="6F060E0B"/>
    <w:rsid w:val="6F0F4163"/>
    <w:rsid w:val="6F1B2B08"/>
    <w:rsid w:val="6F2A4AF9"/>
    <w:rsid w:val="6F394A78"/>
    <w:rsid w:val="6F4162E7"/>
    <w:rsid w:val="6F4B2CC1"/>
    <w:rsid w:val="6F795A80"/>
    <w:rsid w:val="6F863CF9"/>
    <w:rsid w:val="6F9208F0"/>
    <w:rsid w:val="6F944668"/>
    <w:rsid w:val="6F9B37DF"/>
    <w:rsid w:val="6FB940CF"/>
    <w:rsid w:val="6FC84312"/>
    <w:rsid w:val="6FDF4162"/>
    <w:rsid w:val="6FE54EC4"/>
    <w:rsid w:val="6FE729EA"/>
    <w:rsid w:val="7012394F"/>
    <w:rsid w:val="7020414E"/>
    <w:rsid w:val="70473489"/>
    <w:rsid w:val="70775C47"/>
    <w:rsid w:val="70BB28C7"/>
    <w:rsid w:val="70C64CF5"/>
    <w:rsid w:val="70CB230C"/>
    <w:rsid w:val="70D85B2F"/>
    <w:rsid w:val="70EE26E6"/>
    <w:rsid w:val="710D6480"/>
    <w:rsid w:val="71290DE0"/>
    <w:rsid w:val="71306613"/>
    <w:rsid w:val="714F4CEB"/>
    <w:rsid w:val="71526589"/>
    <w:rsid w:val="71630796"/>
    <w:rsid w:val="716342F2"/>
    <w:rsid w:val="71685DAD"/>
    <w:rsid w:val="717A163C"/>
    <w:rsid w:val="71B44B4E"/>
    <w:rsid w:val="71B763EC"/>
    <w:rsid w:val="71C254BD"/>
    <w:rsid w:val="71C50B09"/>
    <w:rsid w:val="71D90A58"/>
    <w:rsid w:val="72231CD3"/>
    <w:rsid w:val="723C3FAF"/>
    <w:rsid w:val="72521112"/>
    <w:rsid w:val="72C9533D"/>
    <w:rsid w:val="72D54D7C"/>
    <w:rsid w:val="72D57472"/>
    <w:rsid w:val="72E90D7F"/>
    <w:rsid w:val="72FD42D3"/>
    <w:rsid w:val="73261A7B"/>
    <w:rsid w:val="733107D8"/>
    <w:rsid w:val="737C169B"/>
    <w:rsid w:val="73BB6668"/>
    <w:rsid w:val="73E51C2F"/>
    <w:rsid w:val="73E80675"/>
    <w:rsid w:val="73EA0CFB"/>
    <w:rsid w:val="73FE47A6"/>
    <w:rsid w:val="740873D3"/>
    <w:rsid w:val="740B2A1F"/>
    <w:rsid w:val="744321B9"/>
    <w:rsid w:val="745D6531"/>
    <w:rsid w:val="74600FBD"/>
    <w:rsid w:val="74640AAD"/>
    <w:rsid w:val="748A603A"/>
    <w:rsid w:val="74AE3AD6"/>
    <w:rsid w:val="74DD362F"/>
    <w:rsid w:val="74E120FE"/>
    <w:rsid w:val="750E6C6B"/>
    <w:rsid w:val="751E11CC"/>
    <w:rsid w:val="758F1B5A"/>
    <w:rsid w:val="75BC66C7"/>
    <w:rsid w:val="75D91027"/>
    <w:rsid w:val="760342F6"/>
    <w:rsid w:val="761553FC"/>
    <w:rsid w:val="761E2EDE"/>
    <w:rsid w:val="76437692"/>
    <w:rsid w:val="764A5A81"/>
    <w:rsid w:val="7671125F"/>
    <w:rsid w:val="7671300D"/>
    <w:rsid w:val="76DD06A3"/>
    <w:rsid w:val="76E539FB"/>
    <w:rsid w:val="76EB7264"/>
    <w:rsid w:val="76FB321F"/>
    <w:rsid w:val="772067E2"/>
    <w:rsid w:val="77342D4E"/>
    <w:rsid w:val="77430E54"/>
    <w:rsid w:val="776112D4"/>
    <w:rsid w:val="77664B3C"/>
    <w:rsid w:val="777C4360"/>
    <w:rsid w:val="77882D05"/>
    <w:rsid w:val="77D45F4A"/>
    <w:rsid w:val="77E37F3B"/>
    <w:rsid w:val="77FA7033"/>
    <w:rsid w:val="7819395D"/>
    <w:rsid w:val="785C1A9B"/>
    <w:rsid w:val="78746DE5"/>
    <w:rsid w:val="78782D79"/>
    <w:rsid w:val="78A376CA"/>
    <w:rsid w:val="78EA5EF2"/>
    <w:rsid w:val="791A5BDE"/>
    <w:rsid w:val="791B3704"/>
    <w:rsid w:val="7924080B"/>
    <w:rsid w:val="79256331"/>
    <w:rsid w:val="794964C4"/>
    <w:rsid w:val="795A422D"/>
    <w:rsid w:val="795F5CE7"/>
    <w:rsid w:val="79823784"/>
    <w:rsid w:val="799314ED"/>
    <w:rsid w:val="79B24069"/>
    <w:rsid w:val="79BA191D"/>
    <w:rsid w:val="79C1605A"/>
    <w:rsid w:val="79D12015"/>
    <w:rsid w:val="79E306C6"/>
    <w:rsid w:val="79F3642F"/>
    <w:rsid w:val="79F72FA5"/>
    <w:rsid w:val="79F857F4"/>
    <w:rsid w:val="7A275176"/>
    <w:rsid w:val="7A320D06"/>
    <w:rsid w:val="7A664E53"/>
    <w:rsid w:val="7A6A04A0"/>
    <w:rsid w:val="7A765096"/>
    <w:rsid w:val="7A7C01D3"/>
    <w:rsid w:val="7AB23BF5"/>
    <w:rsid w:val="7ACF29F8"/>
    <w:rsid w:val="7AD149C3"/>
    <w:rsid w:val="7B0A68E9"/>
    <w:rsid w:val="7B18439F"/>
    <w:rsid w:val="7B220D7A"/>
    <w:rsid w:val="7B227779"/>
    <w:rsid w:val="7B31720F"/>
    <w:rsid w:val="7B3B1E3C"/>
    <w:rsid w:val="7BB33FCE"/>
    <w:rsid w:val="7C0C5586"/>
    <w:rsid w:val="7C240B22"/>
    <w:rsid w:val="7C43544C"/>
    <w:rsid w:val="7C4F2043"/>
    <w:rsid w:val="7C694787"/>
    <w:rsid w:val="7C6E6F3C"/>
    <w:rsid w:val="7C7E0232"/>
    <w:rsid w:val="7CAB4D9F"/>
    <w:rsid w:val="7CBE4AD3"/>
    <w:rsid w:val="7CC55E61"/>
    <w:rsid w:val="7CD460A4"/>
    <w:rsid w:val="7D056BA5"/>
    <w:rsid w:val="7D08288D"/>
    <w:rsid w:val="7D252DA4"/>
    <w:rsid w:val="7D397EFB"/>
    <w:rsid w:val="7D4F0E01"/>
    <w:rsid w:val="7D586CD5"/>
    <w:rsid w:val="7D6722A4"/>
    <w:rsid w:val="7D692C90"/>
    <w:rsid w:val="7D717D97"/>
    <w:rsid w:val="7D853842"/>
    <w:rsid w:val="7D8555F0"/>
    <w:rsid w:val="7DA4016C"/>
    <w:rsid w:val="7DA77C5D"/>
    <w:rsid w:val="7DB879A9"/>
    <w:rsid w:val="7DDD4202"/>
    <w:rsid w:val="7DE40569"/>
    <w:rsid w:val="7DEC4B84"/>
    <w:rsid w:val="7DF74740"/>
    <w:rsid w:val="7E114D79"/>
    <w:rsid w:val="7E1939E8"/>
    <w:rsid w:val="7E1C7D03"/>
    <w:rsid w:val="7E1F3C97"/>
    <w:rsid w:val="7E2B6198"/>
    <w:rsid w:val="7E350DC4"/>
    <w:rsid w:val="7E4F632A"/>
    <w:rsid w:val="7E747B3F"/>
    <w:rsid w:val="7E7A2C7B"/>
    <w:rsid w:val="7E801D18"/>
    <w:rsid w:val="7E90249F"/>
    <w:rsid w:val="7EBC14E6"/>
    <w:rsid w:val="7EC108AA"/>
    <w:rsid w:val="7ED93E46"/>
    <w:rsid w:val="7EED306E"/>
    <w:rsid w:val="7F032C71"/>
    <w:rsid w:val="7F0D7F93"/>
    <w:rsid w:val="7F21759B"/>
    <w:rsid w:val="7F280963"/>
    <w:rsid w:val="7F511C2E"/>
    <w:rsid w:val="7F6556D9"/>
    <w:rsid w:val="7F8567C3"/>
    <w:rsid w:val="7F86582B"/>
    <w:rsid w:val="7F8C516B"/>
    <w:rsid w:val="7FA77AA0"/>
    <w:rsid w:val="7FB328E9"/>
    <w:rsid w:val="7FE72592"/>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qFormat="1"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36"/>
    <w:qFormat/>
    <w:uiPriority w:val="9"/>
    <w:pPr>
      <w:keepNext/>
      <w:keepLines/>
      <w:spacing w:before="340" w:after="330" w:line="578" w:lineRule="auto"/>
      <w:jc w:val="center"/>
      <w:outlineLvl w:val="0"/>
    </w:pPr>
    <w:rPr>
      <w:rFonts w:eastAsia="黑体"/>
      <w:b/>
      <w:bCs/>
      <w:kern w:val="44"/>
      <w:sz w:val="44"/>
      <w:szCs w:val="44"/>
    </w:rPr>
  </w:style>
  <w:style w:type="paragraph" w:styleId="3">
    <w:name w:val="heading 2"/>
    <w:basedOn w:val="1"/>
    <w:next w:val="1"/>
    <w:link w:val="38"/>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47"/>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48"/>
    <w:unhideWhenUsed/>
    <w:qFormat/>
    <w:uiPriority w:val="9"/>
    <w:pPr>
      <w:keepNext/>
      <w:keepLines/>
      <w:spacing w:before="280" w:after="290" w:line="376" w:lineRule="auto"/>
      <w:outlineLvl w:val="3"/>
    </w:pPr>
    <w:rPr>
      <w:rFonts w:asciiTheme="majorHAnsi" w:hAnsiTheme="majorHAnsi" w:cstheme="majorBidi"/>
      <w:b/>
      <w:bCs/>
      <w:sz w:val="28"/>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autoRedefine/>
    <w:unhideWhenUsed/>
    <w:qFormat/>
    <w:uiPriority w:val="39"/>
    <w:pPr>
      <w:ind w:left="1440"/>
    </w:pPr>
    <w:rPr>
      <w:rFonts w:asciiTheme="minorHAnsi" w:eastAsiaTheme="minorHAnsi"/>
      <w:sz w:val="18"/>
      <w:szCs w:val="18"/>
    </w:rPr>
  </w:style>
  <w:style w:type="paragraph" w:styleId="7">
    <w:name w:val="Normal Indent"/>
    <w:basedOn w:val="1"/>
    <w:next w:val="1"/>
    <w:unhideWhenUsed/>
    <w:qFormat/>
    <w:uiPriority w:val="0"/>
    <w:pPr>
      <w:ind w:firstLine="420" w:firstLineChars="200"/>
    </w:pPr>
    <w:rPr>
      <w:rFonts w:ascii="Calibri" w:hAnsi="Calibri"/>
      <w:szCs w:val="22"/>
    </w:rPr>
  </w:style>
  <w:style w:type="paragraph" w:styleId="8">
    <w:name w:val="List Bullet"/>
    <w:basedOn w:val="1"/>
    <w:autoRedefine/>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9">
    <w:name w:val="annotation text"/>
    <w:basedOn w:val="1"/>
    <w:link w:val="45"/>
    <w:qFormat/>
    <w:uiPriority w:val="0"/>
    <w:pPr>
      <w:spacing w:line="240" w:lineRule="auto"/>
    </w:pPr>
    <w:rPr>
      <w:rFonts w:asciiTheme="minorHAnsi" w:hAnsiTheme="minorHAnsi" w:eastAsiaTheme="minorEastAsia"/>
      <w:sz w:val="21"/>
      <w:szCs w:val="24"/>
    </w:rPr>
  </w:style>
  <w:style w:type="paragraph" w:styleId="10">
    <w:name w:val="Body Text 3"/>
    <w:basedOn w:val="1"/>
    <w:link w:val="41"/>
    <w:semiHidden/>
    <w:unhideWhenUsed/>
    <w:qFormat/>
    <w:uiPriority w:val="99"/>
    <w:pPr>
      <w:spacing w:after="120"/>
    </w:pPr>
    <w:rPr>
      <w:sz w:val="16"/>
      <w:szCs w:val="16"/>
    </w:rPr>
  </w:style>
  <w:style w:type="paragraph" w:styleId="11">
    <w:name w:val="Body Text"/>
    <w:basedOn w:val="1"/>
    <w:link w:val="40"/>
    <w:unhideWhenUsed/>
    <w:qFormat/>
    <w:uiPriority w:val="99"/>
    <w:pPr>
      <w:spacing w:after="120" w:line="240" w:lineRule="auto"/>
      <w:jc w:val="both"/>
    </w:pPr>
    <w:rPr>
      <w:rFonts w:ascii="Times New Roman" w:hAnsi="Times New Roman" w:cs="Times New Roman"/>
      <w:kern w:val="0"/>
      <w:sz w:val="20"/>
      <w:szCs w:val="20"/>
    </w:rPr>
  </w:style>
  <w:style w:type="paragraph" w:styleId="12">
    <w:name w:val="Body Text Indent"/>
    <w:basedOn w:val="1"/>
    <w:unhideWhenUsed/>
    <w:qFormat/>
    <w:uiPriority w:val="0"/>
    <w:pPr>
      <w:ind w:firstLine="630"/>
    </w:pPr>
    <w:rPr>
      <w:rFonts w:eastAsia="仿宋_GB2312"/>
      <w:kern w:val="0"/>
      <w:sz w:val="32"/>
      <w:szCs w:val="20"/>
    </w:rPr>
  </w:style>
  <w:style w:type="paragraph" w:styleId="13">
    <w:name w:val="toc 5"/>
    <w:basedOn w:val="1"/>
    <w:next w:val="1"/>
    <w:autoRedefine/>
    <w:unhideWhenUsed/>
    <w:qFormat/>
    <w:uiPriority w:val="39"/>
    <w:pPr>
      <w:ind w:left="960"/>
    </w:pPr>
    <w:rPr>
      <w:rFonts w:asciiTheme="minorHAnsi" w:eastAsiaTheme="minorHAnsi"/>
      <w:sz w:val="18"/>
      <w:szCs w:val="18"/>
    </w:rPr>
  </w:style>
  <w:style w:type="paragraph" w:styleId="14">
    <w:name w:val="toc 3"/>
    <w:basedOn w:val="1"/>
    <w:next w:val="1"/>
    <w:autoRedefine/>
    <w:unhideWhenUsed/>
    <w:qFormat/>
    <w:uiPriority w:val="39"/>
    <w:pPr>
      <w:ind w:left="480"/>
    </w:pPr>
    <w:rPr>
      <w:rFonts w:asciiTheme="minorHAnsi" w:eastAsiaTheme="minorHAnsi"/>
      <w:i/>
      <w:iCs/>
      <w:sz w:val="20"/>
      <w:szCs w:val="20"/>
    </w:rPr>
  </w:style>
  <w:style w:type="paragraph" w:styleId="15">
    <w:name w:val="Plain Text"/>
    <w:basedOn w:val="1"/>
    <w:unhideWhenUsed/>
    <w:qFormat/>
    <w:uiPriority w:val="0"/>
    <w:rPr>
      <w:rFonts w:ascii="宋体" w:hAnsi="Courier New"/>
      <w:kern w:val="0"/>
      <w:sz w:val="20"/>
      <w:szCs w:val="20"/>
    </w:rPr>
  </w:style>
  <w:style w:type="paragraph" w:styleId="16">
    <w:name w:val="toc 8"/>
    <w:basedOn w:val="1"/>
    <w:next w:val="1"/>
    <w:autoRedefine/>
    <w:unhideWhenUsed/>
    <w:qFormat/>
    <w:uiPriority w:val="39"/>
    <w:pPr>
      <w:ind w:left="1680"/>
    </w:pPr>
    <w:rPr>
      <w:rFonts w:asciiTheme="minorHAnsi" w:eastAsiaTheme="minorHAnsi"/>
      <w:sz w:val="18"/>
      <w:szCs w:val="18"/>
    </w:rPr>
  </w:style>
  <w:style w:type="paragraph" w:styleId="17">
    <w:name w:val="footer"/>
    <w:basedOn w:val="1"/>
    <w:link w:val="35"/>
    <w:unhideWhenUsed/>
    <w:qFormat/>
    <w:uiPriority w:val="99"/>
    <w:pPr>
      <w:tabs>
        <w:tab w:val="center" w:pos="4153"/>
        <w:tab w:val="right" w:pos="8306"/>
      </w:tabs>
      <w:snapToGrid w:val="0"/>
    </w:pPr>
    <w:rPr>
      <w:sz w:val="18"/>
      <w:szCs w:val="18"/>
    </w:rPr>
  </w:style>
  <w:style w:type="paragraph" w:styleId="18">
    <w:name w:val="header"/>
    <w:basedOn w:val="1"/>
    <w:link w:val="34"/>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unhideWhenUsed/>
    <w:qFormat/>
    <w:uiPriority w:val="39"/>
    <w:pPr>
      <w:spacing w:before="120" w:after="120"/>
    </w:pPr>
    <w:rPr>
      <w:rFonts w:asciiTheme="minorHAnsi" w:eastAsiaTheme="minorHAnsi"/>
      <w:b/>
      <w:bCs/>
      <w:caps/>
      <w:sz w:val="20"/>
      <w:szCs w:val="20"/>
    </w:rPr>
  </w:style>
  <w:style w:type="paragraph" w:styleId="20">
    <w:name w:val="toc 4"/>
    <w:basedOn w:val="1"/>
    <w:next w:val="1"/>
    <w:autoRedefine/>
    <w:unhideWhenUsed/>
    <w:qFormat/>
    <w:uiPriority w:val="39"/>
    <w:pPr>
      <w:ind w:left="720"/>
    </w:pPr>
    <w:rPr>
      <w:rFonts w:asciiTheme="minorHAnsi" w:eastAsiaTheme="minorHAnsi"/>
      <w:sz w:val="18"/>
      <w:szCs w:val="18"/>
    </w:rPr>
  </w:style>
  <w:style w:type="paragraph" w:styleId="21">
    <w:name w:val="footnote text"/>
    <w:basedOn w:val="1"/>
    <w:qFormat/>
    <w:uiPriority w:val="0"/>
    <w:pPr>
      <w:widowControl/>
      <w:jc w:val="left"/>
    </w:pPr>
    <w:rPr>
      <w:kern w:val="0"/>
      <w:sz w:val="20"/>
      <w:szCs w:val="20"/>
      <w:lang w:val="de-DE"/>
    </w:rPr>
  </w:style>
  <w:style w:type="paragraph" w:styleId="22">
    <w:name w:val="toc 6"/>
    <w:basedOn w:val="1"/>
    <w:next w:val="1"/>
    <w:autoRedefine/>
    <w:unhideWhenUsed/>
    <w:qFormat/>
    <w:uiPriority w:val="39"/>
    <w:pPr>
      <w:ind w:left="1200"/>
    </w:pPr>
    <w:rPr>
      <w:rFonts w:asciiTheme="minorHAnsi" w:eastAsiaTheme="minorHAnsi"/>
      <w:sz w:val="18"/>
      <w:szCs w:val="18"/>
    </w:rPr>
  </w:style>
  <w:style w:type="paragraph" w:styleId="23">
    <w:name w:val="toc 2"/>
    <w:basedOn w:val="1"/>
    <w:next w:val="1"/>
    <w:autoRedefine/>
    <w:unhideWhenUsed/>
    <w:qFormat/>
    <w:uiPriority w:val="39"/>
    <w:pPr>
      <w:ind w:left="240"/>
    </w:pPr>
    <w:rPr>
      <w:rFonts w:asciiTheme="minorHAnsi" w:eastAsiaTheme="minorHAnsi"/>
      <w:smallCaps/>
      <w:sz w:val="20"/>
      <w:szCs w:val="20"/>
    </w:rPr>
  </w:style>
  <w:style w:type="paragraph" w:styleId="24">
    <w:name w:val="toc 9"/>
    <w:basedOn w:val="1"/>
    <w:next w:val="1"/>
    <w:autoRedefine/>
    <w:unhideWhenUsed/>
    <w:qFormat/>
    <w:uiPriority w:val="39"/>
    <w:pPr>
      <w:ind w:left="1920"/>
    </w:pPr>
    <w:rPr>
      <w:rFonts w:asciiTheme="minorHAnsi" w:eastAsiaTheme="minorHAnsi"/>
      <w:sz w:val="18"/>
      <w:szCs w:val="18"/>
    </w:rPr>
  </w:style>
  <w:style w:type="paragraph" w:styleId="25">
    <w:name w:val="Normal (Web)"/>
    <w:basedOn w:val="1"/>
    <w:qFormat/>
    <w:uiPriority w:val="0"/>
    <w:pPr>
      <w:widowControl/>
      <w:spacing w:before="100" w:beforeAutospacing="1" w:after="100" w:afterAutospacing="1" w:line="240" w:lineRule="auto"/>
    </w:pPr>
    <w:rPr>
      <w:rFonts w:cs="宋体"/>
      <w:kern w:val="0"/>
      <w:szCs w:val="20"/>
    </w:rPr>
  </w:style>
  <w:style w:type="paragraph" w:styleId="26">
    <w:name w:val="annotation subject"/>
    <w:basedOn w:val="9"/>
    <w:next w:val="9"/>
    <w:link w:val="50"/>
    <w:semiHidden/>
    <w:unhideWhenUsed/>
    <w:qFormat/>
    <w:uiPriority w:val="99"/>
    <w:pPr>
      <w:spacing w:line="360" w:lineRule="auto"/>
    </w:pPr>
    <w:rPr>
      <w:rFonts w:ascii="宋体" w:hAnsi="宋体" w:eastAsia="宋体"/>
      <w:b/>
      <w:bCs/>
      <w:sz w:val="24"/>
      <w:szCs w:val="22"/>
    </w:rPr>
  </w:style>
  <w:style w:type="table" w:styleId="28">
    <w:name w:val="Table Grid"/>
    <w:basedOn w:val="2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bCs/>
    </w:rPr>
  </w:style>
  <w:style w:type="character" w:styleId="31">
    <w:name w:val="Hyperlink"/>
    <w:basedOn w:val="29"/>
    <w:unhideWhenUsed/>
    <w:qFormat/>
    <w:uiPriority w:val="99"/>
    <w:rPr>
      <w:color w:val="0563C1" w:themeColor="hyperlink"/>
      <w:u w:val="single"/>
      <w14:textFill>
        <w14:solidFill>
          <w14:schemeClr w14:val="hlink"/>
        </w14:solidFill>
      </w14:textFill>
    </w:rPr>
  </w:style>
  <w:style w:type="character" w:styleId="32">
    <w:name w:val="annotation reference"/>
    <w:basedOn w:val="29"/>
    <w:semiHidden/>
    <w:unhideWhenUsed/>
    <w:qFormat/>
    <w:uiPriority w:val="99"/>
    <w:rPr>
      <w:sz w:val="21"/>
      <w:szCs w:val="21"/>
    </w:rPr>
  </w:style>
  <w:style w:type="paragraph" w:customStyle="1" w:styleId="33">
    <w:name w:val="正文缩进2"/>
    <w:basedOn w:val="1"/>
    <w:qFormat/>
    <w:uiPriority w:val="0"/>
    <w:pPr>
      <w:wordWrap w:val="0"/>
      <w:ind w:firstLine="200" w:firstLineChars="200"/>
    </w:pPr>
  </w:style>
  <w:style w:type="character" w:customStyle="1" w:styleId="34">
    <w:name w:val="页眉 字符"/>
    <w:basedOn w:val="29"/>
    <w:link w:val="18"/>
    <w:qFormat/>
    <w:uiPriority w:val="99"/>
    <w:rPr>
      <w:rFonts w:eastAsia="宋体"/>
      <w:sz w:val="18"/>
      <w:szCs w:val="18"/>
    </w:rPr>
  </w:style>
  <w:style w:type="character" w:customStyle="1" w:styleId="35">
    <w:name w:val="页脚 字符"/>
    <w:basedOn w:val="29"/>
    <w:link w:val="17"/>
    <w:qFormat/>
    <w:uiPriority w:val="99"/>
    <w:rPr>
      <w:rFonts w:eastAsia="宋体"/>
      <w:sz w:val="18"/>
      <w:szCs w:val="18"/>
    </w:rPr>
  </w:style>
  <w:style w:type="character" w:customStyle="1" w:styleId="36">
    <w:name w:val="标题 1 字符"/>
    <w:basedOn w:val="29"/>
    <w:link w:val="2"/>
    <w:qFormat/>
    <w:uiPriority w:val="9"/>
    <w:rPr>
      <w:rFonts w:ascii="宋体" w:hAnsi="宋体" w:eastAsia="黑体"/>
      <w:b/>
      <w:bCs/>
      <w:kern w:val="44"/>
      <w:sz w:val="44"/>
      <w:szCs w:val="44"/>
    </w:rPr>
  </w:style>
  <w:style w:type="paragraph" w:styleId="37">
    <w:name w:val="List Paragraph"/>
    <w:basedOn w:val="1"/>
    <w:link w:val="46"/>
    <w:qFormat/>
    <w:uiPriority w:val="34"/>
    <w:pPr>
      <w:ind w:firstLine="420" w:firstLineChars="200"/>
    </w:pPr>
  </w:style>
  <w:style w:type="character" w:customStyle="1" w:styleId="38">
    <w:name w:val="标题 2 字符"/>
    <w:basedOn w:val="29"/>
    <w:link w:val="3"/>
    <w:qFormat/>
    <w:uiPriority w:val="9"/>
    <w:rPr>
      <w:rFonts w:eastAsia="宋体" w:asciiTheme="majorHAnsi" w:hAnsiTheme="majorHAnsi" w:cstheme="majorBidi"/>
      <w:b/>
      <w:bCs/>
      <w:sz w:val="32"/>
      <w:szCs w:val="32"/>
    </w:rPr>
  </w:style>
  <w:style w:type="character" w:customStyle="1" w:styleId="39">
    <w:name w:val="未处理的提及1"/>
    <w:basedOn w:val="29"/>
    <w:semiHidden/>
    <w:unhideWhenUsed/>
    <w:qFormat/>
    <w:uiPriority w:val="99"/>
    <w:rPr>
      <w:color w:val="605E5C"/>
      <w:shd w:val="clear" w:color="auto" w:fill="E1DFDD"/>
    </w:rPr>
  </w:style>
  <w:style w:type="character" w:customStyle="1" w:styleId="40">
    <w:name w:val="正文文本 字符"/>
    <w:basedOn w:val="29"/>
    <w:link w:val="11"/>
    <w:qFormat/>
    <w:uiPriority w:val="99"/>
    <w:rPr>
      <w:rFonts w:ascii="Times New Roman" w:hAnsi="Times New Roman" w:eastAsia="宋体" w:cs="Times New Roman"/>
      <w:kern w:val="0"/>
      <w:sz w:val="20"/>
      <w:szCs w:val="20"/>
    </w:rPr>
  </w:style>
  <w:style w:type="character" w:customStyle="1" w:styleId="41">
    <w:name w:val="正文文本 3 字符"/>
    <w:basedOn w:val="29"/>
    <w:link w:val="10"/>
    <w:semiHidden/>
    <w:qFormat/>
    <w:uiPriority w:val="99"/>
    <w:rPr>
      <w:rFonts w:ascii="宋体" w:hAnsi="宋体" w:eastAsia="宋体"/>
      <w:sz w:val="16"/>
      <w:szCs w:val="16"/>
    </w:rPr>
  </w:style>
  <w:style w:type="paragraph" w:customStyle="1" w:styleId="42">
    <w:name w:val="Default"/>
    <w:link w:val="43"/>
    <w:qFormat/>
    <w:uiPriority w:val="0"/>
    <w:pPr>
      <w:widowControl w:val="0"/>
      <w:autoSpaceDE w:val="0"/>
      <w:autoSpaceDN w:val="0"/>
      <w:adjustRightInd w:val="0"/>
    </w:pPr>
    <w:rPr>
      <w:rFonts w:ascii=".." w:hAnsi="Times New Roman" w:eastAsia=".." w:cs="Times New Roman"/>
      <w:color w:val="000000"/>
      <w:sz w:val="24"/>
      <w:szCs w:val="24"/>
      <w:lang w:val="en-US" w:eastAsia="zh-CN" w:bidi="ar-SA"/>
    </w:rPr>
  </w:style>
  <w:style w:type="character" w:customStyle="1" w:styleId="43">
    <w:name w:val="Default Char Char"/>
    <w:link w:val="42"/>
    <w:qFormat/>
    <w:uiPriority w:val="0"/>
    <w:rPr>
      <w:rFonts w:ascii=".." w:hAnsi="Times New Roman" w:eastAsia=".." w:cs="Times New Roman"/>
      <w:color w:val="000000"/>
      <w:kern w:val="0"/>
      <w:sz w:val="24"/>
      <w:szCs w:val="24"/>
    </w:rPr>
  </w:style>
  <w:style w:type="paragraph" w:styleId="44">
    <w:name w:val="No Spacing"/>
    <w:link w:val="49"/>
    <w:qFormat/>
    <w:uiPriority w:val="1"/>
    <w:pPr>
      <w:widowControl w:val="0"/>
    </w:pPr>
    <w:rPr>
      <w:rFonts w:ascii="宋体" w:hAnsi="宋体" w:eastAsia="宋体" w:cstheme="minorBidi"/>
      <w:kern w:val="2"/>
      <w:sz w:val="21"/>
      <w:szCs w:val="22"/>
      <w:lang w:val="en-US" w:eastAsia="zh-CN" w:bidi="ar-SA"/>
    </w:rPr>
  </w:style>
  <w:style w:type="character" w:customStyle="1" w:styleId="45">
    <w:name w:val="批注文字 字符"/>
    <w:basedOn w:val="29"/>
    <w:link w:val="9"/>
    <w:qFormat/>
    <w:uiPriority w:val="0"/>
    <w:rPr>
      <w:szCs w:val="24"/>
    </w:rPr>
  </w:style>
  <w:style w:type="character" w:customStyle="1" w:styleId="46">
    <w:name w:val="列表段落 字符"/>
    <w:link w:val="37"/>
    <w:qFormat/>
    <w:uiPriority w:val="34"/>
    <w:rPr>
      <w:rFonts w:ascii="宋体" w:hAnsi="宋体" w:eastAsia="宋体"/>
      <w:sz w:val="24"/>
    </w:rPr>
  </w:style>
  <w:style w:type="character" w:customStyle="1" w:styleId="47">
    <w:name w:val="标题 3 字符"/>
    <w:basedOn w:val="29"/>
    <w:link w:val="4"/>
    <w:autoRedefine/>
    <w:qFormat/>
    <w:uiPriority w:val="9"/>
    <w:rPr>
      <w:rFonts w:ascii="宋体" w:hAnsi="宋体" w:eastAsia="宋体"/>
      <w:b/>
      <w:bCs/>
      <w:sz w:val="32"/>
      <w:szCs w:val="32"/>
    </w:rPr>
  </w:style>
  <w:style w:type="character" w:customStyle="1" w:styleId="48">
    <w:name w:val="标题 4 字符"/>
    <w:basedOn w:val="29"/>
    <w:link w:val="5"/>
    <w:autoRedefine/>
    <w:qFormat/>
    <w:uiPriority w:val="9"/>
    <w:rPr>
      <w:rFonts w:eastAsia="宋体" w:asciiTheme="majorHAnsi" w:hAnsiTheme="majorHAnsi" w:cstheme="majorBidi"/>
      <w:b/>
      <w:bCs/>
      <w:sz w:val="28"/>
      <w:szCs w:val="28"/>
    </w:rPr>
  </w:style>
  <w:style w:type="character" w:customStyle="1" w:styleId="49">
    <w:name w:val="无间隔 字符"/>
    <w:link w:val="44"/>
    <w:qFormat/>
    <w:uiPriority w:val="1"/>
    <w:rPr>
      <w:rFonts w:ascii="宋体" w:hAnsi="宋体" w:eastAsia="宋体"/>
    </w:rPr>
  </w:style>
  <w:style w:type="character" w:customStyle="1" w:styleId="50">
    <w:name w:val="批注主题 字符"/>
    <w:basedOn w:val="45"/>
    <w:link w:val="26"/>
    <w:semiHidden/>
    <w:qFormat/>
    <w:uiPriority w:val="99"/>
    <w:rPr>
      <w:rFonts w:ascii="宋体" w:hAnsi="宋体" w:eastAsia="宋体"/>
      <w:b/>
      <w:bCs/>
      <w:kern w:val="2"/>
      <w:sz w:val="24"/>
      <w:szCs w:val="22"/>
    </w:rPr>
  </w:style>
  <w:style w:type="paragraph" w:customStyle="1" w:styleId="51">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2">
    <w:name w:val="正文_1_1"/>
    <w:basedOn w:val="53"/>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3">
    <w:name w:val="正文_5"/>
    <w:next w:val="5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引文目录标题_0"/>
    <w:basedOn w:val="55"/>
    <w:next w:val="53"/>
    <w:qFormat/>
    <w:uiPriority w:val="0"/>
    <w:pPr>
      <w:spacing w:before="120"/>
    </w:pPr>
    <w:rPr>
      <w:rFonts w:ascii="Arial" w:hAnsi="Arial"/>
      <w:sz w:val="24"/>
    </w:rPr>
  </w:style>
  <w:style w:type="paragraph" w:customStyle="1" w:styleId="55">
    <w:name w:val="正文_2_0"/>
    <w:basedOn w:val="52"/>
    <w:next w:val="54"/>
    <w:qFormat/>
    <w:uiPriority w:val="0"/>
    <w:rPr>
      <w:rFonts w:ascii="Calibri" w:hAnsi="Calibri"/>
      <w:szCs w:val="21"/>
      <w:lang w:bidi="ug-CN"/>
    </w:rPr>
  </w:style>
  <w:style w:type="paragraph" w:customStyle="1" w:styleId="56">
    <w:name w:val="正文1"/>
    <w:autoRedefine/>
    <w:qFormat/>
    <w:uiPriority w:val="0"/>
    <w:pPr>
      <w:widowControl w:val="0"/>
      <w:jc w:val="both"/>
    </w:pPr>
    <w:rPr>
      <w:rFonts w:ascii="Calibri" w:hAnsi="Calibri" w:eastAsia="宋体" w:cs="Times New Roman"/>
      <w:lang w:val="en-US" w:eastAsia="zh-CN" w:bidi="ar-SA"/>
    </w:rPr>
  </w:style>
  <w:style w:type="paragraph" w:customStyle="1" w:styleId="57">
    <w:name w:val="正文_2"/>
    <w:basedOn w:val="58"/>
    <w:next w:val="62"/>
    <w:autoRedefine/>
    <w:qFormat/>
    <w:uiPriority w:val="0"/>
    <w:pPr>
      <w:widowControl w:val="0"/>
      <w:jc w:val="both"/>
    </w:pPr>
    <w:rPr>
      <w:rFonts w:ascii="Calibri" w:hAnsi="Calibri" w:eastAsia="宋体" w:cs="Times New Roman"/>
      <w:lang w:val="en-US" w:eastAsia="zh-CN" w:bidi="ar-SA"/>
    </w:rPr>
  </w:style>
  <w:style w:type="paragraph" w:customStyle="1" w:styleId="58">
    <w:name w:val="正文_1_0"/>
    <w:basedOn w:val="52"/>
    <w:next w:val="59"/>
    <w:qFormat/>
    <w:uiPriority w:val="0"/>
    <w:rPr>
      <w:rFonts w:ascii="Calibri" w:hAnsi="Calibri" w:cs="Calibri"/>
      <w:szCs w:val="21"/>
      <w:lang w:bidi="ug-CN"/>
    </w:rPr>
  </w:style>
  <w:style w:type="paragraph" w:customStyle="1" w:styleId="59">
    <w:name w:val="正文首行缩进1"/>
    <w:basedOn w:val="60"/>
    <w:unhideWhenUsed/>
    <w:qFormat/>
    <w:uiPriority w:val="99"/>
    <w:pPr>
      <w:ind w:firstLine="420" w:firstLineChars="100"/>
    </w:pPr>
    <w:rPr>
      <w:szCs w:val="22"/>
    </w:rPr>
  </w:style>
  <w:style w:type="paragraph" w:customStyle="1" w:styleId="60">
    <w:name w:val="正文文本_0_0"/>
    <w:basedOn w:val="61"/>
    <w:qFormat/>
    <w:uiPriority w:val="0"/>
    <w:pPr>
      <w:spacing w:after="120"/>
    </w:pPr>
    <w:rPr>
      <w:rFonts w:ascii="Calibri" w:hAnsi="Calibri"/>
      <w:kern w:val="0"/>
      <w:sz w:val="20"/>
    </w:rPr>
  </w:style>
  <w:style w:type="paragraph" w:customStyle="1" w:styleId="61">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文本_1"/>
    <w:basedOn w:val="63"/>
    <w:qFormat/>
    <w:uiPriority w:val="0"/>
    <w:pPr>
      <w:spacing w:after="120"/>
    </w:pPr>
    <w:rPr>
      <w:rFonts w:ascii="Calibri" w:hAnsi="Calibri" w:eastAsia="宋体"/>
    </w:rPr>
  </w:style>
  <w:style w:type="paragraph" w:customStyle="1" w:styleId="63">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65">
    <w:name w:val="正文_1"/>
    <w:basedOn w:val="57"/>
    <w:next w:val="5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67">
    <w:name w:val="列出段落1"/>
    <w:basedOn w:val="1"/>
    <w:autoRedefine/>
    <w:qFormat/>
    <w:uiPriority w:val="0"/>
    <w:pPr>
      <w:ind w:firstLine="420" w:firstLineChars="200"/>
    </w:pPr>
    <w:rPr>
      <w:szCs w:val="21"/>
    </w:rPr>
  </w:style>
  <w:style w:type="paragraph" w:customStyle="1" w:styleId="68">
    <w:name w:val="Normal_22"/>
    <w:autoRedefine/>
    <w:qFormat/>
    <w:uiPriority w:val="0"/>
    <w:rPr>
      <w:rFonts w:ascii="Times New Roman" w:hAnsi="Times New Roman" w:eastAsia="Times New Roman" w:cs="Times New Roman"/>
      <w:sz w:val="24"/>
      <w:szCs w:val="24"/>
      <w:lang w:bidi="ar-SA"/>
    </w:rPr>
  </w:style>
  <w:style w:type="paragraph" w:customStyle="1" w:styleId="69">
    <w:name w:val="Char Char Char Char Char Char Char1 Char"/>
    <w:basedOn w:val="1"/>
    <w:autoRedefine/>
    <w:qFormat/>
    <w:uiPriority w:val="0"/>
    <w:rPr>
      <w:rFonts w:ascii="Arial" w:hAnsi="Arial" w:eastAsia="宋体" w:cs="Arial"/>
      <w:sz w:val="24"/>
    </w:rPr>
  </w:style>
  <w:style w:type="paragraph" w:customStyle="1" w:styleId="70">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71">
    <w:name w:val="正文_1_2"/>
    <w:next w:val="7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2">
    <w:name w:val="正文文本缩进_0"/>
    <w:basedOn w:val="73"/>
    <w:qFormat/>
    <w:uiPriority w:val="0"/>
    <w:pPr>
      <w:spacing w:line="500" w:lineRule="exact"/>
      <w:ind w:left="1588" w:leftChars="832" w:firstLine="433" w:firstLineChars="196"/>
    </w:pPr>
    <w:rPr>
      <w:rFonts w:ascii="Calibri" w:hAnsi="Calibri"/>
      <w:sz w:val="24"/>
      <w:szCs w:val="24"/>
    </w:rPr>
  </w:style>
  <w:style w:type="paragraph" w:customStyle="1" w:styleId="73">
    <w:name w:val="正文_5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3_0_0"/>
    <w:next w:val="7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正文文本缩进_1"/>
    <w:basedOn w:val="76"/>
    <w:qFormat/>
    <w:uiPriority w:val="0"/>
    <w:pPr>
      <w:spacing w:line="500" w:lineRule="exact"/>
      <w:ind w:left="1588" w:leftChars="832" w:firstLine="433" w:firstLineChars="196"/>
    </w:pPr>
    <w:rPr>
      <w:rFonts w:ascii="Calibri" w:hAnsi="Calibri"/>
      <w:sz w:val="24"/>
    </w:rPr>
  </w:style>
  <w:style w:type="paragraph" w:customStyle="1" w:styleId="76">
    <w:name w:val="正文_9"/>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129</Pages>
  <Words>20278</Words>
  <Characters>21879</Characters>
  <Lines>294</Lines>
  <Paragraphs>82</Paragraphs>
  <TotalTime>15</TotalTime>
  <ScaleCrop>false</ScaleCrop>
  <LinksUpToDate>false</LinksUpToDate>
  <CharactersWithSpaces>22562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2024-02-04T06:30:00Z</dcterms:created>
  <dc:creator>admin</dc:creator>
  <cp:lastModifiedBy>WPS_1646493992</cp:lastModifiedBy>
  <cp:lastPrinted>2025-04-03T09:19:00Z</cp:lastPrinted>
  <dcterms:modified xsi:type="dcterms:W3CDTF">2025-04-07T11:33:15Z</dcterms:modified>
  <cp:revision>397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8BD01AFE74B5444E8EA47195B0D55759_13</vt:lpwstr>
  </property>
  <property fmtid="{D5CDD505-2E9C-101B-9397-08002B2CF9AE}" pid="4" name="KSOTemplateDocerSaveRecord">
    <vt:lpwstr>eyJoZGlkIjoiNDI5MzBjZjZiNjRkMzJmMDljMmE4OThmZTA0NmU1MzUiLCJ1c2VySWQiOiIxMzM2MjI0ODk2In0=</vt:lpwstr>
  </property>
</Properties>
</file>