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37A52B">
      <w:pPr>
        <w:pageBreakBefore w:val="0"/>
        <w:kinsoku/>
        <w:overflowPunct/>
        <w:bidi w:val="0"/>
        <w:spacing w:beforeAutospacing="0" w:afterAutospacing="0" w:line="560" w:lineRule="exact"/>
        <w:ind w:left="0" w:leftChars="0" w:right="0"/>
        <w:rPr>
          <w:rFonts w:hint="eastAsia" w:ascii="黑体" w:hAnsi="黑体" w:eastAsia="黑体"/>
          <w:color w:val="auto"/>
          <w:sz w:val="32"/>
          <w:szCs w:val="32"/>
          <w:highlight w:val="none"/>
          <w:lang w:eastAsia="zh-CN"/>
        </w:rPr>
      </w:pPr>
    </w:p>
    <w:p w14:paraId="559BF251">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default" w:ascii="宋体" w:hAnsi="宋体" w:eastAsia="宋体" w:cs="宋体"/>
          <w:b/>
          <w:bCs/>
          <w:color w:val="auto"/>
          <w:kern w:val="0"/>
          <w:sz w:val="60"/>
          <w:szCs w:val="60"/>
          <w:highlight w:val="none"/>
          <w:lang w:val="en-US" w:eastAsia="zh-CN"/>
        </w:rPr>
      </w:pPr>
      <w:r>
        <w:rPr>
          <w:rFonts w:hint="eastAsia" w:cs="宋体"/>
          <w:b/>
          <w:bCs/>
          <w:color w:val="auto"/>
          <w:kern w:val="0"/>
          <w:sz w:val="60"/>
          <w:szCs w:val="60"/>
          <w:highlight w:val="none"/>
          <w:lang w:val="en-US" w:eastAsia="zh-CN"/>
        </w:rPr>
        <w:t>新疆生产建设</w:t>
      </w:r>
      <w:r>
        <w:rPr>
          <w:rFonts w:hint="default" w:ascii="宋体" w:hAnsi="宋体" w:eastAsia="宋体" w:cs="宋体"/>
          <w:b/>
          <w:bCs/>
          <w:color w:val="auto"/>
          <w:kern w:val="0"/>
          <w:sz w:val="60"/>
          <w:szCs w:val="60"/>
          <w:highlight w:val="none"/>
          <w:lang w:val="en-US" w:eastAsia="zh-CN"/>
        </w:rPr>
        <w:t>兵团</w:t>
      </w:r>
    </w:p>
    <w:p w14:paraId="34B0E327">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eastAsia" w:ascii="宋体" w:hAnsi="宋体" w:eastAsia="宋体" w:cs="宋体"/>
          <w:b/>
          <w:bCs/>
          <w:color w:val="auto"/>
          <w:kern w:val="0"/>
          <w:sz w:val="60"/>
          <w:szCs w:val="60"/>
          <w:highlight w:val="none"/>
          <w:lang w:val="en-US" w:eastAsia="zh-CN"/>
        </w:rPr>
      </w:pPr>
      <w:r>
        <w:rPr>
          <w:rFonts w:hint="default" w:ascii="宋体" w:hAnsi="宋体" w:eastAsia="宋体" w:cs="宋体"/>
          <w:b/>
          <w:bCs/>
          <w:color w:val="auto"/>
          <w:kern w:val="0"/>
          <w:sz w:val="60"/>
          <w:szCs w:val="60"/>
          <w:highlight w:val="none"/>
          <w:lang w:val="en-US" w:eastAsia="zh-CN"/>
        </w:rPr>
        <w:t>政府采购</w:t>
      </w:r>
      <w:r>
        <w:rPr>
          <w:rFonts w:hint="eastAsia" w:ascii="宋体" w:hAnsi="宋体" w:eastAsia="宋体" w:cs="宋体"/>
          <w:b/>
          <w:bCs/>
          <w:color w:val="auto"/>
          <w:kern w:val="0"/>
          <w:sz w:val="60"/>
          <w:szCs w:val="60"/>
          <w:highlight w:val="none"/>
          <w:lang w:val="en-US" w:eastAsia="zh-CN"/>
        </w:rPr>
        <w:t>项目</w:t>
      </w:r>
    </w:p>
    <w:p w14:paraId="1E8627CC">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default"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公开</w:t>
      </w:r>
      <w:r>
        <w:rPr>
          <w:rFonts w:hint="default" w:ascii="宋体" w:hAnsi="宋体" w:eastAsia="宋体" w:cs="宋体"/>
          <w:b/>
          <w:bCs/>
          <w:color w:val="auto"/>
          <w:kern w:val="0"/>
          <w:sz w:val="60"/>
          <w:szCs w:val="60"/>
          <w:highlight w:val="none"/>
          <w:lang w:val="en-US" w:eastAsia="zh-CN"/>
        </w:rPr>
        <w:t>招标文件</w:t>
      </w:r>
    </w:p>
    <w:p w14:paraId="6EE7BBC7">
      <w:pPr>
        <w:jc w:val="center"/>
        <w:rPr>
          <w:rFonts w:hint="eastAsia"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（服务）</w:t>
      </w:r>
    </w:p>
    <w:p w14:paraId="6D192651">
      <w:pPr>
        <w:pStyle w:val="13"/>
        <w:jc w:val="center"/>
        <w:rPr>
          <w:rFonts w:hint="eastAsia"/>
          <w:lang w:val="en-US" w:eastAsia="zh-CN"/>
        </w:rPr>
      </w:pPr>
    </w:p>
    <w:p w14:paraId="7757DFAA">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32464939">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678767A8">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67E856E7">
      <w:pPr>
        <w:pageBreakBefore w:val="0"/>
        <w:kinsoku/>
        <w:overflowPunct/>
        <w:bidi w:val="0"/>
        <w:spacing w:beforeAutospacing="0" w:afterAutospacing="0" w:line="560" w:lineRule="exact"/>
        <w:ind w:left="0" w:leftChars="0" w:right="0"/>
        <w:jc w:val="both"/>
        <w:rPr>
          <w:rFonts w:ascii="黑体" w:hAnsi="黑体" w:eastAsia="黑体"/>
          <w:color w:val="auto"/>
          <w:sz w:val="52"/>
          <w:szCs w:val="52"/>
          <w:highlight w:val="none"/>
        </w:rPr>
      </w:pPr>
    </w:p>
    <w:p w14:paraId="37DE5329">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1800" w:leftChars="300" w:right="0" w:hanging="1080" w:hangingChars="300"/>
        <w:textAlignment w:val="auto"/>
        <w:rPr>
          <w:rFonts w:ascii="黑体" w:hAnsi="黑体" w:eastAsia="黑体"/>
          <w:color w:val="auto"/>
          <w:sz w:val="52"/>
          <w:szCs w:val="52"/>
          <w:highlight w:val="none"/>
        </w:rPr>
      </w:pPr>
      <w:r>
        <w:rPr>
          <w:rFonts w:hint="eastAsia" w:ascii="宋体" w:hAnsi="宋体" w:eastAsia="宋体" w:cs="宋体"/>
          <w:color w:val="auto"/>
          <w:sz w:val="36"/>
          <w:szCs w:val="36"/>
          <w:highlight w:val="none"/>
        </w:rPr>
        <w:t>项目名称：</w:t>
      </w:r>
      <w:r>
        <w:rPr>
          <w:rFonts w:hint="eastAsia" w:cs="宋体"/>
          <w:color w:val="auto"/>
          <w:sz w:val="36"/>
          <w:szCs w:val="36"/>
          <w:highlight w:val="none"/>
          <w:u w:val="single"/>
          <w:lang w:val="en-US" w:eastAsia="zh-CN"/>
        </w:rPr>
        <w:t>2025年</w:t>
      </w:r>
      <w:r>
        <w:rPr>
          <w:rFonts w:hint="eastAsia" w:cs="宋体"/>
          <w:color w:val="auto"/>
          <w:sz w:val="32"/>
          <w:szCs w:val="32"/>
          <w:highlight w:val="none"/>
          <w:u w:val="single"/>
          <w:lang w:val="en-US" w:eastAsia="zh-CN"/>
        </w:rPr>
        <w:t>昆仑人民医院物业管理服务采购项目（标项二）</w:t>
      </w:r>
    </w:p>
    <w:p w14:paraId="78EDDC2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firstLine="720" w:firstLineChars="200"/>
        <w:textAlignment w:val="auto"/>
        <w:rPr>
          <w:rFonts w:hint="eastAsia" w:ascii="Times New Roman" w:hAnsi="Times New Roman" w:eastAsia="仿宋_GB2312" w:cs="楷体_GB2312"/>
          <w:i w:val="0"/>
          <w:iCs w:val="0"/>
          <w:caps w:val="0"/>
          <w:color w:val="auto"/>
          <w:spacing w:val="0"/>
          <w:sz w:val="32"/>
          <w:szCs w:val="32"/>
          <w:u w:val="single"/>
          <w:shd w:val="clear" w:fill="EBF4FF"/>
          <w:lang w:val="en-US" w:eastAsia="zh-CN"/>
        </w:rPr>
      </w:pPr>
      <w:r>
        <w:rPr>
          <w:rFonts w:hint="eastAsia" w:ascii="宋体" w:hAnsi="宋体" w:eastAsia="宋体" w:cs="宋体"/>
          <w:color w:val="auto"/>
          <w:sz w:val="36"/>
          <w:szCs w:val="36"/>
          <w:highlight w:val="none"/>
        </w:rPr>
        <w:t>项目编号：</w:t>
      </w:r>
      <w:r>
        <w:rPr>
          <w:rFonts w:hint="eastAsia" w:cs="宋体"/>
          <w:color w:val="auto"/>
          <w:sz w:val="36"/>
          <w:szCs w:val="36"/>
          <w:highlight w:val="none"/>
          <w:u w:val="single"/>
          <w:lang w:val="en-US" w:eastAsia="zh-CN"/>
        </w:rPr>
        <w:t xml:space="preserve"> </w:t>
      </w:r>
      <w:r>
        <w:rPr>
          <w:rFonts w:hint="eastAsia" w:cs="宋体"/>
          <w:color w:val="auto"/>
          <w:sz w:val="32"/>
          <w:szCs w:val="32"/>
          <w:highlight w:val="none"/>
          <w:u w:val="single"/>
          <w:lang w:val="en-US" w:eastAsia="zh-CN"/>
        </w:rPr>
        <w:t>B15SBJ[2025]14号-02</w:t>
      </w:r>
    </w:p>
    <w:p w14:paraId="7600E0F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firstLine="720" w:firstLineChars="200"/>
        <w:textAlignment w:val="auto"/>
        <w:rPr>
          <w:rFonts w:hint="default" w:ascii="Times New Roman" w:hAnsi="Times New Roman" w:eastAsia="仿宋_GB2312" w:cs="楷体_GB2312"/>
          <w:i w:val="0"/>
          <w:iCs w:val="0"/>
          <w:caps w:val="0"/>
          <w:color w:val="auto"/>
          <w:spacing w:val="0"/>
          <w:sz w:val="32"/>
          <w:szCs w:val="32"/>
          <w:u w:val="single"/>
          <w:shd w:val="clear" w:fill="EBF4FF"/>
          <w:lang w:val="en-US" w:eastAsia="zh-CN"/>
        </w:rPr>
      </w:pPr>
      <w:r>
        <w:rPr>
          <w:rFonts w:hint="eastAsia" w:ascii="宋体" w:hAnsi="宋体" w:eastAsia="宋体" w:cs="宋体"/>
          <w:color w:val="auto"/>
          <w:sz w:val="36"/>
          <w:szCs w:val="36"/>
          <w:highlight w:val="none"/>
        </w:rPr>
        <w:t>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购</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cs="宋体"/>
          <w:color w:val="auto"/>
          <w:sz w:val="32"/>
          <w:szCs w:val="32"/>
          <w:highlight w:val="none"/>
          <w:u w:val="single"/>
          <w:lang w:val="en-US" w:eastAsia="zh-CN"/>
        </w:rPr>
        <w:t>草湖项目区昆仑人民医院</w:t>
      </w:r>
    </w:p>
    <w:p w14:paraId="55B2AE18">
      <w:pPr>
        <w:pageBreakBefore w:val="0"/>
        <w:kinsoku/>
        <w:overflowPunct/>
        <w:bidi w:val="0"/>
        <w:spacing w:beforeAutospacing="0" w:afterAutospacing="0" w:line="560" w:lineRule="exact"/>
        <w:ind w:left="0" w:leftChars="0" w:right="0" w:firstLine="720" w:firstLineChars="200"/>
        <w:rPr>
          <w:rFonts w:hint="default" w:ascii="宋体" w:hAnsi="宋体" w:eastAsia="宋体" w:cs="宋体"/>
          <w:color w:val="auto"/>
          <w:sz w:val="32"/>
          <w:szCs w:val="32"/>
          <w:highlight w:val="none"/>
          <w:lang w:val="en-US"/>
        </w:rPr>
      </w:pPr>
      <w:r>
        <w:rPr>
          <w:rFonts w:hint="eastAsia" w:ascii="宋体" w:hAnsi="宋体" w:eastAsia="宋体" w:cs="宋体"/>
          <w:color w:val="auto"/>
          <w:sz w:val="36"/>
          <w:szCs w:val="36"/>
          <w:highlight w:val="none"/>
        </w:rPr>
        <w:t>采购代理机构：</w:t>
      </w:r>
      <w:r>
        <w:rPr>
          <w:rFonts w:hint="eastAsia" w:cs="宋体"/>
          <w:color w:val="auto"/>
          <w:sz w:val="32"/>
          <w:szCs w:val="32"/>
          <w:highlight w:val="none"/>
          <w:u w:val="single"/>
          <w:lang w:val="en-US" w:eastAsia="zh-CN"/>
        </w:rPr>
        <w:t>草湖项目区公共资源交易中心</w:t>
      </w:r>
    </w:p>
    <w:p w14:paraId="351C4D59">
      <w:pPr>
        <w:pageBreakBefore w:val="0"/>
        <w:kinsoku/>
        <w:overflowPunct/>
        <w:bidi w:val="0"/>
        <w:spacing w:beforeAutospacing="0" w:afterAutospacing="0" w:line="560" w:lineRule="exact"/>
        <w:ind w:left="0" w:leftChars="0" w:right="0"/>
        <w:rPr>
          <w:rFonts w:ascii="黑体" w:hAnsi="黑体" w:eastAsia="黑体"/>
          <w:color w:val="auto"/>
          <w:highlight w:val="none"/>
        </w:rPr>
      </w:pPr>
    </w:p>
    <w:p w14:paraId="320C1BF6">
      <w:pPr>
        <w:pageBreakBefore w:val="0"/>
        <w:kinsoku/>
        <w:overflowPunct/>
        <w:bidi w:val="0"/>
        <w:spacing w:beforeAutospacing="0" w:afterAutospacing="0" w:line="560" w:lineRule="exact"/>
        <w:ind w:left="0" w:leftChars="0" w:right="0" w:firstLine="640" w:firstLineChars="200"/>
        <w:jc w:val="center"/>
        <w:rPr>
          <w:rFonts w:ascii="黑体" w:hAnsi="黑体" w:eastAsia="黑体"/>
          <w:color w:val="auto"/>
          <w:sz w:val="32"/>
          <w:szCs w:val="32"/>
          <w:highlight w:val="none"/>
        </w:rPr>
      </w:pPr>
      <w:r>
        <w:rPr>
          <w:rFonts w:hint="eastAsia" w:ascii="黑体" w:hAnsi="黑体" w:eastAsia="黑体"/>
          <w:color w:val="auto"/>
          <w:sz w:val="32"/>
          <w:szCs w:val="32"/>
          <w:highlight w:val="none"/>
        </w:rPr>
        <w:t xml:space="preserve"> </w:t>
      </w:r>
      <w:r>
        <w:rPr>
          <w:rFonts w:ascii="黑体" w:hAnsi="黑体" w:eastAsia="黑体"/>
          <w:color w:val="auto"/>
          <w:sz w:val="32"/>
          <w:szCs w:val="32"/>
          <w:highlight w:val="none"/>
        </w:rPr>
        <w:t xml:space="preserve">   </w:t>
      </w:r>
    </w:p>
    <w:p w14:paraId="3B2CDAF9">
      <w:pPr>
        <w:pageBreakBefore w:val="0"/>
        <w:kinsoku/>
        <w:overflowPunct/>
        <w:bidi w:val="0"/>
        <w:spacing w:beforeAutospacing="0" w:afterAutospacing="0" w:line="560" w:lineRule="exact"/>
        <w:ind w:left="0" w:leftChars="0" w:right="0"/>
        <w:jc w:val="center"/>
        <w:rPr>
          <w:rFonts w:hint="eastAsia" w:ascii="黑体" w:hAnsi="黑体" w:eastAsia="黑体"/>
          <w:color w:val="auto"/>
          <w:sz w:val="48"/>
          <w:szCs w:val="48"/>
          <w:highlight w:val="none"/>
        </w:rPr>
      </w:pPr>
    </w:p>
    <w:p w14:paraId="309B13BD">
      <w:pPr>
        <w:pageBreakBefore w:val="0"/>
        <w:kinsoku/>
        <w:overflowPunct/>
        <w:bidi w:val="0"/>
        <w:spacing w:beforeAutospacing="0" w:afterAutospacing="0" w:line="560" w:lineRule="exact"/>
        <w:ind w:left="0" w:leftChars="0" w:right="0"/>
        <w:jc w:val="center"/>
        <w:rPr>
          <w:rFonts w:hint="eastAsia" w:ascii="黑体" w:hAnsi="黑体" w:eastAsia="黑体"/>
          <w:color w:val="auto"/>
          <w:sz w:val="48"/>
          <w:szCs w:val="48"/>
          <w:highlight w:val="none"/>
        </w:rPr>
      </w:pPr>
    </w:p>
    <w:p w14:paraId="0BD23774">
      <w:pPr>
        <w:pageBreakBefore w:val="0"/>
        <w:kinsoku/>
        <w:overflowPunct/>
        <w:bidi w:val="0"/>
        <w:spacing w:beforeAutospacing="0" w:afterAutospacing="0" w:line="560" w:lineRule="exact"/>
        <w:ind w:left="0" w:leftChars="0" w:right="0"/>
        <w:jc w:val="both"/>
        <w:rPr>
          <w:rFonts w:hint="eastAsia" w:ascii="黑体" w:hAnsi="黑体" w:eastAsia="黑体"/>
          <w:color w:val="auto"/>
          <w:sz w:val="48"/>
          <w:szCs w:val="48"/>
          <w:highlight w:val="none"/>
        </w:rPr>
      </w:pPr>
    </w:p>
    <w:p w14:paraId="741B0E28">
      <w:pPr>
        <w:pStyle w:val="35"/>
        <w:pageBreakBefore w:val="0"/>
        <w:kinsoku/>
        <w:overflowPunct/>
        <w:bidi w:val="0"/>
        <w:spacing w:beforeAutospacing="0" w:afterAutospacing="0" w:line="560" w:lineRule="exact"/>
        <w:ind w:left="0" w:leftChars="0" w:right="0"/>
        <w:rPr>
          <w:rFonts w:hint="eastAsia" w:ascii="黑体" w:hAnsi="黑体" w:eastAsia="黑体"/>
          <w:color w:val="auto"/>
          <w:sz w:val="72"/>
          <w:szCs w:val="72"/>
          <w:highlight w:val="none"/>
        </w:rPr>
        <w:sectPr>
          <w:headerReference r:id="rId5" w:type="default"/>
          <w:pgSz w:w="11906" w:h="16838"/>
          <w:pgMar w:top="1440" w:right="1800" w:bottom="1440" w:left="1800" w:header="851" w:footer="879" w:gutter="0"/>
          <w:pgBorders>
            <w:top w:val="none" w:sz="0" w:space="0"/>
            <w:left w:val="none" w:sz="0" w:space="0"/>
            <w:bottom w:val="none" w:sz="0" w:space="0"/>
            <w:right w:val="none" w:sz="0" w:space="0"/>
          </w:pgBorders>
          <w:cols w:space="0" w:num="1"/>
          <w:rtlGutter w:val="0"/>
          <w:docGrid w:type="lines" w:linePitch="312" w:charSpace="0"/>
        </w:sectPr>
      </w:pPr>
    </w:p>
    <w:p w14:paraId="2E6E0FD2">
      <w:pPr>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14:paraId="1454D4D3">
      <w:pPr>
        <w:pStyle w:val="21"/>
        <w:keepNext w:val="0"/>
        <w:keepLines w:val="0"/>
        <w:pageBreakBefore w:val="0"/>
        <w:widowControl w:val="0"/>
        <w:tabs>
          <w:tab w:val="left" w:pos="960"/>
          <w:tab w:val="right" w:leader="dot" w:pos="829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color w:val="auto"/>
          <w:sz w:val="21"/>
          <w:szCs w:val="21"/>
          <w:highlight w:val="none"/>
        </w:rPr>
      </w:pPr>
    </w:p>
    <w:p w14:paraId="30050A07">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"1-4" \h \z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_Toc8881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第一章 </w:t>
      </w:r>
      <w:r>
        <w:rPr>
          <w:rFonts w:hint="eastAsia" w:ascii="宋体" w:hAnsi="宋体" w:eastAsia="宋体" w:cs="宋体"/>
          <w:sz w:val="24"/>
          <w:szCs w:val="24"/>
          <w:highlight w:val="none"/>
          <w:lang w:val="en-US" w:eastAsia="zh-CN"/>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_Toc8881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3E31873">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_Toc5645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第二章 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_Toc5645 \h </w:instrText>
      </w:r>
      <w:r>
        <w:rPr>
          <w:rFonts w:hint="eastAsia" w:ascii="宋体" w:hAnsi="宋体" w:eastAsia="宋体" w:cs="宋体"/>
          <w:sz w:val="24"/>
          <w:szCs w:val="24"/>
        </w:rPr>
        <w:fldChar w:fldCharType="separate"/>
      </w:r>
      <w:r>
        <w:rPr>
          <w:rFonts w:hint="eastAsia" w:ascii="宋体" w:hAnsi="宋体" w:eastAsia="宋体" w:cs="宋体"/>
          <w:sz w:val="24"/>
          <w:szCs w:val="24"/>
        </w:rPr>
        <w:t>- 6 -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F2739AB">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_Toc21746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_Toc21746 \h </w:instrText>
      </w:r>
      <w:r>
        <w:rPr>
          <w:rFonts w:hint="eastAsia" w:ascii="宋体" w:hAnsi="宋体" w:eastAsia="宋体" w:cs="宋体"/>
          <w:sz w:val="24"/>
          <w:szCs w:val="24"/>
        </w:rPr>
        <w:fldChar w:fldCharType="separate"/>
      </w:r>
      <w:r>
        <w:rPr>
          <w:rFonts w:hint="eastAsia" w:ascii="宋体" w:hAnsi="宋体" w:eastAsia="宋体" w:cs="宋体"/>
          <w:sz w:val="24"/>
          <w:szCs w:val="24"/>
        </w:rPr>
        <w:t>- 49 -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68FE9DE">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_Toc17715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第四章 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_Toc17715 \h </w:instrText>
      </w:r>
      <w:r>
        <w:rPr>
          <w:rFonts w:hint="eastAsia" w:ascii="宋体" w:hAnsi="宋体" w:eastAsia="宋体" w:cs="宋体"/>
          <w:sz w:val="24"/>
          <w:szCs w:val="24"/>
        </w:rPr>
        <w:fldChar w:fldCharType="separate"/>
      </w:r>
      <w:r>
        <w:rPr>
          <w:rFonts w:hint="eastAsia" w:ascii="宋体" w:hAnsi="宋体" w:eastAsia="宋体" w:cs="宋体"/>
          <w:sz w:val="24"/>
          <w:szCs w:val="24"/>
        </w:rPr>
        <w:t>- 50 -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8515CE9">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_Toc18814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第五章 评标方法及标准</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bCs/>
          <w:kern w:val="44"/>
          <w:sz w:val="24"/>
          <w:szCs w:val="24"/>
          <w:highlight w:val="none"/>
          <w:lang w:val="en-US" w:eastAsia="zh-CN" w:bidi="ar-SA"/>
        </w:rPr>
        <w:t>综合评分法</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_Toc18814 \h </w:instrText>
      </w:r>
      <w:r>
        <w:rPr>
          <w:rFonts w:hint="eastAsia" w:ascii="宋体" w:hAnsi="宋体" w:eastAsia="宋体" w:cs="宋体"/>
          <w:sz w:val="24"/>
          <w:szCs w:val="24"/>
        </w:rPr>
        <w:fldChar w:fldCharType="separate"/>
      </w:r>
      <w:r>
        <w:rPr>
          <w:rFonts w:hint="eastAsia" w:ascii="宋体" w:hAnsi="宋体" w:eastAsia="宋体" w:cs="宋体"/>
          <w:sz w:val="24"/>
          <w:szCs w:val="24"/>
        </w:rPr>
        <w:t>- 62 -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712887C">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_Toc17112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zh-CN" w:eastAsia="zh-CN" w:bidi="ar-SA"/>
        </w:rPr>
        <w:t xml:space="preserve">第六章 </w:t>
      </w:r>
      <w:r>
        <w:rPr>
          <w:rFonts w:hint="eastAsia" w:ascii="宋体" w:eastAsia="宋体" w:cs="宋体"/>
          <w:bCs/>
          <w:kern w:val="44"/>
          <w:sz w:val="24"/>
          <w:szCs w:val="24"/>
          <w:highlight w:val="none"/>
          <w:lang w:val="en-US" w:eastAsia="zh-CN" w:bidi="ar-SA"/>
        </w:rPr>
        <w:t>政府采购</w:t>
      </w:r>
      <w:r>
        <w:rPr>
          <w:rFonts w:hint="eastAsia" w:ascii="宋体" w:hAnsi="宋体" w:eastAsia="宋体" w:cs="宋体"/>
          <w:bCs/>
          <w:kern w:val="44"/>
          <w:sz w:val="24"/>
          <w:szCs w:val="24"/>
          <w:highlight w:val="none"/>
          <w:lang w:val="zh-CN" w:eastAsia="zh-CN" w:bidi="ar-SA"/>
        </w:rPr>
        <w:t>合同</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_Toc17112 \h </w:instrText>
      </w:r>
      <w:r>
        <w:rPr>
          <w:rFonts w:hint="eastAsia" w:ascii="宋体" w:hAnsi="宋体" w:eastAsia="宋体" w:cs="宋体"/>
          <w:sz w:val="24"/>
          <w:szCs w:val="24"/>
        </w:rPr>
        <w:fldChar w:fldCharType="separate"/>
      </w:r>
      <w:r>
        <w:rPr>
          <w:rFonts w:hint="eastAsia" w:ascii="宋体" w:hAnsi="宋体" w:eastAsia="宋体" w:cs="宋体"/>
          <w:sz w:val="24"/>
          <w:szCs w:val="24"/>
        </w:rPr>
        <w:t>- 76 -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5769604">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_Toc4770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第七章 投标文件格式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_Toc4770 \h </w:instrText>
      </w:r>
      <w:r>
        <w:rPr>
          <w:rFonts w:hint="eastAsia" w:ascii="宋体" w:hAnsi="宋体" w:eastAsia="宋体" w:cs="宋体"/>
          <w:sz w:val="24"/>
          <w:szCs w:val="24"/>
        </w:rPr>
        <w:fldChar w:fldCharType="separate"/>
      </w:r>
      <w:r>
        <w:rPr>
          <w:rFonts w:hint="eastAsia" w:ascii="宋体" w:hAnsi="宋体" w:eastAsia="宋体" w:cs="宋体"/>
          <w:sz w:val="24"/>
          <w:szCs w:val="24"/>
        </w:rPr>
        <w:t>- 87 -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70DEC5E">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pPr>
    </w:p>
    <w:p w14:paraId="51788E8F">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Cs w:val="24"/>
          <w:highlight w:val="none"/>
        </w:rPr>
        <w:sectPr>
          <w:headerReference r:id="rId6" w:type="default"/>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start="1"/>
          <w:cols w:space="425" w:num="1"/>
          <w:docGrid w:type="lines" w:linePitch="312" w:charSpace="0"/>
        </w:sectPr>
      </w:pPr>
    </w:p>
    <w:p w14:paraId="29DD1FCB">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36"/>
          <w:szCs w:val="36"/>
          <w:highlight w:val="none"/>
          <w:lang w:val="en-US" w:eastAsia="zh-CN"/>
        </w:rPr>
      </w:pPr>
      <w:r>
        <w:rPr>
          <w:rFonts w:hint="eastAsia" w:ascii="宋体" w:hAnsi="宋体" w:eastAsia="宋体" w:cs="宋体"/>
          <w:color w:val="auto"/>
          <w:szCs w:val="24"/>
          <w:highlight w:val="none"/>
        </w:rPr>
        <w:fldChar w:fldCharType="end"/>
      </w:r>
      <w:bookmarkStart w:id="0" w:name="_Toc155185859"/>
      <w:bookmarkStart w:id="1" w:name="_Toc8881"/>
      <w:bookmarkStart w:id="2" w:name="_Hlk130458318"/>
      <w:r>
        <w:rPr>
          <w:rFonts w:hint="eastAsia" w:ascii="宋体" w:hAnsi="宋体" w:eastAsia="宋体" w:cs="宋体"/>
          <w:b/>
          <w:bCs/>
          <w:color w:val="auto"/>
          <w:kern w:val="44"/>
          <w:sz w:val="36"/>
          <w:szCs w:val="36"/>
          <w:highlight w:val="none"/>
          <w:lang w:val="en-US" w:eastAsia="zh-CN" w:bidi="ar-SA"/>
        </w:rPr>
        <w:t xml:space="preserve">第一章 </w:t>
      </w:r>
      <w:bookmarkEnd w:id="0"/>
      <w:r>
        <w:rPr>
          <w:rFonts w:hint="eastAsia" w:ascii="宋体" w:hAnsi="宋体" w:eastAsia="宋体" w:cs="宋体"/>
          <w:color w:val="auto"/>
          <w:sz w:val="36"/>
          <w:szCs w:val="36"/>
          <w:highlight w:val="none"/>
          <w:lang w:val="en-US" w:eastAsia="zh-CN"/>
        </w:rPr>
        <w:t>招标公告</w:t>
      </w:r>
      <w:bookmarkEnd w:id="1"/>
    </w:p>
    <w:tbl>
      <w:tblPr>
        <w:tblStyle w:val="30"/>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6"/>
      </w:tblGrid>
      <w:tr w14:paraId="7612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6" w:type="dxa"/>
          </w:tcPr>
          <w:p w14:paraId="73D0F96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color w:val="auto"/>
                <w:sz w:val="24"/>
                <w:szCs w:val="24"/>
                <w:highlight w:val="none"/>
                <w:lang w:val="en-US" w:eastAsia="zh-CN"/>
              </w:rPr>
            </w:pPr>
            <w:bookmarkStart w:id="3" w:name="_Toc26706"/>
            <w:bookmarkStart w:id="4" w:name="_Toc576"/>
            <w:bookmarkStart w:id="5" w:name="_Toc32473"/>
            <w:bookmarkStart w:id="6" w:name="_Toc155185860"/>
            <w:bookmarkStart w:id="7" w:name="_Toc35393798"/>
            <w:bookmarkStart w:id="8" w:name="_Toc109899410"/>
            <w:bookmarkStart w:id="9" w:name="_Toc109899829"/>
            <w:bookmarkStart w:id="10" w:name="_Toc28359089"/>
            <w:bookmarkStart w:id="11" w:name="_Toc44583628"/>
            <w:bookmarkStart w:id="12" w:name="_Toc109900248"/>
            <w:bookmarkStart w:id="13" w:name="_Toc35393629"/>
            <w:bookmarkStart w:id="14" w:name="_Toc28359012"/>
            <w:bookmarkStart w:id="15" w:name="_Toc140132745"/>
            <w:r>
              <w:rPr>
                <w:rFonts w:hint="eastAsia"/>
                <w:color w:val="auto"/>
                <w:sz w:val="24"/>
                <w:szCs w:val="24"/>
                <w:highlight w:val="none"/>
                <w:lang w:val="en-US" w:eastAsia="zh-CN"/>
              </w:rPr>
              <w:t>项项目概况：</w:t>
            </w:r>
            <w:bookmarkEnd w:id="3"/>
            <w:bookmarkEnd w:id="4"/>
            <w:bookmarkEnd w:id="5"/>
          </w:p>
          <w:p w14:paraId="42E3A809">
            <w:pPr>
              <w:pageBreakBefore w:val="0"/>
              <w:kinsoku/>
              <w:overflowPunct/>
              <w:bidi w:val="0"/>
              <w:spacing w:beforeAutospacing="0" w:afterAutospacing="0" w:line="560" w:lineRule="exact"/>
              <w:ind w:left="0" w:leftChars="0" w:right="0" w:firstLine="480" w:firstLineChars="200"/>
              <w:rPr>
                <w:rFonts w:hint="default"/>
                <w:color w:val="auto"/>
                <w:highlight w:val="none"/>
                <w:lang w:val="en-US" w:eastAsia="zh-CN"/>
              </w:rPr>
            </w:pPr>
            <w:r>
              <w:rPr>
                <w:rFonts w:hint="eastAsia" w:cstheme="minorBidi"/>
                <w:iCs/>
                <w:color w:val="auto"/>
                <w:kern w:val="2"/>
                <w:sz w:val="24"/>
                <w:szCs w:val="24"/>
                <w:highlight w:val="none"/>
                <w:u w:val="single"/>
                <w:shd w:val="clear" w:color="auto" w:fill="FFFFFF" w:themeFill="background1"/>
                <w:lang w:val="en-US" w:eastAsia="zh-CN" w:bidi="ar-SA"/>
              </w:rPr>
              <w:t>2025年昆仑人民医院物业管理服务采购项目（标项二）</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theme="minorBidi"/>
                <w:iCs/>
                <w:color w:val="auto"/>
                <w:kern w:val="2"/>
                <w:sz w:val="24"/>
                <w:szCs w:val="24"/>
                <w:highlight w:val="none"/>
                <w:shd w:val="clear" w:color="auto" w:fill="FFFFFF" w:themeFill="background1"/>
                <w:lang w:val="hr-HR" w:eastAsia="zh-CN" w:bidi="ar-SA"/>
              </w:rPr>
              <w:t>招标项目的潜在投标人应在</w:t>
            </w:r>
            <w:r>
              <w:rPr>
                <w:rFonts w:hint="eastAsia" w:cstheme="minorBidi"/>
                <w:iCs/>
                <w:color w:val="auto"/>
                <w:kern w:val="2"/>
                <w:sz w:val="24"/>
                <w:szCs w:val="24"/>
                <w:highlight w:val="none"/>
                <w:u w:val="single"/>
                <w:shd w:val="clear" w:color="auto" w:fill="FFFFFF" w:themeFill="background1"/>
                <w:lang w:val="en-US" w:eastAsia="zh-CN" w:bidi="ar-SA"/>
              </w:rPr>
              <w:t>政采云平台（https://www.zcygov.cn/）</w:t>
            </w:r>
            <w:r>
              <w:rPr>
                <w:rFonts w:hint="eastAsia" w:ascii="宋体" w:hAnsi="宋体" w:eastAsia="宋体" w:cstheme="minorBidi"/>
                <w:iCs/>
                <w:color w:val="auto"/>
                <w:kern w:val="2"/>
                <w:sz w:val="24"/>
                <w:szCs w:val="24"/>
                <w:highlight w:val="none"/>
                <w:shd w:val="clear" w:color="auto" w:fill="FFFFFF" w:themeFill="background1"/>
                <w:lang w:val="hr-HR" w:eastAsia="zh-CN" w:bidi="ar-SA"/>
              </w:rPr>
              <w:t>获取招标文件，并于</w:t>
            </w:r>
            <w:r>
              <w:rPr>
                <w:rFonts w:hint="eastAsia" w:cstheme="minorBidi"/>
                <w:iCs/>
                <w:color w:val="auto"/>
                <w:kern w:val="2"/>
                <w:sz w:val="24"/>
                <w:szCs w:val="24"/>
                <w:highlight w:val="none"/>
                <w:u w:val="single"/>
                <w:shd w:val="clear" w:color="auto" w:fill="FFFFFF" w:themeFill="background1"/>
                <w:lang w:val="en-US" w:eastAsia="zh-CN" w:bidi="ar-SA"/>
              </w:rPr>
              <w:t xml:space="preserve"> 2025</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年</w:t>
            </w:r>
            <w:r>
              <w:rPr>
                <w:rFonts w:hint="eastAsia" w:cstheme="minorBidi"/>
                <w:iCs/>
                <w:color w:val="auto"/>
                <w:kern w:val="2"/>
                <w:sz w:val="24"/>
                <w:szCs w:val="24"/>
                <w:highlight w:val="none"/>
                <w:u w:val="single"/>
                <w:shd w:val="clear" w:color="auto" w:fill="FFFFFF" w:themeFill="background1"/>
                <w:lang w:val="en-US" w:eastAsia="zh-CN" w:bidi="ar-SA"/>
              </w:rPr>
              <w:t>5</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月</w:t>
            </w:r>
            <w:r>
              <w:rPr>
                <w:rFonts w:hint="eastAsia" w:cstheme="minorBidi"/>
                <w:iCs/>
                <w:color w:val="auto"/>
                <w:kern w:val="2"/>
                <w:sz w:val="24"/>
                <w:szCs w:val="24"/>
                <w:highlight w:val="none"/>
                <w:u w:val="single"/>
                <w:shd w:val="clear" w:color="auto" w:fill="FFFFFF" w:themeFill="background1"/>
                <w:lang w:val="en-US" w:eastAsia="zh-CN" w:bidi="ar-SA"/>
              </w:rPr>
              <w:t xml:space="preserve"> </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cstheme="minorBidi"/>
                <w:iCs/>
                <w:color w:val="auto"/>
                <w:kern w:val="2"/>
                <w:sz w:val="24"/>
                <w:szCs w:val="24"/>
                <w:highlight w:val="none"/>
                <w:u w:val="single"/>
                <w:shd w:val="clear" w:color="auto" w:fill="FFFFFF" w:themeFill="background1"/>
                <w:lang w:val="en-US" w:eastAsia="zh-CN" w:bidi="ar-SA"/>
              </w:rPr>
              <w:t>14</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日 </w:t>
            </w:r>
            <w:r>
              <w:rPr>
                <w:rFonts w:hint="eastAsia" w:cstheme="minorBidi"/>
                <w:iCs/>
                <w:color w:val="auto"/>
                <w:kern w:val="2"/>
                <w:sz w:val="24"/>
                <w:szCs w:val="24"/>
                <w:highlight w:val="none"/>
                <w:u w:val="single"/>
                <w:shd w:val="clear" w:color="auto" w:fill="FFFFFF" w:themeFill="background1"/>
                <w:lang w:val="en-US" w:eastAsia="zh-CN" w:bidi="ar-SA"/>
              </w:rPr>
              <w:t>11:00</w:t>
            </w:r>
            <w:r>
              <w:rPr>
                <w:rFonts w:hint="eastAsia" w:ascii="宋体" w:hAnsi="宋体" w:eastAsia="宋体" w:cstheme="minorBidi"/>
                <w:iCs/>
                <w:color w:val="auto"/>
                <w:kern w:val="2"/>
                <w:sz w:val="24"/>
                <w:szCs w:val="24"/>
                <w:highlight w:val="none"/>
                <w:shd w:val="clear" w:color="auto" w:fill="FFFFFF" w:themeFill="background1"/>
                <w:lang w:val="hr-HR" w:eastAsia="zh-CN" w:bidi="ar-SA"/>
              </w:rPr>
              <w:t>（北京时间）前递交投标文件。</w:t>
            </w:r>
          </w:p>
        </w:tc>
      </w:tr>
    </w:tbl>
    <w:p w14:paraId="4072DEF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16" w:name="_Toc29167"/>
      <w:r>
        <w:rPr>
          <w:rFonts w:hint="eastAsia" w:ascii="宋体" w:hAnsi="宋体" w:eastAsia="宋体" w:cs="宋体"/>
          <w:b/>
          <w:bCs/>
          <w:color w:val="auto"/>
          <w:kern w:val="2"/>
          <w:sz w:val="24"/>
          <w:szCs w:val="24"/>
          <w:highlight w:val="none"/>
          <w:lang w:val="hr-HR" w:eastAsia="zh-CN" w:bidi="ar-SA"/>
        </w:rPr>
        <w:t>一、项目基本情况</w:t>
      </w:r>
      <w:bookmarkEnd w:id="6"/>
      <w:bookmarkEnd w:id="7"/>
      <w:bookmarkEnd w:id="8"/>
      <w:bookmarkEnd w:id="9"/>
      <w:bookmarkEnd w:id="10"/>
      <w:bookmarkEnd w:id="11"/>
      <w:bookmarkEnd w:id="12"/>
      <w:bookmarkEnd w:id="13"/>
      <w:bookmarkEnd w:id="14"/>
      <w:bookmarkEnd w:id="15"/>
      <w:bookmarkEnd w:id="16"/>
    </w:p>
    <w:p w14:paraId="63E652B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lang w:val="hr-HR"/>
        </w:rPr>
        <w:t>1.项目名称：</w:t>
      </w:r>
      <w:r>
        <w:rPr>
          <w:rFonts w:hint="eastAsia" w:cstheme="minorBidi"/>
          <w:iCs/>
          <w:color w:val="auto"/>
          <w:kern w:val="2"/>
          <w:sz w:val="24"/>
          <w:szCs w:val="24"/>
          <w:highlight w:val="none"/>
          <w:u w:val="none"/>
          <w:shd w:val="clear" w:color="auto" w:fill="FFFFFF" w:themeFill="background1"/>
          <w:lang w:val="en-US" w:eastAsia="zh-CN" w:bidi="ar-SA"/>
        </w:rPr>
        <w:t>2025年昆仑人民医院物业管理服务采购项目（标项二）</w:t>
      </w:r>
      <w:r>
        <w:rPr>
          <w:rFonts w:hint="eastAsia" w:ascii="宋体" w:hAnsi="宋体" w:eastAsia="宋体" w:cs="宋体"/>
          <w:color w:val="auto"/>
          <w:sz w:val="24"/>
          <w:szCs w:val="24"/>
          <w:highlight w:val="none"/>
          <w:u w:val="none"/>
        </w:rPr>
        <w:t xml:space="preserve"> </w:t>
      </w:r>
    </w:p>
    <w:p w14:paraId="47A7BBC3">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lang w:val="en-US" w:eastAsia="zh-CN"/>
        </w:rPr>
        <w:t>2</w:t>
      </w:r>
      <w:r>
        <w:rPr>
          <w:rFonts w:hint="eastAsia" w:ascii="宋体" w:hAnsi="宋体" w:eastAsia="宋体" w:cs="宋体"/>
          <w:color w:val="auto"/>
          <w:sz w:val="24"/>
          <w:szCs w:val="24"/>
          <w:highlight w:val="none"/>
          <w:u w:val="none"/>
          <w:lang w:val="hr-HR"/>
        </w:rPr>
        <w:t>.项目编号：</w:t>
      </w:r>
      <w:r>
        <w:rPr>
          <w:rFonts w:hint="eastAsia" w:cstheme="minorBidi"/>
          <w:iCs/>
          <w:color w:val="auto"/>
          <w:kern w:val="2"/>
          <w:sz w:val="24"/>
          <w:szCs w:val="24"/>
          <w:highlight w:val="none"/>
          <w:u w:val="none"/>
          <w:shd w:val="clear" w:color="auto" w:fill="FFFFFF" w:themeFill="background1"/>
          <w:lang w:val="hr-HR" w:eastAsia="zh-CN" w:bidi="ar-SA"/>
        </w:rPr>
        <w:t>B15SBJ[2025]14号-0</w:t>
      </w:r>
      <w:r>
        <w:rPr>
          <w:rFonts w:hint="eastAsia" w:cstheme="minorBidi"/>
          <w:iCs/>
          <w:color w:val="auto"/>
          <w:kern w:val="2"/>
          <w:sz w:val="24"/>
          <w:szCs w:val="24"/>
          <w:highlight w:val="none"/>
          <w:u w:val="none"/>
          <w:shd w:val="clear" w:color="auto" w:fill="FFFFFF" w:themeFill="background1"/>
          <w:lang w:val="en-US" w:eastAsia="zh-CN" w:bidi="ar-SA"/>
        </w:rPr>
        <w:t>2</w:t>
      </w:r>
      <w:r>
        <w:rPr>
          <w:rFonts w:hint="eastAsia" w:ascii="宋体" w:hAnsi="宋体" w:eastAsia="宋体" w:cstheme="minorBidi"/>
          <w:iCs/>
          <w:color w:val="auto"/>
          <w:kern w:val="2"/>
          <w:sz w:val="24"/>
          <w:szCs w:val="24"/>
          <w:highlight w:val="none"/>
          <w:u w:val="none"/>
          <w:shd w:val="clear" w:color="auto" w:fill="FFFFFF" w:themeFill="background1"/>
          <w:lang w:val="hr-HR" w:eastAsia="zh-CN" w:bidi="ar-SA"/>
        </w:rPr>
        <w:t xml:space="preserve">   </w:t>
      </w:r>
    </w:p>
    <w:p w14:paraId="3CE35A7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.采购方式：公开招标</w:t>
      </w:r>
    </w:p>
    <w:p w14:paraId="78A9059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hr-HR"/>
        </w:rPr>
        <w:t>预算金额：</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58</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hr-HR"/>
        </w:rPr>
        <w:t>万元</w:t>
      </w:r>
    </w:p>
    <w:p w14:paraId="7851BE2C">
      <w:pPr>
        <w:pStyle w:val="36"/>
        <w:pageBreakBefore w:val="0"/>
        <w:kinsoku/>
        <w:overflowPunct/>
        <w:bidi w:val="0"/>
        <w:spacing w:beforeAutospacing="0" w:afterAutospacing="0" w:line="560" w:lineRule="exact"/>
        <w:ind w:left="0" w:leftChars="0" w:right="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val="hr-HR"/>
        </w:rPr>
        <w:t>：</w:t>
      </w:r>
      <w:r>
        <w:rPr>
          <w:rFonts w:hint="eastAsia" w:cs="宋体"/>
          <w:color w:val="auto"/>
          <w:sz w:val="24"/>
          <w:szCs w:val="24"/>
          <w:highlight w:val="none"/>
          <w:u w:val="single"/>
          <w:lang w:val="en-US" w:eastAsia="zh-CN"/>
        </w:rPr>
        <w:t>58</w:t>
      </w:r>
      <w:r>
        <w:rPr>
          <w:rFonts w:hint="eastAsia" w:ascii="宋体" w:hAnsi="宋体" w:eastAsia="宋体" w:cs="宋体"/>
          <w:color w:val="auto"/>
          <w:sz w:val="24"/>
          <w:szCs w:val="24"/>
          <w:highlight w:val="none"/>
        </w:rPr>
        <w:t>万元</w:t>
      </w:r>
    </w:p>
    <w:p w14:paraId="242750DC">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hr-HR"/>
        </w:rPr>
        <w:t>.采购需求：</w:t>
      </w:r>
      <w:r>
        <w:rPr>
          <w:rFonts w:hint="eastAsia" w:ascii="宋体" w:hAnsi="宋体" w:eastAsia="宋体" w:cs="宋体"/>
          <w:color w:val="auto"/>
          <w:sz w:val="24"/>
          <w:szCs w:val="24"/>
          <w:highlight w:val="none"/>
          <w:u w:val="none"/>
          <w:lang w:val="hr-HR"/>
        </w:rPr>
        <w:t>2025年昆仑人民医院物业</w:t>
      </w:r>
      <w:r>
        <w:rPr>
          <w:rFonts w:hint="eastAsia" w:cs="宋体"/>
          <w:color w:val="auto"/>
          <w:sz w:val="24"/>
          <w:szCs w:val="24"/>
          <w:highlight w:val="none"/>
          <w:u w:val="none"/>
          <w:lang w:val="en-US" w:eastAsia="zh-CN"/>
        </w:rPr>
        <w:t>管理</w:t>
      </w:r>
      <w:r>
        <w:rPr>
          <w:rFonts w:hint="eastAsia" w:ascii="宋体" w:hAnsi="宋体" w:eastAsia="宋体" w:cs="宋体"/>
          <w:color w:val="auto"/>
          <w:sz w:val="24"/>
          <w:szCs w:val="24"/>
          <w:highlight w:val="none"/>
          <w:u w:val="none"/>
          <w:lang w:val="hr-HR"/>
        </w:rPr>
        <w:t>服务采购项目</w:t>
      </w:r>
      <w:r>
        <w:rPr>
          <w:rFonts w:hint="eastAsia" w:cs="宋体"/>
          <w:color w:val="auto"/>
          <w:sz w:val="24"/>
          <w:szCs w:val="24"/>
          <w:highlight w:val="none"/>
          <w:u w:val="none"/>
          <w:lang w:val="hr-HR" w:eastAsia="zh-CN"/>
        </w:rPr>
        <w:t>（</w:t>
      </w:r>
      <w:r>
        <w:rPr>
          <w:rFonts w:hint="eastAsia" w:cs="宋体"/>
          <w:color w:val="auto"/>
          <w:sz w:val="24"/>
          <w:szCs w:val="24"/>
          <w:highlight w:val="none"/>
          <w:u w:val="none"/>
          <w:lang w:val="en-US" w:eastAsia="zh-CN"/>
        </w:rPr>
        <w:t>标项二</w:t>
      </w:r>
      <w:r>
        <w:rPr>
          <w:rFonts w:hint="eastAsia" w:cs="宋体"/>
          <w:color w:val="auto"/>
          <w:sz w:val="24"/>
          <w:szCs w:val="24"/>
          <w:highlight w:val="none"/>
          <w:u w:val="none"/>
          <w:lang w:val="hr-HR" w:eastAsia="zh-CN"/>
        </w:rPr>
        <w:t>）</w:t>
      </w:r>
      <w:r>
        <w:rPr>
          <w:rFonts w:hint="eastAsia" w:ascii="宋体" w:hAnsi="宋体" w:eastAsia="宋体" w:cs="宋体"/>
          <w:color w:val="auto"/>
          <w:sz w:val="24"/>
          <w:szCs w:val="24"/>
          <w:highlight w:val="none"/>
          <w:u w:val="none"/>
          <w:lang w:val="hr-HR"/>
        </w:rPr>
        <w:t>，具体详见采购文件“第三章  采购需求”</w:t>
      </w:r>
    </w:p>
    <w:p w14:paraId="56FBF6D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履行期限：</w:t>
      </w:r>
      <w:r>
        <w:rPr>
          <w:rFonts w:hint="eastAsia" w:ascii="宋体" w:hAnsi="宋体" w:eastAsia="宋体" w:cs="宋体"/>
          <w:color w:val="auto"/>
          <w:sz w:val="24"/>
          <w:szCs w:val="24"/>
          <w:highlight w:val="none"/>
          <w:u w:val="none"/>
          <w:lang w:val="en-US" w:eastAsia="zh-CN"/>
        </w:rPr>
        <w:t>自合同签订起一年（具体进场时间根据医院实际情况确定，合同以进场时间为准）</w:t>
      </w:r>
    </w:p>
    <w:p w14:paraId="4B09864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bookmarkStart w:id="17" w:name="_Toc28359013"/>
      <w:bookmarkStart w:id="18" w:name="_Toc44583629"/>
      <w:bookmarkStart w:id="19" w:name="_Toc35393799"/>
      <w:bookmarkStart w:id="20" w:name="_Toc28359090"/>
      <w:bookmarkStart w:id="21" w:name="_Toc35393630"/>
      <w:r>
        <w:rPr>
          <w:rFonts w:hint="eastAsia" w:ascii="宋体" w:hAnsi="宋体" w:eastAsia="宋体" w:cs="宋体"/>
          <w:color w:val="auto"/>
          <w:sz w:val="24"/>
          <w:szCs w:val="24"/>
          <w:highlight w:val="none"/>
          <w:lang w:val="en-US" w:eastAsia="zh-CN"/>
        </w:rPr>
        <w:t>8.</w:t>
      </w:r>
      <w:bookmarkStart w:id="22" w:name="_Hlk162011358"/>
      <w:r>
        <w:rPr>
          <w:rFonts w:hint="eastAsia" w:ascii="宋体" w:hAnsi="宋体" w:eastAsia="宋体" w:cs="宋体"/>
          <w:color w:val="auto"/>
          <w:sz w:val="24"/>
          <w:szCs w:val="24"/>
          <w:highlight w:val="none"/>
          <w:lang w:val="en-US" w:eastAsia="zh-CN"/>
        </w:rPr>
        <w:t>本项目是否接受联合体投标：</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是</w:t>
      </w:r>
      <w:bookmarkEnd w:id="22"/>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否</w:t>
      </w:r>
    </w:p>
    <w:p w14:paraId="1EEB1622">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hr-HR" w:eastAsia="zh-CN" w:bidi="ar-SA"/>
        </w:rPr>
      </w:pPr>
      <w:bookmarkStart w:id="23" w:name="_Toc32632"/>
      <w:bookmarkStart w:id="24" w:name="_Toc109900249"/>
      <w:bookmarkStart w:id="25" w:name="_Toc155185861"/>
      <w:bookmarkStart w:id="26" w:name="_Toc109899830"/>
      <w:bookmarkStart w:id="27" w:name="_Toc109899411"/>
      <w:bookmarkStart w:id="28" w:name="_Toc140132746"/>
      <w:r>
        <w:rPr>
          <w:rFonts w:hint="eastAsia" w:ascii="宋体" w:hAnsi="宋体" w:eastAsia="宋体" w:cs="宋体"/>
          <w:b/>
          <w:bCs/>
          <w:color w:val="auto"/>
          <w:kern w:val="2"/>
          <w:sz w:val="24"/>
          <w:szCs w:val="24"/>
          <w:highlight w:val="none"/>
          <w:lang w:val="en-US" w:eastAsia="zh-CN" w:bidi="ar-SA"/>
        </w:rPr>
        <w:t>二、申请</w:t>
      </w:r>
      <w:r>
        <w:rPr>
          <w:rFonts w:hint="eastAsia" w:ascii="宋体" w:hAnsi="宋体" w:eastAsia="宋体" w:cs="宋体"/>
          <w:b/>
          <w:bCs/>
          <w:color w:val="auto"/>
          <w:kern w:val="2"/>
          <w:sz w:val="24"/>
          <w:szCs w:val="24"/>
          <w:highlight w:val="none"/>
          <w:lang w:val="hr-HR" w:eastAsia="zh-CN" w:bidi="ar-SA"/>
        </w:rPr>
        <w:t>人</w:t>
      </w:r>
      <w:r>
        <w:rPr>
          <w:rFonts w:hint="eastAsia" w:ascii="宋体" w:hAnsi="宋体" w:eastAsia="宋体" w:cs="宋体"/>
          <w:b/>
          <w:bCs/>
          <w:color w:val="auto"/>
          <w:kern w:val="2"/>
          <w:sz w:val="24"/>
          <w:szCs w:val="24"/>
          <w:highlight w:val="none"/>
          <w:lang w:val="en-US" w:eastAsia="zh-CN" w:bidi="ar-SA"/>
        </w:rPr>
        <w:t>的</w:t>
      </w:r>
      <w:r>
        <w:rPr>
          <w:rFonts w:hint="eastAsia" w:ascii="宋体" w:hAnsi="宋体" w:eastAsia="宋体" w:cs="宋体"/>
          <w:b/>
          <w:bCs/>
          <w:color w:val="auto"/>
          <w:kern w:val="2"/>
          <w:sz w:val="24"/>
          <w:szCs w:val="24"/>
          <w:highlight w:val="none"/>
          <w:lang w:val="hr-HR" w:eastAsia="zh-CN" w:bidi="ar-SA"/>
        </w:rPr>
        <w:t>资格要求</w:t>
      </w:r>
      <w:bookmarkEnd w:id="17"/>
      <w:bookmarkEnd w:id="18"/>
      <w:bookmarkEnd w:id="19"/>
      <w:bookmarkEnd w:id="20"/>
      <w:bookmarkEnd w:id="21"/>
      <w:bookmarkEnd w:id="23"/>
      <w:bookmarkEnd w:id="24"/>
      <w:bookmarkEnd w:id="25"/>
      <w:bookmarkEnd w:id="26"/>
      <w:bookmarkEnd w:id="27"/>
      <w:bookmarkEnd w:id="28"/>
    </w:p>
    <w:p w14:paraId="4A6A8664">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lang w:val="en-US" w:eastAsia="zh-CN"/>
        </w:rPr>
      </w:pPr>
      <w:bookmarkStart w:id="29" w:name="_Hlk89807755"/>
      <w:bookmarkStart w:id="30" w:name="_Toc28359091"/>
      <w:bookmarkStart w:id="31" w:name="_Toc28359014"/>
      <w:bookmarkStart w:id="32" w:name="_Toc35393800"/>
      <w:bookmarkStart w:id="33" w:name="_Toc44583630"/>
      <w:bookmarkStart w:id="34" w:name="_Toc35393631"/>
      <w:r>
        <w:rPr>
          <w:rFonts w:hint="eastAsia" w:ascii="宋体" w:hAnsi="宋体" w:eastAsia="宋体" w:cs="宋体"/>
          <w:color w:val="auto"/>
          <w:sz w:val="24"/>
          <w:szCs w:val="24"/>
          <w:highlight w:val="none"/>
          <w:lang w:val="en-US" w:eastAsia="zh-CN"/>
        </w:rPr>
        <w:t>1.满足《中华人民共和国政府采购法》第二十二条规定；</w:t>
      </w:r>
    </w:p>
    <w:p w14:paraId="32CF118E">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须在投标文件中提供完整、准确、真实的兵团政府采购</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信用承诺函。</w:t>
      </w:r>
    </w:p>
    <w:p w14:paraId="3A3C0D5A">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法人营业执照（副本）或事业单位法人证书（副本）或个体工商户营业执照或有效的自然人身份证明、组织机构代码证扫描件（</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按“三证合一”登记制度办理营业执照的,组织机构代码证和税务登记证（副本）以</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所提供的营业执照（副本）扫描件为准。），</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法定代表人身份证明和法定代表人授权代表委托书。</w:t>
      </w:r>
    </w:p>
    <w:p w14:paraId="576EFADE">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.落实政府采购政策需满足的资格要求：</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本项目为专门面向中小企业采购的项目，全部由符合政策要求的中小企业承接（说明：监狱企业、残疾人福利性单位视同小型、微型企业），供应商</w:t>
      </w:r>
      <w:r>
        <w:rPr>
          <w:rFonts w:hint="eastAsia" w:cs="宋体"/>
          <w:color w:val="auto"/>
          <w:sz w:val="24"/>
          <w:szCs w:val="24"/>
          <w:highlight w:val="none"/>
          <w:u w:val="single"/>
          <w:lang w:val="en-US" w:eastAsia="zh-CN"/>
        </w:rPr>
        <w:t>须</w:t>
      </w:r>
      <w:r>
        <w:rPr>
          <w:rFonts w:hint="eastAsia" w:ascii="宋体" w:hAnsi="宋体" w:eastAsia="宋体" w:cs="宋体"/>
          <w:color w:val="auto"/>
          <w:sz w:val="24"/>
          <w:szCs w:val="24"/>
          <w:highlight w:val="none"/>
          <w:u w:val="single"/>
          <w:lang w:val="en-US" w:eastAsia="zh-CN"/>
        </w:rPr>
        <w:t>出具正确的《中小企业声明函》</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none"/>
          <w:lang w:val="en-US" w:eastAsia="zh-CN"/>
        </w:rPr>
        <w:t xml:space="preserve">         </w:t>
      </w:r>
    </w:p>
    <w:p w14:paraId="053518BD">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黑体" w:hAnsi="黑体" w:eastAsia="黑体" w:cs="黑体"/>
          <w:i w:val="0"/>
          <w:iCs w:val="0"/>
          <w:color w:val="auto"/>
          <w:sz w:val="24"/>
          <w:szCs w:val="24"/>
          <w:highlight w:val="none"/>
          <w:u w:val="none"/>
          <w:lang w:val="en-US" w:eastAsia="zh-CN"/>
        </w:rPr>
      </w:pPr>
      <w:r>
        <w:rPr>
          <w:rFonts w:hint="eastAsia" w:ascii="黑体" w:hAnsi="黑体" w:eastAsia="黑体" w:cs="黑体"/>
          <w:i w:val="0"/>
          <w:iCs w:val="0"/>
          <w:color w:val="auto"/>
          <w:sz w:val="24"/>
          <w:szCs w:val="24"/>
          <w:highlight w:val="none"/>
          <w:u w:val="none"/>
          <w:lang w:val="en-US" w:eastAsia="zh-CN"/>
        </w:rPr>
        <w:t>3.本项目的特定资格要求：</w:t>
      </w:r>
    </w:p>
    <w:p w14:paraId="4BD0D798">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b w:val="0"/>
          <w:bCs w:val="0"/>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b w:val="0"/>
          <w:bCs w:val="0"/>
          <w:i w:val="0"/>
          <w:iCs w:val="0"/>
          <w:color w:val="auto"/>
          <w:kern w:val="2"/>
          <w:sz w:val="24"/>
          <w:szCs w:val="24"/>
          <w:highlight w:val="none"/>
          <w:shd w:val="clear" w:color="auto" w:fill="FFFFFF" w:themeFill="background1"/>
          <w:lang w:val="en-US" w:eastAsia="zh-CN" w:bidi="ar-SA"/>
        </w:rPr>
        <w:t xml:space="preserve">（1）投标单位应具备环保工程专业承包资质，资质等级不低于3 级，具备承担医院污水处理项目的能力和经验。      </w:t>
      </w:r>
    </w:p>
    <w:p w14:paraId="12303B73">
      <w:pPr>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b w:val="0"/>
          <w:bCs w:val="0"/>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b w:val="0"/>
          <w:bCs w:val="0"/>
          <w:i w:val="0"/>
          <w:iCs w:val="0"/>
          <w:color w:val="auto"/>
          <w:kern w:val="2"/>
          <w:sz w:val="24"/>
          <w:szCs w:val="24"/>
          <w:highlight w:val="none"/>
          <w:shd w:val="clear" w:color="auto" w:fill="FFFFFF" w:themeFill="background1"/>
          <w:lang w:val="en-US" w:eastAsia="zh-CN" w:bidi="ar-SA"/>
        </w:rPr>
        <w:t>（2）投标单位应具有有效的安全生产许可证，确保在项目实施过程中遵守安全生产法规，保障人员和设备安全。</w:t>
      </w:r>
    </w:p>
    <w:p w14:paraId="0EB7BD22">
      <w:pPr>
        <w:pStyle w:val="36"/>
        <w:pageBreakBefore w:val="0"/>
        <w:kinsoku/>
        <w:overflowPunct/>
        <w:bidi w:val="0"/>
        <w:spacing w:beforeAutospacing="0" w:afterAutospacing="0" w:line="560" w:lineRule="exact"/>
        <w:ind w:left="0" w:leftChars="0" w:right="0"/>
        <w:rPr>
          <w:rFonts w:hint="eastAsia" w:ascii="宋体" w:hAnsi="宋体" w:eastAsia="宋体" w:cs="宋体"/>
          <w:b w:val="0"/>
          <w:bCs w:val="0"/>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b w:val="0"/>
          <w:bCs w:val="0"/>
          <w:i w:val="0"/>
          <w:iCs w:val="0"/>
          <w:color w:val="auto"/>
          <w:kern w:val="2"/>
          <w:sz w:val="24"/>
          <w:szCs w:val="24"/>
          <w:highlight w:val="none"/>
          <w:shd w:val="clear" w:color="auto" w:fill="FFFFFF" w:themeFill="background1"/>
          <w:lang w:val="en-US" w:eastAsia="zh-CN" w:bidi="ar-SA"/>
        </w:rPr>
        <w:t>4. 其他资格要求：</w:t>
      </w:r>
    </w:p>
    <w:p w14:paraId="7CBFE750">
      <w:pPr>
        <w:pStyle w:val="36"/>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hr-HR" w:eastAsia="zh-CN"/>
        </w:rPr>
        <w:t>法定代表人或</w:t>
      </w:r>
      <w:r>
        <w:rPr>
          <w:rFonts w:hint="eastAsia" w:ascii="宋体" w:hAnsi="宋体" w:eastAsia="宋体" w:cs="宋体"/>
          <w:i w:val="0"/>
          <w:iCs w:val="0"/>
          <w:color w:val="auto"/>
          <w:sz w:val="24"/>
          <w:szCs w:val="24"/>
          <w:highlight w:val="none"/>
          <w:lang w:val="en-US" w:eastAsia="zh-CN"/>
        </w:rPr>
        <w:t>单位</w:t>
      </w:r>
      <w:r>
        <w:rPr>
          <w:rFonts w:hint="eastAsia" w:ascii="宋体" w:hAnsi="宋体" w:eastAsia="宋体" w:cs="宋体"/>
          <w:i w:val="0"/>
          <w:iCs w:val="0"/>
          <w:color w:val="auto"/>
          <w:sz w:val="24"/>
          <w:szCs w:val="24"/>
          <w:highlight w:val="none"/>
          <w:lang w:val="hr-HR" w:eastAsia="zh-CN"/>
        </w:rPr>
        <w:t>负责人为同一人或者存在</w:t>
      </w:r>
      <w:r>
        <w:rPr>
          <w:rFonts w:hint="eastAsia" w:ascii="宋体" w:hAnsi="宋体" w:eastAsia="宋体" w:cs="宋体"/>
          <w:i w:val="0"/>
          <w:iCs w:val="0"/>
          <w:color w:val="auto"/>
          <w:sz w:val="24"/>
          <w:szCs w:val="24"/>
          <w:highlight w:val="none"/>
          <w:lang w:val="en-US" w:eastAsia="zh-CN"/>
        </w:rPr>
        <w:t>直接</w:t>
      </w:r>
      <w:r>
        <w:rPr>
          <w:rFonts w:hint="eastAsia" w:ascii="宋体" w:hAnsi="宋体" w:eastAsia="宋体" w:cs="宋体"/>
          <w:i w:val="0"/>
          <w:iCs w:val="0"/>
          <w:color w:val="auto"/>
          <w:sz w:val="24"/>
          <w:szCs w:val="24"/>
          <w:highlight w:val="none"/>
          <w:lang w:val="hr-HR" w:eastAsia="zh-CN"/>
        </w:rPr>
        <w:t>控股、管理关系的</w:t>
      </w:r>
      <w:r>
        <w:rPr>
          <w:rFonts w:hint="eastAsia" w:ascii="宋体" w:hAnsi="宋体" w:eastAsia="宋体" w:cs="宋体"/>
          <w:i w:val="0"/>
          <w:iCs w:val="0"/>
          <w:color w:val="auto"/>
          <w:sz w:val="24"/>
          <w:szCs w:val="24"/>
          <w:highlight w:val="none"/>
          <w:lang w:val="en-US" w:eastAsia="zh-CN"/>
        </w:rPr>
        <w:t>不同供应商</w:t>
      </w:r>
      <w:r>
        <w:rPr>
          <w:rFonts w:hint="eastAsia" w:ascii="宋体" w:hAnsi="宋体" w:eastAsia="宋体" w:cs="宋体"/>
          <w:i w:val="0"/>
          <w:iCs w:val="0"/>
          <w:color w:val="auto"/>
          <w:sz w:val="24"/>
          <w:szCs w:val="24"/>
          <w:highlight w:val="none"/>
          <w:lang w:val="hr-HR" w:eastAsia="zh-CN"/>
        </w:rPr>
        <w:t>，不得参加同一合同项下的政府采购活动。</w:t>
      </w:r>
    </w:p>
    <w:p w14:paraId="6FEE313C">
      <w:pPr>
        <w:pStyle w:val="36"/>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hr-HR" w:eastAsia="zh-CN"/>
        </w:rPr>
        <w:t>除单一来源采购项目外，为采购项目提供整体设计、规范编制或者项目管理、监理、检测等服务的供应商，不得再参加该采购项目的其他采购活动。</w:t>
      </w:r>
    </w:p>
    <w:p w14:paraId="1F555688">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hr-HR"/>
        </w:rPr>
        <w:t>供应商的信用行为</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hr-HR"/>
        </w:rPr>
        <w:t>在</w:t>
      </w:r>
      <w:r>
        <w:rPr>
          <w:rFonts w:hint="eastAsia" w:ascii="宋体" w:hAnsi="宋体" w:eastAsia="宋体" w:cs="宋体"/>
          <w:i w:val="0"/>
          <w:iCs w:val="0"/>
          <w:color w:val="auto"/>
          <w:sz w:val="24"/>
          <w:szCs w:val="24"/>
          <w:highlight w:val="none"/>
          <w:lang w:val="en-US" w:eastAsia="zh-CN"/>
        </w:rPr>
        <w:t>资格审查阶段经查询</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en-US" w:eastAsia="zh-CN"/>
        </w:rPr>
        <w:t>未被列入“失信被执行人”、“重大税收违法失信主体”、“政府采购严重违法失信行为记录名单”</w:t>
      </w:r>
      <w:r>
        <w:rPr>
          <w:rFonts w:hint="eastAsia" w:ascii="宋体" w:hAnsi="宋体" w:eastAsia="宋体" w:cs="宋体"/>
          <w:i w:val="0"/>
          <w:iCs w:val="0"/>
          <w:color w:val="auto"/>
          <w:sz w:val="24"/>
          <w:szCs w:val="24"/>
          <w:highlight w:val="none"/>
          <w:lang w:val="hr-HR"/>
        </w:rPr>
        <w:t>其中之一</w:t>
      </w:r>
      <w:r>
        <w:rPr>
          <w:rFonts w:hint="eastAsia" w:ascii="宋体" w:hAnsi="宋体" w:eastAsia="宋体" w:cs="宋体"/>
          <w:i w:val="0"/>
          <w:iCs w:val="0"/>
          <w:color w:val="auto"/>
          <w:sz w:val="24"/>
          <w:szCs w:val="24"/>
          <w:highlight w:val="none"/>
          <w:lang w:val="hr-HR" w:eastAsia="zh-CN"/>
        </w:rPr>
        <w:t>。如有以上不良信用记录</w:t>
      </w:r>
      <w:r>
        <w:rPr>
          <w:rFonts w:hint="eastAsia" w:ascii="宋体" w:hAnsi="宋体" w:eastAsia="宋体" w:cs="宋体"/>
          <w:i w:val="0"/>
          <w:iCs w:val="0"/>
          <w:color w:val="auto"/>
          <w:sz w:val="24"/>
          <w:szCs w:val="24"/>
          <w:highlight w:val="none"/>
          <w:lang w:val="en-US" w:eastAsia="zh-CN"/>
        </w:rPr>
        <w:t>之一的，</w:t>
      </w:r>
      <w:r>
        <w:rPr>
          <w:rFonts w:hint="eastAsia" w:ascii="宋体" w:hAnsi="宋体" w:eastAsia="宋体" w:cs="宋体"/>
          <w:i w:val="0"/>
          <w:iCs w:val="0"/>
          <w:color w:val="auto"/>
          <w:sz w:val="24"/>
          <w:szCs w:val="24"/>
          <w:highlight w:val="none"/>
          <w:lang w:val="hr-HR" w:eastAsia="zh-CN"/>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color w:val="auto"/>
          <w:sz w:val="24"/>
          <w:szCs w:val="24"/>
          <w:highlight w:val="none"/>
          <w:u w:val="none"/>
          <w:lang w:val="en-US" w:eastAsia="zh-CN"/>
        </w:rPr>
        <w:t xml:space="preserve">              </w:t>
      </w:r>
    </w:p>
    <w:bookmarkEnd w:id="29"/>
    <w:p w14:paraId="17F1ED4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hr-HR" w:eastAsia="zh-CN" w:bidi="ar-SA"/>
        </w:rPr>
      </w:pPr>
      <w:bookmarkStart w:id="35" w:name="_Toc109900250"/>
      <w:bookmarkStart w:id="36" w:name="_Toc27149"/>
      <w:bookmarkStart w:id="37" w:name="_Toc155185862"/>
      <w:bookmarkStart w:id="38" w:name="_Toc140132747"/>
      <w:bookmarkStart w:id="39" w:name="_Toc109899412"/>
      <w:bookmarkStart w:id="40" w:name="_Toc109899831"/>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hr-HR" w:eastAsia="zh-CN" w:bidi="ar-SA"/>
        </w:rPr>
        <w:t>获取招标文件</w:t>
      </w:r>
      <w:bookmarkEnd w:id="30"/>
      <w:bookmarkEnd w:id="31"/>
      <w:bookmarkEnd w:id="32"/>
      <w:bookmarkEnd w:id="33"/>
      <w:bookmarkEnd w:id="34"/>
      <w:bookmarkEnd w:id="35"/>
      <w:bookmarkEnd w:id="36"/>
      <w:bookmarkEnd w:id="37"/>
      <w:bookmarkEnd w:id="38"/>
      <w:bookmarkEnd w:id="39"/>
      <w:bookmarkEnd w:id="40"/>
      <w:r>
        <w:rPr>
          <w:rFonts w:hint="eastAsia" w:ascii="宋体" w:hAnsi="宋体" w:eastAsia="宋体" w:cs="宋体"/>
          <w:b/>
          <w:bCs/>
          <w:color w:val="auto"/>
          <w:kern w:val="2"/>
          <w:sz w:val="24"/>
          <w:szCs w:val="24"/>
          <w:highlight w:val="none"/>
          <w:lang w:val="hr-HR" w:eastAsia="zh-CN" w:bidi="ar-SA"/>
        </w:rPr>
        <w:t xml:space="preserve"> </w:t>
      </w:r>
    </w:p>
    <w:p w14:paraId="7F0135D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bookmarkStart w:id="41" w:name="_Hlk130457234"/>
      <w:bookmarkStart w:id="42" w:name="_Toc28359015"/>
      <w:bookmarkStart w:id="43" w:name="_Toc35393632"/>
      <w:bookmarkStart w:id="44" w:name="_Toc28359092"/>
      <w:bookmarkStart w:id="45" w:name="_Hlk130457327"/>
      <w:bookmarkStart w:id="46" w:name="_Toc35393801"/>
      <w:bookmarkStart w:id="47" w:name="_Hlk130457261"/>
      <w:r>
        <w:rPr>
          <w:rFonts w:hint="eastAsia" w:ascii="宋体" w:hAnsi="宋体" w:eastAsia="宋体" w:cs="宋体"/>
          <w:color w:val="auto"/>
          <w:sz w:val="24"/>
          <w:szCs w:val="24"/>
          <w:highlight w:val="none"/>
          <w:lang w:val="hr-HR"/>
        </w:rPr>
        <w:t>1.时间：</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 xml:space="preserve">年 </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 月</w:t>
      </w:r>
      <w:r>
        <w:rPr>
          <w:rFonts w:hint="eastAsia" w:cs="宋体"/>
          <w:color w:val="auto"/>
          <w:sz w:val="24"/>
          <w:szCs w:val="24"/>
          <w:highlight w:val="none"/>
          <w:u w:val="single"/>
          <w:lang w:val="en-US" w:eastAsia="zh-CN"/>
        </w:rPr>
        <w:t>24</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时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lang w:val="hr-HR"/>
        </w:rPr>
        <w:t>至</w:t>
      </w:r>
      <w:r>
        <w:rPr>
          <w:rFonts w:hint="eastAsia" w:ascii="宋体" w:hAnsi="宋体" w:eastAsia="宋体" w:cs="宋体"/>
          <w:color w:val="auto"/>
          <w:sz w:val="24"/>
          <w:szCs w:val="24"/>
          <w:highlight w:val="none"/>
          <w:u w:val="single"/>
          <w:lang w:val="hr-HR"/>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 xml:space="preserve">年 </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 xml:space="preserve"> 30</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时</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lang w:val="hr-HR"/>
        </w:rPr>
        <w:t>（北京时间）。</w:t>
      </w:r>
    </w:p>
    <w:bookmarkEnd w:id="41"/>
    <w:p w14:paraId="34FD69C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2.</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val="hr-HR"/>
        </w:rPr>
        <w:t>：</w:t>
      </w:r>
      <w:bookmarkStart w:id="48" w:name="_Hlk89807779"/>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w:t>
      </w:r>
      <w:bookmarkEnd w:id="48"/>
    </w:p>
    <w:p w14:paraId="5DDD414F">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hr-HR"/>
        </w:rPr>
        <w:t>3.</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投标供应商登录政采云平台</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lang w:val="en-US"/>
        </w:rPr>
        <w:t>在线申请</w:t>
      </w:r>
      <w:r>
        <w:rPr>
          <w:rFonts w:hint="eastAsia" w:ascii="宋体" w:hAnsi="宋体" w:eastAsia="宋体" w:cs="宋体"/>
          <w:color w:val="auto"/>
          <w:sz w:val="24"/>
          <w:szCs w:val="24"/>
          <w:highlight w:val="none"/>
          <w:lang w:val="en-US" w:eastAsia="zh-CN"/>
        </w:rPr>
        <w:t>，免费</w:t>
      </w:r>
      <w:r>
        <w:rPr>
          <w:rFonts w:hint="eastAsia" w:ascii="宋体" w:hAnsi="宋体" w:eastAsia="宋体" w:cs="宋体"/>
          <w:color w:val="auto"/>
          <w:sz w:val="24"/>
          <w:szCs w:val="24"/>
          <w:highlight w:val="none"/>
          <w:lang w:val="en-US"/>
        </w:rPr>
        <w:t>获取</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en-US"/>
        </w:rPr>
        <w:t>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进入</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项目采购</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应用</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在获取采购文件菜单中选择项目</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申请获取采购文件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w:t>
      </w:r>
    </w:p>
    <w:p w14:paraId="42A40251">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4.售价：0元。</w:t>
      </w:r>
      <w:r>
        <w:rPr>
          <w:rFonts w:hint="eastAsia" w:ascii="宋体" w:hAnsi="宋体" w:eastAsia="宋体" w:cs="宋体"/>
          <w:color w:val="auto"/>
          <w:sz w:val="24"/>
          <w:szCs w:val="24"/>
          <w:highlight w:val="none"/>
          <w:lang w:val="hr-HR"/>
        </w:rPr>
        <w:t xml:space="preserve"> </w:t>
      </w:r>
    </w:p>
    <w:bookmarkEnd w:id="42"/>
    <w:bookmarkEnd w:id="43"/>
    <w:bookmarkEnd w:id="44"/>
    <w:bookmarkEnd w:id="45"/>
    <w:bookmarkEnd w:id="46"/>
    <w:bookmarkEnd w:id="47"/>
    <w:p w14:paraId="62F5362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hr-HR" w:eastAsia="zh-CN" w:bidi="ar-SA"/>
        </w:rPr>
      </w:pPr>
      <w:bookmarkStart w:id="49" w:name="_Toc140132748"/>
      <w:bookmarkStart w:id="50" w:name="_Toc109899832"/>
      <w:bookmarkStart w:id="51" w:name="_Toc109900251"/>
      <w:bookmarkStart w:id="52" w:name="_Toc109899413"/>
      <w:bookmarkStart w:id="53" w:name="_Toc155185863"/>
      <w:bookmarkStart w:id="54" w:name="_Toc13809"/>
      <w:bookmarkStart w:id="55" w:name="_Hlk130457395"/>
      <w:bookmarkStart w:id="56" w:name="_Toc28359017"/>
      <w:bookmarkStart w:id="57" w:name="_Toc44583633"/>
      <w:bookmarkStart w:id="58" w:name="_Toc35393634"/>
      <w:bookmarkStart w:id="59" w:name="_Toc28359094"/>
      <w:bookmarkStart w:id="60" w:name="_Toc35393803"/>
      <w:r>
        <w:rPr>
          <w:rFonts w:hint="eastAsia" w:ascii="宋体" w:hAnsi="宋体" w:eastAsia="宋体" w:cs="宋体"/>
          <w:b/>
          <w:bCs/>
          <w:color w:val="auto"/>
          <w:kern w:val="2"/>
          <w:sz w:val="24"/>
          <w:szCs w:val="24"/>
          <w:highlight w:val="none"/>
          <w:lang w:val="en-US" w:eastAsia="zh-CN" w:bidi="ar-SA"/>
        </w:rPr>
        <w:t>四、</w:t>
      </w:r>
      <w:bookmarkEnd w:id="49"/>
      <w:bookmarkEnd w:id="50"/>
      <w:bookmarkEnd w:id="51"/>
      <w:bookmarkEnd w:id="52"/>
      <w:bookmarkEnd w:id="53"/>
      <w:r>
        <w:rPr>
          <w:rFonts w:hint="eastAsia" w:ascii="宋体" w:hAnsi="宋体" w:eastAsia="宋体" w:cs="宋体"/>
          <w:b/>
          <w:bCs/>
          <w:color w:val="auto"/>
          <w:kern w:val="2"/>
          <w:sz w:val="24"/>
          <w:szCs w:val="24"/>
          <w:highlight w:val="none"/>
          <w:lang w:val="hr-HR" w:eastAsia="zh-CN" w:bidi="ar-SA"/>
        </w:rPr>
        <w:t>提交投标文件截止时间</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lang w:val="hr-HR" w:eastAsia="zh-CN" w:bidi="ar-SA"/>
        </w:rPr>
        <w:t>开标时间、递交方式和</w:t>
      </w:r>
      <w:r>
        <w:rPr>
          <w:rFonts w:hint="eastAsia" w:ascii="宋体" w:hAnsi="宋体" w:eastAsia="宋体" w:cs="宋体"/>
          <w:b/>
          <w:bCs/>
          <w:color w:val="auto"/>
          <w:kern w:val="2"/>
          <w:sz w:val="24"/>
          <w:szCs w:val="24"/>
          <w:highlight w:val="none"/>
          <w:lang w:val="en-US" w:eastAsia="zh-CN" w:bidi="ar-SA"/>
        </w:rPr>
        <w:t>开标</w:t>
      </w:r>
      <w:r>
        <w:rPr>
          <w:rFonts w:hint="eastAsia" w:ascii="宋体" w:hAnsi="宋体" w:eastAsia="宋体" w:cs="宋体"/>
          <w:b/>
          <w:bCs/>
          <w:color w:val="auto"/>
          <w:kern w:val="2"/>
          <w:sz w:val="24"/>
          <w:szCs w:val="24"/>
          <w:highlight w:val="none"/>
          <w:lang w:val="hr-HR" w:eastAsia="zh-CN" w:bidi="ar-SA"/>
        </w:rPr>
        <w:t>地点</w:t>
      </w:r>
      <w:bookmarkEnd w:id="54"/>
    </w:p>
    <w:p w14:paraId="2D110B47">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1.截止时间</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 xml:space="preserve"> 14</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 时</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 xml:space="preserve"> 分</w:t>
      </w:r>
      <w:r>
        <w:rPr>
          <w:rFonts w:hint="eastAsia" w:ascii="宋体" w:hAnsi="宋体" w:eastAsia="宋体" w:cs="宋体"/>
          <w:color w:val="auto"/>
          <w:sz w:val="24"/>
          <w:szCs w:val="24"/>
          <w:highlight w:val="none"/>
        </w:rPr>
        <w:t>（北京时间）。</w:t>
      </w:r>
    </w:p>
    <w:p w14:paraId="51B173F3">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2.递交方式：</w:t>
      </w:r>
      <w:bookmarkStart w:id="61" w:name="_Hlk89807823"/>
      <w:r>
        <w:rPr>
          <w:rFonts w:hint="eastAsia" w:ascii="宋体" w:hAnsi="宋体" w:eastAsia="宋体" w:cs="宋体"/>
          <w:color w:val="auto"/>
          <w:sz w:val="24"/>
          <w:szCs w:val="24"/>
          <w:highlight w:val="none"/>
        </w:rPr>
        <w:t>在兵团政府采购电子交易云平台（网址：https://www.zcygov.cn/）进入“项目采购”应用，在投标文件上传菜单中选择项目进行上传。</w:t>
      </w:r>
      <w:bookmarkEnd w:id="61"/>
    </w:p>
    <w:p w14:paraId="276D3E17">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3.开标</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投标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lang w:val="en-US"/>
        </w:rPr>
        <w:t>登录政采云平台https</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//www.zcygov.cn/，进入项目采购</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开</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lang w:val="en-US"/>
        </w:rPr>
        <w:t>评标</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右边选择对应项目点击“进入项目”进入开标大厅</w:t>
      </w:r>
      <w:r>
        <w:rPr>
          <w:rFonts w:hint="eastAsia" w:ascii="宋体" w:hAnsi="宋体" w:eastAsia="宋体" w:cs="宋体"/>
          <w:color w:val="auto"/>
          <w:sz w:val="24"/>
          <w:szCs w:val="24"/>
          <w:highlight w:val="none"/>
        </w:rPr>
        <w:t>。</w:t>
      </w:r>
    </w:p>
    <w:bookmarkEnd w:id="55"/>
    <w:p w14:paraId="679A69E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hr-HR" w:eastAsia="zh-CN" w:bidi="ar-SA"/>
        </w:rPr>
      </w:pPr>
      <w:bookmarkStart w:id="62" w:name="_Toc109899833"/>
      <w:bookmarkStart w:id="63" w:name="_Toc8144"/>
      <w:bookmarkStart w:id="64" w:name="_Toc109900252"/>
      <w:bookmarkStart w:id="65" w:name="_Toc140132749"/>
      <w:bookmarkStart w:id="66" w:name="_Toc109899414"/>
      <w:bookmarkStart w:id="67" w:name="_Toc155185864"/>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hr-HR" w:eastAsia="zh-CN" w:bidi="ar-SA"/>
        </w:rPr>
        <w:t>公告期限</w:t>
      </w:r>
      <w:bookmarkEnd w:id="56"/>
      <w:bookmarkEnd w:id="57"/>
      <w:bookmarkEnd w:id="58"/>
      <w:bookmarkEnd w:id="59"/>
      <w:bookmarkEnd w:id="60"/>
      <w:bookmarkEnd w:id="62"/>
      <w:bookmarkEnd w:id="63"/>
      <w:bookmarkEnd w:id="64"/>
      <w:bookmarkEnd w:id="65"/>
      <w:bookmarkEnd w:id="66"/>
      <w:bookmarkEnd w:id="67"/>
    </w:p>
    <w:p w14:paraId="32028F4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自招标公告发布之日起5个工作日。</w:t>
      </w:r>
    </w:p>
    <w:p w14:paraId="20DD1AA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hr-HR" w:eastAsia="zh-CN" w:bidi="ar-SA"/>
        </w:rPr>
      </w:pPr>
      <w:bookmarkStart w:id="68" w:name="_Toc109900253"/>
      <w:bookmarkStart w:id="69" w:name="_Toc109899834"/>
      <w:bookmarkStart w:id="70" w:name="_Toc140132750"/>
      <w:bookmarkStart w:id="71" w:name="_Toc35393635"/>
      <w:bookmarkStart w:id="72" w:name="_Toc35393804"/>
      <w:bookmarkStart w:id="73" w:name="_Toc155185865"/>
      <w:bookmarkStart w:id="74" w:name="_Toc44583634"/>
      <w:bookmarkStart w:id="75" w:name="_Toc109899415"/>
      <w:bookmarkStart w:id="76" w:name="_Toc26687"/>
      <w:bookmarkStart w:id="77" w:name="_Toc35393637"/>
      <w:bookmarkStart w:id="78" w:name="_Toc35393806"/>
      <w:bookmarkStart w:id="79" w:name="_Toc28359019"/>
      <w:bookmarkStart w:id="80" w:name="_Toc28359096"/>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hr-HR" w:eastAsia="zh-CN" w:bidi="ar-SA"/>
        </w:rPr>
        <w:t>其他补充事宜</w:t>
      </w:r>
      <w:bookmarkEnd w:id="68"/>
      <w:bookmarkEnd w:id="69"/>
      <w:bookmarkEnd w:id="70"/>
      <w:bookmarkEnd w:id="71"/>
      <w:bookmarkEnd w:id="72"/>
      <w:bookmarkEnd w:id="73"/>
      <w:bookmarkEnd w:id="74"/>
      <w:bookmarkEnd w:id="75"/>
      <w:bookmarkEnd w:id="76"/>
    </w:p>
    <w:p w14:paraId="743BCBD0">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1、本项目实行网上投标，采用电子投标文件；</w:t>
      </w:r>
    </w:p>
    <w:p w14:paraId="1175B44A">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各投标人应在开标前应确保成为政采云平台供应商，并完成CA数字证书（符合国密标准）申领。因未注册入库、未办理CA数字证书等原因造成无法投标或投标失败等后果由投标人自行承担。有意向参与兵团区域电子开评标的投标人，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14:paraId="548B7FB7">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人将政采云电子交易客户端下载、安装完成后，可通过账号密码或CA登录客户端进行投标文件的制作。在使用政采云投标客户端时，建议使用WIN7（64位）及以上操作系统。客户端请至兵团政府采购网（http://ccgp-bingtuan.gov.cn/）下载专区查看，如有问题可拨打政采云客户服务热线95763进行咨询。如因投标人自身原因导致在规定时间内无法正常解密的（如：浏览器故障、未安装相关驱动、网络故障、加密CA与解密CA不一致等），视为投标人自动弃标。</w:t>
      </w:r>
    </w:p>
    <w:bookmarkEnd w:id="2"/>
    <w:bookmarkEnd w:id="77"/>
    <w:bookmarkEnd w:id="78"/>
    <w:bookmarkEnd w:id="79"/>
    <w:bookmarkEnd w:id="80"/>
    <w:p w14:paraId="723251B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hr-HR" w:eastAsia="zh-CN" w:bidi="ar-SA"/>
        </w:rPr>
      </w:pPr>
      <w:bookmarkStart w:id="81" w:name="_Toc35393636"/>
      <w:bookmarkStart w:id="82" w:name="_Toc109900254"/>
      <w:bookmarkStart w:id="83" w:name="_Toc109899835"/>
      <w:bookmarkStart w:id="84" w:name="_Toc44583635"/>
      <w:bookmarkStart w:id="85" w:name="_Toc155185866"/>
      <w:bookmarkStart w:id="86" w:name="_Toc140132751"/>
      <w:bookmarkStart w:id="87" w:name="_Toc35393805"/>
      <w:bookmarkStart w:id="88" w:name="_Toc109899416"/>
      <w:bookmarkStart w:id="89" w:name="_Toc28359018"/>
      <w:bookmarkStart w:id="90" w:name="_Toc28359095"/>
      <w:bookmarkStart w:id="91" w:name="_Toc28862"/>
      <w:r>
        <w:rPr>
          <w:rFonts w:hint="eastAsia" w:ascii="宋体" w:hAnsi="宋体" w:eastAsia="宋体" w:cs="宋体"/>
          <w:b/>
          <w:bCs/>
          <w:color w:val="auto"/>
          <w:kern w:val="2"/>
          <w:sz w:val="24"/>
          <w:szCs w:val="24"/>
          <w:highlight w:val="none"/>
          <w:lang w:val="en-US" w:eastAsia="zh-CN" w:bidi="ar-SA"/>
        </w:rPr>
        <w:t>七、</w:t>
      </w:r>
      <w:bookmarkEnd w:id="81"/>
      <w:bookmarkEnd w:id="82"/>
      <w:bookmarkEnd w:id="83"/>
      <w:bookmarkEnd w:id="84"/>
      <w:bookmarkEnd w:id="85"/>
      <w:bookmarkEnd w:id="86"/>
      <w:bookmarkEnd w:id="87"/>
      <w:bookmarkEnd w:id="88"/>
      <w:bookmarkEnd w:id="89"/>
      <w:bookmarkEnd w:id="90"/>
      <w:r>
        <w:rPr>
          <w:rFonts w:hint="eastAsia" w:ascii="宋体" w:hAnsi="宋体" w:eastAsia="宋体" w:cs="宋体"/>
          <w:b/>
          <w:bCs/>
          <w:color w:val="auto"/>
          <w:kern w:val="2"/>
          <w:sz w:val="24"/>
          <w:szCs w:val="24"/>
          <w:highlight w:val="none"/>
          <w:lang w:val="hr-HR" w:eastAsia="zh-CN" w:bidi="ar-SA"/>
        </w:rPr>
        <w:t>对本次</w:t>
      </w:r>
      <w:r>
        <w:rPr>
          <w:rFonts w:hint="eastAsia" w:ascii="宋体" w:hAnsi="宋体" w:eastAsia="宋体" w:cs="宋体"/>
          <w:b/>
          <w:bCs/>
          <w:color w:val="auto"/>
          <w:kern w:val="2"/>
          <w:sz w:val="24"/>
          <w:szCs w:val="24"/>
          <w:highlight w:val="none"/>
          <w:lang w:val="en-US" w:eastAsia="zh-CN" w:bidi="ar-SA"/>
        </w:rPr>
        <w:t>招标</w:t>
      </w:r>
      <w:r>
        <w:rPr>
          <w:rFonts w:hint="eastAsia" w:ascii="宋体" w:hAnsi="宋体" w:eastAsia="宋体" w:cs="宋体"/>
          <w:b/>
          <w:bCs/>
          <w:color w:val="auto"/>
          <w:kern w:val="2"/>
          <w:sz w:val="24"/>
          <w:szCs w:val="24"/>
          <w:highlight w:val="none"/>
          <w:lang w:val="hr-HR" w:eastAsia="zh-CN" w:bidi="ar-SA"/>
        </w:rPr>
        <w:t>提出询问，请按以下方式联系</w:t>
      </w:r>
      <w:bookmarkEnd w:id="91"/>
    </w:p>
    <w:p w14:paraId="7B21388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1.采购人信息</w:t>
      </w:r>
    </w:p>
    <w:p w14:paraId="20D8604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r>
        <w:rPr>
          <w:rFonts w:hint="eastAsia" w:cs="宋体"/>
          <w:color w:val="auto"/>
          <w:sz w:val="24"/>
          <w:highlight w:val="none"/>
          <w:u w:val="single"/>
          <w:lang w:val="en-US" w:eastAsia="zh-CN"/>
        </w:rPr>
        <w:t>草湖项目区</w:t>
      </w:r>
      <w:r>
        <w:rPr>
          <w:rFonts w:hint="eastAsia" w:ascii="宋体" w:hAnsi="宋体" w:eastAsia="宋体" w:cs="宋体"/>
          <w:color w:val="auto"/>
          <w:sz w:val="24"/>
          <w:highlight w:val="none"/>
          <w:u w:val="single"/>
        </w:rPr>
        <w:t xml:space="preserve">昆仑人民医院 </w:t>
      </w:r>
    </w:p>
    <w:p w14:paraId="6CA0E6C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0" w:firstLineChars="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新疆维吾尔自治区</w:t>
      </w:r>
      <w:r>
        <w:rPr>
          <w:rFonts w:hint="eastAsia" w:cs="宋体"/>
          <w:color w:val="auto"/>
          <w:sz w:val="24"/>
          <w:highlight w:val="none"/>
          <w:u w:val="single"/>
          <w:lang w:val="en-US" w:eastAsia="zh-CN"/>
        </w:rPr>
        <w:t>喀什地区疏勒县</w:t>
      </w:r>
      <w:r>
        <w:rPr>
          <w:rFonts w:hint="eastAsia" w:ascii="宋体" w:hAnsi="宋体" w:eastAsia="宋体" w:cs="宋体"/>
          <w:color w:val="auto"/>
          <w:sz w:val="24"/>
          <w:highlight w:val="none"/>
          <w:u w:val="single"/>
        </w:rPr>
        <w:t>草湖镇东江大道1号</w:t>
      </w:r>
    </w:p>
    <w:p w14:paraId="465793B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bookmarkStart w:id="92" w:name="_Hlk46775675"/>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 xml:space="preserve">娜迪热 </w:t>
      </w:r>
      <w:r>
        <w:rPr>
          <w:rFonts w:hint="eastAsia" w:ascii="宋体" w:hAnsi="宋体" w:eastAsia="宋体" w:cs="宋体"/>
          <w:color w:val="auto"/>
          <w:sz w:val="24"/>
          <w:highlight w:val="none"/>
          <w:u w:val="single"/>
        </w:rPr>
        <w:t xml:space="preserve"> 0998-2554401 </w:t>
      </w:r>
      <w:r>
        <w:rPr>
          <w:rFonts w:hint="eastAsia" w:cs="宋体"/>
          <w:color w:val="auto"/>
          <w:sz w:val="24"/>
          <w:highlight w:val="none"/>
          <w:u w:val="single"/>
          <w:lang w:eastAsia="zh-CN"/>
        </w:rPr>
        <w:t>，</w:t>
      </w:r>
      <w:r>
        <w:rPr>
          <w:rFonts w:hint="eastAsia" w:ascii="宋体" w:hAnsi="宋体" w:eastAsia="宋体" w:cs="宋体"/>
          <w:color w:val="auto"/>
          <w:sz w:val="24"/>
          <w:szCs w:val="24"/>
          <w:highlight w:val="none"/>
          <w:u w:val="single"/>
          <w:lang w:val="en-US" w:eastAsia="zh-CN"/>
        </w:rPr>
        <w:t xml:space="preserve">18899123203 </w:t>
      </w:r>
    </w:p>
    <w:bookmarkEnd w:id="92"/>
    <w:p w14:paraId="5DDC5322">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bookmarkStart w:id="93" w:name="_Toc35393638"/>
      <w:bookmarkStart w:id="94" w:name="_Toc28359097"/>
      <w:bookmarkStart w:id="95" w:name="_Toc35393807"/>
      <w:bookmarkStart w:id="96" w:name="_Toc28359020"/>
      <w:r>
        <w:rPr>
          <w:rFonts w:hint="eastAsia" w:ascii="宋体" w:hAnsi="宋体" w:eastAsia="宋体" w:cs="宋体"/>
          <w:color w:val="auto"/>
          <w:sz w:val="24"/>
          <w:highlight w:val="none"/>
        </w:rPr>
        <w:t>2.采购代理机构信息</w:t>
      </w:r>
      <w:bookmarkEnd w:id="93"/>
      <w:bookmarkEnd w:id="94"/>
      <w:bookmarkEnd w:id="95"/>
      <w:bookmarkEnd w:id="96"/>
    </w:p>
    <w:p w14:paraId="7C0FE05E">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草湖项目区公共资源交易中心</w:t>
      </w:r>
      <w:r>
        <w:rPr>
          <w:rFonts w:hint="eastAsia" w:ascii="宋体" w:hAnsi="宋体" w:eastAsia="宋体" w:cs="宋体"/>
          <w:color w:val="auto"/>
          <w:sz w:val="24"/>
          <w:highlight w:val="none"/>
          <w:u w:val="single"/>
        </w:rPr>
        <w:t xml:space="preserve"> </w:t>
      </w:r>
    </w:p>
    <w:p w14:paraId="22721B3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ascii="仿宋_GB2312" w:hAnsi="仿宋_GB2312" w:eastAsia="仿宋_GB2312" w:cs="仿宋_GB2312"/>
          <w:sz w:val="24"/>
          <w:szCs w:val="24"/>
          <w:highlight w:val="none"/>
          <w:u w:val="single"/>
          <w:vertAlign w:val="baseline"/>
          <w:lang w:val="en-US" w:eastAsia="zh-CN"/>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新疆维吾尔自治区</w:t>
      </w:r>
      <w:r>
        <w:rPr>
          <w:rFonts w:hint="eastAsia" w:cs="宋体"/>
          <w:color w:val="auto"/>
          <w:sz w:val="24"/>
          <w:highlight w:val="none"/>
          <w:u w:val="single"/>
          <w:lang w:val="en-US" w:eastAsia="zh-CN"/>
        </w:rPr>
        <w:t>喀什地区疏勒县</w:t>
      </w:r>
      <w:r>
        <w:rPr>
          <w:rFonts w:hint="eastAsia" w:ascii="宋体" w:hAnsi="宋体" w:eastAsia="宋体" w:cs="宋体"/>
          <w:color w:val="auto"/>
          <w:sz w:val="24"/>
          <w:highlight w:val="none"/>
          <w:u w:val="single"/>
          <w:lang w:val="en-US" w:eastAsia="zh-CN"/>
        </w:rPr>
        <w:t>41团</w:t>
      </w:r>
      <w:r>
        <w:rPr>
          <w:rFonts w:hint="eastAsia" w:ascii="宋体" w:hAnsi="宋体" w:eastAsia="宋体" w:cs="宋体"/>
          <w:color w:val="auto"/>
          <w:sz w:val="24"/>
          <w:highlight w:val="none"/>
          <w:u w:val="single"/>
        </w:rPr>
        <w:t>草湖镇</w:t>
      </w:r>
      <w:r>
        <w:rPr>
          <w:rFonts w:hint="eastAsia" w:ascii="宋体" w:hAnsi="宋体" w:eastAsia="宋体" w:cs="宋体"/>
          <w:color w:val="auto"/>
          <w:sz w:val="24"/>
          <w:highlight w:val="none"/>
          <w:u w:val="single"/>
          <w:lang w:val="en-US" w:eastAsia="zh-CN"/>
        </w:rPr>
        <w:t xml:space="preserve">职工创业园 </w:t>
      </w:r>
    </w:p>
    <w:p w14:paraId="08A07A5E">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阿丽耶 0998—6378627</w:t>
      </w:r>
      <w:r>
        <w:rPr>
          <w:rFonts w:hint="eastAsia" w:ascii="宋体" w:hAnsi="宋体" w:eastAsia="宋体" w:cs="宋体"/>
          <w:color w:val="auto"/>
          <w:sz w:val="24"/>
          <w:highlight w:val="none"/>
          <w:u w:val="single"/>
        </w:rPr>
        <w:t xml:space="preserve">  </w:t>
      </w:r>
    </w:p>
    <w:p w14:paraId="3D50EAA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szCs w:val="24"/>
          <w:highlight w:val="none"/>
          <w:lang w:val="en-US" w:eastAsia="zh-CN"/>
        </w:rPr>
      </w:pPr>
      <w:bookmarkStart w:id="97" w:name="_Toc28359021"/>
      <w:bookmarkStart w:id="98" w:name="_Toc28359098"/>
      <w:bookmarkStart w:id="99" w:name="_Toc35393808"/>
      <w:bookmarkStart w:id="100" w:name="_Toc35393639"/>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项目联系方式</w:t>
      </w:r>
    </w:p>
    <w:p w14:paraId="7E0DF7F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阿丽耶</w:t>
      </w:r>
      <w:r>
        <w:rPr>
          <w:rFonts w:hint="eastAsia" w:ascii="宋体" w:hAnsi="宋体" w:eastAsia="宋体" w:cs="宋体"/>
          <w:color w:val="auto"/>
          <w:sz w:val="24"/>
          <w:szCs w:val="24"/>
          <w:highlight w:val="none"/>
          <w:u w:val="single"/>
          <w:lang w:val="en-US" w:eastAsia="zh-CN"/>
        </w:rPr>
        <w:t xml:space="preserve"> </w:t>
      </w:r>
    </w:p>
    <w:bookmarkEnd w:id="97"/>
    <w:bookmarkEnd w:id="98"/>
    <w:bookmarkEnd w:id="99"/>
    <w:bookmarkEnd w:id="100"/>
    <w:p w14:paraId="446FA8D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电话：</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0998-6378627</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 xml:space="preserve">  </w:t>
      </w:r>
    </w:p>
    <w:p w14:paraId="1A55172C">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101" w:name="_Toc155185867"/>
      <w:bookmarkStart w:id="102" w:name="_Toc5645"/>
    </w:p>
    <w:p w14:paraId="40620803">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p>
    <w:p w14:paraId="5553AF6C">
      <w:pPr>
        <w:rPr>
          <w:rFonts w:hint="eastAsia" w:ascii="宋体" w:hAnsi="宋体" w:eastAsia="宋体" w:cs="宋体"/>
          <w:b/>
          <w:bCs/>
          <w:color w:val="auto"/>
          <w:kern w:val="44"/>
          <w:sz w:val="36"/>
          <w:szCs w:val="36"/>
          <w:highlight w:val="none"/>
          <w:lang w:val="en-US" w:eastAsia="zh-CN" w:bidi="ar-SA"/>
        </w:rPr>
      </w:pPr>
    </w:p>
    <w:p w14:paraId="4E13877E">
      <w:pPr>
        <w:pStyle w:val="13"/>
        <w:rPr>
          <w:rFonts w:hint="eastAsia" w:ascii="宋体" w:hAnsi="宋体" w:eastAsia="宋体" w:cs="宋体"/>
          <w:b/>
          <w:bCs/>
          <w:color w:val="auto"/>
          <w:kern w:val="44"/>
          <w:sz w:val="36"/>
          <w:szCs w:val="36"/>
          <w:highlight w:val="none"/>
          <w:lang w:val="en-US" w:eastAsia="zh-CN" w:bidi="ar-SA"/>
        </w:rPr>
      </w:pPr>
    </w:p>
    <w:p w14:paraId="5AB7D9F7">
      <w:pPr>
        <w:rPr>
          <w:rFonts w:hint="eastAsia" w:ascii="宋体" w:hAnsi="宋体" w:eastAsia="宋体" w:cs="宋体"/>
          <w:b/>
          <w:bCs/>
          <w:color w:val="auto"/>
          <w:kern w:val="44"/>
          <w:sz w:val="36"/>
          <w:szCs w:val="36"/>
          <w:highlight w:val="none"/>
          <w:lang w:val="en-US" w:eastAsia="zh-CN" w:bidi="ar-SA"/>
        </w:rPr>
      </w:pPr>
    </w:p>
    <w:p w14:paraId="4C6F11B4">
      <w:pPr>
        <w:pStyle w:val="13"/>
        <w:rPr>
          <w:rFonts w:hint="eastAsia" w:ascii="宋体" w:hAnsi="宋体" w:eastAsia="宋体" w:cs="宋体"/>
          <w:b/>
          <w:bCs/>
          <w:color w:val="auto"/>
          <w:kern w:val="44"/>
          <w:sz w:val="36"/>
          <w:szCs w:val="36"/>
          <w:highlight w:val="none"/>
          <w:lang w:val="en-US" w:eastAsia="zh-CN" w:bidi="ar-SA"/>
        </w:rPr>
      </w:pPr>
    </w:p>
    <w:p w14:paraId="0911C8D5">
      <w:pPr>
        <w:rPr>
          <w:rFonts w:hint="eastAsia" w:ascii="宋体" w:hAnsi="宋体" w:eastAsia="宋体" w:cs="宋体"/>
          <w:b/>
          <w:bCs/>
          <w:color w:val="auto"/>
          <w:kern w:val="44"/>
          <w:sz w:val="36"/>
          <w:szCs w:val="36"/>
          <w:highlight w:val="none"/>
          <w:lang w:val="en-US" w:eastAsia="zh-CN" w:bidi="ar-SA"/>
        </w:rPr>
      </w:pPr>
    </w:p>
    <w:p w14:paraId="2BC31C5C">
      <w:pPr>
        <w:pStyle w:val="13"/>
        <w:rPr>
          <w:rFonts w:hint="eastAsia"/>
          <w:lang w:val="en-US" w:eastAsia="zh-CN"/>
        </w:rPr>
      </w:pPr>
    </w:p>
    <w:p w14:paraId="58FDF2DC">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p>
    <w:p w14:paraId="6A56ADB8">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第二章 投标人须知</w:t>
      </w:r>
      <w:bookmarkEnd w:id="101"/>
      <w:bookmarkEnd w:id="102"/>
    </w:p>
    <w:p w14:paraId="75B79534">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103" w:name="_Toc32038"/>
      <w:bookmarkStart w:id="104" w:name="_Toc155185868"/>
      <w:r>
        <w:rPr>
          <w:rFonts w:hint="eastAsia" w:eastAsia="宋体" w:asciiTheme="majorHAnsi" w:hAnsiTheme="majorHAnsi" w:cstheme="majorBidi"/>
          <w:b/>
          <w:bCs/>
          <w:color w:val="auto"/>
          <w:kern w:val="2"/>
          <w:sz w:val="28"/>
          <w:szCs w:val="28"/>
          <w:highlight w:val="none"/>
          <w:lang w:val="en-US" w:eastAsia="zh-CN" w:bidi="ar-SA"/>
        </w:rPr>
        <w:t>一、投标人须知前附表</w:t>
      </w:r>
      <w:bookmarkEnd w:id="103"/>
      <w:bookmarkEnd w:id="104"/>
    </w:p>
    <w:p w14:paraId="7F3ACB7A">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default" w:eastAsia="宋体"/>
          <w:color w:val="auto"/>
          <w:highlight w:val="none"/>
          <w:lang w:val="en-US" w:eastAsia="zh-CN"/>
        </w:rPr>
      </w:pPr>
      <w:r>
        <w:rPr>
          <w:rFonts w:hint="eastAsia"/>
          <w:color w:val="auto"/>
          <w:sz w:val="24"/>
          <w:szCs w:val="24"/>
          <w:highlight w:val="none"/>
        </w:rPr>
        <w:t>投标人应仔细阅读本招标文件的第二章“投标人须知”，下面所列资料是对“投标人须知”的具体补充和说明</w:t>
      </w:r>
      <w:r>
        <w:rPr>
          <w:rFonts w:hint="eastAsia"/>
          <w:color w:val="auto"/>
          <w:sz w:val="24"/>
          <w:szCs w:val="24"/>
          <w:highlight w:val="none"/>
          <w:lang w:eastAsia="zh-CN"/>
        </w:rPr>
        <w:t>，</w:t>
      </w:r>
      <w:r>
        <w:rPr>
          <w:rFonts w:hint="eastAsia"/>
          <w:color w:val="auto"/>
          <w:sz w:val="24"/>
          <w:szCs w:val="24"/>
          <w:highlight w:val="none"/>
        </w:rPr>
        <w:t>如有矛盾，应以本表为准。</w:t>
      </w:r>
      <w:r>
        <w:rPr>
          <w:rFonts w:hint="eastAsia"/>
          <w:color w:val="auto"/>
          <w:sz w:val="24"/>
          <w:szCs w:val="24"/>
          <w:highlight w:val="none"/>
          <w:lang w:val="en-US" w:eastAsia="zh-CN"/>
        </w:rPr>
        <w:t>标记“</w:t>
      </w:r>
      <w:r>
        <w:rPr>
          <w:rFonts w:hint="eastAsia" w:ascii="宋体" w:hAnsi="宋体" w:eastAsia="宋体"/>
          <w:color w:val="auto"/>
          <w:sz w:val="24"/>
          <w:szCs w:val="24"/>
          <w:highlight w:val="none"/>
          <w:lang w:val="en-US" w:eastAsia="zh-CN"/>
        </w:rPr>
        <w:t>☑”的选项意为适用于本项目，标记“□”的选项意为不适用于本项目</w:t>
      </w:r>
      <w:r>
        <w:rPr>
          <w:rFonts w:hint="eastAsia" w:ascii="宋体" w:hAnsi="宋体" w:eastAsia="宋体"/>
          <w:color w:val="auto"/>
          <w:highlight w:val="none"/>
          <w:lang w:val="en-US" w:eastAsia="zh-CN"/>
        </w:rPr>
        <w:t>。</w:t>
      </w:r>
    </w:p>
    <w:tbl>
      <w:tblPr>
        <w:tblStyle w:val="29"/>
        <w:tblW w:w="9408" w:type="dxa"/>
        <w:tblInd w:w="-35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38"/>
        <w:gridCol w:w="6700"/>
      </w:tblGrid>
      <w:tr w14:paraId="1B64B2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C4440D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条款号</w:t>
            </w:r>
          </w:p>
        </w:tc>
        <w:tc>
          <w:tcPr>
            <w:tcW w:w="173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0B9EABE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条款名称</w:t>
            </w:r>
          </w:p>
        </w:tc>
        <w:tc>
          <w:tcPr>
            <w:tcW w:w="670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C7B3B7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10D8CF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160E384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w:t>
            </w:r>
          </w:p>
        </w:tc>
        <w:tc>
          <w:tcPr>
            <w:tcW w:w="1738" w:type="dxa"/>
            <w:shd w:val="clear" w:color="auto" w:fill="auto"/>
            <w:vAlign w:val="center"/>
          </w:tcPr>
          <w:p w14:paraId="432DADC9">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p>
          <w:p w14:paraId="3E10B32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项目编号</w:t>
            </w:r>
          </w:p>
        </w:tc>
        <w:tc>
          <w:tcPr>
            <w:tcW w:w="6700" w:type="dxa"/>
            <w:shd w:val="clear" w:color="auto" w:fill="auto"/>
            <w:vAlign w:val="center"/>
          </w:tcPr>
          <w:p w14:paraId="1AB8B88A">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textAlignment w:val="auto"/>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项目名称：</w:t>
            </w:r>
            <w:r>
              <w:rPr>
                <w:rFonts w:hint="eastAsia" w:cs="宋体"/>
                <w:b w:val="0"/>
                <w:bCs w:val="0"/>
                <w:i w:val="0"/>
                <w:iCs w:val="0"/>
                <w:color w:val="auto"/>
                <w:kern w:val="2"/>
                <w:sz w:val="24"/>
                <w:szCs w:val="24"/>
                <w:highlight w:val="none"/>
                <w:lang w:val="en-US" w:eastAsia="zh-CN" w:bidi="ar-SA"/>
              </w:rPr>
              <w:t>2025年</w:t>
            </w:r>
            <w:r>
              <w:rPr>
                <w:rFonts w:hint="eastAsia" w:ascii="宋体" w:hAnsi="宋体" w:eastAsia="宋体" w:cs="宋体"/>
                <w:b w:val="0"/>
                <w:bCs w:val="0"/>
                <w:i w:val="0"/>
                <w:iCs w:val="0"/>
                <w:color w:val="auto"/>
                <w:kern w:val="2"/>
                <w:sz w:val="24"/>
                <w:szCs w:val="24"/>
                <w:highlight w:val="none"/>
                <w:lang w:val="en-US" w:eastAsia="zh-CN" w:bidi="ar-SA"/>
              </w:rPr>
              <w:t>草湖项目区昆仑人民医院物业管理服务采购项目（标项二）</w:t>
            </w:r>
          </w:p>
          <w:p w14:paraId="630126DC">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项目编号：B15SBJ[2025]14号-02</w:t>
            </w:r>
          </w:p>
        </w:tc>
      </w:tr>
      <w:tr w14:paraId="0CBFCB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6D4C8B6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2.2</w:t>
            </w:r>
          </w:p>
        </w:tc>
        <w:tc>
          <w:tcPr>
            <w:tcW w:w="1738" w:type="dxa"/>
            <w:shd w:val="clear" w:color="auto" w:fill="auto"/>
            <w:vAlign w:val="center"/>
          </w:tcPr>
          <w:p w14:paraId="6A0C11B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采购人</w:t>
            </w:r>
          </w:p>
        </w:tc>
        <w:tc>
          <w:tcPr>
            <w:tcW w:w="6700" w:type="dxa"/>
            <w:shd w:val="clear" w:color="auto" w:fill="auto"/>
            <w:vAlign w:val="center"/>
          </w:tcPr>
          <w:p w14:paraId="71109F96">
            <w:pPr>
              <w:pStyle w:val="82"/>
              <w:pageBreakBefore w:val="0"/>
              <w:kinsoku/>
              <w:overflowPunct/>
              <w:bidi w:val="0"/>
              <w:spacing w:beforeAutospacing="0" w:afterAutospacing="0" w:line="560" w:lineRule="exact"/>
              <w:ind w:left="0" w:leftChars="0" w:right="0"/>
              <w:rPr>
                <w:rFonts w:hint="eastAsia"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名    称：草湖项目区昆仑人民医院</w:t>
            </w:r>
          </w:p>
          <w:p w14:paraId="597E86B0">
            <w:pPr>
              <w:pStyle w:val="82"/>
              <w:pageBreakBefore w:val="0"/>
              <w:kinsoku/>
              <w:overflowPunct/>
              <w:bidi w:val="0"/>
              <w:spacing w:beforeAutospacing="0" w:afterAutospacing="0" w:line="560" w:lineRule="exact"/>
              <w:ind w:left="1200" w:leftChars="0" w:right="0" w:hanging="1200" w:hangingChars="500"/>
              <w:rPr>
                <w:rFonts w:hint="eastAsia"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地    址：新疆维吾尔自治</w:t>
            </w:r>
            <w:r>
              <w:rPr>
                <w:rFonts w:hint="eastAsia" w:ascii="宋体" w:hAnsi="宋体" w:eastAsia="宋体" w:cs="宋体"/>
                <w:b w:val="0"/>
                <w:bCs w:val="0"/>
                <w:i w:val="0"/>
                <w:iCs w:val="0"/>
                <w:color w:val="auto"/>
                <w:kern w:val="2"/>
                <w:sz w:val="24"/>
                <w:szCs w:val="24"/>
                <w:highlight w:val="none"/>
                <w:u w:val="none"/>
                <w:lang w:val="en-US" w:eastAsia="zh-CN" w:bidi="ar-SA"/>
              </w:rPr>
              <w:t>区</w:t>
            </w:r>
            <w:r>
              <w:rPr>
                <w:rFonts w:hint="eastAsia" w:cs="宋体"/>
                <w:color w:val="auto"/>
                <w:sz w:val="24"/>
                <w:highlight w:val="none"/>
                <w:u w:val="none"/>
                <w:lang w:val="en-US" w:eastAsia="zh-CN"/>
              </w:rPr>
              <w:t>喀什地区疏勒县</w:t>
            </w:r>
            <w:r>
              <w:rPr>
                <w:rFonts w:hint="eastAsia" w:ascii="宋体" w:hAnsi="宋体" w:eastAsia="宋体" w:cs="宋体"/>
                <w:b w:val="0"/>
                <w:bCs w:val="0"/>
                <w:i w:val="0"/>
                <w:iCs w:val="0"/>
                <w:color w:val="auto"/>
                <w:kern w:val="2"/>
                <w:sz w:val="24"/>
                <w:szCs w:val="24"/>
                <w:highlight w:val="none"/>
                <w:u w:val="none"/>
                <w:lang w:val="en-US" w:eastAsia="zh-CN" w:bidi="ar-SA"/>
              </w:rPr>
              <w:t>草</w:t>
            </w:r>
            <w:r>
              <w:rPr>
                <w:rFonts w:hint="eastAsia" w:ascii="宋体" w:hAnsi="宋体" w:eastAsia="宋体" w:cs="宋体"/>
                <w:b w:val="0"/>
                <w:bCs w:val="0"/>
                <w:i w:val="0"/>
                <w:iCs w:val="0"/>
                <w:color w:val="auto"/>
                <w:kern w:val="2"/>
                <w:sz w:val="24"/>
                <w:szCs w:val="24"/>
                <w:highlight w:val="none"/>
                <w:lang w:val="en-US" w:eastAsia="zh-CN" w:bidi="ar-SA"/>
              </w:rPr>
              <w:t>湖镇东江大道1号昆仑人民医院</w:t>
            </w:r>
          </w:p>
          <w:p w14:paraId="56FAC42F">
            <w:pPr>
              <w:pStyle w:val="85"/>
              <w:pageBreakBefore w:val="0"/>
              <w:kinsoku/>
              <w:overflowPunct/>
              <w:bidi w:val="0"/>
              <w:spacing w:beforeAutospacing="0" w:afterAutospacing="0" w:line="560" w:lineRule="exact"/>
              <w:ind w:left="0" w:leftChars="0" w:right="0"/>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联 系 人：</w:t>
            </w:r>
            <w:r>
              <w:rPr>
                <w:rFonts w:hint="eastAsia" w:ascii="宋体" w:hAnsi="宋体" w:eastAsia="宋体" w:cs="宋体"/>
                <w:color w:val="auto"/>
                <w:sz w:val="24"/>
                <w:szCs w:val="24"/>
                <w:highlight w:val="none"/>
                <w:u w:val="single"/>
                <w:lang w:val="en-US" w:eastAsia="zh-CN"/>
              </w:rPr>
              <w:t>娜迪热</w:t>
            </w:r>
            <w:r>
              <w:rPr>
                <w:rFonts w:hint="eastAsia" w:ascii="宋体" w:hAnsi="宋体" w:eastAsia="宋体" w:cs="宋体"/>
                <w:b w:val="0"/>
                <w:bCs w:val="0"/>
                <w:i w:val="0"/>
                <w:iCs w:val="0"/>
                <w:color w:val="auto"/>
                <w:kern w:val="2"/>
                <w:sz w:val="24"/>
                <w:szCs w:val="24"/>
                <w:highlight w:val="none"/>
                <w:lang w:val="en-US" w:eastAsia="zh-CN" w:bidi="ar-SA"/>
              </w:rPr>
              <w:t xml:space="preserve"> </w:t>
            </w:r>
          </w:p>
          <w:p w14:paraId="3ACEB61E">
            <w:pPr>
              <w:pStyle w:val="85"/>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 xml:space="preserve">电话： </w:t>
            </w:r>
            <w:r>
              <w:rPr>
                <w:rFonts w:hint="eastAsia" w:ascii="宋体" w:hAnsi="宋体" w:eastAsia="宋体" w:cs="宋体"/>
                <w:color w:val="auto"/>
                <w:sz w:val="24"/>
                <w:highlight w:val="none"/>
                <w:u w:val="single"/>
              </w:rPr>
              <w:t xml:space="preserve">0998-2554401 </w:t>
            </w:r>
            <w:r>
              <w:rPr>
                <w:rFonts w:hint="eastAsia" w:cs="宋体"/>
                <w:color w:val="auto"/>
                <w:sz w:val="24"/>
                <w:highlight w:val="none"/>
                <w:u w:val="single"/>
                <w:lang w:eastAsia="zh-CN"/>
              </w:rPr>
              <w:t>，</w:t>
            </w:r>
            <w:r>
              <w:rPr>
                <w:rFonts w:hint="eastAsia" w:ascii="宋体" w:hAnsi="宋体" w:eastAsia="宋体" w:cs="宋体"/>
                <w:color w:val="auto"/>
                <w:sz w:val="24"/>
                <w:szCs w:val="24"/>
                <w:highlight w:val="none"/>
                <w:u w:val="single"/>
                <w:lang w:val="en-US" w:eastAsia="zh-CN"/>
              </w:rPr>
              <w:t>18899123203</w:t>
            </w:r>
          </w:p>
        </w:tc>
      </w:tr>
      <w:tr w14:paraId="562D2A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45D992B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2.3</w:t>
            </w:r>
          </w:p>
        </w:tc>
        <w:tc>
          <w:tcPr>
            <w:tcW w:w="1738" w:type="dxa"/>
            <w:shd w:val="clear" w:color="auto" w:fill="auto"/>
            <w:vAlign w:val="center"/>
          </w:tcPr>
          <w:p w14:paraId="23BA1DD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采购代理机构</w:t>
            </w:r>
          </w:p>
        </w:tc>
        <w:tc>
          <w:tcPr>
            <w:tcW w:w="6700" w:type="dxa"/>
            <w:shd w:val="clear" w:color="auto" w:fill="auto"/>
            <w:vAlign w:val="center"/>
          </w:tcPr>
          <w:p w14:paraId="1ACD3015">
            <w:pPr>
              <w:pStyle w:val="82"/>
              <w:pageBreakBefore w:val="0"/>
              <w:kinsoku/>
              <w:overflowPunct/>
              <w:bidi w:val="0"/>
              <w:spacing w:beforeAutospacing="0" w:afterAutospacing="0" w:line="560" w:lineRule="exact"/>
              <w:ind w:left="0" w:leftChars="0" w:right="0"/>
              <w:rPr>
                <w:rFonts w:hint="eastAsia" w:ascii="宋体" w:hAnsi="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名称：</w:t>
            </w:r>
            <w:r>
              <w:rPr>
                <w:rFonts w:hint="eastAsia" w:ascii="宋体" w:hAnsi="宋体" w:cs="宋体"/>
                <w:b w:val="0"/>
                <w:bCs w:val="0"/>
                <w:i w:val="0"/>
                <w:iCs w:val="0"/>
                <w:color w:val="auto"/>
                <w:kern w:val="2"/>
                <w:sz w:val="24"/>
                <w:szCs w:val="24"/>
                <w:highlight w:val="none"/>
                <w:lang w:val="en-US" w:eastAsia="zh-CN" w:bidi="ar-SA"/>
              </w:rPr>
              <w:t>草湖项目区公共资源交易中心</w:t>
            </w:r>
          </w:p>
          <w:p w14:paraId="6D953FAA">
            <w:pPr>
              <w:pStyle w:val="82"/>
              <w:pageBreakBefore w:val="0"/>
              <w:kinsoku/>
              <w:overflowPunct/>
              <w:bidi w:val="0"/>
              <w:spacing w:beforeAutospacing="0" w:afterAutospacing="0" w:line="560" w:lineRule="exact"/>
              <w:ind w:left="0" w:leftChars="0" w:right="0"/>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地址：新疆维吾尔自治区</w:t>
            </w:r>
            <w:r>
              <w:rPr>
                <w:rFonts w:hint="eastAsia" w:cs="宋体"/>
                <w:color w:val="auto"/>
                <w:sz w:val="24"/>
                <w:highlight w:val="none"/>
                <w:u w:val="none"/>
                <w:lang w:val="en-US" w:eastAsia="zh-CN"/>
              </w:rPr>
              <w:t>喀什地区疏勒县</w:t>
            </w:r>
            <w:r>
              <w:rPr>
                <w:rFonts w:hint="eastAsia" w:ascii="宋体" w:hAnsi="宋体" w:eastAsia="宋体" w:cs="宋体"/>
                <w:b w:val="0"/>
                <w:bCs w:val="0"/>
                <w:i w:val="0"/>
                <w:iCs w:val="0"/>
                <w:color w:val="auto"/>
                <w:kern w:val="2"/>
                <w:sz w:val="24"/>
                <w:szCs w:val="24"/>
                <w:highlight w:val="none"/>
                <w:lang w:val="en-US" w:eastAsia="zh-CN" w:bidi="ar-SA"/>
              </w:rPr>
              <w:t>41团草湖镇职工创业园</w:t>
            </w:r>
          </w:p>
          <w:p w14:paraId="6B4D01FB">
            <w:pPr>
              <w:pStyle w:val="82"/>
              <w:pageBreakBefore w:val="0"/>
              <w:kinsoku/>
              <w:overflowPunct/>
              <w:bidi w:val="0"/>
              <w:spacing w:beforeAutospacing="0" w:afterAutospacing="0" w:line="560" w:lineRule="exact"/>
              <w:ind w:left="0" w:leftChars="0" w:right="0"/>
              <w:rPr>
                <w:rFonts w:hint="eastAsia" w:ascii="宋体" w:hAnsi="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联系人：</w:t>
            </w:r>
            <w:r>
              <w:rPr>
                <w:rFonts w:hint="eastAsia" w:ascii="宋体" w:hAnsi="宋体" w:cs="宋体"/>
                <w:b w:val="0"/>
                <w:bCs w:val="0"/>
                <w:i w:val="0"/>
                <w:iCs w:val="0"/>
                <w:color w:val="auto"/>
                <w:kern w:val="2"/>
                <w:sz w:val="24"/>
                <w:szCs w:val="24"/>
                <w:highlight w:val="none"/>
                <w:lang w:val="en-US" w:eastAsia="zh-CN" w:bidi="ar-SA"/>
              </w:rPr>
              <w:t>阿丽耶</w:t>
            </w:r>
          </w:p>
          <w:p w14:paraId="4CA4B80C">
            <w:pPr>
              <w:pStyle w:val="82"/>
              <w:pageBreakBefore w:val="0"/>
              <w:kinsoku/>
              <w:overflowPunct/>
              <w:bidi w:val="0"/>
              <w:spacing w:beforeAutospacing="0" w:afterAutospacing="0" w:line="560" w:lineRule="exact"/>
              <w:ind w:left="0" w:leftChars="0" w:right="0"/>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联系电话：</w:t>
            </w:r>
            <w:r>
              <w:rPr>
                <w:rFonts w:hint="eastAsia" w:ascii="宋体" w:hAnsi="宋体" w:cs="宋体"/>
                <w:b w:val="0"/>
                <w:bCs w:val="0"/>
                <w:i w:val="0"/>
                <w:iCs w:val="0"/>
                <w:color w:val="auto"/>
                <w:kern w:val="2"/>
                <w:sz w:val="24"/>
                <w:szCs w:val="24"/>
                <w:highlight w:val="none"/>
                <w:lang w:val="en-US" w:eastAsia="zh-CN" w:bidi="ar-SA"/>
              </w:rPr>
              <w:t>0998-6378627</w:t>
            </w:r>
          </w:p>
          <w:p w14:paraId="6A81819C">
            <w:pPr>
              <w:pStyle w:val="83"/>
              <w:pageBreakBefore w:val="0"/>
              <w:kinsoku/>
              <w:overflowPunct/>
              <w:bidi w:val="0"/>
              <w:spacing w:beforeAutospacing="0" w:afterAutospacing="0" w:line="560" w:lineRule="exact"/>
              <w:ind w:left="0" w:leftChars="0" w:right="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电子邮件：</w:t>
            </w:r>
            <w:r>
              <w:rPr>
                <w:rFonts w:hint="eastAsia" w:ascii="宋体" w:hAnsi="宋体" w:cs="宋体"/>
                <w:b w:val="0"/>
                <w:bCs w:val="0"/>
                <w:i w:val="0"/>
                <w:iCs w:val="0"/>
                <w:color w:val="auto"/>
                <w:kern w:val="2"/>
                <w:sz w:val="24"/>
                <w:szCs w:val="24"/>
                <w:highlight w:val="none"/>
                <w:lang w:val="en-US" w:eastAsia="zh-CN" w:bidi="ar-SA"/>
              </w:rPr>
              <w:t>3282279495</w:t>
            </w:r>
            <w:r>
              <w:rPr>
                <w:rFonts w:hint="eastAsia" w:ascii="宋体" w:hAnsi="宋体" w:eastAsia="宋体" w:cs="宋体"/>
                <w:b w:val="0"/>
                <w:bCs w:val="0"/>
                <w:i w:val="0"/>
                <w:iCs w:val="0"/>
                <w:color w:val="auto"/>
                <w:kern w:val="2"/>
                <w:sz w:val="24"/>
                <w:szCs w:val="24"/>
                <w:highlight w:val="none"/>
                <w:lang w:val="en-US" w:eastAsia="zh-CN" w:bidi="ar-SA"/>
              </w:rPr>
              <w:t>@qq.com</w:t>
            </w:r>
          </w:p>
        </w:tc>
      </w:tr>
      <w:tr w14:paraId="62FC14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26AF98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2.4</w:t>
            </w:r>
          </w:p>
        </w:tc>
        <w:tc>
          <w:tcPr>
            <w:tcW w:w="1738" w:type="dxa"/>
            <w:shd w:val="clear" w:color="auto" w:fill="auto"/>
            <w:vAlign w:val="center"/>
          </w:tcPr>
          <w:p w14:paraId="1C87019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监管部门</w:t>
            </w:r>
          </w:p>
        </w:tc>
        <w:tc>
          <w:tcPr>
            <w:tcW w:w="6700" w:type="dxa"/>
            <w:shd w:val="clear" w:color="auto" w:fill="auto"/>
            <w:vAlign w:val="center"/>
          </w:tcPr>
          <w:p w14:paraId="56D936BE">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名称：草湖项目区财政局</w:t>
            </w:r>
          </w:p>
          <w:p w14:paraId="229FC554">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地址：新疆维吾尔自治区图木舒克市草湖镇</w:t>
            </w:r>
            <w:r>
              <w:rPr>
                <w:rFonts w:hint="eastAsia" w:cs="宋体"/>
                <w:i w:val="0"/>
                <w:iCs w:val="0"/>
                <w:color w:val="auto"/>
                <w:sz w:val="24"/>
                <w:szCs w:val="24"/>
                <w:highlight w:val="none"/>
                <w:lang w:val="en-US" w:eastAsia="zh-CN"/>
              </w:rPr>
              <w:t>六连s311省道14号</w:t>
            </w:r>
          </w:p>
          <w:p w14:paraId="4C9E5DF2">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联系人：魏媛明</w:t>
            </w:r>
          </w:p>
          <w:p w14:paraId="74B1A64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电话：0998</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6371687</w:t>
            </w:r>
          </w:p>
        </w:tc>
      </w:tr>
      <w:tr w14:paraId="46137A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60441C7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738" w:type="dxa"/>
            <w:shd w:val="clear" w:color="auto" w:fill="auto"/>
            <w:vAlign w:val="center"/>
          </w:tcPr>
          <w:p w14:paraId="3D9DB5F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服务包含的内容</w:t>
            </w:r>
          </w:p>
        </w:tc>
        <w:tc>
          <w:tcPr>
            <w:tcW w:w="6700" w:type="dxa"/>
            <w:shd w:val="clear" w:color="auto" w:fill="auto"/>
            <w:vAlign w:val="center"/>
          </w:tcPr>
          <w:p w14:paraId="15D5290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cs="宋体"/>
                <w:i w:val="0"/>
                <w:iCs w:val="0"/>
                <w:color w:val="auto"/>
                <w:sz w:val="24"/>
                <w:szCs w:val="24"/>
                <w:highlight w:val="none"/>
                <w:u w:val="single"/>
                <w:lang w:val="en-US" w:eastAsia="zh-CN"/>
              </w:rPr>
              <w:t>2025年</w:t>
            </w:r>
            <w:r>
              <w:rPr>
                <w:rFonts w:hint="eastAsia" w:ascii="宋体" w:hAnsi="宋体" w:eastAsia="宋体" w:cs="宋体"/>
                <w:i w:val="0"/>
                <w:iCs w:val="0"/>
                <w:color w:val="auto"/>
                <w:sz w:val="24"/>
                <w:szCs w:val="24"/>
                <w:highlight w:val="none"/>
                <w:u w:val="single"/>
                <w:lang w:val="en-US" w:eastAsia="zh-CN"/>
              </w:rPr>
              <w:t>草湖项目区昆仑人民医院物业</w:t>
            </w:r>
            <w:r>
              <w:rPr>
                <w:rFonts w:hint="eastAsia" w:cs="宋体"/>
                <w:i w:val="0"/>
                <w:iCs w:val="0"/>
                <w:color w:val="auto"/>
                <w:sz w:val="24"/>
                <w:szCs w:val="24"/>
                <w:highlight w:val="none"/>
                <w:u w:val="single"/>
                <w:lang w:val="en-US" w:eastAsia="zh-CN"/>
              </w:rPr>
              <w:t>管理</w:t>
            </w:r>
            <w:r>
              <w:rPr>
                <w:rFonts w:hint="eastAsia" w:ascii="宋体" w:hAnsi="宋体" w:eastAsia="宋体" w:cs="宋体"/>
                <w:i w:val="0"/>
                <w:iCs w:val="0"/>
                <w:color w:val="auto"/>
                <w:sz w:val="24"/>
                <w:szCs w:val="24"/>
                <w:highlight w:val="none"/>
                <w:u w:val="single"/>
                <w:lang w:val="en-US" w:eastAsia="zh-CN"/>
              </w:rPr>
              <w:t>服务采购项目</w:t>
            </w:r>
            <w:r>
              <w:rPr>
                <w:rFonts w:hint="eastAsia" w:cs="宋体"/>
                <w:i w:val="0"/>
                <w:iCs w:val="0"/>
                <w:color w:val="auto"/>
                <w:sz w:val="24"/>
                <w:szCs w:val="24"/>
                <w:highlight w:val="none"/>
                <w:u w:val="single"/>
                <w:lang w:val="en-US" w:eastAsia="zh-CN"/>
              </w:rPr>
              <w:t>（标项二）</w:t>
            </w:r>
            <w:r>
              <w:rPr>
                <w:rFonts w:hint="eastAsia" w:ascii="宋体" w:hAnsi="宋体" w:eastAsia="宋体" w:cs="宋体"/>
                <w:i w:val="0"/>
                <w:iCs w:val="0"/>
                <w:color w:val="auto"/>
                <w:sz w:val="24"/>
                <w:szCs w:val="24"/>
                <w:highlight w:val="none"/>
                <w:u w:val="single"/>
                <w:lang w:val="hr-HR" w:eastAsia="zh-CN"/>
              </w:rPr>
              <w:t>，详见采购文件“第三</w:t>
            </w:r>
            <w:r>
              <w:rPr>
                <w:rFonts w:hint="eastAsia" w:cs="宋体"/>
                <w:i w:val="0"/>
                <w:iCs w:val="0"/>
                <w:color w:val="auto"/>
                <w:sz w:val="24"/>
                <w:szCs w:val="24"/>
                <w:highlight w:val="none"/>
                <w:u w:val="single"/>
                <w:lang w:val="en-US" w:eastAsia="zh-CN"/>
              </w:rPr>
              <w:t xml:space="preserve">章 </w:t>
            </w:r>
            <w:r>
              <w:rPr>
                <w:rFonts w:hint="eastAsia" w:ascii="宋体" w:hAnsi="宋体" w:eastAsia="宋体" w:cs="宋体"/>
                <w:i w:val="0"/>
                <w:iCs w:val="0"/>
                <w:color w:val="auto"/>
                <w:sz w:val="24"/>
                <w:szCs w:val="24"/>
                <w:highlight w:val="none"/>
                <w:u w:val="single"/>
                <w:lang w:val="hr-HR" w:eastAsia="zh-CN"/>
              </w:rPr>
              <w:t>采购需求”。</w:t>
            </w:r>
          </w:p>
        </w:tc>
      </w:tr>
      <w:tr w14:paraId="4039A2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shd w:val="clear" w:color="auto" w:fill="auto"/>
            <w:vAlign w:val="center"/>
          </w:tcPr>
          <w:p w14:paraId="5A5BC21C">
            <w:pPr>
              <w:pStyle w:val="48"/>
              <w:jc w:val="center"/>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sz w:val="24"/>
                <w:szCs w:val="24"/>
                <w:highlight w:val="none"/>
                <w:lang w:val="en-US" w:eastAsia="zh-CN"/>
              </w:rPr>
              <w:t>4.1</w:t>
            </w:r>
          </w:p>
        </w:tc>
        <w:tc>
          <w:tcPr>
            <w:tcW w:w="1738" w:type="dxa"/>
            <w:shd w:val="clear" w:color="auto" w:fill="auto"/>
            <w:vAlign w:val="center"/>
          </w:tcPr>
          <w:p w14:paraId="31B52092">
            <w:pPr>
              <w:pStyle w:val="48"/>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供应商资格要求</w:t>
            </w:r>
          </w:p>
        </w:tc>
        <w:tc>
          <w:tcPr>
            <w:tcW w:w="6700" w:type="dxa"/>
            <w:shd w:val="clear" w:color="auto" w:fill="auto"/>
            <w:vAlign w:val="center"/>
          </w:tcPr>
          <w:p w14:paraId="3BC87577">
            <w:pPr>
              <w:pStyle w:val="48"/>
              <w:keepNext w:val="0"/>
              <w:keepLines w:val="0"/>
              <w:pageBreakBefore w:val="0"/>
              <w:widowControl w:val="0"/>
              <w:kinsoku/>
              <w:wordWrap/>
              <w:overflowPunct/>
              <w:topLinePunct w:val="0"/>
              <w:autoSpaceDE/>
              <w:autoSpaceDN/>
              <w:bidi w:val="0"/>
              <w:adjustRightInd/>
              <w:snapToGrid/>
              <w:jc w:val="both"/>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见“第一章 招标公告”</w:t>
            </w:r>
          </w:p>
        </w:tc>
      </w:tr>
      <w:tr w14:paraId="38785E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shd w:val="clear" w:color="auto" w:fill="auto"/>
            <w:vAlign w:val="center"/>
          </w:tcPr>
          <w:p w14:paraId="21A2B3F0">
            <w:pPr>
              <w:pStyle w:val="48"/>
              <w:jc w:val="center"/>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sz w:val="24"/>
                <w:szCs w:val="24"/>
                <w:highlight w:val="none"/>
                <w:lang w:val="en-US" w:eastAsia="zh-CN"/>
              </w:rPr>
              <w:t>4.2</w:t>
            </w:r>
          </w:p>
        </w:tc>
        <w:tc>
          <w:tcPr>
            <w:tcW w:w="1738" w:type="dxa"/>
            <w:shd w:val="clear" w:color="auto" w:fill="auto"/>
            <w:vAlign w:val="center"/>
          </w:tcPr>
          <w:p w14:paraId="7EF15531">
            <w:pPr>
              <w:pStyle w:val="53"/>
              <w:spacing w:line="360" w:lineRule="auto"/>
              <w:jc w:val="center"/>
              <w:rPr>
                <w:rFonts w:hint="eastAsia" w:ascii="宋体" w:hAnsi="宋体" w:eastAsia="宋体" w:cs="宋体"/>
                <w:i w:val="0"/>
                <w:iCs w:val="0"/>
                <w:color w:val="auto"/>
                <w:kern w:val="2"/>
                <w:sz w:val="24"/>
                <w:szCs w:val="24"/>
                <w:highlight w:val="none"/>
                <w:lang w:val="en-US" w:eastAsia="zh-CN" w:bidi="ug-CN"/>
              </w:rPr>
            </w:pPr>
            <w:r>
              <w:rPr>
                <w:rFonts w:hint="eastAsia" w:ascii="宋体" w:hAnsi="宋体" w:eastAsia="宋体" w:cs="宋体"/>
                <w:i w:val="0"/>
                <w:iCs w:val="0"/>
                <w:color w:val="auto"/>
                <w:kern w:val="2"/>
                <w:sz w:val="24"/>
                <w:szCs w:val="24"/>
                <w:highlight w:val="none"/>
                <w:lang w:val="en-US" w:eastAsia="zh-CN" w:bidi="ar-SA"/>
              </w:rPr>
              <w:t>是否允许联合体投标</w:t>
            </w:r>
          </w:p>
        </w:tc>
        <w:tc>
          <w:tcPr>
            <w:tcW w:w="6700" w:type="dxa"/>
            <w:shd w:val="clear" w:color="auto" w:fill="auto"/>
            <w:vAlign w:val="center"/>
          </w:tcPr>
          <w:p w14:paraId="1A5069FF">
            <w:pPr>
              <w:pStyle w:val="53"/>
              <w:autoSpaceDE w:val="0"/>
              <w:autoSpaceDN w:val="0"/>
              <w:adjustRightInd w:val="0"/>
              <w:spacing w:line="360" w:lineRule="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☑是。</w:t>
            </w:r>
          </w:p>
          <w:p w14:paraId="75C1B5E3">
            <w:pPr>
              <w:pStyle w:val="53"/>
              <w:autoSpaceDE w:val="0"/>
              <w:autoSpaceDN w:val="0"/>
              <w:adjustRightInd w:val="0"/>
              <w:spacing w:line="360" w:lineRule="auto"/>
              <w:rPr>
                <w:rFonts w:hint="eastAsia" w:ascii="宋体" w:hAnsi="宋体" w:eastAsia="宋体" w:cs="宋体"/>
                <w:i w:val="0"/>
                <w:iCs w:val="0"/>
                <w:color w:val="auto"/>
                <w:kern w:val="2"/>
                <w:sz w:val="24"/>
                <w:szCs w:val="24"/>
                <w:highlight w:val="none"/>
                <w:lang w:val="en-US" w:eastAsia="zh-CN" w:bidi="ug-CN"/>
              </w:rPr>
            </w:pPr>
            <w:r>
              <w:rPr>
                <w:rFonts w:hint="eastAsia" w:ascii="宋体" w:hAnsi="宋体" w:eastAsia="宋体" w:cs="宋体"/>
                <w:i w:val="0"/>
                <w:iCs w:val="0"/>
                <w:color w:val="auto"/>
                <w:kern w:val="2"/>
                <w:sz w:val="24"/>
                <w:szCs w:val="24"/>
                <w:highlight w:val="none"/>
                <w:lang w:val="en-US" w:eastAsia="zh-CN" w:bidi="ar-SA"/>
              </w:rPr>
              <w:fldChar w:fldCharType="begin"/>
            </w:r>
            <w:r>
              <w:rPr>
                <w:rFonts w:hint="eastAsia" w:ascii="宋体" w:hAnsi="宋体" w:eastAsia="宋体" w:cs="宋体"/>
                <w:i w:val="0"/>
                <w:iCs w:val="0"/>
                <w:color w:val="auto"/>
                <w:kern w:val="2"/>
                <w:sz w:val="24"/>
                <w:szCs w:val="24"/>
                <w:highlight w:val="none"/>
                <w:lang w:val="en-US" w:eastAsia="zh-CN" w:bidi="ar-SA"/>
              </w:rPr>
              <w:instrText xml:space="preserve"> eq \o\ac(□)</w:instrText>
            </w:r>
            <w:r>
              <w:rPr>
                <w:rFonts w:hint="eastAsia" w:ascii="宋体" w:hAnsi="宋体" w:eastAsia="宋体" w:cs="宋体"/>
                <w:i w:val="0"/>
                <w:iCs w:val="0"/>
                <w:color w:val="auto"/>
                <w:kern w:val="2"/>
                <w:sz w:val="24"/>
                <w:szCs w:val="24"/>
                <w:highlight w:val="none"/>
                <w:lang w:val="en-US" w:eastAsia="zh-CN" w:bidi="ar-SA"/>
              </w:rPr>
              <w:fldChar w:fldCharType="end"/>
            </w:r>
            <w:r>
              <w:rPr>
                <w:rFonts w:hint="eastAsia" w:ascii="宋体" w:hAnsi="宋体" w:eastAsia="宋体" w:cs="宋体"/>
                <w:i w:val="0"/>
                <w:iCs w:val="0"/>
                <w:color w:val="auto"/>
                <w:kern w:val="2"/>
                <w:sz w:val="24"/>
                <w:szCs w:val="24"/>
                <w:highlight w:val="none"/>
                <w:lang w:val="en-US" w:eastAsia="zh-CN" w:bidi="ar-SA"/>
              </w:rPr>
              <w:t>否。</w:t>
            </w:r>
          </w:p>
        </w:tc>
      </w:tr>
      <w:tr w14:paraId="25C468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88" w:hRule="atLeast"/>
        </w:trPr>
        <w:tc>
          <w:tcPr>
            <w:tcW w:w="970" w:type="dxa"/>
            <w:vAlign w:val="center"/>
          </w:tcPr>
          <w:p w14:paraId="3A13689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w:t>
            </w:r>
          </w:p>
        </w:tc>
        <w:tc>
          <w:tcPr>
            <w:tcW w:w="1738" w:type="dxa"/>
            <w:vAlign w:val="center"/>
          </w:tcPr>
          <w:p w14:paraId="117C18A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bookmarkStart w:id="105" w:name="_Hlk143529175"/>
            <w:r>
              <w:rPr>
                <w:rFonts w:hint="eastAsia" w:ascii="宋体" w:hAnsi="宋体" w:eastAsia="宋体" w:cs="宋体"/>
                <w:color w:val="auto"/>
                <w:sz w:val="24"/>
                <w:szCs w:val="24"/>
                <w:highlight w:val="none"/>
              </w:rPr>
              <w:t>现场考察</w:t>
            </w:r>
            <w:bookmarkEnd w:id="105"/>
          </w:p>
        </w:tc>
        <w:tc>
          <w:tcPr>
            <w:tcW w:w="6700" w:type="dxa"/>
            <w:vAlign w:val="center"/>
          </w:tcPr>
          <w:p w14:paraId="3654959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不组织，投标人自行前往</w:t>
            </w:r>
            <w:r>
              <w:rPr>
                <w:rFonts w:hint="eastAsia" w:ascii="宋体" w:hAnsi="宋体" w:eastAsia="宋体" w:cs="宋体"/>
                <w:color w:val="auto"/>
                <w:sz w:val="24"/>
                <w:szCs w:val="24"/>
                <w:highlight w:val="none"/>
                <w:lang w:eastAsia="zh-CN"/>
              </w:rPr>
              <w:t>。</w:t>
            </w:r>
          </w:p>
          <w:p w14:paraId="70F7195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0A578DA1">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FE8AF39">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1938D8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24" w:hRule="atLeast"/>
        </w:trPr>
        <w:tc>
          <w:tcPr>
            <w:tcW w:w="970" w:type="dxa"/>
            <w:shd w:val="clear" w:color="auto" w:fill="auto"/>
            <w:vAlign w:val="center"/>
          </w:tcPr>
          <w:p w14:paraId="72B7B10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9.5</w:t>
            </w:r>
          </w:p>
        </w:tc>
        <w:tc>
          <w:tcPr>
            <w:tcW w:w="1738" w:type="dxa"/>
            <w:shd w:val="clear" w:color="auto" w:fill="auto"/>
            <w:vAlign w:val="center"/>
          </w:tcPr>
          <w:p w14:paraId="5202195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答疑会</w:t>
            </w:r>
          </w:p>
        </w:tc>
        <w:tc>
          <w:tcPr>
            <w:tcW w:w="6700" w:type="dxa"/>
            <w:shd w:val="clear" w:color="auto" w:fill="auto"/>
            <w:vAlign w:val="center"/>
          </w:tcPr>
          <w:p w14:paraId="632E2EE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w:t>
            </w:r>
          </w:p>
          <w:p w14:paraId="6646290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7A836479">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8CC81D0">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58EAFC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9017C9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738" w:type="dxa"/>
            <w:vAlign w:val="center"/>
          </w:tcPr>
          <w:p w14:paraId="14B3667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询问</w:t>
            </w:r>
          </w:p>
        </w:tc>
        <w:tc>
          <w:tcPr>
            <w:tcW w:w="6700" w:type="dxa"/>
            <w:vAlign w:val="center"/>
          </w:tcPr>
          <w:p w14:paraId="3D637E0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方式：</w:t>
            </w:r>
          </w:p>
          <w:p w14:paraId="0DD19460">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在供应商客户端中按照格式填写询问函，并在生成询问函后加盖电子印章提交</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其他询问方式：</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p w14:paraId="09E4A188">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u w:val="single"/>
                <w:lang w:val="en-US" w:eastAsia="zh-CN"/>
              </w:rPr>
              <w:t>投标截止时间前</w:t>
            </w:r>
            <w:r>
              <w:rPr>
                <w:rFonts w:hint="eastAsia" w:ascii="宋体" w:hAnsi="宋体" w:eastAsia="宋体" w:cs="宋体"/>
                <w:color w:val="auto"/>
                <w:sz w:val="24"/>
                <w:szCs w:val="24"/>
                <w:highlight w:val="none"/>
              </w:rPr>
              <w:t>。</w:t>
            </w:r>
          </w:p>
        </w:tc>
      </w:tr>
      <w:tr w14:paraId="67C3B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1A10410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p>
        </w:tc>
        <w:tc>
          <w:tcPr>
            <w:tcW w:w="1738" w:type="dxa"/>
            <w:vAlign w:val="center"/>
          </w:tcPr>
          <w:p w14:paraId="79A1D80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6700" w:type="dxa"/>
            <w:vAlign w:val="center"/>
          </w:tcPr>
          <w:p w14:paraId="41DD773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w:t>
            </w: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日历日。</w:t>
            </w:r>
          </w:p>
        </w:tc>
      </w:tr>
      <w:tr w14:paraId="05426B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3DB59B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17.1</w:t>
            </w:r>
          </w:p>
        </w:tc>
        <w:tc>
          <w:tcPr>
            <w:tcW w:w="1738" w:type="dxa"/>
            <w:vAlign w:val="center"/>
          </w:tcPr>
          <w:p w14:paraId="02D5466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6700" w:type="dxa"/>
            <w:vAlign w:val="center"/>
          </w:tcPr>
          <w:p w14:paraId="3C884172">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5BD0D880">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right="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7AEFC288">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ascii="宋体" w:hAnsi="宋体" w:cs="宋体"/>
                <w:color w:val="auto"/>
                <w:sz w:val="24"/>
                <w:szCs w:val="24"/>
                <w:highlight w:val="none"/>
                <w:lang w:val="en-US" w:eastAsia="zh-CN"/>
              </w:rPr>
              <w:t>标项二</w:t>
            </w:r>
            <w:r>
              <w:rPr>
                <w:rFonts w:hint="eastAsia" w:ascii="宋体" w:hAnsi="宋体" w:eastAsia="宋体" w:cs="宋体"/>
                <w:color w:val="auto"/>
                <w:sz w:val="24"/>
                <w:szCs w:val="24"/>
                <w:highlight w:val="none"/>
              </w:rPr>
              <w:t>人民币</w:t>
            </w:r>
            <w:r>
              <w:rPr>
                <w:rFonts w:hint="eastAsia" w:ascii="宋体" w:hAnsi="宋体" w:cs="宋体"/>
                <w:color w:val="auto"/>
                <w:sz w:val="24"/>
                <w:szCs w:val="24"/>
                <w:highlight w:val="none"/>
                <w:lang w:val="en-US" w:eastAsia="zh-CN"/>
              </w:rPr>
              <w:t>1万</w:t>
            </w:r>
            <w:r>
              <w:rPr>
                <w:rFonts w:hint="eastAsia" w:ascii="宋体" w:hAnsi="宋体" w:eastAsia="宋体" w:cs="宋体"/>
                <w:color w:val="auto"/>
                <w:sz w:val="24"/>
                <w:szCs w:val="24"/>
                <w:highlight w:val="none"/>
              </w:rPr>
              <w:t>元</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壹万元整</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w:t>
            </w:r>
          </w:p>
          <w:p w14:paraId="473C3559">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lang w:eastAsia="zh-CN"/>
              </w:rPr>
            </w:pPr>
            <w:r>
              <w:rPr>
                <w:rFonts w:hint="eastAsia" w:cs="宋体"/>
                <w:color w:val="auto"/>
                <w:sz w:val="24"/>
                <w:szCs w:val="24"/>
                <w:highlight w:val="none"/>
                <w:lang w:val="en-US" w:eastAsia="zh-CN"/>
              </w:rPr>
              <w:t>缴纳时间：保证金须在开标前从投标投标单位的基本账户一次性汇入指定账户，不接受现金、支票及任何个人、分公司汇款。若没有在规定时间内汇入指定账户，视为自动放弃本项目投标。打款时注明投标保证金项目名称或项目编号。投标单位未按本条规定提交投标保证金的，其投标将被认定为投标无效。</w:t>
            </w:r>
          </w:p>
          <w:p w14:paraId="392B6F1F">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0D372F5C">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投标人可自主选择以汇票、本票、电汇、转账、网银、保函等非现金形式缴纳或提交保证金。</w:t>
            </w:r>
          </w:p>
          <w:p w14:paraId="04EB7B8E">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收取单位：兵地融合发展草湖项目区政务服务和大数据应用发展中心                            </w:t>
            </w:r>
          </w:p>
          <w:p w14:paraId="6915E8E3">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4.收取账号：30784101040012484</w:t>
            </w:r>
            <w:r>
              <w:rPr>
                <w:rFonts w:hint="eastAsia" w:ascii="宋体" w:hAnsi="宋体" w:eastAsia="宋体" w:cs="宋体"/>
                <w:color w:val="auto"/>
                <w:sz w:val="24"/>
                <w:szCs w:val="24"/>
                <w:highlight w:val="none"/>
              </w:rPr>
              <w:t xml:space="preserve">              </w:t>
            </w:r>
          </w:p>
          <w:p w14:paraId="64562637">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cs="宋体"/>
                <w:color w:val="auto"/>
                <w:sz w:val="24"/>
                <w:szCs w:val="24"/>
                <w:highlight w:val="none"/>
                <w:lang w:val="en-US" w:eastAsia="zh-CN"/>
              </w:rPr>
              <w:t>投标保证金的退还：中标通知书发出之日起5个工作日内退还未中标人的投标保证金，中标单位投标保证金在与采购单位签订合同后，把合同扫描件和投标保证金银行转账回执单发到邮箱3282279495@qq.com后，5个工作日内原账户退回。</w:t>
            </w:r>
          </w:p>
          <w:p w14:paraId="6137F39E">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备注：保证金退款手续根据《中华人民共和国政府采购法》、《政府采购货物和服务招标投标管理办法》（中华人民共和国财政部令第87号）等相关文件执行。</w:t>
            </w:r>
          </w:p>
          <w:p w14:paraId="17DF33CB">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6.财务联系电话：0998-6378627</w:t>
            </w:r>
            <w:r>
              <w:rPr>
                <w:rFonts w:hint="eastAsia" w:ascii="宋体" w:hAnsi="宋体" w:eastAsia="宋体" w:cs="宋体"/>
                <w:color w:val="auto"/>
                <w:sz w:val="24"/>
                <w:szCs w:val="24"/>
                <w:highlight w:val="none"/>
              </w:rPr>
              <w:t xml:space="preserve">             </w:t>
            </w:r>
          </w:p>
          <w:p w14:paraId="327EF0E4">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注意事项：</w:t>
            </w:r>
          </w:p>
          <w:p w14:paraId="61AE35B7">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3FCC627E">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保证金的，受益人和收取单位须为采购人。</w:t>
            </w:r>
          </w:p>
        </w:tc>
      </w:tr>
      <w:tr w14:paraId="351E90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shd w:val="clear" w:color="auto" w:fill="auto"/>
            <w:vAlign w:val="center"/>
          </w:tcPr>
          <w:p w14:paraId="36D543E4">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cs="宋体"/>
                <w:color w:val="auto"/>
                <w:sz w:val="24"/>
                <w:szCs w:val="24"/>
                <w:highlight w:val="none"/>
                <w:lang w:val="en-US" w:eastAsia="zh-CN"/>
              </w:rPr>
              <w:t>17.8</w:t>
            </w:r>
          </w:p>
        </w:tc>
        <w:tc>
          <w:tcPr>
            <w:tcW w:w="1738" w:type="dxa"/>
            <w:shd w:val="clear" w:color="auto" w:fill="auto"/>
            <w:vAlign w:val="center"/>
          </w:tcPr>
          <w:p w14:paraId="77183ABB">
            <w:pPr>
              <w:keepNext w:val="0"/>
              <w:keepLines w:val="0"/>
              <w:widowControl/>
              <w:suppressLineNumbers w:val="0"/>
              <w:jc w:val="left"/>
            </w:pPr>
            <w:r>
              <w:rPr>
                <w:rFonts w:hint="eastAsia" w:ascii="宋体" w:hAnsi="宋体" w:eastAsia="宋体" w:cs="宋体"/>
                <w:color w:val="000000"/>
                <w:kern w:val="0"/>
                <w:sz w:val="24"/>
                <w:szCs w:val="24"/>
                <w:lang w:val="en-US" w:eastAsia="zh-CN" w:bidi="ar"/>
              </w:rPr>
              <w:t>投标保证金可以不予退还的其他情形</w:t>
            </w:r>
          </w:p>
          <w:p w14:paraId="2EC48D6A">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p>
        </w:tc>
        <w:tc>
          <w:tcPr>
            <w:tcW w:w="6700" w:type="dxa"/>
            <w:shd w:val="clear" w:color="auto" w:fill="auto"/>
            <w:vAlign w:val="center"/>
          </w:tcPr>
          <w:p w14:paraId="6B6C4B31">
            <w:pPr>
              <w:keepNext w:val="0"/>
              <w:keepLines w:val="0"/>
              <w:widowControl/>
              <w:suppressLineNumbers w:val="0"/>
              <w:jc w:val="left"/>
            </w:pPr>
            <w:r>
              <w:rPr>
                <w:rFonts w:hint="eastAsia" w:ascii="宋体" w:hAnsi="宋体" w:eastAsia="宋体" w:cs="宋体"/>
                <w:color w:val="000000"/>
                <w:kern w:val="0"/>
                <w:sz w:val="24"/>
                <w:szCs w:val="24"/>
                <w:lang w:val="en-US" w:eastAsia="zh-CN" w:bidi="ar"/>
              </w:rPr>
              <w:t>投标保证金可以不予退还的其他情形：</w:t>
            </w:r>
          </w:p>
          <w:p w14:paraId="22B7466B">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□无 </w:t>
            </w:r>
          </w:p>
          <w:p w14:paraId="43F42F51">
            <w:pPr>
              <w:keepNext w:val="0"/>
              <w:keepLines w:val="0"/>
              <w:widowControl/>
              <w:suppressLineNumbers w:val="0"/>
              <w:jc w:val="left"/>
            </w:pPr>
            <w:r>
              <w:rPr>
                <w:rFonts w:ascii="Arial Unicode MS" w:hAnsi="Arial Unicode MS" w:eastAsia="Arial Unicode MS" w:cs="Arial Unicode MS"/>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 xml:space="preserve">有，具体情形： </w:t>
            </w:r>
          </w:p>
          <w:p w14:paraId="7BCC587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w:t>
            </w:r>
            <w:r>
              <w:rPr>
                <w:rFonts w:hint="eastAsia" w:ascii="宋体" w:hAnsi="宋体" w:eastAsia="宋体" w:cs="宋体"/>
                <w:color w:val="auto"/>
                <w:kern w:val="2"/>
                <w:sz w:val="24"/>
                <w:szCs w:val="24"/>
                <w:highlight w:val="none"/>
              </w:rPr>
              <w:t>开标后在投标有效期内，投标人撤</w:t>
            </w:r>
            <w:r>
              <w:rPr>
                <w:rFonts w:hint="eastAsia" w:ascii="宋体" w:hAnsi="宋体" w:eastAsia="宋体" w:cs="宋体"/>
                <w:color w:val="auto"/>
                <w:kern w:val="2"/>
                <w:sz w:val="24"/>
                <w:szCs w:val="24"/>
                <w:highlight w:val="none"/>
                <w:lang w:val="en-US" w:eastAsia="zh-CN"/>
              </w:rPr>
              <w:t>销</w:t>
            </w:r>
            <w:r>
              <w:rPr>
                <w:rFonts w:hint="eastAsia" w:ascii="宋体" w:hAnsi="宋体" w:eastAsia="宋体" w:cs="宋体"/>
                <w:color w:val="auto"/>
                <w:kern w:val="2"/>
                <w:sz w:val="24"/>
                <w:szCs w:val="24"/>
                <w:highlight w:val="none"/>
              </w:rPr>
              <w:t>其投标</w:t>
            </w:r>
            <w:r>
              <w:rPr>
                <w:rFonts w:hint="eastAsia" w:ascii="宋体" w:hAnsi="宋体" w:eastAsia="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rPr>
              <w:t>；</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61F0ED65">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2.</w:t>
            </w:r>
            <w:r>
              <w:rPr>
                <w:rFonts w:hint="eastAsia" w:ascii="宋体" w:hAnsi="宋体" w:eastAsia="宋体" w:cs="宋体"/>
                <w:color w:val="auto"/>
                <w:kern w:val="2"/>
                <w:sz w:val="24"/>
                <w:szCs w:val="24"/>
                <w:highlight w:val="none"/>
              </w:rPr>
              <w:t>中标后无正当理由不与采购人签订合同的；</w:t>
            </w:r>
          </w:p>
          <w:p w14:paraId="0D04EA7A">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3.</w:t>
            </w:r>
            <w:r>
              <w:rPr>
                <w:rFonts w:hint="eastAsia" w:ascii="宋体" w:hAnsi="宋体" w:eastAsia="宋体" w:cs="宋体"/>
                <w:color w:val="auto"/>
                <w:kern w:val="2"/>
                <w:sz w:val="24"/>
                <w:szCs w:val="24"/>
                <w:highlight w:val="none"/>
              </w:rPr>
              <w:t>中标人与采购人订立背离合同实质性内容的其他协议；</w:t>
            </w:r>
          </w:p>
          <w:p w14:paraId="461E80A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iCs/>
                <w:color w:val="auto"/>
                <w:kern w:val="2"/>
                <w:sz w:val="24"/>
                <w:szCs w:val="24"/>
                <w:highlight w:val="none"/>
                <w:shd w:val="clear" w:color="auto" w:fill="FFFFFF" w:themeFill="background1"/>
                <w:lang w:val="en-US" w:eastAsia="zh-CN" w:bidi="ar-SA"/>
              </w:rPr>
              <w:t>.</w:t>
            </w:r>
            <w:r>
              <w:rPr>
                <w:rFonts w:hint="eastAsia" w:ascii="宋体" w:hAnsi="宋体" w:eastAsia="宋体" w:cs="宋体"/>
                <w:color w:val="auto"/>
                <w:kern w:val="2"/>
                <w:sz w:val="24"/>
                <w:szCs w:val="24"/>
                <w:highlight w:val="none"/>
              </w:rPr>
              <w:t>将中标项目转让给他人，或者在投标文件中未说明，且未经采购</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同意，将中标项目分包给他人的；</w:t>
            </w:r>
          </w:p>
          <w:p w14:paraId="6397AA1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iCs/>
                <w:color w:val="auto"/>
                <w:kern w:val="2"/>
                <w:sz w:val="24"/>
                <w:szCs w:val="24"/>
                <w:highlight w:val="none"/>
                <w:shd w:val="clear" w:color="auto" w:fill="FFFFFF" w:themeFill="background1"/>
                <w:lang w:val="en-US" w:eastAsia="zh-CN" w:bidi="ar-SA"/>
              </w:rPr>
              <w:t>.</w:t>
            </w:r>
            <w:r>
              <w:rPr>
                <w:rFonts w:hint="eastAsia" w:ascii="宋体" w:hAnsi="宋体" w:eastAsia="宋体" w:cs="宋体"/>
                <w:color w:val="auto"/>
                <w:kern w:val="2"/>
                <w:sz w:val="24"/>
                <w:szCs w:val="24"/>
                <w:highlight w:val="none"/>
              </w:rPr>
              <w:t>存在串通投标行为的；</w:t>
            </w:r>
          </w:p>
          <w:p w14:paraId="23DA5F5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iCs/>
                <w:color w:val="auto"/>
                <w:kern w:val="2"/>
                <w:sz w:val="24"/>
                <w:szCs w:val="24"/>
                <w:highlight w:val="none"/>
                <w:shd w:val="clear" w:color="auto" w:fill="FFFFFF" w:themeFill="background1"/>
                <w:lang w:val="en-US" w:eastAsia="zh-CN" w:bidi="ar-SA"/>
              </w:rPr>
              <w:t>.</w:t>
            </w:r>
            <w:r>
              <w:rPr>
                <w:rFonts w:hint="eastAsia" w:ascii="宋体" w:hAnsi="宋体" w:eastAsia="宋体" w:cs="宋体"/>
                <w:color w:val="auto"/>
                <w:kern w:val="2"/>
                <w:sz w:val="24"/>
                <w:szCs w:val="24"/>
                <w:highlight w:val="none"/>
              </w:rPr>
              <w:t>存在弄虚作假或提供虚假材料谋取中标的；</w:t>
            </w:r>
          </w:p>
          <w:p w14:paraId="19EFA7F0">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7.</w:t>
            </w:r>
            <w:r>
              <w:rPr>
                <w:rFonts w:hint="eastAsia" w:ascii="宋体" w:hAnsi="宋体" w:eastAsia="宋体" w:cs="宋体"/>
                <w:color w:val="auto"/>
                <w:kern w:val="2"/>
                <w:sz w:val="24"/>
                <w:szCs w:val="24"/>
                <w:highlight w:val="none"/>
              </w:rPr>
              <w:t>投标人其他未按招标文件规定和合同约定履行义务的行为。</w:t>
            </w:r>
          </w:p>
          <w:p w14:paraId="11A90BC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right="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8.如开标时投标人对本单位投标保证金缴纳情况有疑义，投标人应在开标结束前向采购人提交书面申请核实保证金缴纳情况。由银行或保险公司核实后出具书面材料予以答复。</w:t>
            </w:r>
          </w:p>
          <w:p w14:paraId="3C328492">
            <w:pPr>
              <w:keepNext w:val="0"/>
              <w:keepLines w:val="0"/>
              <w:widowControl/>
              <w:suppressLineNumbers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kern w:val="0"/>
                <w:sz w:val="24"/>
                <w:szCs w:val="24"/>
                <w:lang w:val="en-US" w:eastAsia="zh-CN" w:bidi="ar"/>
              </w:rPr>
              <w:t xml:space="preserve"> </w:t>
            </w:r>
          </w:p>
        </w:tc>
      </w:tr>
      <w:tr w14:paraId="4501EC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337" w:hRule="atLeast"/>
        </w:trPr>
        <w:tc>
          <w:tcPr>
            <w:tcW w:w="970" w:type="dxa"/>
            <w:vAlign w:val="center"/>
          </w:tcPr>
          <w:p w14:paraId="0FAEE6C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p>
        </w:tc>
        <w:tc>
          <w:tcPr>
            <w:tcW w:w="1738" w:type="dxa"/>
            <w:vAlign w:val="center"/>
          </w:tcPr>
          <w:p w14:paraId="1A5D11C5">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实物样品</w:t>
            </w:r>
          </w:p>
        </w:tc>
        <w:tc>
          <w:tcPr>
            <w:tcW w:w="6700" w:type="dxa"/>
            <w:vAlign w:val="center"/>
          </w:tcPr>
          <w:p w14:paraId="29F70D2B">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投标样品递交： </w:t>
            </w:r>
          </w:p>
          <w:p w14:paraId="08448385">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75ABDCC9">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□需要，具体要求如下： </w:t>
            </w:r>
          </w:p>
          <w:p w14:paraId="45E00831">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1.样品制作的标准和要求：</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p w14:paraId="636410A9">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2.是否需要随样品提交相关检测报告： </w:t>
            </w:r>
          </w:p>
          <w:p w14:paraId="4042F79A">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720" w:firstLineChars="3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69ACDCB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 </w:t>
            </w:r>
          </w:p>
          <w:p w14:paraId="2365C0AF">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3.样品递交要求：递交时间：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0C201764">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，逾期提供的样品将不予接受。</w:t>
            </w:r>
            <w:r>
              <w:rPr>
                <w:rFonts w:hint="eastAsia" w:ascii="宋体" w:hAnsi="宋体" w:eastAsia="宋体" w:cs="宋体"/>
                <w:color w:val="auto"/>
                <w:sz w:val="24"/>
                <w:szCs w:val="24"/>
                <w:highlight w:val="none"/>
                <w:lang w:val="en-US" w:eastAsia="zh-CN"/>
              </w:rPr>
              <w:t xml:space="preserve"> </w:t>
            </w:r>
          </w:p>
          <w:p w14:paraId="20C6A605">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4.未中标人样品退还：</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p w14:paraId="2FA55552">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5.中标人样品保管、封存及退还：</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p w14:paraId="5F60BBB0">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6.其他要求（如有）：</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tc>
      </w:tr>
      <w:tr w14:paraId="1C643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3DA43E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vAlign w:val="center"/>
          </w:tcPr>
          <w:p w14:paraId="2250462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w:t>
            </w:r>
          </w:p>
        </w:tc>
        <w:tc>
          <w:tcPr>
            <w:tcW w:w="6700" w:type="dxa"/>
            <w:vAlign w:val="center"/>
          </w:tcPr>
          <w:p w14:paraId="7B2FDAC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sym w:font="Wingdings" w:char="00FE"/>
            </w:r>
            <w:r>
              <w:rPr>
                <w:rFonts w:hint="eastAsia" w:ascii="宋体" w:hAnsi="宋体" w:eastAsia="宋体" w:cs="宋体"/>
                <w:color w:val="auto"/>
                <w:sz w:val="24"/>
                <w:szCs w:val="24"/>
                <w:highlight w:val="none"/>
              </w:rPr>
              <w:t>不进行</w:t>
            </w:r>
          </w:p>
          <w:p w14:paraId="7B0141A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进行，远程线上演示/现场演示</w:t>
            </w:r>
          </w:p>
          <w:p w14:paraId="29D1FB67">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1.演示时间不得超过</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分钟；</w:t>
            </w:r>
          </w:p>
          <w:p w14:paraId="0D5B188D">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2.进行远程线上演示的，投标人应提前自行准备好演示的软硬配置环境和网络环境，做好演示的各项准备工作。因投标人自身原因无法演示或者演示效果不理想的，导致的后果由投标人自行承担；</w:t>
            </w:r>
          </w:p>
          <w:p w14:paraId="34ED7966">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3.进行现场演示的，演示人员不得超过</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人，演示现场提供</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09764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4CE72DC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w:t>
            </w:r>
          </w:p>
        </w:tc>
        <w:tc>
          <w:tcPr>
            <w:tcW w:w="1738" w:type="dxa"/>
            <w:vAlign w:val="center"/>
          </w:tcPr>
          <w:p w14:paraId="35FB661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解密投标文件的时限</w:t>
            </w:r>
          </w:p>
        </w:tc>
        <w:tc>
          <w:tcPr>
            <w:tcW w:w="6700" w:type="dxa"/>
            <w:vAlign w:val="center"/>
          </w:tcPr>
          <w:p w14:paraId="44601FE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分钟。</w:t>
            </w:r>
            <w:r>
              <w:rPr>
                <w:rFonts w:hint="eastAsia" w:ascii="宋体" w:hAnsi="宋体" w:eastAsia="宋体" w:cs="宋体"/>
                <w:color w:val="auto"/>
                <w:sz w:val="24"/>
                <w:szCs w:val="24"/>
                <w:highlight w:val="none"/>
              </w:rPr>
              <w:t xml:space="preserve"> </w:t>
            </w:r>
          </w:p>
          <w:p w14:paraId="4C7DC32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除因交易平台发生故障导致投标文件无法按时解密外，投标文件未按时解密的，视为未按规定提交投标文件</w:t>
            </w:r>
            <w:r>
              <w:rPr>
                <w:rFonts w:hint="eastAsia" w:ascii="宋体" w:hAnsi="宋体" w:eastAsia="宋体" w:cs="宋体"/>
                <w:color w:val="auto"/>
                <w:sz w:val="24"/>
                <w:szCs w:val="24"/>
                <w:highlight w:val="none"/>
              </w:rPr>
              <w:t>。</w:t>
            </w:r>
          </w:p>
        </w:tc>
      </w:tr>
      <w:tr w14:paraId="53E4EC1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6C891E50">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28.1</w:t>
            </w:r>
          </w:p>
        </w:tc>
        <w:tc>
          <w:tcPr>
            <w:tcW w:w="1738" w:type="dxa"/>
            <w:vAlign w:val="center"/>
          </w:tcPr>
          <w:p w14:paraId="1EC2117F">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评标委员会的组成</w:t>
            </w:r>
          </w:p>
        </w:tc>
        <w:tc>
          <w:tcPr>
            <w:tcW w:w="6700" w:type="dxa"/>
            <w:vAlign w:val="center"/>
          </w:tcPr>
          <w:p w14:paraId="6940B177">
            <w:pPr>
              <w:keepNext w:val="0"/>
              <w:keepLines w:val="0"/>
              <w:widowControl/>
              <w:suppressLineNumbers w:val="0"/>
              <w:jc w:val="left"/>
            </w:pPr>
            <w:r>
              <w:rPr>
                <w:rFonts w:hint="eastAsia" w:ascii="宋体" w:hAnsi="宋体" w:eastAsia="宋体" w:cs="宋体"/>
                <w:color w:val="000000"/>
                <w:kern w:val="0"/>
                <w:sz w:val="24"/>
                <w:szCs w:val="24"/>
                <w:lang w:val="en-US" w:eastAsia="zh-CN" w:bidi="ar"/>
              </w:rPr>
              <w:t>评标委员会构成</w:t>
            </w:r>
            <w:r>
              <w:rPr>
                <w:rFonts w:hint="eastAsia" w:ascii="宋体" w:hAnsi="宋体" w:eastAsia="宋体" w:cs="宋体"/>
                <w:b/>
                <w:bCs/>
                <w:color w:val="000000"/>
                <w:kern w:val="0"/>
                <w:sz w:val="24"/>
                <w:szCs w:val="24"/>
                <w:lang w:val="en-US" w:eastAsia="zh-CN" w:bidi="ar"/>
              </w:rPr>
              <w:t>：</w:t>
            </w:r>
            <w:r>
              <w:rPr>
                <w:rFonts w:hint="eastAsia" w:ascii="宋体" w:hAnsi="宋体" w:eastAsia="宋体" w:cs="宋体"/>
                <w:b/>
                <w:bCs/>
                <w:color w:val="000000"/>
                <w:kern w:val="0"/>
                <w:sz w:val="24"/>
                <w:szCs w:val="24"/>
                <w:u w:val="single"/>
                <w:lang w:val="en-US" w:eastAsia="zh-CN" w:bidi="ar"/>
              </w:rPr>
              <w:t xml:space="preserve"> </w:t>
            </w:r>
            <w:r>
              <w:rPr>
                <w:rFonts w:hint="eastAsia" w:ascii="宋体" w:hAnsi="宋体" w:eastAsia="宋体" w:cs="宋体"/>
                <w:color w:val="000000"/>
                <w:kern w:val="0"/>
                <w:sz w:val="24"/>
                <w:szCs w:val="24"/>
                <w:u w:val="single"/>
                <w:lang w:val="en-US" w:eastAsia="zh-CN" w:bidi="ar"/>
              </w:rPr>
              <w:t xml:space="preserve">5 </w:t>
            </w:r>
            <w:r>
              <w:rPr>
                <w:rFonts w:hint="eastAsia" w:ascii="宋体" w:hAnsi="宋体" w:eastAsia="宋体" w:cs="宋体"/>
                <w:color w:val="000000"/>
                <w:kern w:val="0"/>
                <w:sz w:val="24"/>
                <w:szCs w:val="24"/>
                <w:lang w:val="en-US" w:eastAsia="zh-CN" w:bidi="ar"/>
              </w:rPr>
              <w:t>人，其中采购人代表</w:t>
            </w:r>
            <w:r>
              <w:rPr>
                <w:rFonts w:hint="eastAsia" w:ascii="宋体" w:hAnsi="宋体" w:eastAsia="宋体" w:cs="宋体"/>
                <w:color w:val="000000"/>
                <w:kern w:val="0"/>
                <w:sz w:val="24"/>
                <w:szCs w:val="24"/>
                <w:u w:val="single"/>
                <w:lang w:val="en-US" w:eastAsia="zh-CN" w:bidi="ar"/>
              </w:rPr>
              <w:t xml:space="preserve"> 1 </w:t>
            </w:r>
            <w:r>
              <w:rPr>
                <w:rFonts w:hint="eastAsia" w:ascii="宋体" w:hAnsi="宋体" w:eastAsia="宋体" w:cs="宋体"/>
                <w:color w:val="000000"/>
                <w:kern w:val="0"/>
                <w:sz w:val="24"/>
                <w:szCs w:val="24"/>
                <w:lang w:val="en-US" w:eastAsia="zh-CN" w:bidi="ar"/>
              </w:rPr>
              <w:t xml:space="preserve">人 </w:t>
            </w:r>
          </w:p>
          <w:p w14:paraId="11143212">
            <w:pPr>
              <w:keepNext w:val="0"/>
              <w:keepLines w:val="0"/>
              <w:widowControl/>
              <w:suppressLineNumbers w:val="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kern w:val="0"/>
                <w:sz w:val="24"/>
                <w:szCs w:val="24"/>
                <w:lang w:val="en-US" w:eastAsia="zh-CN" w:bidi="ar"/>
              </w:rPr>
              <w:t>评委确定方式：开标前于政采云专家库中随机抽取</w:t>
            </w:r>
          </w:p>
        </w:tc>
      </w:tr>
      <w:tr w14:paraId="79EC87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76" w:hRule="atLeast"/>
        </w:trPr>
        <w:tc>
          <w:tcPr>
            <w:tcW w:w="970" w:type="dxa"/>
            <w:vAlign w:val="center"/>
          </w:tcPr>
          <w:p w14:paraId="23FC94C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w:t>
            </w:r>
          </w:p>
        </w:tc>
        <w:tc>
          <w:tcPr>
            <w:tcW w:w="1738" w:type="dxa"/>
            <w:vAlign w:val="center"/>
          </w:tcPr>
          <w:p w14:paraId="5A1E858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评标方法</w:t>
            </w:r>
          </w:p>
        </w:tc>
        <w:tc>
          <w:tcPr>
            <w:tcW w:w="6700" w:type="dxa"/>
            <w:vAlign w:val="center"/>
          </w:tcPr>
          <w:p w14:paraId="49F2488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lang w:val="en-US" w:eastAsia="zh-CN"/>
              </w:rPr>
              <w:t>综合评分法</w:t>
            </w:r>
          </w:p>
          <w:p w14:paraId="63A64BE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最低评标价法</w:t>
            </w:r>
          </w:p>
        </w:tc>
      </w:tr>
      <w:tr w14:paraId="5A0872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13" w:hRule="atLeast"/>
        </w:trPr>
        <w:tc>
          <w:tcPr>
            <w:tcW w:w="970" w:type="dxa"/>
            <w:vAlign w:val="center"/>
          </w:tcPr>
          <w:p w14:paraId="42D57B3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p>
        </w:tc>
        <w:tc>
          <w:tcPr>
            <w:tcW w:w="1738" w:type="dxa"/>
            <w:vAlign w:val="center"/>
          </w:tcPr>
          <w:p w14:paraId="109515DE">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推荐中标候选人</w:t>
            </w:r>
          </w:p>
        </w:tc>
        <w:tc>
          <w:tcPr>
            <w:tcW w:w="6700" w:type="dxa"/>
            <w:vAlign w:val="center"/>
          </w:tcPr>
          <w:p w14:paraId="0DB0E73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中标候选人数量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家</w:t>
            </w:r>
          </w:p>
        </w:tc>
      </w:tr>
      <w:tr w14:paraId="176C1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4EEEE9B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1738" w:type="dxa"/>
            <w:vAlign w:val="center"/>
          </w:tcPr>
          <w:p w14:paraId="266C355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确定中标人</w:t>
            </w:r>
          </w:p>
        </w:tc>
        <w:tc>
          <w:tcPr>
            <w:tcW w:w="6700" w:type="dxa"/>
            <w:vAlign w:val="center"/>
          </w:tcPr>
          <w:p w14:paraId="3AF868A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0911185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采购人委托评标委员会直接确定中标人。</w:t>
            </w:r>
          </w:p>
        </w:tc>
      </w:tr>
      <w:tr w14:paraId="16D85FA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shd w:val="clear" w:color="auto" w:fill="auto"/>
            <w:vAlign w:val="center"/>
          </w:tcPr>
          <w:p w14:paraId="1B46F00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shd w:val="clear" w:color="auto" w:fill="auto"/>
            <w:vAlign w:val="center"/>
          </w:tcPr>
          <w:p w14:paraId="2789643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6700" w:type="dxa"/>
            <w:shd w:val="clear" w:color="auto" w:fill="auto"/>
            <w:vAlign w:val="center"/>
          </w:tcPr>
          <w:p w14:paraId="6976A72E">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446453BE">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14858B7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□合同价的   %</w:t>
            </w:r>
          </w:p>
          <w:p w14:paraId="2795CC0D">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eastAsia="zh-CN"/>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ascii="仿宋_GB2312" w:hAnsi="仿宋_GB2312" w:eastAsia="仿宋_GB2312" w:cs="仿宋_GB2312"/>
                <w:sz w:val="24"/>
                <w:szCs w:val="24"/>
                <w:highlight w:val="none"/>
                <w:lang w:val="en-US" w:eastAsia="zh-CN"/>
              </w:rPr>
              <w:t>标项二人民币5万元（伍万元整）</w:t>
            </w:r>
            <w:r>
              <w:rPr>
                <w:rFonts w:hint="eastAsia" w:ascii="宋体" w:hAnsi="宋体" w:eastAsia="宋体" w:cs="宋体"/>
                <w:color w:val="auto"/>
                <w:sz w:val="24"/>
                <w:szCs w:val="24"/>
                <w:highlight w:val="none"/>
              </w:rPr>
              <w:t xml:space="preserve"> </w:t>
            </w:r>
          </w:p>
          <w:p w14:paraId="26582BD2">
            <w:pPr>
              <w:keepNext w:val="0"/>
              <w:keepLines w:val="0"/>
              <w:widowControl/>
              <w:suppressLineNumbers w:val="0"/>
              <w:jc w:val="left"/>
            </w:pPr>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 xml:space="preserve">  </w:t>
            </w:r>
            <w:r>
              <w:rPr>
                <w:rFonts w:hint="eastAsia" w:ascii="宋体" w:hAnsi="宋体" w:eastAsia="宋体" w:cs="宋体"/>
                <w:color w:val="000000"/>
                <w:kern w:val="0"/>
                <w:sz w:val="24"/>
                <w:szCs w:val="24"/>
                <w:lang w:val="en-US" w:eastAsia="zh-CN" w:bidi="ar"/>
              </w:rPr>
              <w:t xml:space="preserve">履约保证金的交纳必须以公对公账户进行电汇或转账，否则 </w:t>
            </w:r>
          </w:p>
          <w:p w14:paraId="7761BED1">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不予认可。</w:t>
            </w:r>
          </w:p>
          <w:p w14:paraId="0228B1E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缴纳时间：中标公示期结束后3个工作日内。</w:t>
            </w:r>
          </w:p>
          <w:p w14:paraId="5A13D6C0">
            <w:pPr>
              <w:keepNext w:val="0"/>
              <w:keepLines w:val="0"/>
              <w:widowControl/>
              <w:suppressLineNumbers w:val="0"/>
              <w:jc w:val="left"/>
              <w:rPr>
                <w:rFonts w:hint="default"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r>
              <w:rPr>
                <w:rFonts w:hint="eastAsia" w:ascii="宋体" w:hAnsi="宋体" w:eastAsia="宋体" w:cs="宋体"/>
                <w:color w:val="000000"/>
                <w:kern w:val="0"/>
                <w:sz w:val="24"/>
                <w:szCs w:val="24"/>
                <w:lang w:val="en-US" w:eastAsia="zh-CN" w:bidi="ar"/>
              </w:rPr>
              <w:t>具体汇款信息请在成交后与采购人联系。</w:t>
            </w:r>
          </w:p>
          <w:p w14:paraId="2BEC3754">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投标人可自主选择以支票、汇票、本票、电汇、转账、网银、保函等非现金形式缴纳或提交</w:t>
            </w:r>
            <w:r>
              <w:rPr>
                <w:rFonts w:hint="eastAsia" w:ascii="宋体" w:hAnsi="宋体" w:cs="宋体"/>
                <w:color w:val="auto"/>
                <w:kern w:val="2"/>
                <w:sz w:val="24"/>
                <w:szCs w:val="24"/>
                <w:highlight w:val="none"/>
                <w:lang w:val="en-US" w:eastAsia="zh-CN" w:bidi="ar-SA"/>
              </w:rPr>
              <w:t>履约</w:t>
            </w:r>
            <w:r>
              <w:rPr>
                <w:rFonts w:hint="eastAsia" w:ascii="宋体" w:hAnsi="宋体" w:eastAsia="宋体" w:cs="宋体"/>
                <w:color w:val="auto"/>
                <w:kern w:val="2"/>
                <w:sz w:val="24"/>
                <w:szCs w:val="24"/>
                <w:highlight w:val="none"/>
                <w:lang w:val="en-US" w:eastAsia="zh-CN" w:bidi="ar-SA"/>
              </w:rPr>
              <w:t>保证金。</w:t>
            </w:r>
            <w:r>
              <w:rPr>
                <w:rFonts w:hint="eastAsia" w:ascii="宋体" w:hAnsi="宋体" w:eastAsia="宋体" w:cs="宋体"/>
                <w:color w:val="auto"/>
                <w:sz w:val="24"/>
                <w:szCs w:val="24"/>
                <w:highlight w:val="none"/>
              </w:rPr>
              <w:t xml:space="preserve">      </w:t>
            </w:r>
          </w:p>
          <w:p w14:paraId="41B3BE7D">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退还时间：</w:t>
            </w:r>
            <w:r>
              <w:rPr>
                <w:rFonts w:hint="eastAsia" w:ascii="宋体" w:hAnsi="宋体" w:cs="宋体"/>
                <w:color w:val="auto"/>
                <w:sz w:val="24"/>
                <w:szCs w:val="24"/>
                <w:highlight w:val="none"/>
                <w:lang w:val="en-US" w:eastAsia="zh-CN"/>
              </w:rPr>
              <w:t>采购人在</w:t>
            </w:r>
            <w:r>
              <w:rPr>
                <w:rFonts w:hint="eastAsia" w:ascii="宋体" w:hAnsi="宋体" w:eastAsia="宋体" w:cs="宋体"/>
                <w:color w:val="000000"/>
                <w:kern w:val="0"/>
                <w:sz w:val="24"/>
                <w:szCs w:val="24"/>
                <w:lang w:val="en-US" w:eastAsia="zh-CN" w:bidi="ar"/>
              </w:rPr>
              <w:t>项目完成验收合格无质量问题后无息退还。</w:t>
            </w:r>
            <w:r>
              <w:rPr>
                <w:rFonts w:hint="eastAsia" w:ascii="宋体" w:hAnsi="宋体" w:eastAsia="宋体" w:cs="宋体"/>
                <w:color w:val="auto"/>
                <w:sz w:val="24"/>
                <w:szCs w:val="24"/>
                <w:highlight w:val="none"/>
              </w:rPr>
              <w:t xml:space="preserve">                    </w:t>
            </w:r>
          </w:p>
          <w:p w14:paraId="32E52EF0">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p w14:paraId="1033F0D6">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257AE72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以担保函、保证保险形式缴纳履约保证金的，受益人和收取单位须为采购人。</w:t>
            </w:r>
          </w:p>
        </w:tc>
      </w:tr>
      <w:tr w14:paraId="6B1F02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2" w:hRule="atLeast"/>
        </w:trPr>
        <w:tc>
          <w:tcPr>
            <w:tcW w:w="970" w:type="dxa"/>
            <w:vAlign w:val="center"/>
          </w:tcPr>
          <w:p w14:paraId="600814B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w:t>
            </w:r>
          </w:p>
        </w:tc>
        <w:tc>
          <w:tcPr>
            <w:tcW w:w="1738" w:type="dxa"/>
            <w:vAlign w:val="center"/>
          </w:tcPr>
          <w:p w14:paraId="74D1938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中标后分包</w:t>
            </w:r>
          </w:p>
        </w:tc>
        <w:tc>
          <w:tcPr>
            <w:tcW w:w="6700" w:type="dxa"/>
            <w:vAlign w:val="center"/>
          </w:tcPr>
          <w:p w14:paraId="4344EC45">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本项目的非主体、非关键性工作是否允许分包： </w:t>
            </w:r>
          </w:p>
          <w:p w14:paraId="3D901FC0">
            <w:pPr>
              <w:pStyle w:val="48"/>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不允许 </w:t>
            </w:r>
          </w:p>
          <w:p w14:paraId="56DFA0F7">
            <w:pPr>
              <w:pStyle w:val="48"/>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□允许，具体要求： </w:t>
            </w:r>
          </w:p>
          <w:p w14:paraId="6C445FF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1.可以分包履行的具体内容：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 xml:space="preserve">； </w:t>
            </w:r>
          </w:p>
          <w:p w14:paraId="71BE067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2.允许分包的金额或者比例：</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 xml:space="preserve">； </w:t>
            </w:r>
          </w:p>
          <w:p w14:paraId="2F04DF9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3.其他要求：</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 xml:space="preserve">。 </w:t>
            </w:r>
          </w:p>
        </w:tc>
      </w:tr>
      <w:tr w14:paraId="19B129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5BFFADC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w:t>
            </w:r>
          </w:p>
        </w:tc>
        <w:tc>
          <w:tcPr>
            <w:tcW w:w="1738" w:type="dxa"/>
            <w:vAlign w:val="center"/>
          </w:tcPr>
          <w:p w14:paraId="6B25F50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质疑</w:t>
            </w:r>
          </w:p>
        </w:tc>
        <w:tc>
          <w:tcPr>
            <w:tcW w:w="6700" w:type="dxa"/>
            <w:vAlign w:val="center"/>
          </w:tcPr>
          <w:p w14:paraId="54494FB3">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1.供应商认为采购文件、采购过程、中标或者成交结果使自己的权益受到损害的，可以在知道或者应知其权益受到损害之日起7个工作日内，以书面形式向采购人、采购代理机构提出质疑。</w:t>
            </w:r>
          </w:p>
          <w:p w14:paraId="2E8DCA9F">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2.供应商在法定质疑期内必须一次性提出针对同一采购程序环节的质疑。</w:t>
            </w:r>
          </w:p>
          <w:p w14:paraId="462AB3A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3.质疑供应商应按照财政部制定的《政府采购质疑函范本》格式10（可从财政部官方网站下载）和《政府采购质疑和投诉办法》（财政部令第94号）的要求，在法定质疑期内以书面形式提出质疑。 </w:t>
            </w:r>
          </w:p>
          <w:p w14:paraId="5B63F722">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4.超出法定质疑期、重复或分次提出的、内容或形式不符合《政府采购质疑和投诉办法》规定的质疑将被拒绝。 </w:t>
            </w:r>
          </w:p>
          <w:p w14:paraId="5EB2A0C0">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5.依据：《中华人民共和国政府采购法》第五十二条、《中华人民共和国政府采购法实施条例》第五十三条规定的供应商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逾期送达，不予受理。</w:t>
            </w:r>
          </w:p>
          <w:p w14:paraId="668BE3A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6.澄清、修改文件发出后（若有），供应商必须使用最新的澄清文件制作电子响应文件。</w:t>
            </w:r>
          </w:p>
          <w:p w14:paraId="66A99E6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7.采购代理机构质疑函接收部门、联系电话：</w:t>
            </w:r>
          </w:p>
          <w:p w14:paraId="54D9016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接收部门：</w:t>
            </w:r>
            <w:r>
              <w:rPr>
                <w:rFonts w:hint="eastAsia" w:ascii="宋体" w:hAnsi="宋体" w:cs="宋体"/>
                <w:color w:val="auto"/>
                <w:kern w:val="2"/>
                <w:sz w:val="24"/>
                <w:szCs w:val="24"/>
                <w:highlight w:val="none"/>
                <w:lang w:val="en-US" w:eastAsia="zh-CN" w:bidi="ar-SA"/>
              </w:rPr>
              <w:t>草湖项目区公共资源交易中心</w:t>
            </w:r>
          </w:p>
          <w:p w14:paraId="14F93FB4">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联系人：</w:t>
            </w:r>
            <w:r>
              <w:rPr>
                <w:rFonts w:hint="eastAsia" w:ascii="宋体" w:hAnsi="宋体" w:cs="宋体"/>
                <w:color w:val="auto"/>
                <w:kern w:val="2"/>
                <w:sz w:val="24"/>
                <w:szCs w:val="24"/>
                <w:highlight w:val="none"/>
                <w:lang w:val="en-US" w:eastAsia="zh-CN" w:bidi="ar-SA"/>
              </w:rPr>
              <w:t>阿丽耶</w:t>
            </w:r>
          </w:p>
          <w:p w14:paraId="7DB92651">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联系电话：</w:t>
            </w:r>
            <w:r>
              <w:rPr>
                <w:rFonts w:hint="eastAsia" w:ascii="宋体" w:hAnsi="宋体" w:cs="宋体"/>
                <w:color w:val="auto"/>
                <w:kern w:val="2"/>
                <w:sz w:val="24"/>
                <w:szCs w:val="24"/>
                <w:highlight w:val="none"/>
                <w:lang w:val="en-US" w:eastAsia="zh-CN" w:bidi="ar-SA"/>
              </w:rPr>
              <w:t>0998-6378627</w:t>
            </w:r>
          </w:p>
          <w:p w14:paraId="30211831">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地址：</w:t>
            </w:r>
            <w:r>
              <w:rPr>
                <w:rFonts w:hint="eastAsia" w:ascii="宋体" w:hAnsi="宋体" w:eastAsia="宋体" w:cs="宋体"/>
                <w:i w:val="0"/>
                <w:iCs w:val="0"/>
                <w:color w:val="auto"/>
                <w:sz w:val="24"/>
                <w:szCs w:val="24"/>
                <w:highlight w:val="none"/>
                <w:lang w:val="en-US" w:eastAsia="zh-CN"/>
              </w:rPr>
              <w:t>新疆维吾尔自治区</w:t>
            </w:r>
            <w:r>
              <w:rPr>
                <w:rFonts w:hint="eastAsia" w:ascii="宋体" w:hAnsi="宋体" w:cs="宋体"/>
                <w:i w:val="0"/>
                <w:iCs w:val="0"/>
                <w:color w:val="auto"/>
                <w:sz w:val="24"/>
                <w:szCs w:val="24"/>
                <w:highlight w:val="none"/>
                <w:lang w:val="en-US" w:eastAsia="zh-CN"/>
              </w:rPr>
              <w:t>喀什地区疏勒县41团</w:t>
            </w:r>
            <w:r>
              <w:rPr>
                <w:rFonts w:hint="eastAsia" w:ascii="宋体" w:hAnsi="宋体" w:eastAsia="宋体" w:cs="宋体"/>
                <w:i w:val="0"/>
                <w:iCs w:val="0"/>
                <w:color w:val="auto"/>
                <w:sz w:val="24"/>
                <w:szCs w:val="24"/>
                <w:highlight w:val="none"/>
                <w:lang w:val="en-US" w:eastAsia="zh-CN"/>
              </w:rPr>
              <w:t>草湖镇职工创业园</w:t>
            </w:r>
            <w:r>
              <w:rPr>
                <w:rFonts w:hint="eastAsia" w:ascii="宋体" w:hAnsi="宋体" w:eastAsia="宋体" w:cs="宋体"/>
                <w:color w:val="auto"/>
                <w:kern w:val="2"/>
                <w:sz w:val="24"/>
                <w:szCs w:val="24"/>
                <w:highlight w:val="none"/>
                <w:lang w:val="zh-CN" w:eastAsia="zh-CN" w:bidi="ar-SA"/>
              </w:rPr>
              <w:t xml:space="preserve">      </w:t>
            </w:r>
          </w:p>
        </w:tc>
      </w:tr>
      <w:tr w14:paraId="30DE5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51" w:hRule="atLeast"/>
        </w:trPr>
        <w:tc>
          <w:tcPr>
            <w:tcW w:w="970" w:type="dxa"/>
            <w:vAlign w:val="center"/>
          </w:tcPr>
          <w:p w14:paraId="6F1BF37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p>
        </w:tc>
        <w:tc>
          <w:tcPr>
            <w:tcW w:w="1738" w:type="dxa"/>
            <w:vAlign w:val="center"/>
          </w:tcPr>
          <w:p w14:paraId="5D860FC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是否接受进口产品</w:t>
            </w:r>
          </w:p>
        </w:tc>
        <w:tc>
          <w:tcPr>
            <w:tcW w:w="6700" w:type="dxa"/>
            <w:vAlign w:val="center"/>
          </w:tcPr>
          <w:p w14:paraId="438B47D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不接受</w:t>
            </w:r>
          </w:p>
          <w:p w14:paraId="1481386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zh-CN"/>
              </w:rPr>
              <w:t>接受</w:t>
            </w:r>
          </w:p>
        </w:tc>
      </w:tr>
      <w:tr w14:paraId="2539FC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4" w:hRule="atLeast"/>
        </w:trPr>
        <w:tc>
          <w:tcPr>
            <w:tcW w:w="970" w:type="dxa"/>
            <w:vAlign w:val="center"/>
          </w:tcPr>
          <w:p w14:paraId="0664880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w:t>
            </w:r>
          </w:p>
        </w:tc>
        <w:tc>
          <w:tcPr>
            <w:tcW w:w="1738" w:type="dxa"/>
            <w:vAlign w:val="center"/>
          </w:tcPr>
          <w:p w14:paraId="34AA448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支持中小企业政策</w:t>
            </w:r>
            <w:r>
              <w:rPr>
                <w:rStyle w:val="32"/>
                <w:rFonts w:hint="eastAsia" w:ascii="宋体" w:hAnsi="宋体" w:eastAsia="宋体" w:cs="宋体"/>
                <w:b w:val="0"/>
                <w:color w:val="auto"/>
                <w:sz w:val="24"/>
                <w:szCs w:val="24"/>
                <w:highlight w:val="none"/>
                <w:lang w:val="en-US" w:eastAsia="zh-CN"/>
              </w:rPr>
              <w:t>（非专门面向中小企业采购项目适用）</w:t>
            </w:r>
          </w:p>
        </w:tc>
        <w:tc>
          <w:tcPr>
            <w:tcW w:w="6700" w:type="dxa"/>
            <w:vAlign w:val="center"/>
          </w:tcPr>
          <w:p w14:paraId="736B9D94">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小型和微型企业价格扣除：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3A14D5AD">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2</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监狱企业价格扣除：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CF7AA8F">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残疾人福利性单位价格扣除：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29022C4">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4</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符合条件的联合体价格扣除：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1B996B16">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color w:val="auto"/>
                <w:sz w:val="24"/>
                <w:szCs w:val="24"/>
                <w:highlight w:val="none"/>
              </w:rPr>
              <w:t>5</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符合条件的向小微企业分包的大中型企业价格扣除：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r>
              <w:rPr>
                <w:rFonts w:hint="eastAsia" w:ascii="宋体" w:hAnsi="宋体" w:eastAsia="宋体" w:cs="宋体"/>
                <w:b w:val="0"/>
                <w:i w:val="0"/>
                <w:iCs/>
                <w:color w:val="auto"/>
                <w:sz w:val="24"/>
                <w:szCs w:val="24"/>
                <w:highlight w:val="none"/>
              </w:rPr>
              <w:t>（允许大中型企业向小微企业分包的项目适用）</w:t>
            </w:r>
          </w:p>
        </w:tc>
      </w:tr>
      <w:tr w14:paraId="707AAB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478" w:hRule="atLeast"/>
        </w:trPr>
        <w:tc>
          <w:tcPr>
            <w:tcW w:w="970" w:type="dxa"/>
            <w:vAlign w:val="center"/>
          </w:tcPr>
          <w:p w14:paraId="3AAFC5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42.5</w:t>
            </w:r>
          </w:p>
        </w:tc>
        <w:tc>
          <w:tcPr>
            <w:tcW w:w="1738" w:type="dxa"/>
            <w:vAlign w:val="center"/>
          </w:tcPr>
          <w:p w14:paraId="5993147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标的所属行业</w:t>
            </w:r>
          </w:p>
          <w:p w14:paraId="2799573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Style w:val="32"/>
                <w:rFonts w:hint="eastAsia" w:ascii="宋体" w:hAnsi="宋体" w:eastAsia="宋体" w:cs="宋体"/>
                <w:b w:val="0"/>
                <w:color w:val="auto"/>
                <w:sz w:val="24"/>
                <w:szCs w:val="24"/>
                <w:highlight w:val="none"/>
                <w:lang w:val="en-US" w:eastAsia="zh-CN"/>
              </w:rPr>
              <w:t>参照后附</w:t>
            </w:r>
            <w:r>
              <w:rPr>
                <w:rStyle w:val="32"/>
                <w:rFonts w:hint="eastAsia" w:ascii="宋体" w:hAnsi="宋体" w:eastAsia="宋体" w:cs="宋体"/>
                <w:b w:val="0"/>
                <w:color w:val="auto"/>
                <w:sz w:val="24"/>
                <w:szCs w:val="24"/>
                <w:highlight w:val="none"/>
                <w:lang w:eastAsia="zh-CN"/>
              </w:rPr>
              <w:t>《</w:t>
            </w:r>
            <w:r>
              <w:rPr>
                <w:rStyle w:val="32"/>
                <w:rFonts w:hint="eastAsia" w:ascii="宋体" w:hAnsi="宋体" w:eastAsia="宋体" w:cs="宋体"/>
                <w:b w:val="0"/>
                <w:color w:val="auto"/>
                <w:sz w:val="24"/>
                <w:szCs w:val="24"/>
                <w:highlight w:val="none"/>
              </w:rPr>
              <w:t>工信部联企业〔2011〕300号</w:t>
            </w:r>
            <w:r>
              <w:rPr>
                <w:rStyle w:val="32"/>
                <w:rFonts w:hint="eastAsia" w:ascii="宋体" w:hAnsi="宋体" w:eastAsia="宋体" w:cs="宋体"/>
                <w:b w:val="0"/>
                <w:color w:val="auto"/>
                <w:sz w:val="24"/>
                <w:szCs w:val="24"/>
                <w:highlight w:val="none"/>
                <w:lang w:eastAsia="zh-CN"/>
              </w:rPr>
              <w:t>》</w:t>
            </w:r>
          </w:p>
        </w:tc>
        <w:tc>
          <w:tcPr>
            <w:tcW w:w="6700" w:type="dxa"/>
            <w:vAlign w:val="center"/>
          </w:tcPr>
          <w:p w14:paraId="6804F69E">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本项目采购标的对应的中小企业划分标准所属行业： </w:t>
            </w:r>
          </w:p>
          <w:tbl>
            <w:tblPr>
              <w:tblStyle w:val="30"/>
              <w:tblW w:w="64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2115"/>
              <w:gridCol w:w="3150"/>
            </w:tblGrid>
            <w:tr w14:paraId="1CAAD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vAlign w:val="center"/>
                </w:tcPr>
                <w:p w14:paraId="7059451F">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包号</w:t>
                  </w:r>
                </w:p>
              </w:tc>
              <w:tc>
                <w:tcPr>
                  <w:tcW w:w="2115" w:type="dxa"/>
                  <w:vAlign w:val="center"/>
                </w:tcPr>
                <w:p w14:paraId="334359A5">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标的名称</w:t>
                  </w:r>
                </w:p>
              </w:tc>
              <w:tc>
                <w:tcPr>
                  <w:tcW w:w="3150" w:type="dxa"/>
                  <w:vAlign w:val="center"/>
                </w:tcPr>
                <w:p w14:paraId="6E9115BA">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中小企业划分标准所属行业</w:t>
                  </w:r>
                </w:p>
              </w:tc>
            </w:tr>
            <w:tr w14:paraId="585F9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vAlign w:val="center"/>
                </w:tcPr>
                <w:p w14:paraId="77844D9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jc w:val="both"/>
                    <w:textAlignment w:val="auto"/>
                    <w:rPr>
                      <w:rFonts w:hint="eastAsia" w:ascii="Times New Roman" w:hAnsi="Times New Roman" w:eastAsia="仿宋_GB2312" w:cs="楷体_GB2312"/>
                      <w:i w:val="0"/>
                      <w:iCs w:val="0"/>
                      <w:caps w:val="0"/>
                      <w:color w:val="auto"/>
                      <w:spacing w:val="0"/>
                      <w:sz w:val="28"/>
                      <w:szCs w:val="28"/>
                      <w:highlight w:val="none"/>
                      <w:u w:val="none"/>
                      <w:shd w:val="clear" w:fill="EBF4FF"/>
                      <w:lang w:val="en-US" w:eastAsia="zh-CN"/>
                    </w:rPr>
                  </w:pPr>
                  <w:r>
                    <w:rPr>
                      <w:rFonts w:hint="eastAsia" w:ascii="Times New Roman" w:hAnsi="Times New Roman" w:eastAsia="仿宋_GB2312" w:cs="宋体"/>
                      <w:color w:val="auto"/>
                      <w:sz w:val="28"/>
                      <w:szCs w:val="28"/>
                      <w:highlight w:val="none"/>
                      <w:u w:val="none"/>
                      <w:lang w:val="en-US" w:eastAsia="zh-CN"/>
                    </w:rPr>
                    <w:t>B15SBJ[2025]14号-02</w:t>
                  </w:r>
                </w:p>
                <w:p w14:paraId="2AB61B4F">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default" w:ascii="宋体" w:hAnsi="宋体" w:eastAsia="宋体" w:cs="宋体"/>
                      <w:color w:val="auto"/>
                      <w:kern w:val="0"/>
                      <w:sz w:val="24"/>
                      <w:szCs w:val="24"/>
                      <w:highlight w:val="none"/>
                      <w:vertAlign w:val="baseline"/>
                      <w:lang w:val="en-US" w:eastAsia="zh-CN" w:bidi="ar"/>
                    </w:rPr>
                  </w:pPr>
                </w:p>
              </w:tc>
              <w:tc>
                <w:tcPr>
                  <w:tcW w:w="2115" w:type="dxa"/>
                  <w:vAlign w:val="center"/>
                </w:tcPr>
                <w:p w14:paraId="402B250B">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4"/>
                      <w:szCs w:val="24"/>
                      <w:highlight w:val="none"/>
                      <w:vertAlign w:val="baseline"/>
                      <w:lang w:val="en-US" w:eastAsia="zh-CN" w:bidi="ar"/>
                    </w:rPr>
                  </w:pPr>
                  <w:r>
                    <w:rPr>
                      <w:rFonts w:hint="eastAsia" w:ascii="Times New Roman" w:hAnsi="Times New Roman" w:eastAsia="仿宋_GB2312" w:cs="宋体"/>
                      <w:color w:val="auto"/>
                      <w:sz w:val="28"/>
                      <w:szCs w:val="32"/>
                      <w:highlight w:val="none"/>
                      <w:u w:val="none"/>
                      <w:lang w:val="en-US" w:eastAsia="zh-CN"/>
                    </w:rPr>
                    <w:t>2025年</w:t>
                  </w:r>
                  <w:r>
                    <w:rPr>
                      <w:rFonts w:hint="eastAsia" w:ascii="Times New Roman" w:hAnsi="Times New Roman" w:eastAsia="仿宋_GB2312" w:cs="宋体"/>
                      <w:color w:val="auto"/>
                      <w:sz w:val="28"/>
                      <w:szCs w:val="28"/>
                      <w:highlight w:val="none"/>
                      <w:u w:val="none"/>
                      <w:lang w:val="en-US" w:eastAsia="zh-CN"/>
                    </w:rPr>
                    <w:t>草湖项目区昆仑人民医院物业管理服务采购项目（标项二）</w:t>
                  </w:r>
                </w:p>
              </w:tc>
              <w:tc>
                <w:tcPr>
                  <w:tcW w:w="3150" w:type="dxa"/>
                  <w:vAlign w:val="center"/>
                </w:tcPr>
                <w:p w14:paraId="6A9C8731">
                  <w:pPr>
                    <w:keepNext w:val="0"/>
                    <w:keepLines w:val="0"/>
                    <w:pageBreakBefore w:val="0"/>
                    <w:widowControl/>
                    <w:suppressLineNumbers w:val="0"/>
                    <w:tabs>
                      <w:tab w:val="left" w:pos="217"/>
                    </w:tabs>
                    <w:kinsoku/>
                    <w:wordWrap/>
                    <w:overflowPunct/>
                    <w:topLinePunct w:val="0"/>
                    <w:bidi w:val="0"/>
                    <w:snapToGrid/>
                    <w:spacing w:beforeAutospacing="0" w:afterAutospacing="0" w:line="560" w:lineRule="exact"/>
                    <w:ind w:left="0" w:leftChars="0" w:right="0" w:rightChars="0" w:firstLine="960" w:firstLineChars="400"/>
                    <w:jc w:val="left"/>
                    <w:textAlignment w:val="auto"/>
                    <w:rPr>
                      <w:rFonts w:hint="eastAsia" w:ascii="宋体" w:hAnsi="宋体" w:eastAsia="宋体" w:cs="宋体"/>
                      <w:color w:val="auto"/>
                      <w:kern w:val="0"/>
                      <w:sz w:val="24"/>
                      <w:szCs w:val="24"/>
                      <w:highlight w:val="none"/>
                      <w:vertAlign w:val="baseline"/>
                      <w:lang w:val="en-US" w:eastAsia="zh-CN" w:bidi="ar"/>
                    </w:rPr>
                  </w:pPr>
                  <w:r>
                    <w:rPr>
                      <w:rFonts w:hint="eastAsia" w:cs="宋体"/>
                      <w:color w:val="auto"/>
                      <w:kern w:val="0"/>
                      <w:sz w:val="24"/>
                      <w:szCs w:val="24"/>
                      <w:highlight w:val="none"/>
                      <w:vertAlign w:val="baseline"/>
                      <w:lang w:val="en-US" w:eastAsia="zh-CN" w:bidi="ar"/>
                    </w:rPr>
                    <w:t>物业管理</w:t>
                  </w:r>
                </w:p>
              </w:tc>
            </w:tr>
          </w:tbl>
          <w:p w14:paraId="2BBBA5B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4C8E5A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172" w:hRule="atLeast"/>
        </w:trPr>
        <w:tc>
          <w:tcPr>
            <w:tcW w:w="970" w:type="dxa"/>
            <w:shd w:val="clear" w:color="auto" w:fill="auto"/>
            <w:vAlign w:val="center"/>
          </w:tcPr>
          <w:p w14:paraId="213F458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43.5</w:t>
            </w:r>
          </w:p>
        </w:tc>
        <w:tc>
          <w:tcPr>
            <w:tcW w:w="1738" w:type="dxa"/>
            <w:shd w:val="clear" w:color="auto" w:fill="auto"/>
            <w:vAlign w:val="center"/>
          </w:tcPr>
          <w:p w14:paraId="7C0C832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优先采购创新节能环保产品</w:t>
            </w:r>
          </w:p>
        </w:tc>
        <w:tc>
          <w:tcPr>
            <w:tcW w:w="6700" w:type="dxa"/>
            <w:shd w:val="clear" w:color="auto" w:fill="auto"/>
            <w:vAlign w:val="center"/>
          </w:tcPr>
          <w:p w14:paraId="1D89079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产品纳入创新产品应用示范推荐目录内企业、所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产品获得节能产品或环境标志产品认证证书的</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报价给予</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p>
        </w:tc>
      </w:tr>
      <w:tr w14:paraId="140D50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74" w:hRule="atLeast"/>
        </w:trPr>
        <w:tc>
          <w:tcPr>
            <w:tcW w:w="970" w:type="dxa"/>
            <w:tcBorders>
              <w:right w:val="single" w:color="auto" w:sz="4" w:space="0"/>
            </w:tcBorders>
            <w:vAlign w:val="center"/>
          </w:tcPr>
          <w:p w14:paraId="08D3F63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1738" w:type="dxa"/>
            <w:tcBorders>
              <w:left w:val="single" w:color="auto" w:sz="4" w:space="0"/>
              <w:right w:val="single" w:color="auto" w:sz="4" w:space="0"/>
            </w:tcBorders>
            <w:vAlign w:val="center"/>
          </w:tcPr>
          <w:p w14:paraId="651753D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w:t>
            </w:r>
          </w:p>
          <w:p w14:paraId="5E3751D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合同融资政策</w:t>
            </w:r>
          </w:p>
        </w:tc>
        <w:tc>
          <w:tcPr>
            <w:tcW w:w="6700" w:type="dxa"/>
            <w:tcBorders>
              <w:left w:val="single" w:color="auto" w:sz="4" w:space="0"/>
            </w:tcBorders>
            <w:vAlign w:val="center"/>
          </w:tcPr>
          <w:p w14:paraId="4377B3E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有融资需求的中标人在获得政府采购中标通知书后，即可向开展“政采贷”业务的金融机构提出申请，金融机构依据政府采购中标通知书和政府采购合同，为中小微企业提供融资服务。</w:t>
            </w:r>
          </w:p>
          <w:p w14:paraId="247FAD7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渠道和方式：</w:t>
            </w:r>
            <w:r>
              <w:rPr>
                <w:rFonts w:hint="eastAsia" w:ascii="宋体" w:hAnsi="宋体" w:eastAsia="宋体" w:cs="宋体"/>
                <w:i w:val="0"/>
                <w:iCs w:val="0"/>
                <w:color w:val="auto"/>
                <w:sz w:val="24"/>
                <w:szCs w:val="24"/>
                <w:highlight w:val="none"/>
                <w:u w:val="single"/>
              </w:rPr>
              <w:t>政府采购云平台自行申请</w:t>
            </w:r>
            <w:r>
              <w:rPr>
                <w:rFonts w:hint="eastAsia" w:ascii="宋体" w:hAnsi="宋体" w:eastAsia="宋体" w:cs="宋体"/>
                <w:i w:val="0"/>
                <w:iCs w:val="0"/>
                <w:color w:val="auto"/>
                <w:sz w:val="24"/>
                <w:szCs w:val="24"/>
                <w:highlight w:val="none"/>
              </w:rPr>
              <w:t>。</w:t>
            </w:r>
          </w:p>
          <w:p w14:paraId="5D7FBF5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“政采贷”融资指引：在取得政府采购中标通知书后，可访问“</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，查看和联系第三方平台或者金融机构，商洽融资事项，确定融资意向。中标人签署政府采购中标合同后，登录“</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，选择意向产品进行申请，并填写相关信息，“</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将中标人融资申请信息推送第三方平台、意向金融机构。</w:t>
            </w:r>
          </w:p>
        </w:tc>
      </w:tr>
      <w:tr w14:paraId="4FFF25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58" w:hRule="atLeast"/>
        </w:trPr>
        <w:tc>
          <w:tcPr>
            <w:tcW w:w="970" w:type="dxa"/>
            <w:tcBorders>
              <w:right w:val="single" w:color="auto" w:sz="4" w:space="0"/>
            </w:tcBorders>
            <w:shd w:val="clear" w:color="auto" w:fill="auto"/>
            <w:vAlign w:val="center"/>
          </w:tcPr>
          <w:p w14:paraId="3119C496">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cs="宋体"/>
                <w:color w:val="auto"/>
                <w:sz w:val="24"/>
                <w:szCs w:val="24"/>
                <w:highlight w:val="none"/>
                <w:lang w:val="en-US" w:eastAsia="zh-CN"/>
              </w:rPr>
              <w:t>47.2</w:t>
            </w:r>
          </w:p>
        </w:tc>
        <w:tc>
          <w:tcPr>
            <w:tcW w:w="1738" w:type="dxa"/>
            <w:tcBorders>
              <w:left w:val="single" w:color="auto" w:sz="4" w:space="0"/>
              <w:right w:val="single" w:color="auto" w:sz="4" w:space="0"/>
            </w:tcBorders>
            <w:shd w:val="clear" w:color="auto" w:fill="auto"/>
            <w:vAlign w:val="center"/>
          </w:tcPr>
          <w:p w14:paraId="792F7A89">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信息公告媒体平台</w:t>
            </w:r>
          </w:p>
        </w:tc>
        <w:tc>
          <w:tcPr>
            <w:tcW w:w="6700" w:type="dxa"/>
            <w:tcBorders>
              <w:left w:val="single" w:color="auto" w:sz="4" w:space="0"/>
            </w:tcBorders>
            <w:shd w:val="clear" w:color="auto" w:fill="auto"/>
            <w:vAlign w:val="center"/>
          </w:tcPr>
          <w:p w14:paraId="581DAC45">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新疆生产建设兵团政府采购网（http://www.zcygov.cn/）</w:t>
            </w:r>
          </w:p>
        </w:tc>
      </w:tr>
      <w:tr w14:paraId="3ED049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141" w:hRule="atLeast"/>
        </w:trPr>
        <w:tc>
          <w:tcPr>
            <w:tcW w:w="970" w:type="dxa"/>
            <w:tcBorders>
              <w:right w:val="single" w:color="auto" w:sz="4" w:space="0"/>
            </w:tcBorders>
            <w:shd w:val="clear" w:color="auto" w:fill="auto"/>
            <w:vAlign w:val="center"/>
          </w:tcPr>
          <w:p w14:paraId="0E5FD7FD">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cs="宋体"/>
                <w:color w:val="auto"/>
                <w:sz w:val="24"/>
                <w:szCs w:val="24"/>
                <w:highlight w:val="none"/>
                <w:lang w:val="en-US" w:eastAsia="zh-CN"/>
              </w:rPr>
              <w:t>47.3</w:t>
            </w:r>
          </w:p>
        </w:tc>
        <w:tc>
          <w:tcPr>
            <w:tcW w:w="1738" w:type="dxa"/>
            <w:tcBorders>
              <w:left w:val="single" w:color="auto" w:sz="4" w:space="0"/>
              <w:right w:val="single" w:color="auto" w:sz="4" w:space="0"/>
            </w:tcBorders>
            <w:shd w:val="clear" w:color="auto" w:fill="auto"/>
            <w:vAlign w:val="center"/>
          </w:tcPr>
          <w:p w14:paraId="33B25A28">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投标文件份数</w:t>
            </w:r>
          </w:p>
        </w:tc>
        <w:tc>
          <w:tcPr>
            <w:tcW w:w="6700" w:type="dxa"/>
            <w:tcBorders>
              <w:left w:val="single" w:color="auto" w:sz="4" w:space="0"/>
            </w:tcBorders>
            <w:shd w:val="clear" w:color="auto" w:fill="auto"/>
            <w:vAlign w:val="center"/>
          </w:tcPr>
          <w:p w14:paraId="52692F28">
            <w:pPr>
              <w:pStyle w:val="48"/>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 xml:space="preserve">加密版电子文件在“政采云”平台上传； </w:t>
            </w:r>
          </w:p>
          <w:p w14:paraId="77685303">
            <w:pPr>
              <w:pStyle w:val="48"/>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1.中标单位须提供胶装成册的纸质版投标文件（签字盖章）3份 （一正二副）、电子文件签字盖章pdf版本（U盘储存3份）交至采购代理机构处。</w:t>
            </w:r>
          </w:p>
          <w:p w14:paraId="67E0A779">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2.非中标单位提供胶装成册的纸质版（签字盖章）的投标文件正本1份交至采购代理机构处。</w:t>
            </w:r>
          </w:p>
        </w:tc>
      </w:tr>
      <w:tr w14:paraId="48C9FD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460" w:hRule="atLeast"/>
        </w:trPr>
        <w:tc>
          <w:tcPr>
            <w:tcW w:w="970" w:type="dxa"/>
            <w:tcBorders>
              <w:right w:val="single" w:color="auto" w:sz="4" w:space="0"/>
            </w:tcBorders>
            <w:vAlign w:val="center"/>
          </w:tcPr>
          <w:p w14:paraId="59449E7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tcBorders>
              <w:right w:val="single" w:color="auto" w:sz="4" w:space="0"/>
            </w:tcBorders>
            <w:vAlign w:val="center"/>
          </w:tcPr>
          <w:p w14:paraId="7068A1E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需要补充的其他内容</w:t>
            </w:r>
          </w:p>
        </w:tc>
        <w:tc>
          <w:tcPr>
            <w:tcW w:w="6700" w:type="dxa"/>
            <w:tcBorders>
              <w:left w:val="single" w:color="auto" w:sz="4" w:space="0"/>
            </w:tcBorders>
            <w:vAlign w:val="center"/>
          </w:tcPr>
          <w:p w14:paraId="54BDE4A9">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zh-CN" w:eastAsia="zh-CN"/>
              </w:rPr>
              <w:t>本项目的招标投标活动以及相关当事人须接受财政监督部门依法实施的监督。</w:t>
            </w:r>
          </w:p>
          <w:p w14:paraId="7C75E09D">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eastAsia="zh-CN"/>
              </w:rPr>
              <w:t>各供应商必须针对项目制作响应文件并报价，响应文件必须满足电子响应文件制作等要求，否则将导致投标被拒绝。</w:t>
            </w:r>
          </w:p>
          <w:p w14:paraId="592F500F">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中有弄虚作假的内容</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其</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lang w:val="en-US" w:eastAsia="zh-CN"/>
              </w:rPr>
              <w:t>将被否决，</w:t>
            </w:r>
            <w:r>
              <w:rPr>
                <w:rFonts w:hint="eastAsia" w:ascii="宋体" w:hAnsi="宋体" w:eastAsia="宋体" w:cs="宋体"/>
                <w:sz w:val="24"/>
                <w:szCs w:val="24"/>
                <w:highlight w:val="none"/>
              </w:rPr>
              <w:t>（如假证书、假业绩、假合同、隐瞒不良行为记录、夸大荣誉、使用非本单位在职员工的相关证件及不符合</w:t>
            </w:r>
            <w:r>
              <w:rPr>
                <w:rFonts w:hint="eastAsia" w:ascii="宋体" w:hAnsi="宋体" w:eastAsia="宋体" w:cs="宋体"/>
                <w:sz w:val="24"/>
                <w:szCs w:val="24"/>
                <w:highlight w:val="none"/>
                <w:lang w:eastAsia="zh-CN"/>
              </w:rPr>
              <w:t>采购文件</w:t>
            </w:r>
            <w:r>
              <w:rPr>
                <w:rFonts w:hint="eastAsia" w:ascii="宋体" w:hAnsi="宋体" w:eastAsia="宋体" w:cs="宋体"/>
                <w:sz w:val="24"/>
                <w:szCs w:val="24"/>
                <w:highlight w:val="none"/>
              </w:rPr>
              <w:t>规定的条款等）；在签订合同之前</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如发现</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有弄虚作假内容</w:t>
            </w:r>
            <w:r>
              <w:rPr>
                <w:rFonts w:hint="eastAsia" w:ascii="宋体" w:hAnsi="宋体" w:eastAsia="宋体" w:cs="宋体"/>
                <w:sz w:val="24"/>
                <w:szCs w:val="24"/>
                <w:highlight w:val="none"/>
                <w:lang w:eastAsia="zh-CN"/>
              </w:rPr>
              <w:t>，采购人</w:t>
            </w:r>
            <w:r>
              <w:rPr>
                <w:rFonts w:hint="eastAsia" w:ascii="宋体" w:hAnsi="宋体" w:eastAsia="宋体" w:cs="宋体"/>
                <w:sz w:val="24"/>
                <w:szCs w:val="24"/>
                <w:highlight w:val="none"/>
              </w:rPr>
              <w:t>可拒绝与其签订合同，以上情形将书面上报财政部门，按照《政府采购法》第七十七条规定“列入不良行为记录名单”处理。</w:t>
            </w:r>
          </w:p>
          <w:p w14:paraId="257B7D2C">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本项目所述时间以政采云平台服务器时间为准。</w:t>
            </w:r>
          </w:p>
          <w:p w14:paraId="57ACE9BB">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针对同一项目</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使用同一计算机制作并生成电子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的视为文件制作机器码（mac地址）一致</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使用同一</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的过程稿制作并生成电子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的视为文件创建标识码一致。上述两种情形</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一经发现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视为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相互串通投标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将导致投标均被拒绝且按串通投标处理。</w:t>
            </w:r>
          </w:p>
          <w:p w14:paraId="390877DB">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6.本次招标中所称“较大数额罚款”具体适用问题的意见（财库[2022]3 号 ）：本项目初步评审中所称“重大违法记录”，是指供应商因违法经营受到刑事处罚或者责令停产停业、吊销许可证或者执照、较大数额罚款等行政处罚。所称“较大数额罚款”认定为 200万元以上的罚款。</w:t>
            </w:r>
          </w:p>
          <w:p w14:paraId="504A9F78">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7.供应商负责服务项目过程中的车辆、人员</w:t>
            </w:r>
            <w:r>
              <w:rPr>
                <w:rFonts w:hint="eastAsia" w:cs="宋体"/>
                <w:sz w:val="24"/>
                <w:szCs w:val="24"/>
                <w:highlight w:val="none"/>
                <w:lang w:val="en-US" w:eastAsia="zh-CN"/>
              </w:rPr>
              <w:t>等</w:t>
            </w:r>
            <w:r>
              <w:rPr>
                <w:rFonts w:hint="eastAsia" w:ascii="宋体" w:hAnsi="宋体" w:eastAsia="宋体" w:cs="宋体"/>
                <w:sz w:val="24"/>
                <w:szCs w:val="24"/>
                <w:highlight w:val="none"/>
                <w:lang w:val="en-US" w:eastAsia="zh-CN"/>
              </w:rPr>
              <w:t>的其他相关费用，包括但不限于车辆保险、人身意外保险等，均由成交供应商承担，采购人不在支付其他任何费用。</w:t>
            </w:r>
          </w:p>
          <w:p w14:paraId="5517F9DA">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8.无论何种原因，因供应商在响应文件中提供的相关资料（开标、评标相关数据和资料）模糊无法辨认的，一律视同其未提供。</w:t>
            </w:r>
          </w:p>
          <w:p w14:paraId="2862B7C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eastAsia="zh-CN"/>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请投标单位在开标截止时间至少半小时前提前登录不见面开标大厅确保电脑、网络、浏览器正常，若发生因供应商自身网络、设备的问题造成的响应文件无法解密等情况，导致投标被拒的情况由投标单位自行承担。</w:t>
            </w:r>
          </w:p>
        </w:tc>
      </w:tr>
      <w:tr w14:paraId="0C2269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408" w:type="dxa"/>
            <w:gridSpan w:val="3"/>
            <w:vAlign w:val="center"/>
          </w:tcPr>
          <w:p w14:paraId="16CF3F9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p w14:paraId="1ECD6A0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除本招标文件另有规定外，招标文件中出现的类似于“近三年”或“前三年”、“近五年”或“前五年”均指递交投标文件</w:t>
            </w:r>
            <w:r>
              <w:rPr>
                <w:rFonts w:hint="eastAsia" w:ascii="宋体" w:hAnsi="宋体"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前三年或前五年，以此类推。如：递交投标文件时间为  年  月  日，则“近三年”是指  年  月  日至  年  月  日。</w:t>
            </w:r>
          </w:p>
          <w:p w14:paraId="6F66C89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本招标文件所称的“以上”、“以下”、“内”、“以内”，包括本数；所称的“不足”，不包括本数。</w:t>
            </w:r>
          </w:p>
        </w:tc>
      </w:tr>
    </w:tbl>
    <w:p w14:paraId="3EC8C0CF">
      <w:pPr>
        <w:pageBreakBefore w:val="0"/>
        <w:kinsoku/>
        <w:overflowPunct/>
        <w:bidi w:val="0"/>
        <w:spacing w:beforeAutospacing="0" w:afterAutospacing="0" w:line="560" w:lineRule="exact"/>
        <w:ind w:left="0" w:leftChars="0" w:right="0"/>
        <w:rPr>
          <w:color w:val="auto"/>
          <w:highlight w:val="none"/>
        </w:rPr>
      </w:pPr>
    </w:p>
    <w:p w14:paraId="43A4992E">
      <w:pPr>
        <w:pageBreakBefore w:val="0"/>
        <w:kinsoku/>
        <w:overflowPunct/>
        <w:bidi w:val="0"/>
        <w:spacing w:beforeAutospacing="0" w:afterAutospacing="0" w:line="560" w:lineRule="exact"/>
        <w:ind w:left="0" w:leftChars="0" w:right="0"/>
        <w:rPr>
          <w:rFonts w:hint="eastAsia" w:eastAsia="宋体" w:asciiTheme="majorHAnsi" w:hAnsiTheme="majorHAnsi" w:cstheme="majorBidi"/>
          <w:b/>
          <w:bCs/>
          <w:color w:val="auto"/>
          <w:kern w:val="2"/>
          <w:sz w:val="32"/>
          <w:szCs w:val="32"/>
          <w:highlight w:val="none"/>
          <w:lang w:val="en-US" w:eastAsia="zh-CN" w:bidi="ar-SA"/>
        </w:rPr>
      </w:pPr>
      <w:bookmarkStart w:id="106" w:name="_Toc155185869"/>
      <w:r>
        <w:rPr>
          <w:rFonts w:hint="eastAsia" w:eastAsia="宋体" w:asciiTheme="majorHAnsi" w:hAnsiTheme="majorHAnsi" w:cstheme="majorBidi"/>
          <w:b/>
          <w:bCs/>
          <w:color w:val="auto"/>
          <w:kern w:val="2"/>
          <w:sz w:val="32"/>
          <w:szCs w:val="32"/>
          <w:highlight w:val="none"/>
          <w:lang w:val="en-US" w:eastAsia="zh-CN" w:bidi="ar-SA"/>
        </w:rPr>
        <w:br w:type="page"/>
      </w:r>
    </w:p>
    <w:p w14:paraId="410914F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9" w:leftChars="116" w:right="0" w:hanging="211" w:hangingChars="75"/>
        <w:textAlignment w:val="auto"/>
        <w:rPr>
          <w:rFonts w:hint="eastAsia" w:eastAsia="宋体" w:asciiTheme="majorHAnsi" w:hAnsiTheme="majorHAnsi" w:cstheme="majorBidi"/>
          <w:b/>
          <w:bCs/>
          <w:color w:val="auto"/>
          <w:kern w:val="2"/>
          <w:sz w:val="28"/>
          <w:szCs w:val="28"/>
          <w:highlight w:val="none"/>
          <w:lang w:val="en-US" w:eastAsia="zh-CN" w:bidi="ar-SA"/>
        </w:rPr>
      </w:pPr>
      <w:bookmarkStart w:id="107" w:name="_Toc18554"/>
      <w:r>
        <w:rPr>
          <w:rFonts w:hint="eastAsia" w:eastAsia="宋体" w:asciiTheme="majorHAnsi" w:hAnsiTheme="majorHAnsi" w:cstheme="majorBidi"/>
          <w:b/>
          <w:bCs/>
          <w:color w:val="auto"/>
          <w:kern w:val="2"/>
          <w:sz w:val="28"/>
          <w:szCs w:val="28"/>
          <w:highlight w:val="none"/>
          <w:lang w:val="en-US" w:eastAsia="zh-CN" w:bidi="ar-SA"/>
        </w:rPr>
        <w:t>二、投标人须知</w:t>
      </w:r>
      <w:bookmarkEnd w:id="106"/>
      <w:bookmarkEnd w:id="107"/>
    </w:p>
    <w:p w14:paraId="604D77A9">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08" w:name="_Toc9308"/>
      <w:bookmarkStart w:id="109" w:name="_Toc5011"/>
      <w:bookmarkStart w:id="110" w:name="_Toc155185870"/>
      <w:bookmarkStart w:id="111" w:name="_Toc163492822"/>
      <w:bookmarkStart w:id="112" w:name="_Toc28135"/>
      <w:r>
        <w:rPr>
          <w:rFonts w:hint="eastAsia" w:ascii="宋体" w:hAnsi="宋体" w:eastAsia="宋体" w:cs="宋体"/>
          <w:b/>
          <w:bCs/>
          <w:color w:val="auto"/>
          <w:kern w:val="2"/>
          <w:sz w:val="24"/>
          <w:szCs w:val="24"/>
          <w:highlight w:val="none"/>
          <w:lang w:val="en-US" w:eastAsia="zh-CN" w:bidi="ar-SA"/>
        </w:rPr>
        <w:t>（一）总则</w:t>
      </w:r>
      <w:bookmarkEnd w:id="108"/>
      <w:bookmarkEnd w:id="109"/>
      <w:bookmarkEnd w:id="110"/>
      <w:bookmarkEnd w:id="111"/>
      <w:bookmarkEnd w:id="112"/>
    </w:p>
    <w:p w14:paraId="788765C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13" w:name="_Toc109900469"/>
      <w:bookmarkStart w:id="114" w:name="_Toc155095689"/>
      <w:bookmarkStart w:id="115" w:name="_Toc24126"/>
      <w:bookmarkStart w:id="116" w:name="_Toc22777"/>
      <w:bookmarkStart w:id="117" w:name="_Toc1399"/>
      <w:bookmarkStart w:id="118" w:name="_Toc109900050"/>
      <w:bookmarkStart w:id="119" w:name="_Toc109899631"/>
      <w:bookmarkStart w:id="120" w:name="_Toc163492823"/>
      <w:bookmarkStart w:id="121" w:name="_Toc31233"/>
      <w:bookmarkStart w:id="122" w:name="_Toc109897532"/>
      <w:r>
        <w:rPr>
          <w:rFonts w:hint="eastAsia" w:ascii="宋体" w:hAnsi="宋体" w:eastAsia="宋体" w:cs="宋体"/>
          <w:b/>
          <w:bCs/>
          <w:color w:val="auto"/>
          <w:kern w:val="2"/>
          <w:sz w:val="24"/>
          <w:szCs w:val="24"/>
          <w:highlight w:val="none"/>
          <w:lang w:val="en-US" w:eastAsia="zh-CN" w:bidi="ar-SA"/>
        </w:rPr>
        <w:t>1.适用范围</w:t>
      </w:r>
      <w:bookmarkEnd w:id="113"/>
      <w:bookmarkEnd w:id="114"/>
      <w:bookmarkEnd w:id="115"/>
      <w:bookmarkEnd w:id="116"/>
      <w:bookmarkEnd w:id="117"/>
      <w:bookmarkEnd w:id="118"/>
      <w:bookmarkEnd w:id="119"/>
      <w:bookmarkEnd w:id="120"/>
      <w:bookmarkEnd w:id="121"/>
      <w:bookmarkEnd w:id="122"/>
    </w:p>
    <w:p w14:paraId="3896363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1.1本招标文件仅适用于本项目的采购活动。</w:t>
      </w:r>
    </w:p>
    <w:p w14:paraId="34F0841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23" w:name="_Toc11954"/>
      <w:bookmarkStart w:id="124" w:name="_Toc11043"/>
      <w:bookmarkStart w:id="125" w:name="_Toc8394"/>
      <w:bookmarkStart w:id="126" w:name="_Toc163492824"/>
      <w:r>
        <w:rPr>
          <w:rFonts w:hint="eastAsia" w:ascii="宋体" w:hAnsi="宋体" w:eastAsia="宋体" w:cs="宋体"/>
          <w:b/>
          <w:bCs/>
          <w:color w:val="auto"/>
          <w:kern w:val="2"/>
          <w:sz w:val="24"/>
          <w:szCs w:val="24"/>
          <w:highlight w:val="none"/>
          <w:lang w:val="en-US" w:eastAsia="zh-CN" w:bidi="ar-SA"/>
        </w:rPr>
        <w:t>2.基本定义</w:t>
      </w:r>
      <w:bookmarkEnd w:id="123"/>
      <w:bookmarkEnd w:id="124"/>
      <w:bookmarkEnd w:id="125"/>
      <w:bookmarkEnd w:id="126"/>
    </w:p>
    <w:p w14:paraId="768D70C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2.1根据《中华人民共和国政府采购法》及其实施条例等有关法律、法规和规章的规定，制定本招标文件。</w:t>
      </w:r>
    </w:p>
    <w:p w14:paraId="342EC44E">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2.2采购人：</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rPr>
        <w:t>。</w:t>
      </w:r>
    </w:p>
    <w:p w14:paraId="429A3EF6">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2.3采购代理机构：</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lang w:val="en-US" w:eastAsia="zh-CN"/>
        </w:rPr>
        <w:t>委托的采购代理机构</w:t>
      </w:r>
      <w:r>
        <w:rPr>
          <w:rFonts w:hint="eastAsia" w:ascii="宋体" w:hAnsi="宋体" w:eastAsia="宋体" w:cs="宋体"/>
          <w:color w:val="auto"/>
          <w:sz w:val="24"/>
          <w:szCs w:val="24"/>
          <w:highlight w:val="none"/>
        </w:rPr>
        <w:t>。</w:t>
      </w:r>
    </w:p>
    <w:p w14:paraId="26D5074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18E21DA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 服务包含的内容见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val="en-US" w:eastAsia="zh-CN"/>
        </w:rPr>
        <w:t>。</w:t>
      </w:r>
    </w:p>
    <w:p w14:paraId="214DD75F">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iCs/>
          <w:color w:val="auto"/>
          <w:sz w:val="24"/>
          <w:szCs w:val="24"/>
          <w:highlight w:val="none"/>
          <w:shd w:val="clear" w:color="auto" w:fill="FFFFFF" w:themeFill="background1"/>
        </w:rPr>
        <w:t>2.6投标人（也称“供应商”、“申请人”）：指向采购人提供货物、工程或者服务的法人、其他组织或者自然人。</w:t>
      </w:r>
      <w:r>
        <w:rPr>
          <w:rFonts w:hint="eastAsia" w:ascii="宋体" w:hAnsi="宋体" w:eastAsia="宋体" w:cs="宋体"/>
          <w:color w:val="auto"/>
          <w:sz w:val="24"/>
          <w:szCs w:val="24"/>
          <w:highlight w:val="none"/>
        </w:rPr>
        <w:t>分支机构不得参加政府采购活动，但银行、保险、石油石化、电力、电信等</w:t>
      </w:r>
      <w:r>
        <w:rPr>
          <w:rFonts w:hint="eastAsia" w:ascii="宋体" w:hAnsi="宋体" w:eastAsia="宋体" w:cs="宋体"/>
          <w:color w:val="auto"/>
          <w:sz w:val="24"/>
          <w:szCs w:val="24"/>
          <w:highlight w:val="none"/>
          <w:lang w:val="en-US" w:eastAsia="zh-CN"/>
        </w:rPr>
        <w:t>有</w:t>
      </w:r>
      <w:r>
        <w:rPr>
          <w:rFonts w:hint="eastAsia" w:ascii="宋体" w:hAnsi="宋体" w:eastAsia="宋体" w:cs="宋体"/>
          <w:color w:val="auto"/>
          <w:sz w:val="24"/>
          <w:szCs w:val="24"/>
          <w:highlight w:val="none"/>
        </w:rPr>
        <w:t>行业特殊</w:t>
      </w:r>
      <w:r>
        <w:rPr>
          <w:rFonts w:hint="eastAsia" w:ascii="宋体" w:hAnsi="宋体" w:eastAsia="宋体" w:cs="宋体"/>
          <w:color w:val="auto"/>
          <w:sz w:val="24"/>
          <w:szCs w:val="24"/>
          <w:highlight w:val="none"/>
          <w:lang w:val="en-US" w:eastAsia="zh-CN"/>
        </w:rPr>
        <w:t>情况的</w:t>
      </w:r>
      <w:r>
        <w:rPr>
          <w:rFonts w:hint="eastAsia" w:ascii="宋体" w:hAnsi="宋体" w:eastAsia="宋体" w:cs="宋体"/>
          <w:color w:val="auto"/>
          <w:sz w:val="24"/>
          <w:szCs w:val="24"/>
          <w:highlight w:val="none"/>
        </w:rPr>
        <w:t>除外。本项目的投标人须满足以下条件：</w:t>
      </w:r>
    </w:p>
    <w:p w14:paraId="2518C535">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2.6.1具备《中华人民共和国政府采购法》第二十二条规定的条件，遵守本项目采购人本级和上级财政部门政府采购的有关规定。</w:t>
      </w:r>
    </w:p>
    <w:p w14:paraId="76745163">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2.6.2以招标公告中发布的方式依法获得了本项目的招标文件。</w:t>
      </w:r>
    </w:p>
    <w:p w14:paraId="0DE24F0D">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2.6.3符合本招标文件规定并参加投标的供应商。</w:t>
      </w:r>
    </w:p>
    <w:p w14:paraId="5FC27D1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w:t>
      </w:r>
      <w:r>
        <w:rPr>
          <w:rFonts w:hint="eastAsia" w:ascii="宋体" w:hAnsi="宋体" w:eastAsia="宋体" w:cs="宋体"/>
          <w:iCs/>
          <w:color w:val="auto"/>
          <w:sz w:val="24"/>
          <w:szCs w:val="24"/>
          <w:highlight w:val="none"/>
          <w:shd w:val="clear" w:color="auto" w:fill="FFFFFF" w:themeFill="background1"/>
        </w:rPr>
        <w:t>潜在投标人、潜在供应商</w:t>
      </w:r>
      <w:r>
        <w:rPr>
          <w:rFonts w:hint="eastAsia" w:ascii="宋体" w:hAnsi="宋体" w:eastAsia="宋体" w:cs="宋体"/>
          <w:iCs/>
          <w:color w:val="auto"/>
          <w:sz w:val="24"/>
          <w:szCs w:val="24"/>
          <w:highlight w:val="none"/>
          <w:shd w:val="clear" w:color="auto" w:fill="FFFFFF" w:themeFill="background1"/>
          <w:lang w:eastAsia="zh-CN"/>
        </w:rPr>
        <w:t>：</w:t>
      </w:r>
      <w:r>
        <w:rPr>
          <w:rFonts w:hint="eastAsia" w:ascii="宋体" w:hAnsi="宋体" w:eastAsia="宋体" w:cs="宋体"/>
          <w:iCs/>
          <w:color w:val="auto"/>
          <w:sz w:val="24"/>
          <w:szCs w:val="24"/>
          <w:highlight w:val="none"/>
          <w:shd w:val="clear" w:color="auto" w:fill="FFFFFF" w:themeFill="background1"/>
          <w:lang w:val="en-US" w:eastAsia="zh-CN"/>
        </w:rPr>
        <w:t>指</w:t>
      </w:r>
      <w:r>
        <w:rPr>
          <w:rFonts w:hint="eastAsia" w:ascii="宋体" w:hAnsi="宋体" w:eastAsia="宋体" w:cs="宋体"/>
          <w:color w:val="auto"/>
          <w:sz w:val="24"/>
          <w:szCs w:val="24"/>
          <w:highlight w:val="none"/>
          <w:lang w:val="en-US" w:eastAsia="zh-CN"/>
        </w:rPr>
        <w:t>符合本招标文件规定的供应商</w:t>
      </w:r>
      <w:r>
        <w:rPr>
          <w:rFonts w:hint="eastAsia" w:ascii="宋体" w:hAnsi="宋体" w:eastAsia="宋体" w:cs="宋体"/>
          <w:color w:val="auto"/>
          <w:sz w:val="24"/>
          <w:szCs w:val="24"/>
          <w:highlight w:val="none"/>
        </w:rPr>
        <w:t>。</w:t>
      </w:r>
    </w:p>
    <w:p w14:paraId="7BECD89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27" w:name="_Toc140132758"/>
      <w:bookmarkStart w:id="128" w:name="_Toc163492825"/>
      <w:bookmarkStart w:id="129" w:name="_Toc15923"/>
      <w:bookmarkStart w:id="130" w:name="_Toc22315"/>
      <w:bookmarkStart w:id="131" w:name="_Toc27150"/>
      <w:r>
        <w:rPr>
          <w:rFonts w:hint="eastAsia" w:ascii="宋体" w:hAnsi="宋体" w:eastAsia="宋体" w:cs="宋体"/>
          <w:b/>
          <w:bCs/>
          <w:color w:val="auto"/>
          <w:kern w:val="2"/>
          <w:sz w:val="24"/>
          <w:szCs w:val="24"/>
          <w:highlight w:val="none"/>
          <w:lang w:val="en-US" w:eastAsia="zh-CN" w:bidi="ar-SA"/>
        </w:rPr>
        <w:t>3.资金来源</w:t>
      </w:r>
      <w:bookmarkEnd w:id="127"/>
      <w:bookmarkEnd w:id="128"/>
      <w:bookmarkEnd w:id="129"/>
      <w:bookmarkEnd w:id="130"/>
      <w:bookmarkEnd w:id="131"/>
    </w:p>
    <w:p w14:paraId="76E8C14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3.1资金来源：</w:t>
      </w:r>
      <w:r>
        <w:rPr>
          <w:rFonts w:hint="eastAsia" w:ascii="宋体" w:hAnsi="宋体" w:eastAsia="宋体" w:cs="宋体"/>
          <w:color w:val="auto"/>
          <w:sz w:val="24"/>
          <w:szCs w:val="24"/>
          <w:highlight w:val="none"/>
          <w:lang w:val="en-US" w:eastAsia="zh-CN"/>
        </w:rPr>
        <w:t>为财政性资金即</w:t>
      </w:r>
      <w:r>
        <w:rPr>
          <w:rFonts w:hint="eastAsia" w:ascii="宋体" w:hAnsi="宋体" w:eastAsia="宋体" w:cs="宋体"/>
          <w:color w:val="auto"/>
          <w:sz w:val="24"/>
          <w:szCs w:val="24"/>
          <w:highlight w:val="none"/>
        </w:rPr>
        <w:t>纳入预算管理的资金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17722C4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en-US" w:eastAsia="zh-CN" w:bidi="ar-SA"/>
        </w:rPr>
      </w:pPr>
      <w:bookmarkStart w:id="132" w:name="_Toc140132760"/>
      <w:bookmarkStart w:id="133" w:name="_Toc15559"/>
      <w:bookmarkStart w:id="134" w:name="_Toc163492826"/>
      <w:bookmarkStart w:id="135" w:name="_Toc4285"/>
      <w:bookmarkStart w:id="136" w:name="_Toc21872"/>
      <w:r>
        <w:rPr>
          <w:rFonts w:hint="eastAsia" w:ascii="宋体" w:hAnsi="宋体" w:eastAsia="宋体" w:cs="宋体"/>
          <w:b/>
          <w:bCs/>
          <w:color w:val="auto"/>
          <w:kern w:val="2"/>
          <w:sz w:val="24"/>
          <w:szCs w:val="24"/>
          <w:highlight w:val="none"/>
          <w:lang w:val="en-US" w:eastAsia="zh-CN" w:bidi="ar-SA"/>
        </w:rPr>
        <w:t>4.投标人资格要求</w:t>
      </w:r>
      <w:bookmarkEnd w:id="132"/>
      <w:bookmarkEnd w:id="133"/>
      <w:bookmarkEnd w:id="134"/>
      <w:bookmarkEnd w:id="135"/>
      <w:bookmarkEnd w:id="136"/>
    </w:p>
    <w:p w14:paraId="522AD9C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4.1投标人资格要求：见“</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p>
    <w:p w14:paraId="3B57853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lang w:val="zh-CN" w:eastAsia="zh-CN"/>
        </w:rPr>
        <w:t>”规定接受联合体投标的，还应遵守以下规定：</w:t>
      </w:r>
    </w:p>
    <w:p w14:paraId="512308F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1两个以上的自然人、法人或者其他组织可以组成一个联合体，以一个</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的身份共同参加政府采购。</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以联合体形式进行政府采购的，参加联合体的供应商均应当具备《</w:t>
      </w:r>
      <w:r>
        <w:rPr>
          <w:rFonts w:hint="eastAsia" w:ascii="宋体" w:hAnsi="宋体" w:eastAsia="宋体" w:cs="宋体"/>
          <w:color w:val="auto"/>
          <w:sz w:val="24"/>
          <w:szCs w:val="24"/>
          <w:highlight w:val="none"/>
        </w:rPr>
        <w:t>中华人民共和国政府采购法</w:t>
      </w:r>
      <w:r>
        <w:rPr>
          <w:rFonts w:hint="eastAsia" w:ascii="宋体" w:hAnsi="宋体" w:eastAsia="宋体" w:cs="宋体"/>
          <w:iCs/>
          <w:color w:val="auto"/>
          <w:kern w:val="2"/>
          <w:sz w:val="24"/>
          <w:szCs w:val="24"/>
          <w:highlight w:val="none"/>
          <w:shd w:val="clear" w:color="auto" w:fill="FFFFFF" w:themeFill="background1"/>
          <w:lang w:val="zh-CN" w:eastAsia="zh-CN" w:bidi="ar-SA"/>
        </w:rPr>
        <w:t>》第二十二条规定的条件。</w:t>
      </w:r>
    </w:p>
    <w:p w14:paraId="7EFB49B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2.2</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联合体各方应按招标文件提供的格式签订联合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作为投标文件的一部分提交，该协议书对联合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Cs/>
          <w:color w:val="auto"/>
          <w:kern w:val="2"/>
          <w:sz w:val="24"/>
          <w:szCs w:val="24"/>
          <w:highlight w:val="none"/>
          <w:shd w:val="clear" w:color="auto" w:fill="FFFFFF" w:themeFill="background1"/>
          <w:lang w:val="zh-CN" w:eastAsia="zh-CN" w:bidi="ar-SA"/>
        </w:rPr>
        <w:t>均具有法律约束力。</w:t>
      </w:r>
    </w:p>
    <w:p w14:paraId="5343E5B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4.2.3</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21D444C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Cs/>
          <w:color w:val="auto"/>
          <w:kern w:val="2"/>
          <w:sz w:val="24"/>
          <w:szCs w:val="24"/>
          <w:highlight w:val="none"/>
          <w:shd w:val="clear" w:color="auto" w:fill="FFFFFF" w:themeFill="background1"/>
          <w:lang w:val="en-US" w:eastAsia="zh-CN" w:bidi="ar-SA"/>
        </w:rPr>
        <w:t>同一合同项下的</w:t>
      </w:r>
      <w:r>
        <w:rPr>
          <w:rFonts w:hint="eastAsia" w:ascii="宋体" w:hAnsi="宋体" w:eastAsia="宋体" w:cs="宋体"/>
          <w:iCs/>
          <w:color w:val="auto"/>
          <w:kern w:val="2"/>
          <w:sz w:val="24"/>
          <w:szCs w:val="24"/>
          <w:highlight w:val="none"/>
          <w:shd w:val="clear" w:color="auto" w:fill="FFFFFF" w:themeFill="background1"/>
          <w:lang w:val="zh-CN" w:eastAsia="zh-CN" w:bidi="ar-SA"/>
        </w:rPr>
        <w:t>投标，否则相关投标将被认定为</w:t>
      </w:r>
      <w:r>
        <w:rPr>
          <w:rFonts w:hint="eastAsia" w:ascii="宋体" w:hAnsi="宋体" w:eastAsia="宋体" w:cs="宋体"/>
          <w:b/>
          <w:bCs/>
          <w:iCs/>
          <w:color w:val="auto"/>
          <w:kern w:val="2"/>
          <w:sz w:val="24"/>
          <w:szCs w:val="24"/>
          <w:highlight w:val="none"/>
          <w:shd w:val="clear" w:color="auto" w:fill="FFFFFF" w:themeFill="background1"/>
          <w:lang w:val="zh-CN" w:eastAsia="zh-CN" w:bidi="ar-SA"/>
        </w:rPr>
        <w:t>投标无效</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2E60D00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.5大中型企业、其他自然人、法人或者非法人组织与小型、微型企业组成联合体共同参加投标</w:t>
      </w:r>
      <w:r>
        <w:rPr>
          <w:rFonts w:hint="eastAsia" w:ascii="宋体" w:hAnsi="宋体" w:eastAsia="宋体" w:cs="宋体"/>
          <w:iCs/>
          <w:color w:val="auto"/>
          <w:kern w:val="2"/>
          <w:sz w:val="24"/>
          <w:szCs w:val="24"/>
          <w:highlight w:val="none"/>
          <w:shd w:val="clear" w:color="auto" w:fill="FFFFFF" w:themeFill="background1"/>
          <w:lang w:val="en-US" w:eastAsia="zh-CN" w:bidi="ar-SA"/>
        </w:rPr>
        <w:t>的</w:t>
      </w:r>
      <w:r>
        <w:rPr>
          <w:rFonts w:hint="eastAsia" w:ascii="宋体" w:hAnsi="宋体" w:eastAsia="宋体" w:cs="宋体"/>
          <w:iCs/>
          <w:color w:val="auto"/>
          <w:kern w:val="2"/>
          <w:sz w:val="24"/>
          <w:szCs w:val="24"/>
          <w:highlight w:val="none"/>
          <w:shd w:val="clear" w:color="auto" w:fill="FFFFFF" w:themeFill="background1"/>
          <w:lang w:val="zh-CN" w:eastAsia="zh-CN" w:bidi="ar-SA"/>
        </w:rPr>
        <w:t>，联合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投标</w:t>
      </w:r>
      <w:r>
        <w:rPr>
          <w:rFonts w:hint="eastAsia" w:ascii="宋体" w:hAnsi="宋体" w:eastAsia="宋体" w:cs="宋体"/>
          <w:iCs/>
          <w:color w:val="auto"/>
          <w:kern w:val="2"/>
          <w:sz w:val="24"/>
          <w:szCs w:val="24"/>
          <w:highlight w:val="none"/>
          <w:shd w:val="clear" w:color="auto" w:fill="FFFFFF" w:themeFill="background1"/>
          <w:lang w:val="en-US" w:eastAsia="zh-CN" w:bidi="ar-SA"/>
        </w:rPr>
        <w:t>合同</w:t>
      </w:r>
      <w:r>
        <w:rPr>
          <w:rFonts w:hint="eastAsia" w:ascii="宋体" w:hAnsi="宋体" w:eastAsia="宋体" w:cs="宋体"/>
          <w:iCs/>
          <w:color w:val="auto"/>
          <w:kern w:val="2"/>
          <w:sz w:val="24"/>
          <w:szCs w:val="24"/>
          <w:highlight w:val="none"/>
          <w:shd w:val="clear" w:color="auto" w:fill="FFFFFF" w:themeFill="background1"/>
          <w:lang w:val="zh-CN" w:eastAsia="zh-CN" w:bidi="ar-SA"/>
        </w:rPr>
        <w:t>总金额的比例。</w:t>
      </w:r>
    </w:p>
    <w:p w14:paraId="7127D16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.6</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联合体中标</w:t>
      </w:r>
      <w:r>
        <w:rPr>
          <w:rFonts w:hint="eastAsia" w:ascii="宋体" w:hAnsi="宋体" w:eastAsia="宋体" w:cs="宋体"/>
          <w:iCs/>
          <w:color w:val="auto"/>
          <w:kern w:val="2"/>
          <w:sz w:val="24"/>
          <w:szCs w:val="24"/>
          <w:highlight w:val="none"/>
          <w:shd w:val="clear" w:color="auto" w:fill="FFFFFF" w:themeFill="background1"/>
          <w:lang w:val="en-US" w:eastAsia="zh-CN" w:bidi="ar-SA"/>
        </w:rPr>
        <w:t>的</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采购</w:t>
      </w:r>
      <w:r>
        <w:rPr>
          <w:rFonts w:hint="eastAsia" w:ascii="宋体" w:hAnsi="宋体" w:eastAsia="宋体" w:cs="宋体"/>
          <w:iCs/>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Cs/>
          <w:color w:val="auto"/>
          <w:kern w:val="2"/>
          <w:sz w:val="24"/>
          <w:szCs w:val="24"/>
          <w:highlight w:val="none"/>
          <w:shd w:val="clear" w:color="auto" w:fill="FFFFFF" w:themeFill="background1"/>
          <w:lang w:val="en-US" w:eastAsia="zh-CN" w:bidi="ar-SA"/>
        </w:rPr>
        <w:t>及</w:t>
      </w:r>
      <w:r>
        <w:rPr>
          <w:rFonts w:hint="eastAsia" w:ascii="宋体" w:hAnsi="宋体" w:eastAsia="宋体" w:cs="宋体"/>
          <w:iCs/>
          <w:color w:val="auto"/>
          <w:kern w:val="2"/>
          <w:sz w:val="24"/>
          <w:szCs w:val="24"/>
          <w:highlight w:val="none"/>
          <w:shd w:val="clear" w:color="auto" w:fill="FFFFFF" w:themeFill="background1"/>
          <w:lang w:val="zh-CN" w:eastAsia="zh-CN" w:bidi="ar-SA"/>
        </w:rPr>
        <w:t>加盖</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Cs/>
          <w:color w:val="auto"/>
          <w:kern w:val="2"/>
          <w:sz w:val="24"/>
          <w:szCs w:val="24"/>
          <w:highlight w:val="none"/>
          <w:shd w:val="clear" w:color="auto" w:fill="FFFFFF" w:themeFill="background1"/>
          <w:lang w:val="en-US" w:eastAsia="zh-CN" w:bidi="ar-SA"/>
        </w:rPr>
        <w:t>并</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72C3CFE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.7</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Cs/>
          <w:color w:val="auto"/>
          <w:kern w:val="2"/>
          <w:sz w:val="24"/>
          <w:szCs w:val="24"/>
          <w:highlight w:val="none"/>
          <w:shd w:val="clear" w:color="auto" w:fill="FFFFFF" w:themeFill="background1"/>
          <w:lang w:val="en-US" w:eastAsia="zh-CN" w:bidi="ar-SA"/>
        </w:rPr>
        <w:t>人</w:t>
      </w:r>
      <w:r>
        <w:rPr>
          <w:rFonts w:hint="eastAsia" w:ascii="宋体" w:hAnsi="宋体" w:eastAsia="宋体" w:cs="宋体"/>
          <w:iCs/>
          <w:color w:val="auto"/>
          <w:kern w:val="2"/>
          <w:sz w:val="24"/>
          <w:szCs w:val="24"/>
          <w:highlight w:val="none"/>
          <w:shd w:val="clear" w:color="auto" w:fill="FFFFFF" w:themeFill="background1"/>
          <w:lang w:val="zh-CN" w:eastAsia="zh-CN" w:bidi="ar-SA"/>
        </w:rPr>
        <w:t>书面同意并且须遵守相关法律、法规、本次招标的全部相关规定。</w:t>
      </w:r>
    </w:p>
    <w:p w14:paraId="7D2803A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8</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对联合体投标的其他资格要求见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中的“二、</w:t>
      </w:r>
      <w:r>
        <w:rPr>
          <w:rFonts w:hint="eastAsia" w:ascii="宋体" w:hAnsi="宋体" w:eastAsia="宋体" w:cs="宋体"/>
          <w:iCs/>
          <w:color w:val="auto"/>
          <w:kern w:val="2"/>
          <w:sz w:val="24"/>
          <w:szCs w:val="24"/>
          <w:highlight w:val="none"/>
          <w:shd w:val="clear" w:color="auto" w:fill="FFFFFF" w:themeFill="background1"/>
          <w:lang w:val="en-US" w:eastAsia="zh-CN" w:bidi="ar-SA"/>
        </w:rPr>
        <w:t>申请人的</w:t>
      </w:r>
      <w:r>
        <w:rPr>
          <w:rFonts w:hint="eastAsia" w:ascii="宋体" w:hAnsi="宋体" w:eastAsia="宋体" w:cs="宋体"/>
          <w:iCs/>
          <w:color w:val="auto"/>
          <w:kern w:val="2"/>
          <w:sz w:val="24"/>
          <w:szCs w:val="24"/>
          <w:highlight w:val="none"/>
          <w:shd w:val="clear" w:color="auto" w:fill="FFFFFF" w:themeFill="background1"/>
          <w:lang w:val="zh-CN" w:eastAsia="zh-CN" w:bidi="ar-SA"/>
        </w:rPr>
        <w:t>资格</w:t>
      </w:r>
      <w:r>
        <w:rPr>
          <w:rFonts w:hint="eastAsia" w:ascii="宋体" w:hAnsi="宋体" w:eastAsia="宋体" w:cs="宋体"/>
          <w:iCs/>
          <w:color w:val="auto"/>
          <w:kern w:val="2"/>
          <w:sz w:val="24"/>
          <w:szCs w:val="24"/>
          <w:highlight w:val="none"/>
          <w:shd w:val="clear" w:color="auto" w:fill="FFFFFF" w:themeFill="background1"/>
          <w:lang w:val="en-US" w:eastAsia="zh-CN" w:bidi="ar-SA"/>
        </w:rPr>
        <w:t>要求”</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4DE6446D">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37" w:name="_Toc163492827"/>
      <w:bookmarkStart w:id="138" w:name="_Toc19194"/>
      <w:bookmarkStart w:id="139" w:name="_Toc1799"/>
      <w:bookmarkStart w:id="140" w:name="_Toc18213"/>
      <w:r>
        <w:rPr>
          <w:rFonts w:hint="eastAsia" w:ascii="宋体" w:hAnsi="宋体" w:eastAsia="宋体" w:cs="宋体"/>
          <w:b/>
          <w:bCs/>
          <w:color w:val="auto"/>
          <w:kern w:val="2"/>
          <w:sz w:val="24"/>
          <w:szCs w:val="24"/>
          <w:highlight w:val="none"/>
          <w:lang w:val="en-US" w:eastAsia="zh-CN" w:bidi="ar-SA"/>
        </w:rPr>
        <w:t>5.费用承担</w:t>
      </w:r>
      <w:bookmarkEnd w:id="137"/>
      <w:bookmarkEnd w:id="138"/>
      <w:bookmarkEnd w:id="139"/>
      <w:bookmarkEnd w:id="140"/>
    </w:p>
    <w:p w14:paraId="3C6741ED">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lang w:val="en-US" w:eastAsia="zh-CN"/>
        </w:rPr>
        <w:t>不论投标的结果如何，投标人应承担所有与准备和参加投标有关的费用。</w:t>
      </w:r>
    </w:p>
    <w:p w14:paraId="0CE9ACA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41" w:name="_Toc29375"/>
      <w:bookmarkStart w:id="142" w:name="_Toc12320"/>
      <w:bookmarkStart w:id="143" w:name="_Toc140132761"/>
      <w:bookmarkStart w:id="144" w:name="_Toc19870"/>
      <w:bookmarkStart w:id="145" w:name="_Toc163492828"/>
      <w:r>
        <w:rPr>
          <w:rFonts w:hint="eastAsia" w:ascii="宋体" w:hAnsi="宋体" w:eastAsia="宋体" w:cs="宋体"/>
          <w:b/>
          <w:bCs/>
          <w:color w:val="auto"/>
          <w:kern w:val="2"/>
          <w:sz w:val="24"/>
          <w:szCs w:val="24"/>
          <w:highlight w:val="none"/>
          <w:lang w:val="en-US" w:eastAsia="zh-CN" w:bidi="ar-SA"/>
        </w:rPr>
        <w:t>6.保密</w:t>
      </w:r>
      <w:bookmarkEnd w:id="141"/>
      <w:bookmarkEnd w:id="142"/>
      <w:bookmarkEnd w:id="143"/>
      <w:bookmarkEnd w:id="144"/>
      <w:bookmarkEnd w:id="145"/>
    </w:p>
    <w:p w14:paraId="7CBA93F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参与招标投标活动的各方应对招标文件和投标文件中的商业和技术等秘密保密，否则应承担相应的法律责任。</w:t>
      </w:r>
    </w:p>
    <w:p w14:paraId="2947ABF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2 </w:t>
      </w:r>
      <w:r>
        <w:rPr>
          <w:rFonts w:hint="eastAsia" w:ascii="宋体" w:hAnsi="宋体" w:eastAsia="宋体" w:cs="宋体"/>
          <w:color w:val="auto"/>
          <w:kern w:val="2"/>
          <w:sz w:val="24"/>
          <w:szCs w:val="24"/>
          <w:highlight w:val="none"/>
        </w:rPr>
        <w:t>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8BD9605">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3 </w:t>
      </w:r>
      <w:r>
        <w:rPr>
          <w:rFonts w:hint="eastAsia" w:ascii="宋体" w:hAnsi="宋体" w:eastAsia="宋体" w:cs="宋体"/>
          <w:color w:val="auto"/>
          <w:kern w:val="2"/>
          <w:sz w:val="24"/>
          <w:szCs w:val="24"/>
          <w:highlight w:val="none"/>
        </w:rPr>
        <w:t>采购代理机构有权将投标人提供的所有资料向有关政府部门或评审</w:t>
      </w:r>
      <w:r>
        <w:rPr>
          <w:rFonts w:hint="eastAsia" w:ascii="宋体" w:hAnsi="宋体" w:eastAsia="宋体" w:cs="宋体"/>
          <w:color w:val="auto"/>
          <w:kern w:val="2"/>
          <w:sz w:val="24"/>
          <w:szCs w:val="24"/>
          <w:highlight w:val="none"/>
          <w:lang w:val="en-US" w:eastAsia="zh-CN"/>
        </w:rPr>
        <w:t>投标文件</w:t>
      </w:r>
      <w:r>
        <w:rPr>
          <w:rFonts w:hint="eastAsia" w:ascii="宋体" w:hAnsi="宋体" w:eastAsia="宋体" w:cs="宋体"/>
          <w:color w:val="auto"/>
          <w:kern w:val="2"/>
          <w:sz w:val="24"/>
          <w:szCs w:val="24"/>
          <w:highlight w:val="none"/>
        </w:rPr>
        <w:t>的有关人员披露。</w:t>
      </w:r>
    </w:p>
    <w:p w14:paraId="0EE6357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color w:val="auto"/>
          <w:kern w:val="2"/>
          <w:sz w:val="24"/>
          <w:szCs w:val="24"/>
          <w:highlight w:val="none"/>
        </w:rPr>
        <w:t>。</w:t>
      </w:r>
    </w:p>
    <w:p w14:paraId="284B114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46" w:name="_Toc2247"/>
      <w:bookmarkStart w:id="147" w:name="_Toc23819"/>
      <w:bookmarkStart w:id="148" w:name="_Toc163492829"/>
      <w:bookmarkStart w:id="149" w:name="_Toc140132762"/>
      <w:bookmarkStart w:id="150" w:name="_Toc489"/>
      <w:r>
        <w:rPr>
          <w:rFonts w:hint="eastAsia" w:ascii="宋体" w:hAnsi="宋体" w:eastAsia="宋体" w:cs="宋体"/>
          <w:b/>
          <w:bCs/>
          <w:color w:val="auto"/>
          <w:kern w:val="2"/>
          <w:sz w:val="24"/>
          <w:szCs w:val="24"/>
          <w:highlight w:val="none"/>
          <w:lang w:val="en-US" w:eastAsia="zh-CN" w:bidi="ar-SA"/>
        </w:rPr>
        <w:t>7.语言文字</w:t>
      </w:r>
      <w:bookmarkEnd w:id="146"/>
      <w:bookmarkEnd w:id="147"/>
      <w:bookmarkEnd w:id="148"/>
      <w:bookmarkEnd w:id="149"/>
      <w:bookmarkEnd w:id="150"/>
    </w:p>
    <w:p w14:paraId="2514093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7.1招标投标</w:t>
      </w:r>
      <w:r>
        <w:rPr>
          <w:rFonts w:hint="eastAsia" w:ascii="宋体" w:hAnsi="宋体" w:eastAsia="宋体" w:cs="宋体"/>
          <w:color w:val="auto"/>
          <w:sz w:val="24"/>
          <w:szCs w:val="24"/>
          <w:highlight w:val="none"/>
          <w:lang w:val="en-US" w:eastAsia="zh-CN"/>
        </w:rPr>
        <w:t>过程</w:t>
      </w:r>
      <w:r>
        <w:rPr>
          <w:rFonts w:hint="eastAsia" w:ascii="宋体" w:hAnsi="宋体" w:eastAsia="宋体" w:cs="宋体"/>
          <w:color w:val="auto"/>
          <w:sz w:val="24"/>
          <w:szCs w:val="24"/>
          <w:highlight w:val="none"/>
        </w:rPr>
        <w:t>文件使用的语言文字为中文。专用术语使用外文的，应附有中文注释。</w:t>
      </w:r>
      <w:r>
        <w:rPr>
          <w:rFonts w:hint="eastAsia" w:ascii="宋体" w:hAnsi="宋体" w:eastAsia="宋体" w:cs="宋体"/>
          <w:color w:val="auto"/>
          <w:sz w:val="24"/>
          <w:szCs w:val="24"/>
          <w:highlight w:val="none"/>
          <w:lang w:val="en-US" w:eastAsia="zh-CN"/>
        </w:rPr>
        <w:t>投标人提交的支持资料和已印制的文献可以用外文，但相应内容应附有中文翻译本，在解释投标文件时以中文翻译本为准。未附中文翻译本或翻译本中文内容明显与外文内容不一致的，其不利后果由投标人自行承担。</w:t>
      </w:r>
    </w:p>
    <w:p w14:paraId="2F33616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51" w:name="_Toc163492830"/>
      <w:bookmarkStart w:id="152" w:name="_Toc23417"/>
      <w:bookmarkStart w:id="153" w:name="_Toc18687"/>
      <w:bookmarkStart w:id="154" w:name="_Toc140132763"/>
      <w:bookmarkStart w:id="155" w:name="_Toc9364"/>
      <w:r>
        <w:rPr>
          <w:rFonts w:hint="eastAsia" w:ascii="宋体" w:hAnsi="宋体" w:eastAsia="宋体" w:cs="宋体"/>
          <w:b/>
          <w:bCs/>
          <w:color w:val="auto"/>
          <w:kern w:val="2"/>
          <w:sz w:val="24"/>
          <w:szCs w:val="24"/>
          <w:highlight w:val="none"/>
          <w:lang w:val="en-US" w:eastAsia="zh-CN" w:bidi="ar-SA"/>
        </w:rPr>
        <w:t>8.计量单位</w:t>
      </w:r>
      <w:bookmarkEnd w:id="151"/>
      <w:bookmarkEnd w:id="152"/>
      <w:bookmarkEnd w:id="153"/>
      <w:bookmarkEnd w:id="154"/>
      <w:bookmarkEnd w:id="155"/>
    </w:p>
    <w:p w14:paraId="45A7AE5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8.1所有计量均采用中华人民共和国法定计量单位。</w:t>
      </w:r>
    </w:p>
    <w:p w14:paraId="099F3EF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56" w:name="_Toc11023"/>
      <w:bookmarkStart w:id="157" w:name="_Toc11937"/>
      <w:bookmarkStart w:id="158" w:name="_Toc31192"/>
      <w:bookmarkStart w:id="159" w:name="_Toc140132764"/>
      <w:bookmarkStart w:id="160" w:name="_Toc163492831"/>
      <w:r>
        <w:rPr>
          <w:rFonts w:hint="eastAsia" w:ascii="宋体" w:hAnsi="宋体" w:eastAsia="宋体" w:cs="宋体"/>
          <w:b/>
          <w:bCs/>
          <w:color w:val="auto"/>
          <w:kern w:val="2"/>
          <w:sz w:val="24"/>
          <w:szCs w:val="24"/>
          <w:highlight w:val="none"/>
          <w:lang w:val="en-US" w:eastAsia="zh-CN" w:bidi="ar-SA"/>
        </w:rPr>
        <w:t>9.现场考察和答疑会</w:t>
      </w:r>
      <w:bookmarkEnd w:id="156"/>
      <w:bookmarkEnd w:id="157"/>
      <w:bookmarkEnd w:id="158"/>
      <w:bookmarkEnd w:id="159"/>
      <w:bookmarkEnd w:id="160"/>
    </w:p>
    <w:p w14:paraId="5A8B8C4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161" w:name="_Hlk143529198"/>
      <w:r>
        <w:rPr>
          <w:rFonts w:hint="eastAsia" w:ascii="宋体" w:hAnsi="宋体" w:eastAsia="宋体" w:cs="宋体"/>
          <w:color w:val="auto"/>
          <w:sz w:val="24"/>
          <w:szCs w:val="24"/>
          <w:highlight w:val="none"/>
        </w:rPr>
        <w:t xml:space="preserve">9.1 “投标人须知前附表”规定组织现场考察的，采购代理机构按“投标人须知前附表”规定的时间、地点组织投标人项目现场考察。 </w:t>
      </w:r>
    </w:p>
    <w:p w14:paraId="5F8A235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投标人现场考察发生的费用自理。</w:t>
      </w:r>
    </w:p>
    <w:p w14:paraId="199A48B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 在现场考察中，因投标人自身原因发生的人员伤亡和财产损失，由投标人自行负责。</w:t>
      </w:r>
    </w:p>
    <w:p w14:paraId="6F1F6A2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 采购人在现场考察中介绍的项目场地和相关的周边环境情况，仅供投标人在编制投标文件时参考，采购人和采购代理机构不对投标人据此作出的判断和决策负责。</w:t>
      </w:r>
    </w:p>
    <w:p w14:paraId="0E249AE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9.5 “投标人须知前附表”规定召开答疑会的，采购代理机构按“投标人须知前附表”规定的时间和地点召开答疑会，澄清投标人提出的问题。</w:t>
      </w:r>
    </w:p>
    <w:p w14:paraId="009438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9.6 由于未参加现场考察或未参加标前答疑会而导致对项目实际情况不了解，影响投标文件编制、投标报价准确性、综合因素响应不全面等问题的，由投标人自行承担不利评审后果。</w:t>
      </w:r>
    </w:p>
    <w:bookmarkEnd w:id="161"/>
    <w:p w14:paraId="015C1ED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62" w:name="_Toc163492833"/>
      <w:bookmarkStart w:id="163" w:name="_Toc24524"/>
      <w:bookmarkStart w:id="164" w:name="_Toc28644"/>
      <w:bookmarkStart w:id="165" w:name="_Toc155185858"/>
      <w:bookmarkStart w:id="166" w:name="_Toc3693"/>
      <w:bookmarkStart w:id="167" w:name="_Toc155185871"/>
      <w:r>
        <w:rPr>
          <w:rFonts w:hint="eastAsia" w:ascii="宋体" w:hAnsi="宋体" w:eastAsia="宋体" w:cs="宋体"/>
          <w:b/>
          <w:bCs/>
          <w:color w:val="auto"/>
          <w:kern w:val="2"/>
          <w:sz w:val="24"/>
          <w:szCs w:val="24"/>
          <w:highlight w:val="none"/>
          <w:lang w:val="en-US" w:eastAsia="zh-CN" w:bidi="ar-SA"/>
        </w:rPr>
        <w:t>10.电子投标说明</w:t>
      </w:r>
      <w:bookmarkEnd w:id="162"/>
      <w:bookmarkEnd w:id="163"/>
      <w:bookmarkEnd w:id="164"/>
      <w:bookmarkEnd w:id="165"/>
      <w:bookmarkEnd w:id="166"/>
      <w:r>
        <w:rPr>
          <w:rFonts w:hint="eastAsia" w:ascii="宋体" w:hAnsi="宋体" w:eastAsia="宋体" w:cs="宋体"/>
          <w:b/>
          <w:bCs/>
          <w:color w:val="auto"/>
          <w:kern w:val="2"/>
          <w:sz w:val="24"/>
          <w:szCs w:val="24"/>
          <w:highlight w:val="none"/>
          <w:lang w:val="en-US" w:eastAsia="zh-CN" w:bidi="ar-SA"/>
        </w:rPr>
        <w:t xml:space="preserve">   </w:t>
      </w:r>
    </w:p>
    <w:p w14:paraId="1885013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10.1 </w:t>
      </w:r>
      <w:r>
        <w:rPr>
          <w:rFonts w:hint="eastAsia" w:ascii="宋体" w:hAnsi="宋体" w:eastAsia="宋体" w:cs="宋体"/>
          <w:color w:val="auto"/>
          <w:sz w:val="24"/>
          <w:szCs w:val="24"/>
          <w:highlight w:val="none"/>
        </w:rPr>
        <w:t>本次采购采用电子交易方式，电子交易平台为</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。投标人参与本项目电子交易活动前，应</w:t>
      </w:r>
      <w:r>
        <w:rPr>
          <w:rFonts w:hint="eastAsia" w:ascii="宋体" w:hAnsi="宋体" w:eastAsia="宋体" w:cs="宋体"/>
          <w:color w:val="auto"/>
          <w:sz w:val="24"/>
          <w:szCs w:val="24"/>
          <w:highlight w:val="none"/>
          <w:lang w:val="en-US" w:eastAsia="zh-CN"/>
        </w:rPr>
        <w:t>在</w:t>
      </w:r>
      <w:r>
        <w:rPr>
          <w:rFonts w:hint="eastAsia" w:ascii="宋体" w:hAnsi="宋体" w:eastAsia="宋体" w:cs="宋体"/>
          <w:color w:val="auto"/>
          <w:sz w:val="24"/>
          <w:szCs w:val="24"/>
          <w:highlight w:val="none"/>
        </w:rPr>
        <w:t>政</w:t>
      </w:r>
      <w:r>
        <w:rPr>
          <w:rFonts w:hint="eastAsia" w:ascii="宋体" w:hAnsi="宋体" w:eastAsia="宋体" w:cs="宋体"/>
          <w:color w:val="auto"/>
          <w:sz w:val="24"/>
          <w:szCs w:val="24"/>
          <w:highlight w:val="none"/>
          <w:lang w:val="en-US" w:eastAsia="zh-CN"/>
        </w:rPr>
        <w:t>采</w:t>
      </w:r>
      <w:r>
        <w:rPr>
          <w:rFonts w:hint="eastAsia" w:ascii="宋体" w:hAnsi="宋体" w:eastAsia="宋体" w:cs="宋体"/>
          <w:color w:val="auto"/>
          <w:sz w:val="24"/>
          <w:szCs w:val="24"/>
          <w:highlight w:val="none"/>
          <w:lang w:val="en-US"/>
        </w:rPr>
        <w:t>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en-US" w:eastAsia="zh-CN"/>
        </w:rPr>
        <w:t>上</w:t>
      </w:r>
      <w:r>
        <w:rPr>
          <w:rFonts w:hint="eastAsia" w:ascii="宋体" w:hAnsi="宋体" w:eastAsia="宋体" w:cs="宋体"/>
          <w:color w:val="auto"/>
          <w:sz w:val="24"/>
          <w:szCs w:val="24"/>
          <w:highlight w:val="none"/>
        </w:rPr>
        <w:t>注册</w:t>
      </w:r>
      <w:r>
        <w:rPr>
          <w:rFonts w:hint="eastAsia" w:ascii="宋体" w:hAnsi="宋体" w:eastAsia="宋体" w:cs="宋体"/>
          <w:color w:val="auto"/>
          <w:sz w:val="24"/>
          <w:szCs w:val="24"/>
          <w:highlight w:val="none"/>
          <w:lang w:val="en-US" w:eastAsia="zh-CN"/>
        </w:rPr>
        <w:t>供应商账号</w:t>
      </w:r>
      <w:r>
        <w:rPr>
          <w:rFonts w:hint="eastAsia" w:ascii="宋体" w:hAnsi="宋体" w:eastAsia="宋体" w:cs="宋体"/>
          <w:color w:val="auto"/>
          <w:sz w:val="24"/>
          <w:szCs w:val="24"/>
          <w:highlight w:val="none"/>
        </w:rPr>
        <w:t>。编制电子</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文件前还需</w:t>
      </w:r>
      <w:r>
        <w:rPr>
          <w:rFonts w:hint="eastAsia" w:ascii="宋体" w:hAnsi="宋体" w:eastAsia="宋体" w:cs="宋体"/>
          <w:color w:val="auto"/>
          <w:sz w:val="24"/>
          <w:szCs w:val="24"/>
          <w:highlight w:val="none"/>
          <w:lang w:val="en-US" w:eastAsia="zh-CN"/>
        </w:rPr>
        <w:t>申领CA证书并绑定帐号。投标人应充分考虑完成平台注册、申领CA证书等所需的时间。</w:t>
      </w:r>
      <w:r>
        <w:rPr>
          <w:rFonts w:hint="eastAsia" w:ascii="宋体" w:hAnsi="宋体" w:eastAsia="宋体" w:cs="宋体"/>
          <w:color w:val="auto"/>
          <w:sz w:val="24"/>
          <w:szCs w:val="24"/>
          <w:highlight w:val="none"/>
          <w:lang w:val="zh-CN" w:eastAsia="zh-CN"/>
        </w:rPr>
        <w:t>潜在投标人领取文件须提前完成注册、CA证书和电子签章申领和绑定、下载投标客户端。因未办理CA数字证书、CA证书故障、操作不当等原因造成无法投标或投标失败等后果由投标人自行承担。</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登录兵团政府采购网“供应商注册”—“新疆生产建设兵团政府采购供应商入驻登记”—“立即登记”进行自助注册绑定。</w:t>
      </w:r>
    </w:p>
    <w:p w14:paraId="091665A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投标人将</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平台电子交易客户端下载、安装完成后，可通过账号密码或CA登录客户端进行</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制作。在使用政采云投标客户端时，建议使用WIN7及以上操作系统。</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登录兵团政府采购网“下载专区”—“电子招投标客户端下载”下载相关客户端，如有问题可拨打政采云客户服务热线95763进行咨询。</w:t>
      </w:r>
    </w:p>
    <w:p w14:paraId="1A54E8F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加密的电子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应在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递交截止时间前通过政采云平台上传完成。逾期上传或者未上传指定地点的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，不予受理。</w:t>
      </w:r>
    </w:p>
    <w:p w14:paraId="02317D0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投标人在开标前须提前配置好电脑</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浏览器，开标时请使用制作加密电子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的CA锁进行解密及报价确认。本项目</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解密时间</w:t>
      </w:r>
      <w:r>
        <w:rPr>
          <w:rFonts w:hint="eastAsia" w:ascii="宋体" w:hAnsi="宋体" w:eastAsia="宋体" w:cs="宋体"/>
          <w:color w:val="auto"/>
          <w:sz w:val="24"/>
          <w:szCs w:val="24"/>
          <w:highlight w:val="none"/>
          <w:lang w:val="en-US" w:eastAsia="zh-CN"/>
        </w:rPr>
        <w:t>详见“投标人须知前附表”</w:t>
      </w:r>
      <w:r>
        <w:rPr>
          <w:rFonts w:hint="eastAsia" w:ascii="宋体" w:hAnsi="宋体" w:eastAsia="宋体" w:cs="宋体"/>
          <w:color w:val="auto"/>
          <w:sz w:val="24"/>
          <w:szCs w:val="24"/>
          <w:highlight w:val="none"/>
        </w:rPr>
        <w:t>，如因自身原因导致无法正常解密，后果由投标人自行承担。</w:t>
      </w:r>
    </w:p>
    <w:p w14:paraId="6EDA716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如遇“</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”电子交易规则调整，以最新要求为准。</w:t>
      </w:r>
    </w:p>
    <w:p w14:paraId="733157B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10.6 电子交易系统咨询：投标人应当充分考虑到电子投标可能会发生的各种问题和风险，特别是投标文件签署、提交等问题，可按照“第一章 招标公告”的联系方式咨询相关人员。</w:t>
      </w:r>
    </w:p>
    <w:p w14:paraId="06DEE05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10.7 由于本项目采用电子招标方式，潜在投标人的名单将在提交投标文件截止时间后才会解密。因此，采购人或采购代理机构无法通过传统的传真或邮件方式，将招标文件的澄清或修改内容逐一通知到每位已获取招标文件的潜在投标人。为确保信息的及时性和准确性，澄清或修改的内容将仅在政采云平台以更正公告的形式发布。潜在投标人需密切关注该网站，及时查看并下载相关更正公告。若因潜在投标人未能及时查看或下载相关更正公告，而导致的一切后果，将由潜在投标人自行承担。</w:t>
      </w:r>
    </w:p>
    <w:p w14:paraId="7A306C00">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68" w:name="_Toc163492834"/>
      <w:bookmarkStart w:id="169" w:name="_Toc26264"/>
      <w:bookmarkStart w:id="170" w:name="_Toc28416"/>
      <w:bookmarkStart w:id="171" w:name="_Toc2746"/>
      <w:r>
        <w:rPr>
          <w:rFonts w:hint="eastAsia" w:ascii="宋体" w:hAnsi="宋体" w:eastAsia="宋体" w:cs="宋体"/>
          <w:b/>
          <w:bCs/>
          <w:color w:val="auto"/>
          <w:kern w:val="2"/>
          <w:sz w:val="24"/>
          <w:szCs w:val="24"/>
          <w:highlight w:val="none"/>
          <w:lang w:val="en-US" w:eastAsia="zh-CN" w:bidi="ar-SA"/>
        </w:rPr>
        <w:t>（二）招标文件</w:t>
      </w:r>
      <w:bookmarkEnd w:id="167"/>
      <w:bookmarkEnd w:id="168"/>
      <w:bookmarkEnd w:id="169"/>
      <w:bookmarkEnd w:id="170"/>
      <w:bookmarkEnd w:id="171"/>
    </w:p>
    <w:p w14:paraId="08A2C6A4">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72" w:name="_Toc8199"/>
      <w:bookmarkStart w:id="173" w:name="_Toc140132768"/>
      <w:bookmarkStart w:id="174" w:name="_Toc24748"/>
      <w:bookmarkStart w:id="175" w:name="_Toc163492835"/>
      <w:bookmarkStart w:id="176" w:name="_Toc21231"/>
      <w:r>
        <w:rPr>
          <w:rFonts w:hint="eastAsia" w:ascii="宋体" w:hAnsi="宋体" w:eastAsia="宋体" w:cs="宋体"/>
          <w:b/>
          <w:bCs/>
          <w:color w:val="auto"/>
          <w:kern w:val="2"/>
          <w:sz w:val="24"/>
          <w:szCs w:val="24"/>
          <w:highlight w:val="none"/>
          <w:lang w:val="en-US" w:eastAsia="zh-CN" w:bidi="ar-SA"/>
        </w:rPr>
        <w:t>11.招标文件的组成</w:t>
      </w:r>
      <w:bookmarkEnd w:id="172"/>
      <w:bookmarkEnd w:id="173"/>
      <w:bookmarkEnd w:id="174"/>
      <w:bookmarkEnd w:id="175"/>
      <w:bookmarkEnd w:id="176"/>
    </w:p>
    <w:p w14:paraId="0FCCC62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.1本招标文件包括下列文件及根据本章第9款、第1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款对招标文件所作的澄清或者修改。</w:t>
      </w:r>
    </w:p>
    <w:p w14:paraId="5876B8A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第一章 </w:t>
      </w:r>
      <w:r>
        <w:rPr>
          <w:rFonts w:hint="eastAsia" w:ascii="宋体" w:hAnsi="宋体" w:eastAsia="宋体" w:cs="宋体"/>
          <w:color w:val="auto"/>
          <w:sz w:val="24"/>
          <w:szCs w:val="24"/>
          <w:highlight w:val="none"/>
          <w:lang w:val="en-US" w:eastAsia="zh-CN"/>
        </w:rPr>
        <w:t>招标公告</w:t>
      </w:r>
    </w:p>
    <w:p w14:paraId="626801D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第二章 投标人须知</w:t>
      </w:r>
    </w:p>
    <w:p w14:paraId="5E339F1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第三章 采购需求</w:t>
      </w:r>
    </w:p>
    <w:p w14:paraId="750A6D4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第四章 资格审查</w:t>
      </w:r>
    </w:p>
    <w:p w14:paraId="08BF935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第五章 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3F57501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第六章 合同草案</w:t>
      </w:r>
    </w:p>
    <w:p w14:paraId="5855AFA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第七章 投标文件的格式</w:t>
      </w:r>
    </w:p>
    <w:p w14:paraId="78CADEE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77" w:name="_Toc1043"/>
      <w:bookmarkStart w:id="178" w:name="_Toc163492836"/>
      <w:bookmarkStart w:id="179" w:name="_Toc140132769"/>
      <w:bookmarkStart w:id="180" w:name="_Toc19359"/>
      <w:bookmarkStart w:id="181" w:name="_Toc23749"/>
      <w:r>
        <w:rPr>
          <w:rFonts w:hint="eastAsia" w:ascii="宋体" w:hAnsi="宋体" w:eastAsia="宋体" w:cs="宋体"/>
          <w:b/>
          <w:bCs/>
          <w:color w:val="auto"/>
          <w:kern w:val="2"/>
          <w:sz w:val="24"/>
          <w:szCs w:val="24"/>
          <w:highlight w:val="none"/>
          <w:lang w:val="en-US" w:eastAsia="zh-CN" w:bidi="ar-SA"/>
        </w:rPr>
        <w:t>12.招标文件的询问、澄清或者修改</w:t>
      </w:r>
      <w:bookmarkEnd w:id="177"/>
      <w:bookmarkEnd w:id="178"/>
      <w:bookmarkEnd w:id="179"/>
      <w:bookmarkEnd w:id="180"/>
      <w:bookmarkEnd w:id="181"/>
    </w:p>
    <w:p w14:paraId="3A36B8C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 投标人对采购项目有疑问的，可以按照“投标人须知前附表”中的规定提出询问。提出后，请投标人及时通过交易平台“答疑文件下载”栏目查看答疑文件或澄清文件。必要时，采购代理机构将组织相关专家召开答疑会，如召开，答疑会安排另行通知。采购人或采购代理机构将在收到询问后依法予以答复。对招标文件询问的答复，在必要时将以澄清形式推送给每个获取招标文件的潜在投标人(答复中不包括问题的来源)。</w:t>
      </w:r>
    </w:p>
    <w:p w14:paraId="56F4138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投标人在规定的时间内未对招标文件提出疑问或要求澄清的，采购代理机构将视其为同意，对在“投标人须知前附表”中“</w:t>
      </w:r>
      <w:r>
        <w:rPr>
          <w:rFonts w:hint="eastAsia" w:ascii="宋体" w:hAnsi="宋体" w:eastAsia="宋体" w:cs="宋体"/>
          <w:color w:val="auto"/>
          <w:sz w:val="24"/>
          <w:szCs w:val="24"/>
          <w:highlight w:val="none"/>
          <w:lang w:val="en-US" w:eastAsia="zh-CN"/>
        </w:rPr>
        <w:t>提出询问的</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后就招标文件内容提出的疑问及澄清要求将不予受理。</w:t>
      </w:r>
    </w:p>
    <w:p w14:paraId="4A5FAB8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 采购人或者采购代理机构可以对已发出的招标文件进行必要的澄清或者修改。澄清或修改的内容为招标文件的组成部分，并对所有获取招标文件的潜在投标人具有约束力。</w:t>
      </w:r>
    </w:p>
    <w:p w14:paraId="1EB83C8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 招标文件的澄清或者修改以当面交接、邮寄、传真或电子邮件、网站披露等其中至少一种方式，发给所有领取招标文件的</w:t>
      </w:r>
      <w:r>
        <w:rPr>
          <w:rFonts w:hint="eastAsia" w:ascii="宋体" w:hAnsi="宋体" w:eastAsia="宋体" w:cs="宋体"/>
          <w:color w:val="auto"/>
          <w:sz w:val="24"/>
          <w:szCs w:val="24"/>
          <w:highlight w:val="none"/>
          <w:lang w:val="en-US" w:eastAsia="zh-CN"/>
        </w:rPr>
        <w:t>潜在</w:t>
      </w:r>
      <w:r>
        <w:rPr>
          <w:rFonts w:hint="eastAsia" w:ascii="宋体" w:hAnsi="宋体" w:eastAsia="宋体" w:cs="宋体"/>
          <w:color w:val="auto"/>
          <w:sz w:val="24"/>
          <w:szCs w:val="24"/>
          <w:highlight w:val="none"/>
        </w:rPr>
        <w:t>投标人，但不包括问题的来源。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F274E6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投标人须知”所称“书面形式”包括系统消息、政府采购</w:t>
      </w:r>
      <w:r>
        <w:rPr>
          <w:rFonts w:hint="eastAsia" w:ascii="宋体" w:hAnsi="宋体" w:eastAsia="宋体" w:cs="宋体"/>
          <w:color w:val="auto"/>
          <w:sz w:val="24"/>
          <w:szCs w:val="24"/>
          <w:highlight w:val="none"/>
          <w:lang w:val="en-US" w:eastAsia="zh-CN"/>
        </w:rPr>
        <w:t>云平台</w:t>
      </w:r>
      <w:r>
        <w:rPr>
          <w:rFonts w:hint="eastAsia" w:ascii="宋体" w:hAnsi="宋体" w:eastAsia="宋体" w:cs="宋体"/>
          <w:color w:val="auto"/>
          <w:sz w:val="24"/>
          <w:szCs w:val="24"/>
          <w:highlight w:val="none"/>
        </w:rPr>
        <w:t>发布的公告。</w:t>
      </w:r>
    </w:p>
    <w:p w14:paraId="1E6D774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采购代理机构一旦对招标文件作出了澄清、修改，即刻发生效力，采购代理机构有关的澄清、修改文件，将作为招标文件的组成部分，对所有现实的或潜在的投标人均具有约束力，而无论是否已经实际收到上述文件。同时，采购代理机构和投标人的权利及义务将受到新的截止期的约束。</w:t>
      </w:r>
    </w:p>
    <w:p w14:paraId="39FCE41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采购代理机构对招标文件作出的澄清、修改在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578320B0">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82" w:name="_Toc155185872"/>
      <w:bookmarkStart w:id="183" w:name="_Toc163492837"/>
      <w:bookmarkStart w:id="184" w:name="_Toc21031"/>
      <w:bookmarkStart w:id="185" w:name="_Toc28118"/>
      <w:bookmarkStart w:id="186" w:name="_Toc10238"/>
      <w:r>
        <w:rPr>
          <w:rFonts w:hint="eastAsia" w:ascii="宋体" w:hAnsi="宋体" w:eastAsia="宋体" w:cs="宋体"/>
          <w:b/>
          <w:bCs/>
          <w:color w:val="auto"/>
          <w:kern w:val="2"/>
          <w:sz w:val="24"/>
          <w:szCs w:val="24"/>
          <w:highlight w:val="none"/>
          <w:lang w:val="en-US" w:eastAsia="zh-CN" w:bidi="ar-SA"/>
        </w:rPr>
        <w:t>（三）投标文件</w:t>
      </w:r>
      <w:bookmarkEnd w:id="182"/>
      <w:bookmarkEnd w:id="183"/>
      <w:bookmarkEnd w:id="184"/>
      <w:bookmarkEnd w:id="185"/>
      <w:bookmarkEnd w:id="186"/>
    </w:p>
    <w:p w14:paraId="67D7EC68">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187" w:name="_Toc163492838"/>
      <w:bookmarkStart w:id="188" w:name="_Toc31491"/>
      <w:bookmarkStart w:id="189" w:name="_Toc25559"/>
      <w:bookmarkStart w:id="190" w:name="_Toc10645"/>
      <w:r>
        <w:rPr>
          <w:rFonts w:hint="eastAsia" w:ascii="宋体" w:hAnsi="宋体" w:eastAsia="宋体" w:cs="宋体"/>
          <w:b/>
          <w:bCs/>
          <w:color w:val="auto"/>
          <w:kern w:val="2"/>
          <w:sz w:val="24"/>
          <w:szCs w:val="24"/>
          <w:highlight w:val="none"/>
          <w:lang w:val="en-US" w:eastAsia="zh-CN" w:bidi="ar-SA"/>
        </w:rPr>
        <w:t>13.投标文件的组成</w:t>
      </w:r>
      <w:bookmarkEnd w:id="187"/>
      <w:bookmarkEnd w:id="188"/>
      <w:bookmarkEnd w:id="189"/>
      <w:bookmarkEnd w:id="190"/>
    </w:p>
    <w:p w14:paraId="174A0A3D">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bookmarkStart w:id="191" w:name="_Toc140132772"/>
      <w:bookmarkStart w:id="192" w:name="_Toc163492839"/>
      <w:r>
        <w:rPr>
          <w:rFonts w:hint="eastAsia" w:ascii="宋体" w:hAnsi="宋体" w:eastAsia="宋体" w:cs="宋体"/>
          <w:color w:val="auto"/>
          <w:kern w:val="2"/>
          <w:sz w:val="24"/>
          <w:szCs w:val="24"/>
          <w:highlight w:val="none"/>
          <w:lang w:val="en-US" w:eastAsia="zh-CN"/>
        </w:rPr>
        <w:t>13</w:t>
      </w:r>
      <w:r>
        <w:rPr>
          <w:rFonts w:hint="eastAsia" w:ascii="宋体" w:hAnsi="宋体" w:eastAsia="宋体" w:cs="宋体"/>
          <w:color w:val="auto"/>
          <w:kern w:val="2"/>
          <w:sz w:val="24"/>
          <w:szCs w:val="24"/>
          <w:highlight w:val="none"/>
        </w:rPr>
        <w:t>.1投标人应完整地按招标文件提供的投标文件格式及要求编写投标文件，具体内容详见</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 xml:space="preserve">第七章 </w:t>
      </w:r>
      <w:r>
        <w:rPr>
          <w:rFonts w:hint="eastAsia" w:ascii="宋体" w:hAnsi="宋体" w:eastAsia="宋体" w:cs="宋体"/>
          <w:color w:val="auto"/>
          <w:kern w:val="2"/>
          <w:sz w:val="24"/>
          <w:szCs w:val="24"/>
          <w:highlight w:val="none"/>
        </w:rPr>
        <w:t>投标文件格式</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的相关内容。</w:t>
      </w:r>
    </w:p>
    <w:p w14:paraId="3BB3A0B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13.2</w:t>
      </w:r>
      <w:r>
        <w:rPr>
          <w:rFonts w:hint="eastAsia" w:ascii="宋体" w:hAnsi="宋体" w:eastAsia="宋体" w:cs="宋体"/>
          <w:color w:val="auto"/>
          <w:kern w:val="2"/>
          <w:sz w:val="24"/>
          <w:szCs w:val="24"/>
          <w:highlight w:val="none"/>
        </w:rPr>
        <w:t>投标人应提交招标文件要求的证明文件，证明其投标内容符合招标文件规定</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该证明文件是投标文件的一部分</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证明文件</w:t>
      </w:r>
      <w:r>
        <w:rPr>
          <w:rFonts w:hint="eastAsia" w:ascii="宋体" w:hAnsi="宋体" w:eastAsia="宋体" w:cs="宋体"/>
          <w:color w:val="auto"/>
          <w:kern w:val="2"/>
          <w:sz w:val="24"/>
          <w:szCs w:val="24"/>
          <w:highlight w:val="none"/>
          <w:lang w:val="en-US" w:eastAsia="zh-CN"/>
        </w:rPr>
        <w:t>形式</w:t>
      </w:r>
      <w:r>
        <w:rPr>
          <w:rFonts w:hint="eastAsia" w:ascii="宋体" w:hAnsi="宋体" w:eastAsia="宋体" w:cs="宋体"/>
          <w:color w:val="auto"/>
          <w:kern w:val="2"/>
          <w:sz w:val="24"/>
          <w:szCs w:val="24"/>
          <w:highlight w:val="none"/>
        </w:rPr>
        <w:t>可以是文字资料、图纸和数据</w:t>
      </w:r>
      <w:bookmarkStart w:id="193" w:name="_Hlk11703583"/>
      <w:r>
        <w:rPr>
          <w:rFonts w:hint="eastAsia" w:ascii="宋体" w:hAnsi="宋体" w:eastAsia="宋体" w:cs="宋体"/>
          <w:color w:val="auto"/>
          <w:kern w:val="2"/>
          <w:sz w:val="24"/>
          <w:szCs w:val="24"/>
          <w:highlight w:val="none"/>
          <w:lang w:val="en-US" w:eastAsia="zh-CN"/>
        </w:rPr>
        <w:t>等。</w:t>
      </w:r>
    </w:p>
    <w:bookmarkEnd w:id="193"/>
    <w:p w14:paraId="781BBAE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13.3</w:t>
      </w:r>
      <w:r>
        <w:rPr>
          <w:rFonts w:hint="eastAsia" w:ascii="宋体" w:hAnsi="宋体" w:eastAsia="宋体" w:cs="宋体"/>
          <w:color w:val="auto"/>
          <w:kern w:val="2"/>
          <w:sz w:val="24"/>
          <w:szCs w:val="24"/>
          <w:highlight w:val="none"/>
        </w:rPr>
        <w:t>为保证公平公正，除非</w:t>
      </w:r>
      <w:r>
        <w:rPr>
          <w:rFonts w:hint="eastAsia" w:ascii="宋体" w:hAnsi="宋体" w:eastAsia="宋体" w:cs="宋体"/>
          <w:color w:val="auto"/>
          <w:kern w:val="2"/>
          <w:sz w:val="24"/>
          <w:szCs w:val="24"/>
          <w:highlight w:val="none"/>
          <w:lang w:val="en-US" w:eastAsia="zh-CN"/>
        </w:rPr>
        <w:t>本招标文件</w:t>
      </w:r>
      <w:r>
        <w:rPr>
          <w:rFonts w:hint="eastAsia" w:ascii="宋体" w:hAnsi="宋体" w:eastAsia="宋体" w:cs="宋体"/>
          <w:color w:val="auto"/>
          <w:kern w:val="2"/>
          <w:sz w:val="24"/>
          <w:szCs w:val="24"/>
          <w:highlight w:val="none"/>
        </w:rPr>
        <w:t>另有规定或说明，投标人对同一项目投标时，不得同时提供备选投标方案。</w:t>
      </w:r>
    </w:p>
    <w:p w14:paraId="2DB5A9E4">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en-US" w:eastAsia="zh-CN" w:bidi="ar-SA"/>
        </w:rPr>
      </w:pPr>
      <w:bookmarkStart w:id="194" w:name="_Toc27765"/>
      <w:bookmarkStart w:id="195" w:name="_Toc12829"/>
      <w:bookmarkStart w:id="196" w:name="_Toc24665"/>
      <w:r>
        <w:rPr>
          <w:rFonts w:hint="eastAsia" w:ascii="宋体" w:hAnsi="宋体" w:eastAsia="宋体" w:cs="宋体"/>
          <w:b/>
          <w:bCs/>
          <w:color w:val="auto"/>
          <w:kern w:val="2"/>
          <w:sz w:val="24"/>
          <w:szCs w:val="24"/>
          <w:highlight w:val="none"/>
          <w:lang w:val="en-US" w:eastAsia="zh-CN" w:bidi="ar-SA"/>
        </w:rPr>
        <w:t>14.投标报价</w:t>
      </w:r>
      <w:bookmarkEnd w:id="191"/>
      <w:bookmarkEnd w:id="192"/>
      <w:bookmarkEnd w:id="194"/>
      <w:bookmarkEnd w:id="195"/>
      <w:bookmarkEnd w:id="196"/>
    </w:p>
    <w:p w14:paraId="3BD2CDC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 xml:space="preserve">.1 </w:t>
      </w:r>
      <w:r>
        <w:rPr>
          <w:rFonts w:hint="eastAsia" w:ascii="宋体" w:hAnsi="宋体" w:eastAsia="宋体" w:cs="宋体"/>
          <w:snapToGrid w:val="0"/>
          <w:color w:val="auto"/>
          <w:sz w:val="24"/>
          <w:szCs w:val="24"/>
          <w:highlight w:val="none"/>
          <w:lang w:val="zh-CN"/>
        </w:rPr>
        <w:t>投标人的报价均应以人民币进行报价。</w:t>
      </w:r>
    </w:p>
    <w:p w14:paraId="6CC0054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.2 投标人应按照本招标文件规定的报价方式进行报价，投标报价中不得包含招标文件要求以外的内容，否则，在评标时不予核减。投标报价中也不得遗漏招标文件所要求的内容，否则其</w:t>
      </w:r>
      <w:r>
        <w:rPr>
          <w:rFonts w:hint="eastAsia" w:ascii="宋体" w:hAnsi="宋体" w:eastAsia="宋体" w:cs="宋体"/>
          <w:b/>
          <w:bCs/>
          <w:snapToGrid w:val="0"/>
          <w:color w:val="auto"/>
          <w:sz w:val="24"/>
          <w:szCs w:val="24"/>
          <w:highlight w:val="none"/>
        </w:rPr>
        <w:t>投标无效</w:t>
      </w:r>
      <w:r>
        <w:rPr>
          <w:rFonts w:hint="eastAsia" w:ascii="宋体" w:hAnsi="宋体" w:eastAsia="宋体" w:cs="宋体"/>
          <w:snapToGrid w:val="0"/>
          <w:color w:val="auto"/>
          <w:sz w:val="24"/>
          <w:szCs w:val="24"/>
          <w:highlight w:val="none"/>
        </w:rPr>
        <w:t>。</w:t>
      </w:r>
    </w:p>
    <w:p w14:paraId="1197AD09">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color w:val="auto"/>
          <w:kern w:val="2"/>
          <w:sz w:val="24"/>
          <w:szCs w:val="24"/>
          <w:highlight w:val="none"/>
          <w:lang w:val="en-US" w:eastAsia="zh-CN"/>
        </w:rPr>
        <w:t>14.3</w:t>
      </w:r>
      <w:r>
        <w:rPr>
          <w:rFonts w:hint="eastAsia" w:ascii="宋体" w:hAnsi="宋体" w:eastAsia="宋体" w:cs="宋体"/>
          <w:snapToGrid w:val="0"/>
          <w:color w:val="auto"/>
          <w:sz w:val="24"/>
          <w:szCs w:val="24"/>
          <w:highlight w:val="none"/>
          <w:lang w:val="en-US" w:eastAsia="zh-CN"/>
        </w:rPr>
        <w:t>投标人的报价应包括为完成本项目所发生的一切费用和税费，采购人将不再支付报价以外的任何费用。只要投报了一个确定数额的总价，无论分项价格是否全部填报了相应的金额或免费字样，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r>
        <w:rPr>
          <w:rFonts w:hint="eastAsia" w:ascii="宋体" w:hAnsi="宋体" w:eastAsia="宋体" w:cs="宋体"/>
          <w:snapToGrid w:val="0"/>
          <w:color w:val="auto"/>
          <w:sz w:val="24"/>
          <w:szCs w:val="24"/>
          <w:highlight w:val="none"/>
        </w:rPr>
        <w:t>。</w:t>
      </w:r>
    </w:p>
    <w:p w14:paraId="29AAB874">
      <w:pPr>
        <w:pStyle w:val="10"/>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14.4投标人的报价应包括但不限于按照招标文件要求完成本项目的全部相关费用。</w:t>
      </w:r>
    </w:p>
    <w:p w14:paraId="049AF5FA">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snapToGrid w:val="0"/>
          <w:color w:val="auto"/>
          <w:sz w:val="24"/>
          <w:szCs w:val="24"/>
          <w:highlight w:val="none"/>
          <w:lang w:val="zh-CN"/>
        </w:rPr>
      </w:pPr>
      <w:r>
        <w:rPr>
          <w:rFonts w:hint="eastAsia" w:ascii="宋体" w:hAnsi="宋体" w:eastAsia="宋体" w:cs="宋体"/>
          <w:color w:val="auto"/>
          <w:kern w:val="2"/>
          <w:sz w:val="24"/>
          <w:szCs w:val="24"/>
          <w:highlight w:val="none"/>
          <w:lang w:val="en-US" w:eastAsia="zh-CN" w:bidi="ar-SA"/>
        </w:rPr>
        <w:t>14.5 投标人须严格按照分项报价表规定的内容填写服务单价以及其他事项。</w:t>
      </w:r>
      <w:r>
        <w:rPr>
          <w:rFonts w:hint="eastAsia" w:ascii="宋体" w:hAnsi="宋体" w:eastAsia="宋体" w:cs="宋体"/>
          <w:snapToGrid w:val="0"/>
          <w:color w:val="auto"/>
          <w:sz w:val="24"/>
          <w:szCs w:val="24"/>
          <w:highlight w:val="none"/>
          <w:lang w:val="zh-CN"/>
        </w:rPr>
        <w:t>投标人应根据本招标文件的规定和要求、市场价格水平及其走势、投标人的管理水平、投标人的方案和由这些因素决定的投标人之于本项目的成本水平等提出自己的报价。报价应合理，并包含完成本招标文件采购需求全部内容的所有费用，所有根据本招标文件或其它原因应由投标人支付的税款和其他应交纳的费用都应包括在投标人提交的投标报价中。</w:t>
      </w:r>
    </w:p>
    <w:p w14:paraId="058EFD12">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14.6 投标人在投标文件中注明免费的项目将视为包含在投标报价中。</w:t>
      </w:r>
    </w:p>
    <w:p w14:paraId="6DF8B2FA">
      <w:pPr>
        <w:pStyle w:val="10"/>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14.7 每一种采购内容只允许</w:t>
      </w:r>
      <w:r>
        <w:rPr>
          <w:rFonts w:hint="eastAsia" w:ascii="宋体" w:hAnsi="宋体" w:eastAsia="宋体" w:cs="宋体"/>
          <w:snapToGrid w:val="0"/>
          <w:color w:val="auto"/>
          <w:sz w:val="24"/>
          <w:szCs w:val="24"/>
          <w:highlight w:val="none"/>
        </w:rPr>
        <w:t>有一个报价，否则其</w:t>
      </w:r>
      <w:r>
        <w:rPr>
          <w:rFonts w:hint="eastAsia" w:ascii="宋体" w:hAnsi="宋体" w:eastAsia="宋体" w:cs="宋体"/>
          <w:b/>
          <w:bCs/>
          <w:snapToGrid w:val="0"/>
          <w:color w:val="auto"/>
          <w:sz w:val="24"/>
          <w:szCs w:val="24"/>
          <w:highlight w:val="none"/>
        </w:rPr>
        <w:t>投标无效</w:t>
      </w:r>
      <w:r>
        <w:rPr>
          <w:rFonts w:hint="eastAsia" w:ascii="宋体" w:hAnsi="宋体" w:eastAsia="宋体" w:cs="宋体"/>
          <w:snapToGrid w:val="0"/>
          <w:color w:val="auto"/>
          <w:sz w:val="24"/>
          <w:szCs w:val="24"/>
          <w:highlight w:val="none"/>
        </w:rPr>
        <w:t>。</w:t>
      </w:r>
      <w:r>
        <w:rPr>
          <w:rFonts w:hint="eastAsia" w:ascii="宋体" w:hAnsi="宋体" w:eastAsia="宋体" w:cs="宋体"/>
          <w:color w:val="auto"/>
          <w:kern w:val="2"/>
          <w:sz w:val="24"/>
          <w:szCs w:val="24"/>
          <w:highlight w:val="none"/>
        </w:rPr>
        <w:t>除非招标文件另有规定，不接受可选择或可调整的投标方案和报价，任何有选择的或可调整的投标方案和报价将被视为非</w:t>
      </w:r>
      <w:r>
        <w:rPr>
          <w:rFonts w:hint="eastAsia" w:ascii="宋体" w:hAnsi="宋体" w:eastAsia="宋体" w:cs="宋体"/>
          <w:color w:val="auto"/>
          <w:kern w:val="2"/>
          <w:sz w:val="24"/>
          <w:szCs w:val="24"/>
          <w:highlight w:val="none"/>
          <w:lang w:val="en-US" w:eastAsia="zh-CN"/>
        </w:rPr>
        <w:t>实质性</w:t>
      </w:r>
      <w:r>
        <w:rPr>
          <w:rFonts w:hint="eastAsia" w:ascii="宋体" w:hAnsi="宋体" w:eastAsia="宋体" w:cs="宋体"/>
          <w:color w:val="auto"/>
          <w:kern w:val="2"/>
          <w:sz w:val="24"/>
          <w:szCs w:val="24"/>
          <w:highlight w:val="none"/>
        </w:rPr>
        <w:t>响应</w:t>
      </w:r>
      <w:r>
        <w:rPr>
          <w:rFonts w:hint="eastAsia" w:ascii="宋体" w:hAnsi="宋体" w:eastAsia="宋体" w:cs="宋体"/>
          <w:color w:val="auto"/>
          <w:kern w:val="2"/>
          <w:sz w:val="24"/>
          <w:szCs w:val="24"/>
          <w:highlight w:val="none"/>
          <w:lang w:val="en-US" w:eastAsia="zh-CN"/>
        </w:rPr>
        <w:t>招标文件,其</w:t>
      </w:r>
      <w:r>
        <w:rPr>
          <w:rFonts w:hint="eastAsia" w:ascii="宋体" w:hAnsi="宋体" w:eastAsia="宋体" w:cs="宋体"/>
          <w:b/>
          <w:bCs/>
          <w:color w:val="auto"/>
          <w:kern w:val="2"/>
          <w:sz w:val="24"/>
          <w:szCs w:val="24"/>
          <w:highlight w:val="none"/>
          <w:lang w:eastAsia="zh-CN"/>
        </w:rPr>
        <w:t>投标无效</w:t>
      </w:r>
      <w:r>
        <w:rPr>
          <w:rFonts w:hint="eastAsia" w:ascii="宋体" w:hAnsi="宋体" w:eastAsia="宋体" w:cs="宋体"/>
          <w:color w:val="auto"/>
          <w:kern w:val="2"/>
          <w:sz w:val="24"/>
          <w:szCs w:val="24"/>
          <w:highlight w:val="none"/>
        </w:rPr>
        <w:t>。</w:t>
      </w:r>
    </w:p>
    <w:p w14:paraId="192E0BF0">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8 </w:t>
      </w:r>
      <w:r>
        <w:rPr>
          <w:rFonts w:hint="eastAsia" w:ascii="宋体" w:hAnsi="宋体" w:eastAsia="宋体" w:cs="宋体"/>
          <w:color w:val="auto"/>
          <w:sz w:val="24"/>
          <w:szCs w:val="24"/>
          <w:highlight w:val="none"/>
        </w:rPr>
        <w:t>投标报价不得超过“</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”中规定的最高投标限价</w:t>
      </w:r>
      <w:r>
        <w:rPr>
          <w:rFonts w:hint="eastAsia" w:ascii="宋体" w:hAnsi="宋体" w:eastAsia="宋体" w:cs="宋体"/>
          <w:color w:val="auto"/>
          <w:sz w:val="24"/>
          <w:szCs w:val="24"/>
          <w:highlight w:val="none"/>
          <w:lang w:val="en-US" w:eastAsia="zh-CN"/>
        </w:rPr>
        <w:t>或者预算金额</w:t>
      </w:r>
      <w:r>
        <w:rPr>
          <w:rFonts w:hint="eastAsia" w:ascii="宋体" w:hAnsi="宋体" w:eastAsia="宋体" w:cs="宋体"/>
          <w:color w:val="auto"/>
          <w:sz w:val="24"/>
          <w:szCs w:val="24"/>
          <w:highlight w:val="none"/>
        </w:rPr>
        <w:t>，否则评标委员会将</w:t>
      </w:r>
      <w:r>
        <w:rPr>
          <w:rFonts w:hint="eastAsia" w:ascii="宋体" w:hAnsi="宋体" w:eastAsia="宋体" w:cs="宋体"/>
          <w:b w:val="0"/>
          <w:bCs w:val="0"/>
          <w:color w:val="auto"/>
          <w:sz w:val="24"/>
          <w:szCs w:val="24"/>
          <w:highlight w:val="none"/>
          <w:lang w:val="en-US" w:eastAsia="zh-CN"/>
        </w:rPr>
        <w:t>对</w:t>
      </w:r>
      <w:r>
        <w:rPr>
          <w:rFonts w:hint="eastAsia" w:ascii="宋体" w:hAnsi="宋体" w:eastAsia="宋体" w:cs="宋体"/>
          <w:b w:val="0"/>
          <w:bCs w:val="0"/>
          <w:color w:val="auto"/>
          <w:sz w:val="24"/>
          <w:szCs w:val="24"/>
          <w:highlight w:val="none"/>
        </w:rPr>
        <w:t>其</w:t>
      </w:r>
      <w:r>
        <w:rPr>
          <w:rFonts w:hint="eastAsia" w:ascii="宋体" w:hAnsi="宋体" w:eastAsia="宋体" w:cs="宋体"/>
          <w:b w:val="0"/>
          <w:bCs w:val="0"/>
          <w:color w:val="auto"/>
          <w:sz w:val="24"/>
          <w:szCs w:val="24"/>
          <w:highlight w:val="none"/>
          <w:lang w:val="en-US" w:eastAsia="zh-CN"/>
        </w:rPr>
        <w:t>作</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处理</w:t>
      </w:r>
      <w:r>
        <w:rPr>
          <w:rFonts w:hint="eastAsia" w:ascii="宋体" w:hAnsi="宋体" w:eastAsia="宋体" w:cs="宋体"/>
          <w:color w:val="auto"/>
          <w:sz w:val="24"/>
          <w:szCs w:val="24"/>
          <w:highlight w:val="none"/>
        </w:rPr>
        <w:t>。</w:t>
      </w:r>
    </w:p>
    <w:p w14:paraId="1DC40C77">
      <w:pPr>
        <w:pStyle w:val="63"/>
        <w:pageBreakBefore w:val="0"/>
        <w:shd w:val="clear" w:color="auto" w:fill="auto"/>
        <w:kinsoku/>
        <w:wordWrap/>
        <w:overflowPunct/>
        <w:topLinePunct w:val="0"/>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9 </w:t>
      </w:r>
      <w:r>
        <w:rPr>
          <w:rFonts w:hint="eastAsia" w:ascii="宋体" w:hAnsi="宋体" w:eastAsia="宋体" w:cs="宋体"/>
          <w:color w:val="auto"/>
          <w:kern w:val="2"/>
          <w:sz w:val="24"/>
          <w:szCs w:val="24"/>
          <w:highlight w:val="none"/>
        </w:rPr>
        <w:t>投标人对投标报价若有说明应在投标文件中显著处注明。</w:t>
      </w:r>
    </w:p>
    <w:p w14:paraId="69F7C97A">
      <w:pPr>
        <w:pStyle w:val="63"/>
        <w:pageBreakBefore w:val="0"/>
        <w:shd w:val="clear" w:color="auto" w:fill="auto"/>
        <w:kinsoku/>
        <w:wordWrap/>
        <w:overflowPunct/>
        <w:topLinePunct w:val="0"/>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除政策性文件规定以外，投标人所报价格在合同实施期间不因市场变化因素而变动。</w:t>
      </w:r>
    </w:p>
    <w:p w14:paraId="3D2E52CC">
      <w:pPr>
        <w:pStyle w:val="63"/>
        <w:pageBreakBefore w:val="0"/>
        <w:shd w:val="clear" w:color="auto" w:fill="auto"/>
        <w:kinsoku/>
        <w:wordWrap/>
        <w:overflowPunct/>
        <w:topLinePunct w:val="0"/>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10 </w:t>
      </w:r>
      <w:r>
        <w:rPr>
          <w:rFonts w:hint="eastAsia" w:ascii="宋体" w:hAnsi="宋体" w:eastAsia="宋体" w:cs="宋体"/>
          <w:color w:val="auto"/>
          <w:kern w:val="2"/>
          <w:sz w:val="24"/>
          <w:szCs w:val="24"/>
          <w:highlight w:val="none"/>
        </w:rPr>
        <w:t>最低报价不能作为中标的保证。</w:t>
      </w:r>
    </w:p>
    <w:p w14:paraId="4F55CD6E">
      <w:pPr>
        <w:pStyle w:val="10"/>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14.11</w:t>
      </w:r>
      <w:r>
        <w:rPr>
          <w:rFonts w:hint="eastAsia" w:ascii="宋体" w:hAnsi="宋体" w:eastAsia="宋体" w:cs="宋体"/>
          <w:color w:val="auto"/>
          <w:kern w:val="0"/>
          <w:sz w:val="24"/>
          <w:szCs w:val="24"/>
          <w:highlight w:val="none"/>
          <w:lang w:val="en-US" w:eastAsia="zh-CN" w:bidi="ar"/>
        </w:rPr>
        <w:t>采购人不得向投标人索要或者接受其给予的赠品、回扣或者与采购无关的其他商品、服务。</w:t>
      </w:r>
    </w:p>
    <w:p w14:paraId="691BBD0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en-US" w:eastAsia="zh-CN" w:bidi="ar-SA"/>
        </w:rPr>
      </w:pPr>
      <w:bookmarkStart w:id="197" w:name="_Toc140132773"/>
      <w:bookmarkStart w:id="198" w:name="_Toc24520"/>
      <w:bookmarkStart w:id="199" w:name="_Toc24048"/>
      <w:bookmarkStart w:id="200" w:name="_Toc163492840"/>
      <w:bookmarkStart w:id="201" w:name="_Toc9162"/>
      <w:r>
        <w:rPr>
          <w:rFonts w:hint="eastAsia" w:ascii="宋体" w:hAnsi="宋体" w:eastAsia="宋体" w:cs="宋体"/>
          <w:b/>
          <w:bCs/>
          <w:color w:val="auto"/>
          <w:kern w:val="2"/>
          <w:sz w:val="24"/>
          <w:szCs w:val="24"/>
          <w:highlight w:val="none"/>
          <w:lang w:val="en-US" w:eastAsia="zh-CN" w:bidi="ar-SA"/>
        </w:rPr>
        <w:t>15.投标有效期</w:t>
      </w:r>
      <w:bookmarkEnd w:id="197"/>
      <w:bookmarkEnd w:id="198"/>
      <w:bookmarkEnd w:id="199"/>
      <w:bookmarkEnd w:id="200"/>
      <w:bookmarkEnd w:id="201"/>
    </w:p>
    <w:p w14:paraId="13B2B164">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.1 </w:t>
      </w:r>
      <w:r>
        <w:rPr>
          <w:rFonts w:hint="eastAsia" w:ascii="宋体" w:hAnsi="宋体" w:eastAsia="宋体" w:cs="宋体"/>
          <w:color w:val="auto"/>
          <w:kern w:val="0"/>
          <w:sz w:val="24"/>
          <w:szCs w:val="24"/>
          <w:highlight w:val="none"/>
          <w:lang w:val="en"/>
        </w:rPr>
        <w:t>投标有效期</w:t>
      </w: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val="en-US" w:eastAsia="zh-CN"/>
        </w:rPr>
        <w:t xml:space="preserve">第二章 </w:t>
      </w:r>
      <w:r>
        <w:rPr>
          <w:rFonts w:hint="eastAsia" w:ascii="宋体" w:hAnsi="宋体" w:eastAsia="宋体" w:cs="宋体"/>
          <w:color w:val="auto"/>
          <w:sz w:val="24"/>
          <w:szCs w:val="24"/>
          <w:highlight w:val="none"/>
        </w:rPr>
        <w:t>投标人须知前附表”，投标人承诺的投标有效期</w:t>
      </w:r>
      <w:r>
        <w:rPr>
          <w:rFonts w:hint="eastAsia" w:ascii="宋体" w:hAnsi="宋体" w:eastAsia="宋体" w:cs="宋体"/>
          <w:snapToGrid w:val="0"/>
          <w:color w:val="auto"/>
          <w:sz w:val="24"/>
          <w:szCs w:val="24"/>
          <w:highlight w:val="none"/>
          <w:lang w:val="zh-CN" w:eastAsia="zh-CN"/>
        </w:rPr>
        <w:t>少于</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val="zh-CN" w:eastAsia="zh-CN"/>
        </w:rPr>
        <w:t>文件规定期限的，其</w:t>
      </w:r>
      <w:r>
        <w:rPr>
          <w:rFonts w:hint="eastAsia" w:ascii="宋体" w:hAnsi="宋体" w:eastAsia="宋体" w:cs="宋体"/>
          <w:b/>
          <w:bCs/>
          <w:snapToGrid w:val="0"/>
          <w:color w:val="auto"/>
          <w:sz w:val="24"/>
          <w:szCs w:val="24"/>
          <w:highlight w:val="none"/>
          <w:lang w:val="en-US" w:eastAsia="zh-CN"/>
        </w:rPr>
        <w:t>投标</w:t>
      </w:r>
      <w:r>
        <w:rPr>
          <w:rFonts w:hint="eastAsia" w:ascii="宋体" w:hAnsi="宋体" w:eastAsia="宋体" w:cs="宋体"/>
          <w:b/>
          <w:bCs/>
          <w:snapToGrid w:val="0"/>
          <w:color w:val="auto"/>
          <w:sz w:val="24"/>
          <w:szCs w:val="24"/>
          <w:highlight w:val="none"/>
          <w:lang w:val="zh-CN" w:eastAsia="zh-CN"/>
        </w:rPr>
        <w:t>无效</w:t>
      </w:r>
      <w:r>
        <w:rPr>
          <w:rFonts w:hint="eastAsia" w:ascii="宋体" w:hAnsi="宋体" w:eastAsia="宋体" w:cs="宋体"/>
          <w:snapToGrid w:val="0"/>
          <w:color w:val="auto"/>
          <w:sz w:val="24"/>
          <w:szCs w:val="24"/>
          <w:highlight w:val="none"/>
          <w:lang w:val="zh-CN" w:eastAsia="zh-CN"/>
        </w:rPr>
        <w:t>。</w:t>
      </w:r>
    </w:p>
    <w:p w14:paraId="6D112F8D">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15.2 投标有效期从提交投标文件的截止之日起算。投标文件中承诺的投标有效期应当不少于招标文件中载明的投标有效期。投标有效期内投标人撤销投标文件的，采购人或者采购代理机构可以不退还投标保证金。</w:t>
      </w:r>
    </w:p>
    <w:p w14:paraId="4457FE8E">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特殊情况下，在原投标文件有效期截止之前，采购代理机构或采购人可要求投标人延长投标有效期。需要延长投标有效期时，采购代理机构或采购人将以书面形式通知所有投标人，投标人应以书面形式答复是否同意延长投标有效期。</w:t>
      </w:r>
    </w:p>
    <w:p w14:paraId="2EF7720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投标人同意延长的，</w:t>
      </w:r>
      <w:r>
        <w:rPr>
          <w:rFonts w:hint="eastAsia" w:ascii="宋体" w:hAnsi="宋体" w:eastAsia="宋体" w:cs="宋体"/>
          <w:color w:val="auto"/>
          <w:kern w:val="2"/>
          <w:sz w:val="24"/>
          <w:szCs w:val="24"/>
          <w:highlight w:val="none"/>
          <w:lang w:val="en-US" w:eastAsia="zh-CN"/>
        </w:rPr>
        <w:t>其</w:t>
      </w:r>
      <w:r>
        <w:rPr>
          <w:rFonts w:hint="eastAsia" w:ascii="宋体" w:hAnsi="宋体" w:eastAsia="宋体" w:cs="宋体"/>
          <w:color w:val="auto"/>
          <w:kern w:val="2"/>
          <w:sz w:val="24"/>
          <w:szCs w:val="24"/>
          <w:highlight w:val="none"/>
        </w:rPr>
        <w:t>投标保证金的有效期也相应延长</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但</w:t>
      </w:r>
      <w:r>
        <w:rPr>
          <w:rFonts w:hint="eastAsia" w:ascii="宋体" w:hAnsi="宋体" w:eastAsia="宋体" w:cs="宋体"/>
          <w:color w:val="auto"/>
          <w:sz w:val="24"/>
          <w:szCs w:val="24"/>
          <w:highlight w:val="none"/>
        </w:rPr>
        <w:t>不得要求或被允许修改或撤销其投标文件；</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拒绝延长的，其投标文件在原投标有效期满后将不再有效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但其提交的投标保证金可予以退还</w:t>
      </w:r>
      <w:r>
        <w:rPr>
          <w:rFonts w:hint="eastAsia" w:ascii="宋体" w:hAnsi="宋体" w:eastAsia="宋体" w:cs="宋体"/>
          <w:color w:val="auto"/>
          <w:sz w:val="24"/>
          <w:szCs w:val="24"/>
          <w:highlight w:val="none"/>
        </w:rPr>
        <w:t>。</w:t>
      </w:r>
    </w:p>
    <w:p w14:paraId="51F7C8D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en-US" w:eastAsia="zh-CN" w:bidi="ar-SA"/>
        </w:rPr>
      </w:pPr>
      <w:bookmarkStart w:id="202" w:name="_Toc9620"/>
      <w:bookmarkStart w:id="203" w:name="_Toc17887"/>
      <w:bookmarkStart w:id="204" w:name="_Toc163492841"/>
      <w:bookmarkStart w:id="205" w:name="_Toc140132774"/>
      <w:bookmarkStart w:id="206" w:name="_Toc21362"/>
      <w:r>
        <w:rPr>
          <w:rFonts w:hint="eastAsia" w:ascii="宋体" w:hAnsi="宋体" w:eastAsia="宋体" w:cs="宋体"/>
          <w:b/>
          <w:bCs/>
          <w:color w:val="auto"/>
          <w:kern w:val="2"/>
          <w:sz w:val="24"/>
          <w:szCs w:val="24"/>
          <w:highlight w:val="none"/>
          <w:lang w:val="en-US" w:eastAsia="zh-CN" w:bidi="ar-SA"/>
        </w:rPr>
        <w:t>16.投标文件的编制</w:t>
      </w:r>
      <w:bookmarkEnd w:id="202"/>
      <w:bookmarkEnd w:id="203"/>
      <w:bookmarkEnd w:id="204"/>
      <w:bookmarkEnd w:id="205"/>
      <w:bookmarkEnd w:id="206"/>
    </w:p>
    <w:p w14:paraId="523C51E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.1投标文件应在供应商客户端中进行编制，在投标文件中要求加盖印章的，除有特殊说明之外，</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rPr>
        <w:t>使用电子签章签署。</w:t>
      </w:r>
    </w:p>
    <w:p w14:paraId="540601F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bookmarkStart w:id="207" w:name="_Hlk143528557"/>
      <w:r>
        <w:rPr>
          <w:rFonts w:hint="eastAsia" w:ascii="宋体" w:hAnsi="宋体" w:eastAsia="宋体" w:cs="宋体"/>
          <w:color w:val="auto"/>
          <w:sz w:val="24"/>
          <w:szCs w:val="24"/>
          <w:highlight w:val="none"/>
        </w:rPr>
        <w:t>2投标人在供应商客户端中按照供应商客户端中的格式要求填写响应内容后，生成投标文件。投标人须按照招标文件的要求使用电子签章对要求加盖印章的部分逐一进行签章。</w:t>
      </w:r>
      <w:bookmarkEnd w:id="207"/>
    </w:p>
    <w:p w14:paraId="1A7BD12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投标人应详细阅读招标文件的全部内容。投标文件须对招标文件中的内容作出实质性和完整的响应，如果投标文件填报的内容不详，或没有提供招标文件中所要求的全部资料及数据，将可能</w:t>
      </w:r>
      <w:r>
        <w:rPr>
          <w:rFonts w:hint="eastAsia" w:ascii="宋体" w:hAnsi="宋体" w:eastAsia="宋体" w:cs="宋体"/>
          <w:b/>
          <w:bCs/>
          <w:color w:val="auto"/>
          <w:sz w:val="24"/>
          <w:szCs w:val="24"/>
          <w:highlight w:val="none"/>
        </w:rPr>
        <w:t>导致</w:t>
      </w:r>
      <w:r>
        <w:rPr>
          <w:rFonts w:hint="eastAsia" w:ascii="宋体" w:hAnsi="宋体" w:eastAsia="宋体" w:cs="宋体"/>
          <w:b/>
          <w:bCs/>
          <w:color w:val="auto"/>
          <w:sz w:val="24"/>
          <w:szCs w:val="24"/>
          <w:highlight w:val="none"/>
          <w:lang w:val="en-US" w:eastAsia="zh-CN"/>
        </w:rPr>
        <w:t>其</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color w:val="auto"/>
          <w:sz w:val="24"/>
          <w:szCs w:val="24"/>
          <w:highlight w:val="none"/>
        </w:rPr>
        <w:t>。</w:t>
      </w:r>
    </w:p>
    <w:p w14:paraId="7A6BB4B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投标文件须严格按照</w:t>
      </w:r>
      <w:r>
        <w:rPr>
          <w:rFonts w:hint="eastAsia" w:ascii="宋体" w:hAnsi="宋体" w:eastAsia="宋体" w:cs="宋体"/>
          <w:color w:val="auto"/>
          <w:sz w:val="24"/>
          <w:szCs w:val="24"/>
          <w:highlight w:val="none"/>
          <w:lang w:val="en-US" w:eastAsia="zh-CN"/>
        </w:rPr>
        <w:t>本</w:t>
      </w:r>
      <w:r>
        <w:rPr>
          <w:rFonts w:hint="eastAsia" w:ascii="宋体" w:hAnsi="宋体" w:eastAsia="宋体" w:cs="宋体"/>
          <w:color w:val="auto"/>
          <w:sz w:val="24"/>
          <w:szCs w:val="24"/>
          <w:highlight w:val="none"/>
        </w:rPr>
        <w:t>招标文件第</w:t>
      </w:r>
      <w:r>
        <w:rPr>
          <w:rFonts w:hint="eastAsia" w:ascii="宋体" w:hAnsi="宋体" w:eastAsia="宋体" w:cs="宋体"/>
          <w:color w:val="auto"/>
          <w:sz w:val="24"/>
          <w:szCs w:val="24"/>
          <w:highlight w:val="none"/>
          <w:lang w:val="en-US" w:eastAsia="zh-CN"/>
        </w:rPr>
        <w:t>七章</w:t>
      </w:r>
      <w:r>
        <w:rPr>
          <w:rFonts w:hint="eastAsia" w:ascii="宋体" w:hAnsi="宋体" w:eastAsia="宋体" w:cs="宋体"/>
          <w:color w:val="auto"/>
          <w:sz w:val="24"/>
          <w:szCs w:val="24"/>
          <w:highlight w:val="none"/>
        </w:rPr>
        <w:t>规定的格式提交，并按规定的统一格式逐项填写，不准有空项；无相应内容可填的项，应填写“无”、“未测试”、“没有相应指标”等明确的回答文字。由于编排混乱导致投标文件被误读或查找不到，其责任由投标人承担。</w:t>
      </w:r>
    </w:p>
    <w:p w14:paraId="4B72F25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开标一览表为在开标</w:t>
      </w:r>
      <w:r>
        <w:rPr>
          <w:rFonts w:hint="eastAsia" w:ascii="宋体" w:hAnsi="宋体" w:eastAsia="宋体" w:cs="宋体"/>
          <w:color w:val="auto"/>
          <w:sz w:val="24"/>
          <w:szCs w:val="24"/>
          <w:highlight w:val="none"/>
          <w:lang w:val="en-US" w:eastAsia="zh-CN"/>
        </w:rPr>
        <w:t>时</w:t>
      </w:r>
      <w:r>
        <w:rPr>
          <w:rFonts w:hint="eastAsia" w:ascii="宋体" w:hAnsi="宋体" w:eastAsia="宋体" w:cs="宋体"/>
          <w:color w:val="auto"/>
          <w:sz w:val="24"/>
          <w:szCs w:val="24"/>
          <w:highlight w:val="none"/>
        </w:rPr>
        <w:t>唱标的内容，要求按格式统一填写，不得自行增减内容。</w:t>
      </w:r>
    </w:p>
    <w:p w14:paraId="499D705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w:t>
      </w:r>
      <w:r>
        <w:rPr>
          <w:rFonts w:hint="eastAsia" w:ascii="宋体" w:hAnsi="宋体" w:eastAsia="宋体" w:cs="宋体"/>
          <w:color w:val="auto"/>
          <w:sz w:val="24"/>
          <w:szCs w:val="24"/>
          <w:highlight w:val="none"/>
          <w:lang w:val="en-US" w:eastAsia="zh-CN"/>
        </w:rPr>
        <w:t>按</w:t>
      </w:r>
      <w:r>
        <w:rPr>
          <w:rFonts w:hint="eastAsia" w:ascii="宋体" w:hAnsi="宋体" w:eastAsia="宋体" w:cs="宋体"/>
          <w:b/>
          <w:bCs/>
          <w:color w:val="auto"/>
          <w:sz w:val="24"/>
          <w:szCs w:val="24"/>
          <w:highlight w:val="none"/>
          <w:lang w:val="en-US" w:eastAsia="zh-CN"/>
        </w:rPr>
        <w:t>无效投标</w:t>
      </w:r>
      <w:r>
        <w:rPr>
          <w:rFonts w:hint="eastAsia" w:ascii="宋体" w:hAnsi="宋体" w:eastAsia="宋体" w:cs="宋体"/>
          <w:color w:val="auto"/>
          <w:sz w:val="24"/>
          <w:szCs w:val="24"/>
          <w:highlight w:val="none"/>
        </w:rPr>
        <w:t>处理。</w:t>
      </w:r>
    </w:p>
    <w:p w14:paraId="7DBECB0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投标人必须保证投标文件所提供的全部资料真实可靠，并接受采购</w:t>
      </w:r>
      <w:r>
        <w:rPr>
          <w:rFonts w:hint="eastAsia" w:ascii="宋体" w:hAnsi="宋体" w:eastAsia="宋体" w:cs="宋体"/>
          <w:color w:val="auto"/>
          <w:sz w:val="24"/>
          <w:szCs w:val="24"/>
          <w:highlight w:val="none"/>
          <w:lang w:val="en-US" w:eastAsia="zh-CN"/>
        </w:rPr>
        <w:t>人、采购</w:t>
      </w:r>
      <w:r>
        <w:rPr>
          <w:rFonts w:hint="eastAsia" w:ascii="宋体" w:hAnsi="宋体" w:eastAsia="宋体" w:cs="宋体"/>
          <w:color w:val="auto"/>
          <w:sz w:val="24"/>
          <w:szCs w:val="24"/>
          <w:highlight w:val="none"/>
        </w:rPr>
        <w:t>代理机构或评标委员会对其中任何资料进一步审查的要求。</w:t>
      </w:r>
    </w:p>
    <w:p w14:paraId="7AE3718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投标人在投标文件及相关文件的签订、履行、通知等事项的文件中的单位盖章、印章、公章等处均指与当事人全称相一致的标准公章，不得使用其他形式（如带有“专用章”等字样的印章）。不符合本条规定的按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color w:val="auto"/>
          <w:sz w:val="24"/>
          <w:szCs w:val="24"/>
          <w:highlight w:val="none"/>
        </w:rPr>
        <w:t>无效投标</w:t>
      </w:r>
      <w:r>
        <w:rPr>
          <w:rFonts w:hint="eastAsia" w:ascii="宋体" w:hAnsi="宋体" w:eastAsia="宋体" w:cs="宋体"/>
          <w:color w:val="auto"/>
          <w:sz w:val="24"/>
          <w:szCs w:val="24"/>
          <w:highlight w:val="none"/>
        </w:rPr>
        <w:t>处理。</w:t>
      </w:r>
    </w:p>
    <w:p w14:paraId="323B93D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16.9电子投标文件的编制</w:t>
      </w:r>
    </w:p>
    <w:p w14:paraId="072DFFA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16.9.1电子投标文件需按招标文件要求进行制作编制。投标文件制作时，不同内容按标签提示制作导入，按照招标文件中明确的投标文件目录和格式进行编制，保证目录清晰、内容完整；           </w:t>
      </w:r>
    </w:p>
    <w:p w14:paraId="51F1928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16.9.2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其投标无效</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6B2E6D6A">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08" w:name="_Toc22756"/>
      <w:bookmarkStart w:id="209" w:name="_Toc163492842"/>
      <w:bookmarkStart w:id="210" w:name="_Toc10210"/>
      <w:bookmarkStart w:id="211" w:name="_Toc20626"/>
      <w:bookmarkStart w:id="212" w:name="_Toc155185873"/>
      <w:r>
        <w:rPr>
          <w:rFonts w:hint="eastAsia" w:ascii="宋体" w:hAnsi="宋体" w:eastAsia="宋体" w:cs="宋体"/>
          <w:b/>
          <w:bCs/>
          <w:color w:val="auto"/>
          <w:kern w:val="2"/>
          <w:sz w:val="24"/>
          <w:szCs w:val="24"/>
          <w:highlight w:val="none"/>
          <w:lang w:val="en-US" w:eastAsia="zh-CN" w:bidi="ar-SA"/>
        </w:rPr>
        <w:t>（四）投标</w:t>
      </w:r>
      <w:bookmarkEnd w:id="208"/>
      <w:bookmarkEnd w:id="209"/>
      <w:bookmarkEnd w:id="210"/>
      <w:bookmarkEnd w:id="211"/>
      <w:bookmarkEnd w:id="212"/>
    </w:p>
    <w:p w14:paraId="386CC8E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13" w:name="_Toc32654"/>
      <w:bookmarkStart w:id="214" w:name="_Toc27659"/>
      <w:bookmarkStart w:id="215" w:name="_Toc16487"/>
      <w:bookmarkStart w:id="216" w:name="_Toc163492843"/>
      <w:r>
        <w:rPr>
          <w:rFonts w:hint="eastAsia" w:ascii="宋体" w:hAnsi="宋体" w:eastAsia="宋体" w:cs="宋体"/>
          <w:b/>
          <w:bCs/>
          <w:color w:val="auto"/>
          <w:kern w:val="2"/>
          <w:sz w:val="24"/>
          <w:szCs w:val="24"/>
          <w:highlight w:val="none"/>
          <w:lang w:val="en-US" w:eastAsia="zh-CN" w:bidi="ar-SA"/>
        </w:rPr>
        <w:t>17.投标保证金</w:t>
      </w:r>
      <w:bookmarkEnd w:id="213"/>
      <w:bookmarkEnd w:id="214"/>
      <w:bookmarkEnd w:id="215"/>
    </w:p>
    <w:p w14:paraId="1182B9B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17.1投标人应按照招标文件“第二章 投标人须知前附表”规定的金额及要求提交投标保证金。投标人自愿超额缴纳投标保证金的，投标文件不做无效处理。</w:t>
      </w:r>
    </w:p>
    <w:p w14:paraId="370C7C1E">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17.2提交投标保证金可采用的形式：政府采购法律法规接受的支票、汇票、本票、网上银行支付或者金融机构、担保机构出具的保函等非现金形式。</w:t>
      </w:r>
      <w:r>
        <w:rPr>
          <w:rFonts w:hint="eastAsia" w:ascii="宋体" w:hAnsi="宋体" w:eastAsia="宋体" w:cs="宋体"/>
          <w:color w:val="auto"/>
          <w:kern w:val="2"/>
          <w:sz w:val="24"/>
          <w:szCs w:val="24"/>
          <w:highlight w:val="none"/>
          <w:lang w:val="en-US" w:eastAsia="zh-CN" w:bidi="ar-SA"/>
        </w:rPr>
        <w:t>投标人未按照招标文件要求提交投标保证金的，其</w:t>
      </w:r>
      <w:r>
        <w:rPr>
          <w:rFonts w:hint="eastAsia" w:ascii="宋体" w:hAnsi="宋体" w:eastAsia="宋体" w:cs="宋体"/>
          <w:b/>
          <w:bCs/>
          <w:color w:val="auto"/>
          <w:kern w:val="2"/>
          <w:sz w:val="24"/>
          <w:szCs w:val="24"/>
          <w:highlight w:val="none"/>
          <w:lang w:val="en-US" w:eastAsia="zh-CN" w:bidi="ar-SA"/>
        </w:rPr>
        <w:t>投标无效</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sz w:val="24"/>
          <w:szCs w:val="24"/>
          <w:highlight w:val="none"/>
          <w:lang w:val="en-US" w:eastAsia="zh-CN"/>
        </w:rPr>
        <w:t>投标保证金有效期同投标有效期。</w:t>
      </w:r>
    </w:p>
    <w:p w14:paraId="54BD0912">
      <w:pPr>
        <w:pStyle w:val="10"/>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17.3投标保证金到账（保函提交）截止时间同投标截止时间。以支票、汇票、本票、网上银行支付等形式提交投标保证金的，应在投标截止时间前到账；以金融机构、担保机构出具的保函等形式提交投标保证金的，应在投标截止时间前将投标保证金支付原件扫描后作为投标文件的组成部分与投标文件一起上传。由于到账时间晚于投标截止时间，或者票据错误、印鉴不清等原因导致不能到账的，其</w:t>
      </w:r>
      <w:r>
        <w:rPr>
          <w:rFonts w:hint="eastAsia" w:ascii="宋体" w:hAnsi="宋体" w:eastAsia="宋体" w:cs="宋体"/>
          <w:b/>
          <w:bCs/>
          <w:color w:val="auto"/>
          <w:kern w:val="2"/>
          <w:sz w:val="24"/>
          <w:szCs w:val="24"/>
          <w:highlight w:val="none"/>
          <w:lang w:val="en-US" w:eastAsia="zh-CN"/>
        </w:rPr>
        <w:t>投标无效</w:t>
      </w:r>
      <w:r>
        <w:rPr>
          <w:rFonts w:hint="eastAsia" w:ascii="宋体" w:hAnsi="宋体" w:eastAsia="宋体" w:cs="宋体"/>
          <w:color w:val="auto"/>
          <w:kern w:val="2"/>
          <w:sz w:val="24"/>
          <w:szCs w:val="24"/>
          <w:highlight w:val="none"/>
          <w:lang w:val="en-US" w:eastAsia="zh-CN"/>
        </w:rPr>
        <w:t>。</w:t>
      </w:r>
    </w:p>
    <w:p w14:paraId="27BA1101">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17.4 投标人为联合体的，可以由联合体中的一方或者多方共同提交投标保证金，其提交的投标保证金对联合体各方均具有约束力。 </w:t>
      </w:r>
    </w:p>
    <w:p w14:paraId="45878AF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17.5采购人或者采购代理机构应当在采购活动结束后及时退还投标人的投标保证金，采用银行保函、担保机构担保函等形式递交的投标保证金，经投标人同意后采购人、采购代理机构可以不再退还，但因投标人自身原因导致无法及时退还的除外。未中标投标人的投标保证金应当自中标通知书发出之日起 5 个工作日内退还，中标投标人的投标保证金应当自采购合同签订之日起 5 个工作日内退还。 </w:t>
      </w:r>
    </w:p>
    <w:p w14:paraId="6CFB121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17.6 投标人在投标截止时间前撤回已提交的投标文件的，自收到投标人书面撤回通知之日起 5 个工作日内，退还已收取的投标保证金，但因投标人自身原因导致无法及时退还的除外。 </w:t>
      </w:r>
    </w:p>
    <w:p w14:paraId="5EB3FE3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17.7 终止招标项目已经收取投标保证金的，自终止采购活动后 5 个工作日内退还已收取的投标保证金及其在银行产生的孳息。</w:t>
      </w:r>
    </w:p>
    <w:p w14:paraId="0B6A028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17.8 有下列情形之一的，采购人或采购代理机构可以不予退还投标保证金,</w:t>
      </w:r>
      <w:r>
        <w:rPr>
          <w:rFonts w:hint="eastAsia" w:ascii="宋体" w:hAnsi="宋体" w:eastAsia="宋体" w:cs="宋体"/>
          <w:color w:val="auto"/>
          <w:kern w:val="2"/>
          <w:sz w:val="24"/>
          <w:szCs w:val="24"/>
          <w:highlight w:val="none"/>
        </w:rPr>
        <w:t>情节严重的将其列入不良记录名单</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02F7ADE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17.8.1 </w:t>
      </w:r>
      <w:r>
        <w:rPr>
          <w:rFonts w:hint="eastAsia" w:ascii="宋体" w:hAnsi="宋体" w:eastAsia="宋体" w:cs="宋体"/>
          <w:color w:val="auto"/>
          <w:kern w:val="2"/>
          <w:sz w:val="24"/>
          <w:szCs w:val="24"/>
          <w:highlight w:val="none"/>
        </w:rPr>
        <w:t>开标后在投标有效期内，投标人撤</w:t>
      </w:r>
      <w:r>
        <w:rPr>
          <w:rFonts w:hint="eastAsia" w:ascii="宋体" w:hAnsi="宋体" w:eastAsia="宋体" w:cs="宋体"/>
          <w:color w:val="auto"/>
          <w:kern w:val="2"/>
          <w:sz w:val="24"/>
          <w:szCs w:val="24"/>
          <w:highlight w:val="none"/>
          <w:lang w:val="en-US" w:eastAsia="zh-CN"/>
        </w:rPr>
        <w:t>销</w:t>
      </w:r>
      <w:r>
        <w:rPr>
          <w:rFonts w:hint="eastAsia" w:ascii="宋体" w:hAnsi="宋体" w:eastAsia="宋体" w:cs="宋体"/>
          <w:color w:val="auto"/>
          <w:kern w:val="2"/>
          <w:sz w:val="24"/>
          <w:szCs w:val="24"/>
          <w:highlight w:val="none"/>
        </w:rPr>
        <w:t>其投标</w:t>
      </w:r>
      <w:r>
        <w:rPr>
          <w:rFonts w:hint="eastAsia" w:ascii="宋体" w:hAnsi="宋体" w:eastAsia="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rPr>
        <w:t>；</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36FC9D7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17.8.2 </w:t>
      </w:r>
      <w:r>
        <w:rPr>
          <w:rFonts w:hint="eastAsia" w:ascii="宋体" w:hAnsi="宋体" w:eastAsia="宋体" w:cs="宋体"/>
          <w:color w:val="auto"/>
          <w:kern w:val="2"/>
          <w:sz w:val="24"/>
          <w:szCs w:val="24"/>
          <w:highlight w:val="none"/>
        </w:rPr>
        <w:t>中标后无正当理由不与采购人签订合同的；</w:t>
      </w:r>
    </w:p>
    <w:p w14:paraId="3694295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17.8.3 </w:t>
      </w:r>
      <w:r>
        <w:rPr>
          <w:rFonts w:hint="eastAsia" w:ascii="宋体" w:hAnsi="宋体" w:eastAsia="宋体" w:cs="宋体"/>
          <w:color w:val="auto"/>
          <w:kern w:val="2"/>
          <w:sz w:val="24"/>
          <w:szCs w:val="24"/>
          <w:highlight w:val="none"/>
        </w:rPr>
        <w:t>中标人与采购人订立背离合同实质性内容的其他协议；</w:t>
      </w:r>
    </w:p>
    <w:p w14:paraId="54583F23">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4</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将中标项目转让给他人，或者在投标文件中未说明，且未经采购</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同意，将中标项目分包给他人的；</w:t>
      </w:r>
    </w:p>
    <w:p w14:paraId="433DB211">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5</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存在串通投标行为的；</w:t>
      </w:r>
    </w:p>
    <w:p w14:paraId="0A3E2CC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6</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存在弄虚作假或提供虚假材料谋取中标的；</w:t>
      </w:r>
    </w:p>
    <w:p w14:paraId="3CBF915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7</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投标人其他未按招标文件规定和合同约定履行义务的行为。</w:t>
      </w:r>
    </w:p>
    <w:p w14:paraId="330E240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17.9如开标时投标人对本单位投标保证金缴纳情况有疑义，投标人应在开标结束前向采购人提交书面申请核实保证金缴纳情况。由银行或保险公司核实后出具书面材料予以答复。</w:t>
      </w:r>
    </w:p>
    <w:p w14:paraId="7018BCE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17.10为支持和促进中小企业发展，进一步发挥政府采购政策功能，鼓励投标供应商使用电子保函代替现金缴纳投标保证金，在线完成保函的申请、审核、开票、出函等环节，投标企业注意区分办理保函类型，并确认投标有效期，如采用政采云电子保函，可登录“兵团政府采购网”—顶部通栏“信用融资”或者“兵团政府采购网”首页“政采贷｜电子保函”快捷模块查看：</w:t>
      </w:r>
    </w:p>
    <w:p w14:paraId="1F3A8C5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直达链接（电子保函）：</w:t>
      </w:r>
    </w:p>
    <w:p w14:paraId="15E30E92">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https://jinrong.zcygov.cn/luban/finance/xinjiang?utm=site.site-PC-4838.1473-pc-wsg-customFloatWindow-front.1.b9d627301e6311efb796b33a13fe0d0a</w:t>
      </w:r>
    </w:p>
    <w:p w14:paraId="071DFFA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金融服务支撑热线：</w:t>
      </w:r>
      <w:r>
        <w:rPr>
          <w:rFonts w:hint="eastAsia" w:ascii="宋体" w:hAnsi="宋体" w:eastAsia="宋体" w:cs="宋体"/>
          <w:b/>
          <w:bCs/>
          <w:iCs/>
          <w:color w:val="auto"/>
          <w:kern w:val="2"/>
          <w:sz w:val="24"/>
          <w:szCs w:val="24"/>
          <w:highlight w:val="none"/>
          <w:shd w:val="clear" w:color="auto" w:fill="FFFFFF" w:themeFill="background1"/>
          <w:lang w:val="en-US" w:eastAsia="zh-CN" w:bidi="ar-SA"/>
        </w:rPr>
        <w:t>0991-2661159</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3586E85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0" w:leftChars="200" w:right="0" w:firstLine="60" w:firstLineChars="25"/>
        <w:textAlignment w:val="auto"/>
        <w:rPr>
          <w:rFonts w:hint="eastAsia" w:ascii="宋体" w:hAnsi="宋体" w:eastAsia="宋体" w:cs="宋体"/>
          <w:b/>
          <w:bCs/>
          <w:color w:val="auto"/>
          <w:kern w:val="2"/>
          <w:sz w:val="24"/>
          <w:szCs w:val="24"/>
          <w:highlight w:val="none"/>
          <w:lang w:val="en-US" w:eastAsia="zh-CN" w:bidi="ar-SA"/>
        </w:rPr>
      </w:pPr>
      <w:bookmarkStart w:id="217" w:name="_Toc11437"/>
      <w:bookmarkStart w:id="218" w:name="_Toc27604"/>
      <w:bookmarkStart w:id="219" w:name="_Toc22547"/>
      <w:r>
        <w:rPr>
          <w:rFonts w:hint="eastAsia" w:ascii="宋体" w:hAnsi="宋体" w:eastAsia="宋体" w:cs="宋体"/>
          <w:b/>
          <w:bCs/>
          <w:color w:val="auto"/>
          <w:kern w:val="2"/>
          <w:sz w:val="24"/>
          <w:szCs w:val="24"/>
          <w:highlight w:val="none"/>
          <w:lang w:val="en-US" w:eastAsia="zh-CN" w:bidi="ar-SA"/>
        </w:rPr>
        <w:t>18.投标文件的加密</w:t>
      </w:r>
      <w:bookmarkEnd w:id="216"/>
      <w:bookmarkEnd w:id="217"/>
      <w:bookmarkEnd w:id="218"/>
      <w:bookmarkEnd w:id="219"/>
    </w:p>
    <w:p w14:paraId="7CFFC07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u w:val="single"/>
        </w:rPr>
      </w:pPr>
      <w:bookmarkStart w:id="220" w:name="_Hlk143531864"/>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.1投标人在供应商客户端中生成投标文件并完成签章之后，使用CA证书在供应商客户端中对投标文件进行加密。</w:t>
      </w:r>
    </w:p>
    <w:p w14:paraId="20075D69">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.2投标人应在供应商客户端中对加密的投标文件进行解密验证，以防止投标文件加密异常，在开标时无法解密。</w:t>
      </w:r>
    </w:p>
    <w:p w14:paraId="60E8495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 投标人应保证加密投标文件的CA证书有效期在开标时间之前。若CA证书有效期临近开标时间，建议投标人提前办理CA证书续期，以免开标时无法进行解密。</w:t>
      </w:r>
    </w:p>
    <w:p w14:paraId="4D80B003">
      <w:pPr>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w:t>
      </w:r>
      <w:r>
        <w:rPr>
          <w:rFonts w:hint="eastAsia" w:ascii="宋体" w:hAnsi="宋体" w:eastAsia="宋体" w:cs="宋体"/>
          <w:color w:val="auto"/>
          <w:sz w:val="24"/>
          <w:szCs w:val="24"/>
          <w:highlight w:val="none"/>
          <w:lang w:val="en-US" w:eastAsia="zh-CN"/>
        </w:rPr>
        <w:t>止</w:t>
      </w:r>
      <w:r>
        <w:rPr>
          <w:rFonts w:hint="eastAsia" w:ascii="宋体" w:hAnsi="宋体" w:eastAsia="宋体" w:cs="宋体"/>
          <w:color w:val="auto"/>
          <w:sz w:val="24"/>
          <w:szCs w:val="24"/>
          <w:highlight w:val="none"/>
        </w:rPr>
        <w:t>时间前通过</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rPr>
        <w:t>政府采购网（http://ccgp-bingtuan.gov.cn/）的”政采云登录入口”登录后，将加密电子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（为.jmbs后缀格式）上传到对应项目的指定位置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投标人认为有必要提交的其他资料请于投标截止时间前一并提交。</w:t>
      </w:r>
    </w:p>
    <w:p w14:paraId="7FD09881">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如果投标人未按上述要求</w:t>
      </w:r>
      <w:r>
        <w:rPr>
          <w:rFonts w:hint="eastAsia" w:ascii="宋体" w:hAnsi="宋体" w:eastAsia="宋体" w:cs="宋体"/>
          <w:color w:val="auto"/>
          <w:sz w:val="24"/>
          <w:szCs w:val="24"/>
          <w:highlight w:val="none"/>
          <w:lang w:val="en-US" w:eastAsia="zh-CN"/>
        </w:rPr>
        <w:t>加密并上传</w:t>
      </w:r>
      <w:r>
        <w:rPr>
          <w:rFonts w:hint="eastAsia" w:ascii="宋体" w:hAnsi="宋体" w:eastAsia="宋体" w:cs="宋体"/>
          <w:color w:val="auto"/>
          <w:sz w:val="24"/>
          <w:szCs w:val="24"/>
          <w:highlight w:val="none"/>
        </w:rPr>
        <w:t>，采购代理机构对投标文件的误投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无法解密、传输错误等问题</w:t>
      </w:r>
      <w:r>
        <w:rPr>
          <w:rFonts w:hint="eastAsia" w:ascii="宋体" w:hAnsi="宋体" w:eastAsia="宋体" w:cs="宋体"/>
          <w:color w:val="auto"/>
          <w:sz w:val="24"/>
          <w:szCs w:val="24"/>
          <w:highlight w:val="none"/>
        </w:rPr>
        <w:t>概不负责。对由此造成</w:t>
      </w:r>
      <w:r>
        <w:rPr>
          <w:rFonts w:hint="eastAsia" w:ascii="宋体" w:hAnsi="宋体" w:eastAsia="宋体" w:cs="宋体"/>
          <w:color w:val="auto"/>
          <w:sz w:val="24"/>
          <w:szCs w:val="24"/>
          <w:highlight w:val="none"/>
          <w:lang w:val="en-US" w:eastAsia="zh-CN"/>
        </w:rPr>
        <w:t>无法正常开启</w:t>
      </w:r>
      <w:r>
        <w:rPr>
          <w:rFonts w:hint="eastAsia" w:ascii="宋体" w:hAnsi="宋体" w:eastAsia="宋体" w:cs="宋体"/>
          <w:color w:val="auto"/>
          <w:sz w:val="24"/>
          <w:szCs w:val="24"/>
          <w:highlight w:val="none"/>
        </w:rPr>
        <w:t>的投标文件，采购代理机构有权予以拒绝，并退回投标人。</w:t>
      </w:r>
    </w:p>
    <w:p w14:paraId="23051441">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本项目采用不见面开标，无需提供电子投标文件U盘。</w:t>
      </w:r>
    </w:p>
    <w:bookmarkEnd w:id="220"/>
    <w:p w14:paraId="31ED663E">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21" w:name="_Toc140132777"/>
      <w:bookmarkStart w:id="222" w:name="_Toc18403"/>
      <w:bookmarkStart w:id="223" w:name="_Toc13225"/>
      <w:bookmarkStart w:id="224" w:name="_Toc163492844"/>
      <w:bookmarkStart w:id="225" w:name="_Toc18936"/>
      <w:r>
        <w:rPr>
          <w:rFonts w:hint="eastAsia" w:ascii="宋体" w:hAnsi="宋体" w:eastAsia="宋体" w:cs="宋体"/>
          <w:b/>
          <w:bCs/>
          <w:color w:val="auto"/>
          <w:kern w:val="2"/>
          <w:sz w:val="24"/>
          <w:szCs w:val="24"/>
          <w:highlight w:val="none"/>
          <w:lang w:val="en-US" w:eastAsia="zh-CN" w:bidi="ar-SA"/>
        </w:rPr>
        <w:t>19.投标文件的递交</w:t>
      </w:r>
      <w:bookmarkEnd w:id="221"/>
      <w:r>
        <w:rPr>
          <w:rFonts w:hint="eastAsia" w:ascii="宋体" w:hAnsi="宋体" w:eastAsia="宋体" w:cs="宋体"/>
          <w:b/>
          <w:bCs/>
          <w:color w:val="auto"/>
          <w:kern w:val="2"/>
          <w:sz w:val="24"/>
          <w:szCs w:val="24"/>
          <w:highlight w:val="none"/>
          <w:lang w:val="en-US" w:eastAsia="zh-CN" w:bidi="ar-SA"/>
        </w:rPr>
        <w:t>（上传）</w:t>
      </w:r>
      <w:bookmarkEnd w:id="222"/>
      <w:bookmarkEnd w:id="223"/>
      <w:bookmarkEnd w:id="224"/>
      <w:bookmarkEnd w:id="225"/>
    </w:p>
    <w:p w14:paraId="68ADD5D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bookmarkStart w:id="226" w:name="_Hlk143531977"/>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.1 投标人应在“</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”规定的投标截止时间前递交（上传）投标文件。</w:t>
      </w:r>
    </w:p>
    <w:p w14:paraId="0686D9A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.2 投标人递交（上传）投标文件的地点见“</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p>
    <w:p w14:paraId="6AE6974A">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.3投标人应充分评估集中同时投标带来的网络影响，尽量避开投标高峰时间，错峰进行电子投标。投标人递交全部的投标文件后可在政采云平台（项目采购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投标文件上传）中获取投标文件递交回执单。</w:t>
      </w:r>
    </w:p>
    <w:p w14:paraId="66FB688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.4 投标人应在供应商客户端中下载未加密且完成签章的投标文件妥善保存，以便启动应急开标程序时使用。</w:t>
      </w:r>
    </w:p>
    <w:p w14:paraId="4469D505">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.5投标人所递交的投标文件不予退还。</w:t>
      </w:r>
    </w:p>
    <w:bookmarkEnd w:id="226"/>
    <w:p w14:paraId="6AD70963">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27" w:name="_Toc9803"/>
      <w:bookmarkStart w:id="228" w:name="_Toc19314"/>
      <w:bookmarkStart w:id="229" w:name="_Toc163492845"/>
      <w:bookmarkStart w:id="230" w:name="_Toc19457"/>
      <w:r>
        <w:rPr>
          <w:rFonts w:hint="eastAsia" w:ascii="宋体" w:hAnsi="宋体" w:eastAsia="宋体" w:cs="宋体"/>
          <w:b/>
          <w:bCs/>
          <w:color w:val="auto"/>
          <w:kern w:val="2"/>
          <w:sz w:val="24"/>
          <w:szCs w:val="24"/>
          <w:highlight w:val="none"/>
          <w:lang w:val="en-US" w:eastAsia="zh-CN" w:bidi="ar-SA"/>
        </w:rPr>
        <w:t>20.拒收</w:t>
      </w:r>
      <w:bookmarkEnd w:id="227"/>
      <w:bookmarkEnd w:id="228"/>
      <w:bookmarkEnd w:id="229"/>
      <w:bookmarkEnd w:id="230"/>
    </w:p>
    <w:p w14:paraId="163AD542">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 超过投标文件提交截止时间</w:t>
      </w:r>
      <w:bookmarkStart w:id="231" w:name="_Hlk143532404"/>
      <w:r>
        <w:rPr>
          <w:rFonts w:hint="eastAsia" w:ascii="宋体" w:hAnsi="宋体" w:eastAsia="宋体" w:cs="宋体"/>
          <w:color w:val="auto"/>
          <w:sz w:val="24"/>
          <w:szCs w:val="24"/>
          <w:highlight w:val="none"/>
        </w:rPr>
        <w:t>或者不按照本章要求加密的投标文件，交易系统应当拒收</w:t>
      </w:r>
      <w:bookmarkEnd w:id="231"/>
      <w:r>
        <w:rPr>
          <w:rFonts w:hint="eastAsia" w:ascii="宋体" w:hAnsi="宋体" w:eastAsia="宋体" w:cs="宋体"/>
          <w:color w:val="auto"/>
          <w:sz w:val="24"/>
          <w:szCs w:val="24"/>
          <w:highlight w:val="none"/>
        </w:rPr>
        <w:t>。</w:t>
      </w:r>
    </w:p>
    <w:p w14:paraId="03561218">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32" w:name="_Toc17912"/>
      <w:bookmarkStart w:id="233" w:name="_Toc163492846"/>
      <w:bookmarkStart w:id="234" w:name="_Toc31714"/>
      <w:bookmarkStart w:id="235" w:name="_Toc20710"/>
      <w:bookmarkStart w:id="236" w:name="_Toc140132778"/>
      <w:r>
        <w:rPr>
          <w:rFonts w:hint="eastAsia" w:ascii="宋体" w:hAnsi="宋体" w:eastAsia="宋体" w:cs="宋体"/>
          <w:b/>
          <w:bCs/>
          <w:color w:val="auto"/>
          <w:kern w:val="2"/>
          <w:sz w:val="24"/>
          <w:szCs w:val="24"/>
          <w:highlight w:val="none"/>
          <w:lang w:val="en-US" w:eastAsia="zh-CN" w:bidi="ar-SA"/>
        </w:rPr>
        <w:t>21.投标文件的修改与撤回</w:t>
      </w:r>
      <w:bookmarkEnd w:id="232"/>
      <w:bookmarkEnd w:id="233"/>
      <w:bookmarkEnd w:id="234"/>
      <w:bookmarkEnd w:id="235"/>
      <w:bookmarkEnd w:id="236"/>
    </w:p>
    <w:p w14:paraId="7DBF29E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bookmarkStart w:id="237" w:name="_Hlk143532466"/>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规定的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递交截止时间之前，可在兵团政府采购电子交易云平台上随时撤回已上传的电子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，将修改好的电子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递交截止时间前重新上传到兵团政府采购电子交易云平台的</w:t>
      </w:r>
      <w:r>
        <w:rPr>
          <w:rFonts w:hint="eastAsia" w:ascii="宋体" w:hAnsi="宋体" w:eastAsia="宋体" w:cs="宋体"/>
          <w:color w:val="auto"/>
          <w:sz w:val="24"/>
          <w:szCs w:val="24"/>
          <w:highlight w:val="none"/>
          <w:lang w:val="en-US" w:eastAsia="zh-CN"/>
        </w:rPr>
        <w:t>指</w:t>
      </w:r>
      <w:r>
        <w:rPr>
          <w:rFonts w:hint="eastAsia" w:ascii="宋体" w:hAnsi="宋体" w:eastAsia="宋体" w:cs="宋体"/>
          <w:color w:val="auto"/>
          <w:sz w:val="24"/>
          <w:szCs w:val="24"/>
          <w:highlight w:val="none"/>
        </w:rPr>
        <w:t>定位置。</w:t>
      </w:r>
    </w:p>
    <w:bookmarkEnd w:id="237"/>
    <w:p w14:paraId="20434D8C">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38" w:name="_Toc6030"/>
      <w:bookmarkStart w:id="239" w:name="_Toc155185874"/>
      <w:bookmarkStart w:id="240" w:name="_Toc163492847"/>
      <w:bookmarkStart w:id="241" w:name="_Toc18728"/>
      <w:bookmarkStart w:id="242" w:name="_Toc20864"/>
      <w:r>
        <w:rPr>
          <w:rFonts w:hint="eastAsia" w:ascii="宋体" w:hAnsi="宋体" w:eastAsia="宋体" w:cs="宋体"/>
          <w:b/>
          <w:bCs/>
          <w:color w:val="auto"/>
          <w:kern w:val="2"/>
          <w:sz w:val="24"/>
          <w:szCs w:val="24"/>
          <w:highlight w:val="none"/>
          <w:lang w:val="en-US" w:eastAsia="zh-CN" w:bidi="ar-SA"/>
        </w:rPr>
        <w:t>22.实物样品</w:t>
      </w:r>
      <w:bookmarkEnd w:id="238"/>
      <w:bookmarkEnd w:id="239"/>
      <w:bookmarkEnd w:id="240"/>
      <w:bookmarkEnd w:id="241"/>
      <w:bookmarkEnd w:id="242"/>
    </w:p>
    <w:p w14:paraId="52D4EAF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.1“投标人须知前附表”要求提供样品的，样品的具体要求及评审详见“第三章 采购需求”和“第五章 评标</w:t>
      </w:r>
      <w:r>
        <w:rPr>
          <w:rFonts w:hint="eastAsia" w:ascii="宋体" w:hAnsi="宋体" w:eastAsia="宋体" w:cs="宋体"/>
          <w:snapToGrid w:val="0"/>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2D6ED3F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.2样品退还：未中标的投标人应</w:t>
      </w:r>
      <w:r>
        <w:rPr>
          <w:rFonts w:hint="eastAsia" w:ascii="宋体" w:hAnsi="宋体" w:eastAsia="宋体" w:cs="宋体"/>
          <w:color w:val="auto"/>
          <w:sz w:val="24"/>
          <w:szCs w:val="24"/>
          <w:highlight w:val="none"/>
          <w:lang w:val="en-US" w:eastAsia="zh-CN"/>
        </w:rPr>
        <w:t>按照</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自行联系采购人取回投标样品；中标人的样品由采购人进行保管、封存，并作为履约验收的参考（招标文件另有规定的从其规定）。</w:t>
      </w:r>
    </w:p>
    <w:p w14:paraId="7DD3C31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43" w:name="_Toc155185875"/>
      <w:bookmarkStart w:id="244" w:name="_Toc163492848"/>
      <w:bookmarkStart w:id="245" w:name="_Toc30367"/>
      <w:bookmarkStart w:id="246" w:name="_Toc3586"/>
      <w:bookmarkStart w:id="247" w:name="_Toc11533"/>
      <w:r>
        <w:rPr>
          <w:rFonts w:hint="eastAsia" w:ascii="宋体" w:hAnsi="宋体" w:eastAsia="宋体" w:cs="宋体"/>
          <w:b/>
          <w:bCs/>
          <w:color w:val="auto"/>
          <w:kern w:val="2"/>
          <w:sz w:val="24"/>
          <w:szCs w:val="24"/>
          <w:highlight w:val="none"/>
          <w:lang w:val="en-US" w:eastAsia="zh-CN" w:bidi="ar-SA"/>
        </w:rPr>
        <w:t>23.演示</w:t>
      </w:r>
      <w:bookmarkEnd w:id="243"/>
      <w:bookmarkEnd w:id="244"/>
      <w:bookmarkEnd w:id="245"/>
      <w:bookmarkEnd w:id="246"/>
      <w:bookmarkEnd w:id="247"/>
    </w:p>
    <w:p w14:paraId="1A234B3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.1要求投标人进行演示的，演示要求详见“投标人须知前附表”。</w:t>
      </w:r>
    </w:p>
    <w:p w14:paraId="527E903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.2演示的评审详见“第三章 采购需求”和“第五章 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44828689">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48" w:name="_Toc155185876"/>
      <w:bookmarkStart w:id="249" w:name="_Toc13245"/>
      <w:bookmarkStart w:id="250" w:name="_Toc163492849"/>
      <w:bookmarkStart w:id="251" w:name="_Toc23023"/>
      <w:bookmarkStart w:id="252" w:name="_Toc8231"/>
      <w:bookmarkStart w:id="253" w:name="_Toc140132779"/>
      <w:r>
        <w:rPr>
          <w:rFonts w:hint="eastAsia" w:ascii="宋体" w:hAnsi="宋体" w:eastAsia="宋体" w:cs="宋体"/>
          <w:b/>
          <w:bCs/>
          <w:color w:val="auto"/>
          <w:kern w:val="2"/>
          <w:sz w:val="24"/>
          <w:szCs w:val="24"/>
          <w:highlight w:val="none"/>
          <w:lang w:val="en-US" w:eastAsia="zh-CN" w:bidi="ar-SA"/>
        </w:rPr>
        <w:t>（五）开标</w:t>
      </w:r>
      <w:bookmarkEnd w:id="248"/>
      <w:bookmarkEnd w:id="249"/>
      <w:bookmarkEnd w:id="250"/>
      <w:bookmarkEnd w:id="251"/>
      <w:bookmarkEnd w:id="252"/>
      <w:bookmarkEnd w:id="253"/>
    </w:p>
    <w:p w14:paraId="1705A8F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54" w:name="_Toc21393"/>
      <w:bookmarkStart w:id="255" w:name="_Toc22613"/>
      <w:bookmarkStart w:id="256" w:name="_Toc140132780"/>
      <w:bookmarkStart w:id="257" w:name="_Toc163492850"/>
      <w:bookmarkStart w:id="258" w:name="_Toc8612"/>
      <w:r>
        <w:rPr>
          <w:rFonts w:hint="eastAsia" w:ascii="宋体" w:hAnsi="宋体" w:eastAsia="宋体" w:cs="宋体"/>
          <w:b/>
          <w:bCs/>
          <w:color w:val="auto"/>
          <w:kern w:val="2"/>
          <w:sz w:val="24"/>
          <w:szCs w:val="24"/>
          <w:highlight w:val="none"/>
          <w:lang w:val="en-US" w:eastAsia="zh-CN" w:bidi="ar-SA"/>
        </w:rPr>
        <w:t>24.开标会议</w:t>
      </w:r>
      <w:bookmarkEnd w:id="254"/>
      <w:bookmarkEnd w:id="255"/>
      <w:bookmarkEnd w:id="256"/>
      <w:bookmarkEnd w:id="257"/>
      <w:bookmarkEnd w:id="258"/>
    </w:p>
    <w:p w14:paraId="43376441">
      <w:pPr>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eastAsia="zh-CN"/>
        </w:rPr>
      </w:pPr>
      <w:bookmarkStart w:id="259" w:name="_Toc140132781"/>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开标会按“</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”规定的开标时间和地点准时举行，采购人、采购代理机构邀请所有投标人准时参加开标会。投标人应按照</w:t>
      </w:r>
      <w:r>
        <w:rPr>
          <w:rFonts w:hint="eastAsia" w:ascii="宋体" w:hAnsi="宋体" w:eastAsia="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的要求参与</w:t>
      </w:r>
      <w:r>
        <w:rPr>
          <w:rFonts w:hint="eastAsia" w:ascii="宋体" w:hAnsi="宋体" w:eastAsia="宋体" w:cs="宋体"/>
          <w:color w:val="auto"/>
          <w:sz w:val="24"/>
          <w:szCs w:val="24"/>
          <w:highlight w:val="none"/>
          <w:lang w:val="en-US" w:eastAsia="zh-CN"/>
        </w:rPr>
        <w:t>不见面开标</w:t>
      </w:r>
      <w:r>
        <w:rPr>
          <w:rFonts w:hint="eastAsia" w:ascii="宋体" w:hAnsi="宋体" w:eastAsia="宋体" w:cs="宋体"/>
          <w:color w:val="auto"/>
          <w:sz w:val="24"/>
          <w:szCs w:val="24"/>
          <w:highlight w:val="none"/>
        </w:rPr>
        <w:t>。</w:t>
      </w:r>
    </w:p>
    <w:p w14:paraId="60A061F0">
      <w:pPr>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bookmarkEnd w:id="259"/>
      <w:r>
        <w:rPr>
          <w:rFonts w:hint="eastAsia" w:ascii="宋体" w:hAnsi="宋体" w:eastAsia="宋体" w:cs="宋体"/>
          <w:color w:val="auto"/>
          <w:kern w:val="2"/>
          <w:sz w:val="24"/>
          <w:szCs w:val="24"/>
          <w:highlight w:val="none"/>
        </w:rPr>
        <w:t>采购代理机构按照招标文件规定的时间、地点主持开标。采购人在规定的</w:t>
      </w:r>
      <w:r>
        <w:rPr>
          <w:rFonts w:hint="eastAsia" w:ascii="宋体" w:hAnsi="宋体" w:eastAsia="宋体" w:cs="宋体"/>
          <w:color w:val="auto"/>
          <w:kern w:val="2"/>
          <w:sz w:val="24"/>
          <w:szCs w:val="24"/>
          <w:highlight w:val="none"/>
          <w:lang w:eastAsia="zh-CN"/>
        </w:rPr>
        <w:t>投标文件</w:t>
      </w:r>
      <w:r>
        <w:rPr>
          <w:rFonts w:hint="eastAsia" w:ascii="宋体" w:hAnsi="宋体" w:eastAsia="宋体" w:cs="宋体"/>
          <w:color w:val="auto"/>
          <w:kern w:val="2"/>
          <w:sz w:val="24"/>
          <w:szCs w:val="24"/>
          <w:highlight w:val="none"/>
        </w:rPr>
        <w:t>递交截止时间（开标时间）和地点进行不见面远程开标。</w:t>
      </w:r>
      <w:r>
        <w:rPr>
          <w:rFonts w:hint="eastAsia" w:ascii="宋体" w:hAnsi="宋体" w:eastAsia="宋体" w:cs="宋体"/>
          <w:color w:val="auto"/>
          <w:kern w:val="2"/>
          <w:sz w:val="24"/>
          <w:szCs w:val="24"/>
          <w:highlight w:val="none"/>
          <w:lang w:eastAsia="zh-CN"/>
        </w:rPr>
        <w:t>投标人</w:t>
      </w:r>
      <w:r>
        <w:rPr>
          <w:rFonts w:hint="eastAsia" w:ascii="宋体" w:hAnsi="宋体" w:eastAsia="宋体" w:cs="宋体"/>
          <w:color w:val="auto"/>
          <w:kern w:val="2"/>
          <w:sz w:val="24"/>
          <w:szCs w:val="24"/>
          <w:highlight w:val="none"/>
        </w:rPr>
        <w:t>的法定代表人或其委托代理人无需到达开标现场，仅需在任意地点通过</w:t>
      </w:r>
      <w:r>
        <w:rPr>
          <w:rFonts w:hint="eastAsia" w:ascii="宋体" w:hAnsi="宋体" w:eastAsia="宋体" w:cs="宋体"/>
          <w:color w:val="auto"/>
          <w:kern w:val="2"/>
          <w:sz w:val="24"/>
          <w:szCs w:val="24"/>
          <w:highlight w:val="none"/>
          <w:lang w:val="en-US" w:eastAsia="zh-CN"/>
        </w:rPr>
        <w:t>兵团政府采购电子交易云平台（网址：https://www.zcygov.cn/）</w:t>
      </w:r>
      <w:r>
        <w:rPr>
          <w:rFonts w:hint="eastAsia" w:ascii="宋体" w:hAnsi="宋体" w:eastAsia="宋体" w:cs="宋体"/>
          <w:color w:val="auto"/>
          <w:kern w:val="2"/>
          <w:sz w:val="24"/>
          <w:szCs w:val="24"/>
          <w:highlight w:val="none"/>
        </w:rPr>
        <w:t>的</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政采云登录入口”登录后，进入“政采云远程开标大厅”参加开标会议，并使用CA密钥完成远程解密、提疑澄清、开标唱标、结果公布等交互环节。</w:t>
      </w:r>
    </w:p>
    <w:p w14:paraId="4F83B05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 xml:space="preserve">24.3开标过程将宣布投标人名称、投标价格和招标文件规定的需要宣布的其他内容并进行记录，并由参加开标的各投标人确认。投标人未在规定时间内提 出疑义或确认一览表的，视同认可开标结果。 </w:t>
      </w:r>
    </w:p>
    <w:p w14:paraId="63FB5E6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60" w:name="_Toc6135"/>
      <w:bookmarkStart w:id="261" w:name="_Toc140132783"/>
      <w:bookmarkStart w:id="262" w:name="_Toc22024"/>
      <w:bookmarkStart w:id="263" w:name="_Toc163492852"/>
      <w:bookmarkStart w:id="264" w:name="_Toc30858"/>
      <w:r>
        <w:rPr>
          <w:rFonts w:hint="eastAsia" w:ascii="宋体" w:hAnsi="宋体" w:eastAsia="宋体" w:cs="宋体"/>
          <w:b/>
          <w:bCs/>
          <w:color w:val="auto"/>
          <w:kern w:val="2"/>
          <w:sz w:val="24"/>
          <w:szCs w:val="24"/>
          <w:highlight w:val="none"/>
          <w:lang w:val="en-US" w:eastAsia="zh-CN" w:bidi="ar-SA"/>
        </w:rPr>
        <w:t>25.开标程序</w:t>
      </w:r>
      <w:bookmarkEnd w:id="260"/>
      <w:bookmarkEnd w:id="261"/>
      <w:bookmarkEnd w:id="262"/>
      <w:bookmarkEnd w:id="263"/>
      <w:bookmarkEnd w:id="264"/>
    </w:p>
    <w:p w14:paraId="60F7948B">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 投标人不足3家的，不得开标。</w:t>
      </w:r>
    </w:p>
    <w:p w14:paraId="5B4EFA6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 评标委员会成员不得参加开标活动。</w:t>
      </w:r>
    </w:p>
    <w:p w14:paraId="6EDD80B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.3主持人按下列程序进行开标：</w:t>
      </w:r>
    </w:p>
    <w:p w14:paraId="02BF780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（1）宣布开标会纪律；</w:t>
      </w:r>
    </w:p>
    <w:p w14:paraId="06FE859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（2）介绍参加开标会的单位和人员；</w:t>
      </w:r>
    </w:p>
    <w:p w14:paraId="69CFC68B">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（3）发起投标文件解密。投标人应在“投标人须知前附表”规定的时间内使用加密投标文件的CA证书在系统中完成投标文件的解密；</w:t>
      </w:r>
    </w:p>
    <w:p w14:paraId="30C058B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（4）解密完成后，系统自动显示投标人名称、投标价格和招标文件规定的需要宣布的其他内容；</w:t>
      </w:r>
    </w:p>
    <w:p w14:paraId="102D4E44">
      <w:pPr>
        <w:keepNext w:val="0"/>
        <w:keepLines w:val="0"/>
        <w:pageBreakBefore w:val="0"/>
        <w:widowControl w:val="0"/>
        <w:kinsoku/>
        <w:overflowPunct/>
        <w:topLinePunct w:val="0"/>
        <w:autoSpaceDE/>
        <w:autoSpaceDN/>
        <w:bidi w:val="0"/>
        <w:adjustRightInd/>
        <w:spacing w:beforeAutospacing="0" w:afterAutospacing="0" w:line="560" w:lineRule="exact"/>
        <w:ind w:left="84" w:leftChars="0" w:right="0" w:hanging="84" w:hangingChars="3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（5）系统自动生成开标记录表，供应商应在线对开标记录进行签署确认</w:t>
      </w:r>
      <w:r>
        <w:rPr>
          <w:rFonts w:hint="eastAsia" w:ascii="宋体" w:hAnsi="宋体" w:eastAsia="宋体" w:cs="宋体"/>
          <w:color w:val="auto"/>
          <w:sz w:val="24"/>
          <w:szCs w:val="24"/>
          <w:highlight w:val="none"/>
          <w:lang w:val="en-US" w:eastAsia="zh-CN"/>
        </w:rPr>
        <w:t>；</w:t>
      </w:r>
    </w:p>
    <w:p w14:paraId="1E68785D">
      <w:pPr>
        <w:keepNext w:val="0"/>
        <w:keepLines w:val="0"/>
        <w:pageBreakBefore w:val="0"/>
        <w:widowControl w:val="0"/>
        <w:kinsoku/>
        <w:overflowPunct/>
        <w:topLinePunct w:val="0"/>
        <w:autoSpaceDE/>
        <w:autoSpaceDN/>
        <w:bidi w:val="0"/>
        <w:adjustRightInd/>
        <w:spacing w:beforeAutospacing="0" w:afterAutospacing="0" w:line="560" w:lineRule="exact"/>
        <w:ind w:left="84" w:leftChars="0" w:right="0" w:hanging="84" w:hangingChars="3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（6）开标会结束。</w:t>
      </w:r>
      <w:bookmarkStart w:id="265" w:name="_Toc163492853"/>
      <w:bookmarkStart w:id="266" w:name="_Toc140132784"/>
    </w:p>
    <w:p w14:paraId="459D358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67" w:name="_Toc8830"/>
      <w:bookmarkStart w:id="268" w:name="_Toc8444"/>
      <w:bookmarkStart w:id="269" w:name="_Toc6699"/>
      <w:r>
        <w:rPr>
          <w:rFonts w:hint="eastAsia" w:ascii="宋体" w:hAnsi="宋体" w:eastAsia="宋体" w:cs="宋体"/>
          <w:b/>
          <w:bCs/>
          <w:color w:val="auto"/>
          <w:kern w:val="2"/>
          <w:sz w:val="24"/>
          <w:szCs w:val="24"/>
          <w:highlight w:val="none"/>
          <w:lang w:val="en-US" w:eastAsia="zh-CN" w:bidi="ar-SA"/>
        </w:rPr>
        <w:t>26.开标疑义及回避情形</w:t>
      </w:r>
      <w:bookmarkEnd w:id="265"/>
      <w:bookmarkEnd w:id="266"/>
      <w:bookmarkEnd w:id="267"/>
      <w:bookmarkEnd w:id="268"/>
      <w:bookmarkEnd w:id="269"/>
    </w:p>
    <w:p w14:paraId="04573EB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投标人代表对开标过程和开标记录有疑义，以及认为采购人、采购代理机构相关工作人员有需要回避的情形的，应在开标会议中提出询问或者回避申请。采购人、采购代理机构对投标人授权代表提出的询问或者回避申请应当及时处理。</w:t>
      </w:r>
    </w:p>
    <w:p w14:paraId="4E69EE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.2投标人未参加开标的，视同认可开标结果。</w:t>
      </w:r>
    </w:p>
    <w:p w14:paraId="55D243EF">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70" w:name="_Toc15018"/>
      <w:bookmarkStart w:id="271" w:name="_Toc9049"/>
      <w:bookmarkStart w:id="272" w:name="_Toc140132785"/>
      <w:bookmarkStart w:id="273" w:name="_Toc155185877"/>
      <w:bookmarkStart w:id="274" w:name="_Toc163492854"/>
      <w:bookmarkStart w:id="275" w:name="_Toc22271"/>
      <w:r>
        <w:rPr>
          <w:rFonts w:hint="eastAsia" w:ascii="宋体" w:hAnsi="宋体" w:eastAsia="宋体" w:cs="宋体"/>
          <w:b/>
          <w:bCs/>
          <w:color w:val="auto"/>
          <w:kern w:val="2"/>
          <w:sz w:val="24"/>
          <w:szCs w:val="24"/>
          <w:highlight w:val="none"/>
          <w:lang w:val="en-US" w:eastAsia="zh-CN" w:bidi="ar-SA"/>
        </w:rPr>
        <w:t>（六）资格审查</w:t>
      </w:r>
      <w:bookmarkEnd w:id="270"/>
      <w:bookmarkEnd w:id="271"/>
      <w:bookmarkEnd w:id="272"/>
      <w:bookmarkEnd w:id="273"/>
      <w:bookmarkEnd w:id="274"/>
      <w:bookmarkEnd w:id="275"/>
    </w:p>
    <w:p w14:paraId="2C1B5FD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76" w:name="_Toc16245"/>
      <w:bookmarkStart w:id="277" w:name="_Toc9539"/>
      <w:bookmarkStart w:id="278" w:name="_Toc507"/>
      <w:bookmarkStart w:id="279" w:name="_Toc163492855"/>
      <w:r>
        <w:rPr>
          <w:rFonts w:hint="eastAsia" w:ascii="宋体" w:hAnsi="宋体" w:eastAsia="宋体" w:cs="宋体"/>
          <w:b/>
          <w:bCs/>
          <w:color w:val="auto"/>
          <w:kern w:val="2"/>
          <w:sz w:val="24"/>
          <w:szCs w:val="24"/>
          <w:highlight w:val="none"/>
          <w:lang w:val="en-US" w:eastAsia="zh-CN" w:bidi="ar-SA"/>
        </w:rPr>
        <w:t>27.资格审查及审查主体</w:t>
      </w:r>
      <w:bookmarkEnd w:id="276"/>
      <w:bookmarkEnd w:id="277"/>
      <w:bookmarkEnd w:id="278"/>
      <w:bookmarkEnd w:id="279"/>
    </w:p>
    <w:p w14:paraId="3F6E8AD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280" w:name="_Toc140132786"/>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bookmarkEnd w:id="280"/>
      <w:r>
        <w:rPr>
          <w:rFonts w:hint="eastAsia" w:ascii="宋体" w:hAnsi="宋体" w:eastAsia="宋体" w:cs="宋体"/>
          <w:color w:val="auto"/>
          <w:sz w:val="24"/>
          <w:szCs w:val="24"/>
          <w:highlight w:val="none"/>
        </w:rPr>
        <w:t>开标结束后，采购人或者采购代理机构应当依法对投标人的资格进行审查。</w:t>
      </w:r>
    </w:p>
    <w:p w14:paraId="6F7626D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281" w:name="_Toc140132787"/>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.2资格审查按“第四章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资格审查”的规定进行。</w:t>
      </w:r>
      <w:bookmarkEnd w:id="281"/>
    </w:p>
    <w:p w14:paraId="44D43B8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282" w:name="_Toc140132788"/>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.3资格审查结束后，应及时对资格审查结果进行复核，对资格审查错误进行及时纠正并记录。</w:t>
      </w:r>
      <w:bookmarkEnd w:id="282"/>
    </w:p>
    <w:p w14:paraId="272F167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27.4</w:t>
      </w:r>
      <w:r>
        <w:rPr>
          <w:rFonts w:hint="eastAsia" w:ascii="宋体" w:hAnsi="宋体" w:eastAsia="宋体" w:cs="宋体"/>
          <w:color w:val="auto"/>
          <w:sz w:val="24"/>
          <w:szCs w:val="24"/>
          <w:highlight w:val="none"/>
        </w:rPr>
        <w:t>资格审查合格投标人不足3家的，不得评标。</w:t>
      </w:r>
    </w:p>
    <w:p w14:paraId="7A1F7D21">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83" w:name="_Toc11390"/>
      <w:bookmarkStart w:id="284" w:name="_Toc163492856"/>
      <w:bookmarkStart w:id="285" w:name="_Toc155185878"/>
      <w:bookmarkStart w:id="286" w:name="_Toc3464"/>
      <w:bookmarkStart w:id="287" w:name="_Toc9489"/>
      <w:bookmarkStart w:id="288" w:name="_Toc140132789"/>
      <w:r>
        <w:rPr>
          <w:rFonts w:hint="eastAsia" w:ascii="宋体" w:hAnsi="宋体" w:eastAsia="宋体" w:cs="宋体"/>
          <w:b/>
          <w:bCs/>
          <w:color w:val="auto"/>
          <w:kern w:val="2"/>
          <w:sz w:val="24"/>
          <w:szCs w:val="24"/>
          <w:highlight w:val="none"/>
          <w:lang w:val="en-US" w:eastAsia="zh-CN" w:bidi="ar-SA"/>
        </w:rPr>
        <w:t>（七）评标</w:t>
      </w:r>
      <w:bookmarkEnd w:id="283"/>
      <w:bookmarkEnd w:id="284"/>
      <w:bookmarkEnd w:id="285"/>
      <w:bookmarkEnd w:id="286"/>
      <w:bookmarkEnd w:id="287"/>
      <w:bookmarkEnd w:id="288"/>
    </w:p>
    <w:p w14:paraId="7EBE7ABE">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89" w:name="_Toc140132790"/>
      <w:bookmarkStart w:id="290" w:name="_Toc163492857"/>
      <w:bookmarkStart w:id="291" w:name="_Toc13920"/>
      <w:bookmarkStart w:id="292" w:name="_Toc14310"/>
      <w:bookmarkStart w:id="293" w:name="_Toc195"/>
      <w:r>
        <w:rPr>
          <w:rFonts w:hint="eastAsia" w:ascii="宋体" w:hAnsi="宋体" w:eastAsia="宋体" w:cs="宋体"/>
          <w:b/>
          <w:bCs/>
          <w:color w:val="auto"/>
          <w:kern w:val="2"/>
          <w:sz w:val="24"/>
          <w:szCs w:val="24"/>
          <w:highlight w:val="none"/>
          <w:lang w:val="en-US" w:eastAsia="zh-CN" w:bidi="ar-SA"/>
        </w:rPr>
        <w:t>28.评标委员会</w:t>
      </w:r>
      <w:bookmarkEnd w:id="289"/>
      <w:bookmarkEnd w:id="290"/>
      <w:bookmarkEnd w:id="291"/>
      <w:bookmarkEnd w:id="292"/>
      <w:bookmarkEnd w:id="293"/>
    </w:p>
    <w:p w14:paraId="1EA2B13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评标由采购人依法组建的评标委员会负责。评标委员会由采购人代表和评审专家组成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成员人数应当为5</w:t>
      </w:r>
      <w:r>
        <w:rPr>
          <w:rFonts w:hint="eastAsia" w:ascii="宋体" w:hAnsi="宋体" w:eastAsia="宋体" w:cs="宋体"/>
          <w:color w:val="auto"/>
          <w:sz w:val="24"/>
          <w:szCs w:val="24"/>
          <w:highlight w:val="none"/>
        </w:rPr>
        <w:t>人以上单数，其中</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专家不</w:t>
      </w:r>
      <w:r>
        <w:rPr>
          <w:rFonts w:hint="eastAsia"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rPr>
        <w:t>少于</w:t>
      </w:r>
      <w:r>
        <w:rPr>
          <w:rFonts w:hint="eastAsia" w:ascii="宋体" w:hAnsi="宋体" w:eastAsia="宋体" w:cs="宋体"/>
          <w:color w:val="auto"/>
          <w:sz w:val="24"/>
          <w:szCs w:val="24"/>
          <w:highlight w:val="none"/>
          <w:lang w:val="en-US" w:eastAsia="zh-CN"/>
        </w:rPr>
        <w:t>成员总数的</w:t>
      </w:r>
      <w:r>
        <w:rPr>
          <w:rFonts w:hint="eastAsia" w:ascii="宋体" w:hAnsi="宋体" w:eastAsia="宋体" w:cs="宋体"/>
          <w:color w:val="auto"/>
          <w:sz w:val="24"/>
          <w:szCs w:val="24"/>
          <w:highlight w:val="none"/>
        </w:rPr>
        <w:t>三分之二。</w:t>
      </w:r>
      <w:r>
        <w:rPr>
          <w:rFonts w:hint="eastAsia" w:ascii="宋体" w:hAnsi="宋体" w:eastAsia="宋体" w:cs="宋体"/>
          <w:color w:val="auto"/>
          <w:sz w:val="24"/>
          <w:szCs w:val="24"/>
          <w:highlight w:val="none"/>
          <w:lang w:val="en-US" w:eastAsia="zh-CN"/>
        </w:rPr>
        <w:t>采购人或者采购代理机构应当从省级以上财政部门设立的政府采购评审专家库中，通过随机方式抽取评审专家。</w:t>
      </w:r>
    </w:p>
    <w:p w14:paraId="32DE78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28.2 采购项目符合下列情形之一的，评标委员会成员人数应当为7人以上单数：</w:t>
      </w:r>
    </w:p>
    <w:p w14:paraId="05C639B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（1）采购预算金额在1000万元以上；</w:t>
      </w:r>
    </w:p>
    <w:p w14:paraId="67DFE62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（2）技术复杂；</w:t>
      </w:r>
    </w:p>
    <w:p w14:paraId="6B9FB10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（3）社会影响较大。</w:t>
      </w:r>
    </w:p>
    <w:p w14:paraId="4590A67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28.3评审专家对本单位的采购项目只能作为采购人代表参与评标，对技术复杂、专业性强的采购项目，通过随机方式难以确定合适评审专家的，经主管预算单位同意，采购人可以自行选定相应专业领域的评审专家。采购代理机构工作人员不得参加由本机构代理的政府采购项目的评标。</w:t>
      </w:r>
    </w:p>
    <w:p w14:paraId="16E9280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28.4评标委员会成员名单在评标结果公告前应当保密。</w:t>
      </w:r>
    </w:p>
    <w:p w14:paraId="2F8842E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28.5评标中因评标委员会成员缺席、回避或者健康等特殊原因导致评标委员会组成不符合本办法规定的，采购人或者采购代理机构应当依法补足后继续评标。被更换的评标委员会成员所作出的评标意见无效。</w:t>
      </w:r>
    </w:p>
    <w:p w14:paraId="28948BF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28.6无法及时补足评标委员会成员的，采购人或者采购代理机构应当停止评标活动，封存所有投标文件和开标、评标资料，依法重新组建评标委员会进行评标。原评标委员会所作出的评标意见无效。</w:t>
      </w:r>
    </w:p>
    <w:p w14:paraId="320EF10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评标委员会成员有下列情形之一的，应当回避：</w:t>
      </w:r>
    </w:p>
    <w:p w14:paraId="5366671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（1）参加采购活动前3年内与投标人存在劳动关系；</w:t>
      </w:r>
    </w:p>
    <w:p w14:paraId="4B33BA4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（2）参加采购活动前3年内担任投标人的董事、监事；</w:t>
      </w:r>
    </w:p>
    <w:p w14:paraId="271CA22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（3）参加采购活动前3年内是投标人的控股股东或实际控制人；</w:t>
      </w:r>
    </w:p>
    <w:p w14:paraId="0F31540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（4）与投标人的法定代表人或者负责人有夫妻、直系血亲、三代以内旁系血亲或者近姻亲关系；</w:t>
      </w:r>
    </w:p>
    <w:p w14:paraId="20FB9B7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（5）与投标人有其他可能影响采购活动公平、公正进行的关系。</w:t>
      </w:r>
    </w:p>
    <w:p w14:paraId="25BEA5A7">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94" w:name="_Toc140132791"/>
      <w:bookmarkStart w:id="295" w:name="_Toc7854"/>
      <w:bookmarkStart w:id="296" w:name="_Toc167"/>
      <w:bookmarkStart w:id="297" w:name="_Toc163492858"/>
      <w:bookmarkStart w:id="298" w:name="_Toc4052"/>
      <w:r>
        <w:rPr>
          <w:rFonts w:hint="eastAsia" w:ascii="宋体" w:hAnsi="宋体" w:eastAsia="宋体" w:cs="宋体"/>
          <w:b/>
          <w:bCs/>
          <w:color w:val="auto"/>
          <w:kern w:val="2"/>
          <w:sz w:val="24"/>
          <w:szCs w:val="24"/>
          <w:highlight w:val="none"/>
          <w:lang w:val="en-US" w:eastAsia="zh-CN" w:bidi="ar-SA"/>
        </w:rPr>
        <w:t>29.评标</w:t>
      </w:r>
      <w:bookmarkEnd w:id="294"/>
      <w:bookmarkEnd w:id="295"/>
      <w:bookmarkEnd w:id="296"/>
      <w:bookmarkEnd w:id="297"/>
      <w:bookmarkEnd w:id="298"/>
    </w:p>
    <w:p w14:paraId="6D0B095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 xml:space="preserve"> 评标方法分为综合评分法和</w:t>
      </w:r>
      <w:r>
        <w:rPr>
          <w:rFonts w:hint="eastAsia" w:ascii="宋体" w:hAnsi="宋体" w:eastAsia="宋体" w:cs="宋体"/>
          <w:color w:val="auto"/>
          <w:sz w:val="24"/>
          <w:szCs w:val="24"/>
          <w:highlight w:val="none"/>
        </w:rPr>
        <w:t>最低评标价法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本项目评标</w:t>
      </w:r>
      <w:r>
        <w:rPr>
          <w:rFonts w:hint="eastAsia" w:ascii="宋体" w:hAnsi="宋体" w:eastAsia="宋体" w:cs="宋体"/>
          <w:color w:val="auto"/>
          <w:sz w:val="24"/>
          <w:szCs w:val="24"/>
          <w:highlight w:val="none"/>
          <w:lang w:val="en-US" w:eastAsia="zh-CN"/>
        </w:rPr>
        <w:t>方法详见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eastAsia="zh-CN"/>
        </w:rPr>
        <w:t>。</w:t>
      </w:r>
    </w:p>
    <w:p w14:paraId="2BC22B3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9.1.1</w:t>
      </w:r>
      <w:r>
        <w:rPr>
          <w:rFonts w:hint="eastAsia" w:ascii="宋体" w:hAnsi="宋体" w:eastAsia="宋体" w:cs="宋体"/>
          <w:color w:val="auto"/>
          <w:sz w:val="24"/>
          <w:szCs w:val="24"/>
          <w:highlight w:val="none"/>
        </w:rPr>
        <w:t>综合评分法，是指投标文件满足招标文件全部实质性要求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且按照评审因素的量化指标评审得分最高的投标人为中标候选人的评标方法。</w:t>
      </w:r>
    </w:p>
    <w:p w14:paraId="0E3867E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29.1.2.</w:t>
      </w:r>
      <w:r>
        <w:rPr>
          <w:rFonts w:hint="eastAsia" w:ascii="宋体" w:hAnsi="宋体" w:eastAsia="宋体" w:cs="宋体"/>
          <w:color w:val="auto"/>
          <w:sz w:val="24"/>
          <w:szCs w:val="24"/>
          <w:highlight w:val="none"/>
        </w:rPr>
        <w:t>最低评标价法，是指投标文件满足招标文件全部实质性要求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且投标报价最低的投标人为中标候选人的评标方法。</w:t>
      </w:r>
    </w:p>
    <w:p w14:paraId="418DE4C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2 </w:t>
      </w:r>
      <w:r>
        <w:rPr>
          <w:rFonts w:hint="eastAsia" w:ascii="宋体" w:hAnsi="宋体" w:eastAsia="宋体" w:cs="宋体"/>
          <w:color w:val="auto"/>
          <w:sz w:val="24"/>
          <w:szCs w:val="24"/>
          <w:highlight w:val="none"/>
        </w:rPr>
        <w:t>评标委员会按照“第五章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规定对投标文件进行评审。“第五章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法及标准”没有规定的方法、评审因素和标准，不作为评标依据。</w:t>
      </w:r>
    </w:p>
    <w:p w14:paraId="1A9007D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评标委员会按“投标人须知前附表”规定的中标候选人数量在评标报告中向采购人推荐中标候选人。</w:t>
      </w:r>
    </w:p>
    <w:p w14:paraId="1E63454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29.4 开标之后，直到签订合同止，凡是属于审查、澄清、评价和比较投标的有关资料以及定标意向等，均不得向投标人或者其他与评标无关的人员透露。</w:t>
      </w:r>
    </w:p>
    <w:p w14:paraId="57927CB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29.5 在确定中标人之前，投标人试图在投标文件审查、澄清、比较和评标时对评标委员会、采购人和采购代理机构施加任何影响都可能导致其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32A3200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 电子招投标的应急措施</w:t>
      </w:r>
    </w:p>
    <w:p w14:paraId="52525CD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29.6.1电子开标、评标如出现下列原因，导致系统无法正常运行或无法正常评标时，应采取应急措施。</w:t>
      </w:r>
    </w:p>
    <w:p w14:paraId="3D99F56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（1）系统服务器发生故障，无法访问或无法使用系统；</w:t>
      </w:r>
    </w:p>
    <w:p w14:paraId="518B308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（2）系统的软件或数据库出现错误，不能进行正常操作；</w:t>
      </w:r>
    </w:p>
    <w:p w14:paraId="657BA7B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（3）系统发现有安全漏洞，有潜在的泄密危险；</w:t>
      </w:r>
    </w:p>
    <w:p w14:paraId="26B1539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（4）病毒发作或受到外来病毒的攻击；</w:t>
      </w:r>
    </w:p>
    <w:p w14:paraId="6BCA43D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（5）出现其他不可抗拒的客观原因造成开评标系统无法正常使用。</w:t>
      </w:r>
    </w:p>
    <w:p w14:paraId="2BA3CE0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出现上述情况时，应对未开标的暂停开标。已在系统内开标、评标的立即停止。采取应急措施时，必须对原有资料及信息作出妥善保密处理。</w:t>
      </w:r>
    </w:p>
    <w:p w14:paraId="791CC4F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29.6.2因系统原因导致投标人均无法解密电子投标文件时，采购代理机构可在开标现场直接导入投标人在投标截止时间前递交的未加密的电子投标文件进行开标、评标。</w:t>
      </w:r>
    </w:p>
    <w:p w14:paraId="28CD45E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29.7 投标人瑕疵滞后发现的处理规则</w:t>
      </w:r>
    </w:p>
    <w:p w14:paraId="11E85EA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29.7.1无论基于何种原因，各项本应作</w:t>
      </w:r>
      <w:r>
        <w:rPr>
          <w:rFonts w:hint="eastAsia" w:ascii="宋体" w:hAnsi="宋体" w:eastAsia="宋体" w:cs="宋体"/>
          <w:b/>
          <w:bCs/>
          <w:color w:val="auto"/>
          <w:sz w:val="24"/>
          <w:szCs w:val="24"/>
          <w:highlight w:val="none"/>
          <w:lang w:val="en-US" w:eastAsia="zh-CN"/>
        </w:rPr>
        <w:t>无效投标</w:t>
      </w:r>
      <w:r>
        <w:rPr>
          <w:rFonts w:hint="eastAsia" w:ascii="宋体" w:hAnsi="宋体" w:eastAsia="宋体" w:cs="宋体"/>
          <w:color w:val="auto"/>
          <w:sz w:val="24"/>
          <w:szCs w:val="24"/>
          <w:highlight w:val="none"/>
          <w:lang w:val="en-US" w:eastAsia="zh-CN"/>
        </w:rPr>
        <w:t>处理的情形即便未被及时发现而使该投标人进入初审、综合评审或其他后续程序，包括已经签订合同的情形，一旦该投标人的投标作无效投标处理或该投标人的此前评议结果被取消，其现有的位置将被其他投标人依序替代，相关的一切损失均由该投标人承担。</w:t>
      </w:r>
    </w:p>
    <w:p w14:paraId="34027149">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299" w:name="_Toc16712"/>
      <w:bookmarkStart w:id="300" w:name="_Toc24173"/>
      <w:bookmarkStart w:id="301" w:name="_Toc140132792"/>
      <w:bookmarkStart w:id="302" w:name="_Toc163492859"/>
      <w:bookmarkStart w:id="303" w:name="_Toc11591"/>
      <w:bookmarkStart w:id="304" w:name="_Toc155185879"/>
      <w:r>
        <w:rPr>
          <w:rFonts w:hint="eastAsia" w:ascii="宋体" w:hAnsi="宋体" w:eastAsia="宋体" w:cs="宋体"/>
          <w:b/>
          <w:bCs/>
          <w:color w:val="auto"/>
          <w:kern w:val="2"/>
          <w:sz w:val="24"/>
          <w:szCs w:val="24"/>
          <w:highlight w:val="none"/>
          <w:lang w:val="en-US" w:eastAsia="zh-CN" w:bidi="ar-SA"/>
        </w:rPr>
        <w:t>（八）中标</w:t>
      </w:r>
      <w:bookmarkEnd w:id="299"/>
      <w:bookmarkEnd w:id="300"/>
      <w:bookmarkEnd w:id="301"/>
      <w:bookmarkEnd w:id="302"/>
      <w:bookmarkEnd w:id="303"/>
      <w:bookmarkEnd w:id="304"/>
    </w:p>
    <w:p w14:paraId="37B6B95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en-US" w:eastAsia="zh-CN" w:bidi="ar-SA"/>
        </w:rPr>
      </w:pPr>
      <w:bookmarkStart w:id="305" w:name="_Toc18980"/>
      <w:bookmarkStart w:id="306" w:name="_Toc140132793"/>
      <w:bookmarkStart w:id="307" w:name="_Toc163492860"/>
      <w:bookmarkStart w:id="308" w:name="_Toc11832"/>
      <w:bookmarkStart w:id="309" w:name="_Toc5728"/>
      <w:r>
        <w:rPr>
          <w:rFonts w:hint="eastAsia" w:ascii="宋体" w:hAnsi="宋体" w:eastAsia="宋体" w:cs="宋体"/>
          <w:b/>
          <w:bCs/>
          <w:color w:val="auto"/>
          <w:kern w:val="2"/>
          <w:sz w:val="24"/>
          <w:szCs w:val="24"/>
          <w:highlight w:val="none"/>
          <w:lang w:val="en-US" w:eastAsia="zh-CN" w:bidi="ar-SA"/>
        </w:rPr>
        <w:t>30.确定中标人</w:t>
      </w:r>
      <w:bookmarkEnd w:id="305"/>
      <w:bookmarkEnd w:id="306"/>
      <w:bookmarkEnd w:id="307"/>
      <w:bookmarkEnd w:id="308"/>
      <w:bookmarkEnd w:id="309"/>
    </w:p>
    <w:p w14:paraId="23CC2B81">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30.1</w:t>
      </w:r>
      <w:r>
        <w:rPr>
          <w:rFonts w:hint="eastAsia" w:ascii="宋体" w:hAnsi="宋体" w:eastAsia="宋体" w:cs="宋体"/>
          <w:color w:val="auto"/>
          <w:kern w:val="0"/>
          <w:sz w:val="24"/>
          <w:szCs w:val="24"/>
          <w:highlight w:val="none"/>
          <w:lang w:val="en-US" w:eastAsia="zh-CN" w:bidi="ar"/>
        </w:rPr>
        <w:t>采购人将在评标报告确定的中标候选人名单中按顺序确定中标人，中标候选人并列的，按照</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kern w:val="0"/>
          <w:sz w:val="24"/>
          <w:szCs w:val="24"/>
          <w:highlight w:val="none"/>
          <w:lang w:val="en-US" w:eastAsia="zh-CN" w:bidi="ar"/>
        </w:rPr>
        <w:t>确定中标人；招标文件未规定的，采取随机抽取的方式确定。采购人是否委托评标委员会直接确定中标人，见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kern w:val="0"/>
          <w:sz w:val="24"/>
          <w:szCs w:val="24"/>
          <w:highlight w:val="none"/>
          <w:lang w:val="en-US" w:eastAsia="zh-CN" w:bidi="ar"/>
        </w:rPr>
        <w:t>。</w:t>
      </w:r>
    </w:p>
    <w:p w14:paraId="1897145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0" w:name="_Toc163492861"/>
      <w:bookmarkStart w:id="311" w:name="_Toc15642"/>
      <w:bookmarkStart w:id="312" w:name="_Toc140132794"/>
      <w:bookmarkStart w:id="313" w:name="_Toc16181"/>
      <w:bookmarkStart w:id="314" w:name="_Toc6680"/>
      <w:r>
        <w:rPr>
          <w:rFonts w:hint="eastAsia" w:ascii="宋体" w:hAnsi="宋体" w:eastAsia="宋体" w:cs="宋体"/>
          <w:b/>
          <w:bCs/>
          <w:color w:val="auto"/>
          <w:kern w:val="2"/>
          <w:sz w:val="24"/>
          <w:szCs w:val="24"/>
          <w:highlight w:val="none"/>
          <w:lang w:val="en-US" w:eastAsia="zh-CN" w:bidi="ar-SA"/>
        </w:rPr>
        <w:t>31.中标结果公告</w:t>
      </w:r>
      <w:bookmarkEnd w:id="310"/>
      <w:bookmarkEnd w:id="311"/>
      <w:bookmarkEnd w:id="312"/>
      <w:bookmarkEnd w:id="313"/>
      <w:bookmarkEnd w:id="314"/>
    </w:p>
    <w:p w14:paraId="5975ECA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采购人或</w:t>
      </w:r>
      <w:r>
        <w:rPr>
          <w:rFonts w:hint="eastAsia" w:ascii="宋体" w:hAnsi="宋体" w:eastAsia="宋体" w:cs="宋体"/>
          <w:color w:val="auto"/>
          <w:sz w:val="24"/>
          <w:szCs w:val="24"/>
          <w:highlight w:val="none"/>
        </w:rPr>
        <w:t>采购代理机构应当自中标人确定之日起2个工作日内，在</w:t>
      </w:r>
      <w:r>
        <w:rPr>
          <w:rFonts w:hint="eastAsia" w:ascii="宋体" w:hAnsi="宋体" w:eastAsia="宋体" w:cs="宋体"/>
          <w:color w:val="auto"/>
          <w:sz w:val="24"/>
          <w:szCs w:val="24"/>
          <w:highlight w:val="none"/>
          <w:lang w:val="en-US" w:eastAsia="zh-CN"/>
        </w:rPr>
        <w:t>发布招标公告的同一</w:t>
      </w:r>
      <w:r>
        <w:rPr>
          <w:rFonts w:hint="eastAsia" w:ascii="宋体" w:hAnsi="宋体" w:eastAsia="宋体" w:cs="宋体"/>
          <w:color w:val="auto"/>
          <w:sz w:val="24"/>
          <w:szCs w:val="24"/>
          <w:highlight w:val="none"/>
        </w:rPr>
        <w:t>媒体上发布中标结果公告，</w:t>
      </w:r>
      <w:r>
        <w:rPr>
          <w:rFonts w:hint="eastAsia" w:ascii="宋体" w:hAnsi="宋体" w:eastAsia="宋体" w:cs="宋体"/>
          <w:color w:val="auto"/>
          <w:sz w:val="24"/>
          <w:szCs w:val="24"/>
          <w:highlight w:val="none"/>
          <w:lang w:val="en-US" w:eastAsia="zh-CN"/>
        </w:rPr>
        <w:t>同时向中标人</w:t>
      </w:r>
      <w:r>
        <w:rPr>
          <w:rFonts w:hint="eastAsia" w:ascii="宋体" w:hAnsi="宋体" w:eastAsia="宋体" w:cs="宋体"/>
          <w:color w:val="auto"/>
          <w:sz w:val="24"/>
          <w:szCs w:val="24"/>
          <w:highlight w:val="none"/>
        </w:rPr>
        <w:t>发出中标通知书</w:t>
      </w:r>
      <w:r>
        <w:rPr>
          <w:rFonts w:hint="eastAsia" w:ascii="宋体" w:hAnsi="宋体" w:eastAsia="宋体" w:cs="宋体"/>
          <w:color w:val="auto"/>
          <w:sz w:val="24"/>
          <w:szCs w:val="24"/>
          <w:highlight w:val="none"/>
          <w:lang w:eastAsia="zh-CN"/>
        </w:rPr>
        <w:t>。招标文件随中标结果同时公告，</w:t>
      </w:r>
      <w:r>
        <w:rPr>
          <w:rFonts w:hint="eastAsia" w:ascii="宋体" w:hAnsi="宋体" w:eastAsia="宋体" w:cs="宋体"/>
          <w:color w:val="auto"/>
          <w:sz w:val="24"/>
          <w:szCs w:val="24"/>
          <w:highlight w:val="none"/>
        </w:rPr>
        <w:t>中标结果公告期限为1个工作日。</w:t>
      </w:r>
    </w:p>
    <w:p w14:paraId="5352A1F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中标供应商为中小企业</w:t>
      </w:r>
      <w:r>
        <w:rPr>
          <w:rFonts w:hint="eastAsia" w:ascii="宋体" w:hAnsi="宋体" w:eastAsia="宋体" w:cs="宋体"/>
          <w:bCs/>
          <w:color w:val="auto"/>
          <w:sz w:val="24"/>
          <w:szCs w:val="24"/>
          <w:highlight w:val="none"/>
          <w:lang w:val="en-US" w:eastAsia="zh-CN"/>
        </w:rPr>
        <w:t>享受中小企业扶持政策的</w:t>
      </w:r>
      <w:r>
        <w:rPr>
          <w:rFonts w:hint="eastAsia" w:ascii="宋体" w:hAnsi="宋体" w:eastAsia="宋体" w:cs="宋体"/>
          <w:bCs/>
          <w:color w:val="auto"/>
          <w:sz w:val="24"/>
          <w:szCs w:val="24"/>
          <w:highlight w:val="none"/>
          <w:lang w:eastAsia="zh-CN"/>
        </w:rPr>
        <w:t>，其“中小企业声明函”随中标结果同时公告。中标供应商为残疾人福利性单位的，其“残疾人福利性单位声明函”随中标结果同时公告。</w:t>
      </w:r>
    </w:p>
    <w:p w14:paraId="3302A7D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31.3</w:t>
      </w:r>
      <w:r>
        <w:rPr>
          <w:rFonts w:hint="eastAsia" w:ascii="宋体" w:hAnsi="宋体" w:eastAsia="宋体" w:cs="宋体"/>
          <w:color w:val="auto"/>
          <w:sz w:val="24"/>
          <w:szCs w:val="24"/>
          <w:highlight w:val="none"/>
        </w:rPr>
        <w:t>项目采购采用最低评标价法的，公告中标结果时同时公告因落实政府采购政策等原因进行价格扣除后中标供应商的评审报价；项目采购采用综合评分法的，公告中标结果时同时公告中标供应商的评审总得分。</w:t>
      </w:r>
    </w:p>
    <w:p w14:paraId="24E8EB4D">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5" w:name="_Toc19467"/>
      <w:bookmarkStart w:id="316" w:name="_Toc163492862"/>
      <w:bookmarkStart w:id="317" w:name="_Toc6353"/>
      <w:bookmarkStart w:id="318" w:name="_Toc6163"/>
      <w:bookmarkStart w:id="319" w:name="_Toc140132795"/>
      <w:r>
        <w:rPr>
          <w:rFonts w:hint="eastAsia" w:ascii="宋体" w:hAnsi="宋体" w:eastAsia="宋体" w:cs="宋体"/>
          <w:b/>
          <w:bCs/>
          <w:color w:val="auto"/>
          <w:kern w:val="2"/>
          <w:sz w:val="24"/>
          <w:szCs w:val="24"/>
          <w:highlight w:val="none"/>
          <w:lang w:val="en-US" w:eastAsia="zh-CN" w:bidi="ar-SA"/>
        </w:rPr>
        <w:t>32.中标通知</w:t>
      </w:r>
      <w:bookmarkEnd w:id="315"/>
      <w:bookmarkEnd w:id="316"/>
      <w:bookmarkEnd w:id="317"/>
      <w:bookmarkEnd w:id="318"/>
      <w:bookmarkEnd w:id="319"/>
    </w:p>
    <w:p w14:paraId="41D33E1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2</w:t>
      </w:r>
      <w:r>
        <w:rPr>
          <w:rFonts w:hint="eastAsia" w:ascii="宋体" w:hAnsi="宋体" w:eastAsia="宋体" w:cs="宋体"/>
          <w:color w:val="auto"/>
          <w:sz w:val="24"/>
          <w:szCs w:val="24"/>
          <w:highlight w:val="none"/>
        </w:rPr>
        <w:t>.1采购人和采购代理机构以书面形式向中标人发出中标通知书，同时将招标结果通知未中标的投标人。对未通过资格审查的投标人，应当告知其未通过的原因；采用综合评分法评审的，还应当告知未中标人本人的评审得分与排序。</w:t>
      </w:r>
    </w:p>
    <w:p w14:paraId="67E9F9A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32.2中标通知书对采购人和中标供应商均具有法律效力。中标通知书发出后，采购人改变中标结果的，或者中标供应商放弃中标项目的，应当依法承担法律责任。</w:t>
      </w:r>
    </w:p>
    <w:p w14:paraId="004C264E">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20" w:name="_Toc30315"/>
      <w:bookmarkStart w:id="321" w:name="_Toc812"/>
      <w:bookmarkStart w:id="322" w:name="_Toc163492863"/>
      <w:bookmarkStart w:id="323" w:name="_Toc27187"/>
      <w:r>
        <w:rPr>
          <w:rFonts w:hint="eastAsia" w:ascii="宋体" w:hAnsi="宋体" w:eastAsia="宋体" w:cs="宋体"/>
          <w:b/>
          <w:bCs/>
          <w:color w:val="auto"/>
          <w:kern w:val="2"/>
          <w:sz w:val="24"/>
          <w:szCs w:val="24"/>
          <w:highlight w:val="none"/>
          <w:lang w:val="en-US" w:eastAsia="zh-CN" w:bidi="ar-SA"/>
        </w:rPr>
        <w:t>（九）签订</w:t>
      </w:r>
      <w:bookmarkStart w:id="324" w:name="_Toc155185880"/>
      <w:bookmarkStart w:id="325" w:name="_Toc140132796"/>
      <w:r>
        <w:rPr>
          <w:rFonts w:hint="eastAsia" w:ascii="宋体" w:hAnsi="宋体" w:eastAsia="宋体" w:cs="宋体"/>
          <w:b/>
          <w:bCs/>
          <w:color w:val="auto"/>
          <w:kern w:val="2"/>
          <w:sz w:val="24"/>
          <w:szCs w:val="24"/>
          <w:highlight w:val="none"/>
          <w:lang w:val="en-US" w:eastAsia="zh-CN" w:bidi="ar-SA"/>
        </w:rPr>
        <w:t>合同</w:t>
      </w:r>
      <w:bookmarkEnd w:id="320"/>
      <w:bookmarkEnd w:id="321"/>
      <w:bookmarkEnd w:id="322"/>
      <w:bookmarkEnd w:id="323"/>
      <w:bookmarkEnd w:id="324"/>
      <w:bookmarkEnd w:id="325"/>
    </w:p>
    <w:p w14:paraId="547E6B9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26" w:name="_Toc21817"/>
      <w:bookmarkStart w:id="327" w:name="_Toc3030"/>
      <w:bookmarkStart w:id="328" w:name="_Toc163492864"/>
      <w:bookmarkStart w:id="329" w:name="_Toc1439"/>
      <w:bookmarkStart w:id="330" w:name="_Toc140132797"/>
      <w:r>
        <w:rPr>
          <w:rFonts w:hint="eastAsia" w:ascii="宋体" w:hAnsi="宋体" w:eastAsia="宋体" w:cs="宋体"/>
          <w:b/>
          <w:bCs/>
          <w:color w:val="auto"/>
          <w:kern w:val="2"/>
          <w:sz w:val="24"/>
          <w:szCs w:val="24"/>
          <w:highlight w:val="none"/>
          <w:lang w:val="en-US" w:eastAsia="zh-CN" w:bidi="ar-SA"/>
        </w:rPr>
        <w:t>33.履约保证金</w:t>
      </w:r>
      <w:bookmarkEnd w:id="326"/>
      <w:bookmarkEnd w:id="327"/>
      <w:bookmarkEnd w:id="328"/>
      <w:bookmarkEnd w:id="329"/>
      <w:bookmarkEnd w:id="330"/>
    </w:p>
    <w:p w14:paraId="77717F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.1在签订合同前，中标人应按“投标人须知前附表”规定的金额、担保形式和采购人认可的履约担保格式向采购人提交履约保证金。</w:t>
      </w:r>
    </w:p>
    <w:p w14:paraId="73BC7DA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.2中标人不能按本章第3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.1项要求提交履约担保的，视为放弃中标，给采购人造成损失的，中标人还应当承担民事责任。</w:t>
      </w:r>
    </w:p>
    <w:p w14:paraId="4B3DD6F8">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1" w:name="_Toc163492865"/>
      <w:bookmarkStart w:id="332" w:name="_Toc10817"/>
      <w:bookmarkStart w:id="333" w:name="_Toc140132798"/>
      <w:bookmarkStart w:id="334" w:name="_Toc12603"/>
      <w:bookmarkStart w:id="335" w:name="_Toc1975"/>
      <w:r>
        <w:rPr>
          <w:rFonts w:hint="eastAsia" w:ascii="宋体" w:hAnsi="宋体" w:eastAsia="宋体" w:cs="宋体"/>
          <w:b/>
          <w:bCs/>
          <w:color w:val="auto"/>
          <w:kern w:val="2"/>
          <w:sz w:val="24"/>
          <w:szCs w:val="24"/>
          <w:highlight w:val="none"/>
          <w:lang w:val="en-US" w:eastAsia="zh-CN" w:bidi="ar-SA"/>
        </w:rPr>
        <w:t>34.签订合同</w:t>
      </w:r>
      <w:bookmarkEnd w:id="331"/>
      <w:bookmarkEnd w:id="332"/>
      <w:bookmarkEnd w:id="333"/>
      <w:bookmarkEnd w:id="334"/>
      <w:bookmarkEnd w:id="335"/>
    </w:p>
    <w:p w14:paraId="77507EB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.1 采购人和中标人应当自中标通知书发出之日起</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天内，根据招标文件和中标人的投标文件订立书面合同。采购人因不可抗力原因迟延签订合同的，应当自不可抗力事由消除之日起7日内完成合同签订事宜。所签订的合同不得对招标文件和中标人投标文件作实质性修改。中标人无正当理由拒签合同，给采购人造成损失的，中标人还应当承担民事责任。</w:t>
      </w:r>
    </w:p>
    <w:p w14:paraId="72CF4FD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34.2 中标人拒绝与采购人签订合同的，采购人可以按照评标报告推荐的中标候选人名单排序，确定下一候选人为中标人，也可以重新开展政府采购活动。</w:t>
      </w:r>
    </w:p>
    <w:p w14:paraId="0D3421B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采购人和中标人不得向对方提出任何不合理的要求，作为签订合同的条件，双方不得私下订立背离合同实质性内容的协议。</w:t>
      </w:r>
    </w:p>
    <w:p w14:paraId="5551DDA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34.4 联合体中标的，联合体各方应当共同与采购人签订合同，就采购合同约定的事项向采购人承担连带责任。</w:t>
      </w:r>
    </w:p>
    <w:p w14:paraId="2BA187E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 本项目的非主体、非关键性工作是否允许分包，见“投标人须知前附表”。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。中标人就采购项目和分包项目向采购人负责，分包供应商就分包项目承担责任。</w:t>
      </w:r>
      <w:r>
        <w:rPr>
          <w:rFonts w:hint="eastAsia" w:ascii="宋体" w:hAnsi="宋体" w:eastAsia="宋体" w:cs="宋体"/>
          <w:b/>
          <w:bCs/>
          <w:color w:val="auto"/>
          <w:sz w:val="24"/>
          <w:szCs w:val="24"/>
          <w:highlight w:val="none"/>
          <w:lang w:val="en-US" w:eastAsia="zh-CN"/>
        </w:rPr>
        <w:t>政府采购合同不能转包。</w:t>
      </w:r>
    </w:p>
    <w:p w14:paraId="13D12B8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采购合同履行中，采购人需追加与合同标的相同的</w:t>
      </w:r>
      <w:r>
        <w:rPr>
          <w:rFonts w:hint="eastAsia" w:ascii="宋体" w:hAnsi="宋体" w:eastAsia="宋体" w:cs="宋体"/>
          <w:color w:val="auto"/>
          <w:sz w:val="24"/>
          <w:szCs w:val="24"/>
          <w:highlight w:val="none"/>
          <w:lang w:val="en-US" w:eastAsia="zh-CN"/>
        </w:rPr>
        <w:t>货物、工程或者服务</w:t>
      </w:r>
      <w:r>
        <w:rPr>
          <w:rFonts w:hint="eastAsia" w:ascii="宋体" w:hAnsi="宋体" w:eastAsia="宋体" w:cs="宋体"/>
          <w:color w:val="auto"/>
          <w:sz w:val="24"/>
          <w:szCs w:val="24"/>
          <w:highlight w:val="none"/>
        </w:rPr>
        <w:t>的，在不改变合同其他条款的前提下，可以与中标人协商签订补充合同，但所有补充合同的采购金额不得超过原合同采购金额的百分之十。</w:t>
      </w:r>
    </w:p>
    <w:p w14:paraId="259D0E8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34.7 采购人应于签订合同之日起2个工作日内在政采云平台备案公示。</w:t>
      </w:r>
    </w:p>
    <w:p w14:paraId="12490EB6">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6" w:name="_Toc3645"/>
      <w:bookmarkStart w:id="337" w:name="_Toc163492866"/>
      <w:bookmarkStart w:id="338" w:name="_Toc155185881"/>
      <w:bookmarkStart w:id="339" w:name="_Toc22067"/>
      <w:bookmarkStart w:id="340" w:name="_Toc140132799"/>
      <w:bookmarkStart w:id="341" w:name="_Toc14069"/>
      <w:r>
        <w:rPr>
          <w:rFonts w:hint="eastAsia" w:ascii="宋体" w:hAnsi="宋体" w:eastAsia="宋体" w:cs="宋体"/>
          <w:b/>
          <w:bCs/>
          <w:color w:val="auto"/>
          <w:kern w:val="2"/>
          <w:sz w:val="24"/>
          <w:szCs w:val="24"/>
          <w:highlight w:val="none"/>
          <w:lang w:val="en-US" w:eastAsia="zh-CN" w:bidi="ar-SA"/>
        </w:rPr>
        <w:t>（十）质疑和投诉</w:t>
      </w:r>
      <w:bookmarkEnd w:id="336"/>
      <w:bookmarkEnd w:id="337"/>
      <w:bookmarkEnd w:id="338"/>
      <w:bookmarkEnd w:id="339"/>
      <w:bookmarkEnd w:id="340"/>
      <w:bookmarkEnd w:id="341"/>
    </w:p>
    <w:p w14:paraId="23BE6A9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2" w:name="_Toc140132800"/>
      <w:bookmarkStart w:id="343" w:name="_Toc6362"/>
      <w:bookmarkStart w:id="344" w:name="_Toc17195"/>
      <w:bookmarkStart w:id="345" w:name="_Toc5521"/>
      <w:bookmarkStart w:id="346" w:name="_Toc163492867"/>
      <w:r>
        <w:rPr>
          <w:rFonts w:hint="eastAsia" w:ascii="宋体" w:hAnsi="宋体" w:eastAsia="宋体" w:cs="宋体"/>
          <w:b/>
          <w:bCs/>
          <w:color w:val="auto"/>
          <w:kern w:val="2"/>
          <w:sz w:val="24"/>
          <w:szCs w:val="24"/>
          <w:highlight w:val="none"/>
          <w:lang w:val="en-US" w:eastAsia="zh-CN" w:bidi="ar-SA"/>
        </w:rPr>
        <w:t>35.质疑</w:t>
      </w:r>
      <w:bookmarkEnd w:id="342"/>
      <w:bookmarkEnd w:id="343"/>
      <w:bookmarkEnd w:id="344"/>
      <w:bookmarkEnd w:id="345"/>
      <w:bookmarkEnd w:id="346"/>
    </w:p>
    <w:p w14:paraId="097AA16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.1供应商认为采购文件、采购过程、中标结果使自己的权益受到损害的，可以在知道或者应知其权益受到损害之日起7个工作日内，以书面形式向采购人、采购代理机构提出质疑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详见“投标人须知前附表”</w:t>
      </w:r>
      <w:r>
        <w:rPr>
          <w:rFonts w:hint="eastAsia" w:ascii="宋体" w:hAnsi="宋体" w:eastAsia="宋体" w:cs="宋体"/>
          <w:color w:val="auto"/>
          <w:sz w:val="24"/>
          <w:szCs w:val="24"/>
          <w:highlight w:val="none"/>
        </w:rPr>
        <w:t>。供应商在法定质疑期内一次性提出针对同一采购程序环节的质疑。</w:t>
      </w:r>
    </w:p>
    <w:p w14:paraId="492A54F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.2提出质疑的供应商（以下简称质疑供应商）应当是参与所质疑项目采购活动的供应商。</w:t>
      </w:r>
    </w:p>
    <w:p w14:paraId="6503DC7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35.3</w:t>
      </w:r>
      <w:r>
        <w:rPr>
          <w:rFonts w:hint="eastAsia" w:ascii="宋体" w:hAnsi="宋体" w:eastAsia="宋体" w:cs="宋体"/>
          <w:color w:val="auto"/>
          <w:sz w:val="24"/>
          <w:szCs w:val="24"/>
          <w:highlight w:val="none"/>
        </w:rPr>
        <w:t>潜在供应商已依法获取其可质疑的采购文件的，可以对该文件提出质疑。对采购文件提出质疑的，应当在获取采购文件或者采购文件公告期限届满之日起7个工作日内提出。</w:t>
      </w:r>
    </w:p>
    <w:p w14:paraId="58321ED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35.4</w:t>
      </w:r>
      <w:r>
        <w:rPr>
          <w:rFonts w:hint="eastAsia" w:ascii="宋体" w:hAnsi="宋体" w:eastAsia="宋体" w:cs="宋体"/>
          <w:color w:val="auto"/>
          <w:sz w:val="24"/>
          <w:szCs w:val="24"/>
          <w:highlight w:val="none"/>
        </w:rPr>
        <w:t>供应商提出质疑应当提交质疑函和必要的证明材料。质疑函应当包括下列内容：</w:t>
      </w:r>
    </w:p>
    <w:p w14:paraId="682A84D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）供应商的姓名或者名称、地址、邮编、联系人及联系电话；</w:t>
      </w:r>
    </w:p>
    <w:p w14:paraId="388DB77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编号</w:t>
      </w:r>
      <w:r>
        <w:rPr>
          <w:rFonts w:hint="eastAsia"/>
          <w:color w:val="auto"/>
          <w:sz w:val="24"/>
          <w:highlight w:val="none"/>
          <w:lang w:val="en-US" w:eastAsia="zh-CN"/>
        </w:rPr>
        <w:t>/包号</w:t>
      </w:r>
      <w:r>
        <w:rPr>
          <w:rFonts w:hint="eastAsia" w:ascii="宋体" w:hAnsi="宋体" w:eastAsia="宋体" w:cs="宋体"/>
          <w:color w:val="auto"/>
          <w:sz w:val="24"/>
          <w:szCs w:val="24"/>
          <w:highlight w:val="none"/>
        </w:rPr>
        <w:t>；</w:t>
      </w:r>
    </w:p>
    <w:p w14:paraId="7C9D471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）具体、明确的质疑事项和与质疑事项相关的请求；</w:t>
      </w:r>
    </w:p>
    <w:p w14:paraId="3C52874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3EEC5BF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）必要的法律依据；</w:t>
      </w:r>
    </w:p>
    <w:p w14:paraId="2E14DE4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）提出质疑的日期。</w:t>
      </w:r>
    </w:p>
    <w:p w14:paraId="553B627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供应商为自然人的，应当由本人签字；供应商为法人或者其他组织的，应当由法定代表人、主要负责人，或者其授权代表签字或者盖章，并加盖公章。</w:t>
      </w:r>
    </w:p>
    <w:p w14:paraId="5BBD16A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.5质疑函不符合上述要求的，采购人或代理机构应书面告知具体事项，质疑人应当按要求进行修改或补充，并在质疑有效期限内提交。</w:t>
      </w:r>
    </w:p>
    <w:p w14:paraId="4A4B924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3</w:t>
      </w: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6</w:t>
      </w:r>
      <w:r>
        <w:rPr>
          <w:rFonts w:hint="eastAsia" w:ascii="宋体" w:hAnsi="宋体" w:eastAsia="宋体" w:cs="宋体"/>
          <w:snapToGrid w:val="0"/>
          <w:color w:val="auto"/>
          <w:sz w:val="24"/>
          <w:szCs w:val="24"/>
          <w:highlight w:val="none"/>
        </w:rPr>
        <w:t>投标人进行虚假和恶意</w:t>
      </w:r>
      <w:r>
        <w:rPr>
          <w:rFonts w:hint="eastAsia" w:ascii="宋体" w:hAnsi="宋体" w:eastAsia="宋体" w:cs="宋体"/>
          <w:snapToGrid w:val="0"/>
          <w:color w:val="auto"/>
          <w:sz w:val="24"/>
          <w:szCs w:val="24"/>
          <w:highlight w:val="none"/>
          <w:lang w:val="en-US" w:eastAsia="zh-CN"/>
        </w:rPr>
        <w:t>质疑投诉</w:t>
      </w:r>
      <w:r>
        <w:rPr>
          <w:rFonts w:hint="eastAsia" w:ascii="宋体" w:hAnsi="宋体" w:eastAsia="宋体" w:cs="宋体"/>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184C71D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35.7</w:t>
      </w:r>
      <w:r>
        <w:rPr>
          <w:rFonts w:hint="eastAsia" w:ascii="宋体" w:hAnsi="宋体" w:eastAsia="宋体" w:cs="宋体"/>
          <w:color w:val="auto"/>
          <w:sz w:val="24"/>
          <w:szCs w:val="24"/>
          <w:highlight w:val="none"/>
        </w:rPr>
        <w:t>质疑函</w:t>
      </w:r>
      <w:r>
        <w:rPr>
          <w:rFonts w:hint="eastAsia" w:ascii="宋体" w:hAnsi="宋体" w:eastAsia="宋体" w:cs="宋体"/>
          <w:color w:val="auto"/>
          <w:sz w:val="24"/>
          <w:szCs w:val="24"/>
          <w:highlight w:val="none"/>
          <w:lang w:val="en-US" w:eastAsia="zh-CN"/>
        </w:rPr>
        <w:t>应当使用中文，并采用财政部门制定的范本。</w:t>
      </w:r>
    </w:p>
    <w:p w14:paraId="6E7964C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7" w:name="_Toc30183"/>
      <w:bookmarkStart w:id="348" w:name="_Toc2308"/>
      <w:bookmarkStart w:id="349" w:name="_Toc163492868"/>
      <w:bookmarkStart w:id="350" w:name="_Toc140132801"/>
      <w:bookmarkStart w:id="351" w:name="_Toc7060"/>
      <w:r>
        <w:rPr>
          <w:rFonts w:hint="eastAsia" w:ascii="宋体" w:hAnsi="宋体" w:eastAsia="宋体" w:cs="宋体"/>
          <w:b/>
          <w:bCs/>
          <w:color w:val="auto"/>
          <w:kern w:val="2"/>
          <w:sz w:val="24"/>
          <w:szCs w:val="24"/>
          <w:highlight w:val="none"/>
          <w:lang w:val="en-US" w:eastAsia="zh-CN" w:bidi="ar-SA"/>
        </w:rPr>
        <w:t>36.质疑答复</w:t>
      </w:r>
      <w:bookmarkEnd w:id="347"/>
      <w:bookmarkEnd w:id="348"/>
      <w:bookmarkEnd w:id="349"/>
      <w:bookmarkEnd w:id="350"/>
      <w:bookmarkEnd w:id="351"/>
    </w:p>
    <w:p w14:paraId="43D7F91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352" w:name="_Toc140132802"/>
      <w:bookmarkStart w:id="353" w:name="_Toc163492869"/>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4E9D6E2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36.2供应商对评审过程、中标结果提出质疑的，采购人、采购代理机构可以组织原评标委员会协助答复质疑。</w:t>
      </w:r>
    </w:p>
    <w:p w14:paraId="0056DA5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质疑答复应当包括下列内容：</w:t>
      </w:r>
    </w:p>
    <w:p w14:paraId="34339C8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）质疑供应商的姓名或者名称；</w:t>
      </w:r>
    </w:p>
    <w:p w14:paraId="2F25172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）收到质疑函的日期、质疑项目名称及</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zh-CN" w:eastAsia="zh-CN"/>
        </w:rPr>
        <w:t>编号</w:t>
      </w:r>
      <w:r>
        <w:rPr>
          <w:rFonts w:hint="eastAsia"/>
          <w:color w:val="auto"/>
          <w:sz w:val="24"/>
          <w:highlight w:val="none"/>
          <w:lang w:val="en-US" w:eastAsia="zh-CN"/>
        </w:rPr>
        <w:t>/包号</w:t>
      </w:r>
      <w:r>
        <w:rPr>
          <w:rFonts w:hint="eastAsia" w:ascii="宋体" w:hAnsi="宋体" w:eastAsia="宋体" w:cs="宋体"/>
          <w:color w:val="auto"/>
          <w:sz w:val="24"/>
          <w:szCs w:val="24"/>
          <w:highlight w:val="none"/>
          <w:lang w:val="zh-CN" w:eastAsia="zh-CN"/>
        </w:rPr>
        <w:t>；</w:t>
      </w:r>
    </w:p>
    <w:p w14:paraId="1365ED7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）质疑事项、质疑答复的具体内容、事实依据和法律依据；</w:t>
      </w:r>
    </w:p>
    <w:p w14:paraId="3C71AFF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）告知质疑供应商依法投诉的权利；</w:t>
      </w:r>
    </w:p>
    <w:p w14:paraId="77F64A3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）质疑答复人名称；</w:t>
      </w:r>
    </w:p>
    <w:p w14:paraId="52743A2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eastAsia="zh-CN"/>
        </w:rPr>
        <w:t>）答复质疑的日期。</w:t>
      </w:r>
    </w:p>
    <w:p w14:paraId="56A5E1E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质疑答复的内容不得涉及商业秘密。</w:t>
      </w:r>
    </w:p>
    <w:p w14:paraId="631FD1E7">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54" w:name="_Toc8648"/>
      <w:bookmarkStart w:id="355" w:name="_Toc13241"/>
      <w:bookmarkStart w:id="356" w:name="_Toc4201"/>
      <w:r>
        <w:rPr>
          <w:rFonts w:hint="eastAsia" w:ascii="宋体" w:hAnsi="宋体" w:eastAsia="宋体" w:cs="宋体"/>
          <w:b/>
          <w:bCs/>
          <w:color w:val="auto"/>
          <w:kern w:val="2"/>
          <w:sz w:val="24"/>
          <w:szCs w:val="24"/>
          <w:highlight w:val="none"/>
          <w:lang w:val="en-US" w:eastAsia="zh-CN" w:bidi="ar-SA"/>
        </w:rPr>
        <w:t>37.投诉</w:t>
      </w:r>
      <w:bookmarkEnd w:id="352"/>
      <w:bookmarkEnd w:id="353"/>
      <w:bookmarkEnd w:id="354"/>
      <w:bookmarkEnd w:id="355"/>
      <w:bookmarkEnd w:id="356"/>
    </w:p>
    <w:p w14:paraId="34C5EAA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37.1</w:t>
      </w:r>
      <w:r>
        <w:rPr>
          <w:rFonts w:hint="eastAsia" w:ascii="宋体" w:hAnsi="宋体" w:eastAsia="宋体" w:cs="宋体"/>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color w:val="auto"/>
          <w:sz w:val="24"/>
          <w:szCs w:val="24"/>
          <w:highlight w:val="none"/>
          <w:lang w:val="en-US" w:eastAsia="zh-CN"/>
        </w:rPr>
        <w:t>同级政府采购监督管理部门</w:t>
      </w:r>
      <w:r>
        <w:rPr>
          <w:rFonts w:hint="eastAsia" w:ascii="宋体" w:hAnsi="宋体" w:eastAsia="宋体" w:cs="宋体"/>
          <w:color w:val="auto"/>
          <w:sz w:val="24"/>
          <w:szCs w:val="24"/>
          <w:highlight w:val="none"/>
        </w:rPr>
        <w:t>提起投诉。</w:t>
      </w:r>
    </w:p>
    <w:p w14:paraId="7AE3C0F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37.2</w:t>
      </w:r>
      <w:r>
        <w:rPr>
          <w:rFonts w:hint="eastAsia" w:ascii="宋体" w:hAnsi="宋体" w:eastAsia="宋体" w:cs="宋体"/>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495465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）投诉人和被投诉人的姓名或者名称、通讯地址、邮编、联系人及联系电话；</w:t>
      </w:r>
    </w:p>
    <w:p w14:paraId="1A65A10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）质疑和质疑答复情况说明及相关证明材料；</w:t>
      </w:r>
    </w:p>
    <w:p w14:paraId="675A6D9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）具体、明确的投诉事项和与投诉事项相关的投诉请求；</w:t>
      </w:r>
    </w:p>
    <w:p w14:paraId="4A0C159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4CFD3E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）法律依据；</w:t>
      </w:r>
    </w:p>
    <w:p w14:paraId="35FA6A4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）提起投诉的日期。</w:t>
      </w:r>
    </w:p>
    <w:p w14:paraId="4FC7C3A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投诉人为自然人的，应当由本人签字；投诉人为法人或者其他组织的，应当由法定代表人、主要负责人，或者其授权代表签字或者盖章，并加盖公章。</w:t>
      </w:r>
    </w:p>
    <w:p w14:paraId="4DF335B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37.3</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val="en-US" w:eastAsia="zh-CN"/>
        </w:rPr>
        <w:t>质疑、</w:t>
      </w:r>
      <w:r>
        <w:rPr>
          <w:rFonts w:hint="eastAsia" w:ascii="宋体" w:hAnsi="宋体" w:eastAsia="宋体" w:cs="宋体"/>
          <w:color w:val="auto"/>
          <w:sz w:val="24"/>
          <w:szCs w:val="24"/>
          <w:highlight w:val="none"/>
        </w:rPr>
        <w:t>投诉</w:t>
      </w:r>
      <w:r>
        <w:rPr>
          <w:rFonts w:hint="eastAsia" w:ascii="宋体" w:hAnsi="宋体" w:eastAsia="宋体" w:cs="宋体"/>
          <w:color w:val="auto"/>
          <w:sz w:val="24"/>
          <w:szCs w:val="24"/>
          <w:highlight w:val="none"/>
          <w:lang w:val="en-US" w:eastAsia="zh-CN"/>
        </w:rPr>
        <w:t>应当有明确的请求和必要的证明材料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供应商投诉的事项不得超出</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质疑事项的范围，但基于质疑答复内容提出的投诉事项除外</w:t>
      </w:r>
      <w:r>
        <w:rPr>
          <w:rFonts w:hint="eastAsia" w:ascii="宋体" w:hAnsi="宋体" w:eastAsia="宋体" w:cs="宋体"/>
          <w:bCs/>
          <w:color w:val="auto"/>
          <w:sz w:val="24"/>
          <w:szCs w:val="24"/>
          <w:highlight w:val="none"/>
        </w:rPr>
        <w:t>。</w:t>
      </w:r>
    </w:p>
    <w:p w14:paraId="0C7738C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Cs/>
          <w:color w:val="auto"/>
          <w:sz w:val="24"/>
          <w:szCs w:val="24"/>
          <w:highlight w:val="none"/>
        </w:rPr>
      </w:pPr>
      <w:r>
        <w:rPr>
          <w:rFonts w:hint="eastAsia" w:ascii="宋体" w:hAnsi="宋体" w:eastAsia="宋体" w:cs="宋体"/>
          <w:snapToGrid w:val="0"/>
          <w:color w:val="auto"/>
          <w:sz w:val="24"/>
          <w:szCs w:val="24"/>
          <w:highlight w:val="none"/>
          <w:lang w:val="en-US" w:eastAsia="zh-CN"/>
        </w:rPr>
        <w:t>37.4</w:t>
      </w:r>
      <w:r>
        <w:rPr>
          <w:rFonts w:hint="eastAsia" w:ascii="宋体" w:hAnsi="宋体" w:eastAsia="宋体" w:cs="宋体"/>
          <w:color w:val="auto"/>
          <w:sz w:val="24"/>
          <w:szCs w:val="24"/>
          <w:highlight w:val="none"/>
          <w:lang w:val="en-US" w:eastAsia="zh-CN"/>
        </w:rPr>
        <w:t>投诉书应当使用中文，并采用财政部门制定的范本。</w:t>
      </w:r>
    </w:p>
    <w:p w14:paraId="076E00EB">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57" w:name="_Toc140132803"/>
      <w:bookmarkStart w:id="358" w:name="_Toc25532"/>
      <w:bookmarkStart w:id="359" w:name="_Toc19407"/>
      <w:bookmarkStart w:id="360" w:name="_Toc26619"/>
      <w:bookmarkStart w:id="361" w:name="_Toc163492870"/>
      <w:bookmarkStart w:id="362" w:name="_Toc155185882"/>
      <w:r>
        <w:rPr>
          <w:rFonts w:hint="eastAsia" w:ascii="宋体" w:hAnsi="宋体" w:eastAsia="宋体" w:cs="宋体"/>
          <w:b/>
          <w:bCs/>
          <w:color w:val="auto"/>
          <w:kern w:val="2"/>
          <w:sz w:val="24"/>
          <w:szCs w:val="24"/>
          <w:highlight w:val="none"/>
          <w:lang w:val="en-US" w:eastAsia="zh-CN" w:bidi="ar-SA"/>
        </w:rPr>
        <w:t>（十一）采购代理服务费</w:t>
      </w:r>
      <w:bookmarkEnd w:id="357"/>
      <w:bookmarkEnd w:id="358"/>
      <w:bookmarkEnd w:id="359"/>
      <w:bookmarkEnd w:id="360"/>
      <w:bookmarkEnd w:id="361"/>
      <w:bookmarkEnd w:id="362"/>
    </w:p>
    <w:p w14:paraId="3EF5B76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63" w:name="_Toc140132804"/>
      <w:bookmarkStart w:id="364" w:name="_Toc163492871"/>
      <w:bookmarkStart w:id="365" w:name="_Toc21533"/>
      <w:bookmarkStart w:id="366" w:name="_Toc16634"/>
      <w:bookmarkStart w:id="367" w:name="_Toc16138"/>
      <w:r>
        <w:rPr>
          <w:rFonts w:hint="eastAsia" w:ascii="宋体" w:hAnsi="宋体" w:eastAsia="宋体" w:cs="宋体"/>
          <w:b/>
          <w:bCs/>
          <w:color w:val="auto"/>
          <w:kern w:val="2"/>
          <w:sz w:val="24"/>
          <w:szCs w:val="24"/>
          <w:highlight w:val="none"/>
          <w:lang w:val="en-US" w:eastAsia="zh-CN" w:bidi="ar-SA"/>
        </w:rPr>
        <w:t>38.收取方式和标准</w:t>
      </w:r>
      <w:bookmarkEnd w:id="363"/>
      <w:bookmarkEnd w:id="364"/>
      <w:bookmarkEnd w:id="365"/>
      <w:bookmarkEnd w:id="366"/>
      <w:bookmarkEnd w:id="367"/>
    </w:p>
    <w:p w14:paraId="0FDD9E2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8</w:t>
      </w:r>
      <w:r>
        <w:rPr>
          <w:rFonts w:hint="eastAsia" w:ascii="宋体" w:hAnsi="宋体" w:eastAsia="宋体" w:cs="宋体"/>
          <w:color w:val="auto"/>
          <w:sz w:val="24"/>
          <w:szCs w:val="24"/>
          <w:highlight w:val="none"/>
        </w:rPr>
        <w:t>.1采购代理机构按“投标人须知前附表”规定的方式和标准收取采购代理服务费。</w:t>
      </w:r>
    </w:p>
    <w:p w14:paraId="3ED844E1">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68" w:name="_Toc140132805"/>
      <w:bookmarkStart w:id="369" w:name="_Toc155185883"/>
      <w:bookmarkStart w:id="370" w:name="_Toc7566"/>
      <w:bookmarkStart w:id="371" w:name="_Toc26455"/>
      <w:bookmarkStart w:id="372" w:name="_Toc15853"/>
      <w:bookmarkStart w:id="373" w:name="_Toc163492872"/>
      <w:r>
        <w:rPr>
          <w:rFonts w:hint="eastAsia" w:ascii="宋体" w:hAnsi="宋体" w:eastAsia="宋体" w:cs="宋体"/>
          <w:b/>
          <w:bCs/>
          <w:color w:val="auto"/>
          <w:kern w:val="2"/>
          <w:sz w:val="24"/>
          <w:szCs w:val="24"/>
          <w:highlight w:val="none"/>
          <w:lang w:val="en-US" w:eastAsia="zh-CN" w:bidi="ar-SA"/>
        </w:rPr>
        <w:t>（十二）无效投标和废标</w:t>
      </w:r>
      <w:bookmarkEnd w:id="368"/>
      <w:bookmarkEnd w:id="369"/>
      <w:bookmarkEnd w:id="370"/>
      <w:bookmarkEnd w:id="371"/>
      <w:bookmarkEnd w:id="372"/>
      <w:bookmarkEnd w:id="373"/>
    </w:p>
    <w:p w14:paraId="2586923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74" w:name="_Toc32022"/>
      <w:bookmarkStart w:id="375" w:name="_Toc140132806"/>
      <w:bookmarkStart w:id="376" w:name="_Toc163492873"/>
      <w:bookmarkStart w:id="377" w:name="_Toc9909"/>
      <w:bookmarkStart w:id="378" w:name="_Toc23298"/>
      <w:r>
        <w:rPr>
          <w:rFonts w:hint="eastAsia" w:ascii="宋体" w:hAnsi="宋体" w:eastAsia="宋体" w:cs="宋体"/>
          <w:b/>
          <w:bCs/>
          <w:color w:val="auto"/>
          <w:kern w:val="2"/>
          <w:sz w:val="24"/>
          <w:szCs w:val="24"/>
          <w:highlight w:val="none"/>
          <w:lang w:val="en-US" w:eastAsia="zh-CN" w:bidi="ar-SA"/>
        </w:rPr>
        <w:t>39.无效投标</w:t>
      </w:r>
      <w:bookmarkEnd w:id="374"/>
      <w:bookmarkEnd w:id="375"/>
      <w:bookmarkEnd w:id="376"/>
      <w:bookmarkEnd w:id="377"/>
      <w:bookmarkEnd w:id="378"/>
    </w:p>
    <w:p w14:paraId="0EBD130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39</w:t>
      </w:r>
      <w:r>
        <w:rPr>
          <w:rFonts w:hint="eastAsia" w:ascii="宋体" w:hAnsi="宋体" w:eastAsia="宋体" w:cs="宋体"/>
          <w:color w:val="auto"/>
          <w:sz w:val="24"/>
          <w:szCs w:val="24"/>
          <w:highlight w:val="none"/>
        </w:rPr>
        <w:t>.1投标文件存在“第四章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资格审查”、“第五章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及本招标文件</w:t>
      </w:r>
      <w:r>
        <w:rPr>
          <w:rFonts w:hint="eastAsia" w:ascii="宋体" w:hAnsi="宋体" w:eastAsia="宋体" w:cs="宋体"/>
          <w:color w:val="auto"/>
          <w:sz w:val="24"/>
          <w:szCs w:val="24"/>
          <w:highlight w:val="none"/>
        </w:rPr>
        <w:t>规定的投标无效情形的，其</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306E47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79" w:name="_Toc140132807"/>
      <w:bookmarkStart w:id="380" w:name="_Toc3107"/>
      <w:bookmarkStart w:id="381" w:name="_Toc163492874"/>
      <w:bookmarkStart w:id="382" w:name="_Toc15799"/>
      <w:bookmarkStart w:id="383" w:name="_Toc18467"/>
      <w:r>
        <w:rPr>
          <w:rFonts w:hint="eastAsia" w:ascii="宋体" w:hAnsi="宋体" w:eastAsia="宋体" w:cs="宋体"/>
          <w:b/>
          <w:bCs/>
          <w:color w:val="auto"/>
          <w:kern w:val="2"/>
          <w:sz w:val="24"/>
          <w:szCs w:val="24"/>
          <w:highlight w:val="none"/>
          <w:lang w:val="en-US" w:eastAsia="zh-CN" w:bidi="ar-SA"/>
        </w:rPr>
        <w:t>40.废标</w:t>
      </w:r>
      <w:bookmarkEnd w:id="379"/>
      <w:bookmarkEnd w:id="380"/>
      <w:bookmarkEnd w:id="381"/>
      <w:bookmarkEnd w:id="382"/>
      <w:bookmarkEnd w:id="383"/>
    </w:p>
    <w:p w14:paraId="7B56974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.1在招标采购中出现有“第五章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及本招标文件</w:t>
      </w:r>
      <w:r>
        <w:rPr>
          <w:rFonts w:hint="eastAsia" w:ascii="宋体" w:hAnsi="宋体" w:eastAsia="宋体" w:cs="宋体"/>
          <w:color w:val="auto"/>
          <w:sz w:val="24"/>
          <w:szCs w:val="24"/>
          <w:highlight w:val="none"/>
        </w:rPr>
        <w:t>规定的废标情形的，应予以</w:t>
      </w:r>
      <w:r>
        <w:rPr>
          <w:rFonts w:hint="eastAsia" w:ascii="宋体" w:hAnsi="宋体" w:eastAsia="宋体" w:cs="宋体"/>
          <w:b/>
          <w:bCs/>
          <w:color w:val="auto"/>
          <w:sz w:val="24"/>
          <w:szCs w:val="24"/>
          <w:highlight w:val="none"/>
        </w:rPr>
        <w:t>废标</w:t>
      </w:r>
      <w:r>
        <w:rPr>
          <w:rFonts w:hint="eastAsia" w:ascii="宋体" w:hAnsi="宋体" w:eastAsia="宋体" w:cs="宋体"/>
          <w:color w:val="auto"/>
          <w:sz w:val="24"/>
          <w:szCs w:val="24"/>
          <w:highlight w:val="none"/>
          <w:lang w:eastAsia="zh-CN"/>
        </w:rPr>
        <w:t>。</w:t>
      </w:r>
    </w:p>
    <w:p w14:paraId="0C4DEC92">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4" w:name="_Toc140132766"/>
      <w:bookmarkStart w:id="385" w:name="_Toc163492875"/>
      <w:bookmarkStart w:id="386" w:name="_Toc3516"/>
      <w:bookmarkStart w:id="387" w:name="_Toc22480"/>
      <w:bookmarkStart w:id="388" w:name="_Toc16271"/>
      <w:bookmarkStart w:id="389" w:name="_Toc155185884"/>
      <w:bookmarkStart w:id="390" w:name="_Toc140132808"/>
      <w:r>
        <w:rPr>
          <w:rFonts w:hint="eastAsia" w:ascii="宋体" w:hAnsi="宋体" w:eastAsia="宋体" w:cs="宋体"/>
          <w:b/>
          <w:bCs/>
          <w:color w:val="auto"/>
          <w:kern w:val="2"/>
          <w:sz w:val="24"/>
          <w:szCs w:val="24"/>
          <w:highlight w:val="none"/>
          <w:lang w:val="en-US" w:eastAsia="zh-CN" w:bidi="ar-SA"/>
        </w:rPr>
        <w:t>（十三）落实政府采购政策</w:t>
      </w:r>
      <w:bookmarkEnd w:id="384"/>
      <w:bookmarkEnd w:id="385"/>
      <w:r>
        <w:rPr>
          <w:rFonts w:hint="eastAsia" w:ascii="宋体" w:hAnsi="宋体" w:eastAsia="宋体" w:cs="宋体"/>
          <w:b/>
          <w:bCs/>
          <w:color w:val="auto"/>
          <w:kern w:val="2"/>
          <w:sz w:val="24"/>
          <w:szCs w:val="24"/>
          <w:highlight w:val="none"/>
          <w:lang w:val="en-US" w:eastAsia="zh-CN" w:bidi="ar-SA"/>
        </w:rPr>
        <w:t>（包括但不限于下列具体政策要求）</w:t>
      </w:r>
      <w:bookmarkEnd w:id="386"/>
      <w:bookmarkEnd w:id="387"/>
      <w:bookmarkEnd w:id="388"/>
    </w:p>
    <w:p w14:paraId="5800BCE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1" w:name="_Toc21216"/>
      <w:bookmarkStart w:id="392" w:name="_Toc23969"/>
      <w:bookmarkStart w:id="393" w:name="_Toc12045"/>
      <w:bookmarkStart w:id="394" w:name="_Toc163492876"/>
      <w:r>
        <w:rPr>
          <w:rFonts w:hint="eastAsia" w:ascii="宋体" w:hAnsi="宋体" w:eastAsia="宋体" w:cs="宋体"/>
          <w:b/>
          <w:bCs/>
          <w:color w:val="auto"/>
          <w:kern w:val="2"/>
          <w:sz w:val="24"/>
          <w:szCs w:val="24"/>
          <w:highlight w:val="none"/>
          <w:lang w:val="en-US" w:eastAsia="zh-CN" w:bidi="ar-SA"/>
        </w:rPr>
        <w:t>41.支持国产和进口产品审批</w:t>
      </w:r>
      <w:bookmarkEnd w:id="391"/>
      <w:bookmarkEnd w:id="392"/>
      <w:bookmarkEnd w:id="393"/>
      <w:bookmarkEnd w:id="394"/>
    </w:p>
    <w:p w14:paraId="26D924D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4</w:t>
      </w:r>
      <w:r>
        <w:rPr>
          <w:rFonts w:hint="eastAsia" w:ascii="宋体" w:hAnsi="宋体" w:eastAsia="宋体" w:cs="宋体"/>
          <w:snapToGrid w:val="0"/>
          <w:color w:val="auto"/>
          <w:sz w:val="24"/>
          <w:szCs w:val="24"/>
          <w:highlight w:val="none"/>
          <w:lang w:val="en-US" w:eastAsia="zh-CN"/>
        </w:rPr>
        <w:t>1</w:t>
      </w:r>
      <w:r>
        <w:rPr>
          <w:rFonts w:hint="eastAsia" w:ascii="宋体" w:hAnsi="宋体" w:eastAsia="宋体" w:cs="宋体"/>
          <w:snapToGrid w:val="0"/>
          <w:color w:val="auto"/>
          <w:sz w:val="24"/>
          <w:szCs w:val="24"/>
          <w:highlight w:val="none"/>
        </w:rPr>
        <w:t>.1除“投标人须知前附表”另有规定外，政府采购应当采购本国</w:t>
      </w:r>
      <w:r>
        <w:rPr>
          <w:rFonts w:hint="eastAsia" w:ascii="宋体" w:hAnsi="宋体" w:eastAsia="宋体" w:cs="宋体"/>
          <w:snapToGrid w:val="0"/>
          <w:color w:val="auto"/>
          <w:sz w:val="24"/>
          <w:szCs w:val="24"/>
          <w:highlight w:val="none"/>
          <w:lang w:val="en-US" w:eastAsia="zh-CN"/>
        </w:rPr>
        <w:t>货物、工程和服务</w:t>
      </w:r>
      <w:r>
        <w:rPr>
          <w:rFonts w:hint="eastAsia" w:ascii="宋体" w:hAnsi="宋体" w:eastAsia="宋体" w:cs="宋体"/>
          <w:snapToGrid w:val="0"/>
          <w:color w:val="auto"/>
          <w:sz w:val="24"/>
          <w:szCs w:val="24"/>
          <w:highlight w:val="none"/>
        </w:rPr>
        <w:t>，确需采购进口产品的，采购人应当按照</w:t>
      </w:r>
      <w:r>
        <w:rPr>
          <w:rFonts w:hint="eastAsia" w:ascii="宋体" w:hAnsi="宋体" w:eastAsia="宋体" w:cs="宋体"/>
          <w:snapToGrid w:val="0"/>
          <w:color w:val="auto"/>
          <w:sz w:val="24"/>
          <w:szCs w:val="24"/>
          <w:highlight w:val="none"/>
          <w:lang w:val="en-US" w:eastAsia="zh-CN"/>
        </w:rPr>
        <w:t>《政府采购进口产品管理办法》（财库〔2007〕119 号文）、</w:t>
      </w:r>
      <w:r>
        <w:rPr>
          <w:rFonts w:hint="eastAsia" w:ascii="宋体" w:hAnsi="宋体" w:eastAsia="宋体" w:cs="宋体"/>
          <w:snapToGrid w:val="0"/>
          <w:color w:val="auto"/>
          <w:sz w:val="24"/>
          <w:szCs w:val="24"/>
          <w:highlight w:val="none"/>
        </w:rPr>
        <w:t>《关于政府采购进口产品管理有关问题的通知》（财办库〔2008〕248号）规定执行（进口产品审批制，科研院所监管部门另有规定的从其规定）。项目若涉及采购进口产品的，具体要求详见“第三章 采购需求”。</w:t>
      </w:r>
    </w:p>
    <w:p w14:paraId="201F13F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41.2进口产品指通过中国海关报关验放进入中国境内且产自关境外的产品，包括已经进入中国境内的进口产品。 </w:t>
      </w:r>
    </w:p>
    <w:p w14:paraId="0C404CE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41.3若采购需求中写明允许采购进口产品，投标人应保证所投产品可履行合法报通关手续进入中国关境内。</w:t>
      </w:r>
    </w:p>
    <w:p w14:paraId="50A8DE9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41.4若采购需求中未写明允许采购进口产品，如投标人所投产品为进口产品，其投标将被认定为</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w:t>
      </w:r>
    </w:p>
    <w:p w14:paraId="6764F88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5" w:name="_Toc3349"/>
      <w:bookmarkStart w:id="396" w:name="_Toc163492877"/>
      <w:bookmarkStart w:id="397" w:name="_Toc13373"/>
      <w:bookmarkStart w:id="398" w:name="_Toc17933"/>
      <w:r>
        <w:rPr>
          <w:rFonts w:hint="eastAsia" w:ascii="宋体" w:hAnsi="宋体" w:eastAsia="宋体" w:cs="宋体"/>
          <w:b/>
          <w:bCs/>
          <w:color w:val="auto"/>
          <w:kern w:val="2"/>
          <w:sz w:val="24"/>
          <w:szCs w:val="24"/>
          <w:highlight w:val="none"/>
          <w:lang w:val="en-US" w:eastAsia="zh-CN" w:bidi="ar-SA"/>
        </w:rPr>
        <w:t>42.中小企业、监狱企业及残疾人福利性单位</w:t>
      </w:r>
      <w:bookmarkEnd w:id="395"/>
      <w:bookmarkEnd w:id="396"/>
      <w:bookmarkEnd w:id="397"/>
      <w:bookmarkEnd w:id="398"/>
    </w:p>
    <w:p w14:paraId="6CF3C24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775C315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2</w:t>
      </w:r>
      <w:r>
        <w:rPr>
          <w:rFonts w:hint="eastAsia" w:ascii="宋体" w:hAnsi="宋体" w:eastAsia="宋体" w:cs="宋体"/>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snapToGrid w:val="0"/>
          <w:color w:val="auto"/>
          <w:sz w:val="24"/>
          <w:szCs w:val="24"/>
          <w:highlight w:val="none"/>
          <w:lang w:eastAsia="zh-CN"/>
        </w:rPr>
        <w:t>需享受中小企业相关政策的，且</w:t>
      </w:r>
      <w:r>
        <w:rPr>
          <w:rFonts w:hint="eastAsia" w:ascii="宋体" w:hAnsi="宋体" w:eastAsia="宋体" w:cs="宋体"/>
          <w:snapToGrid w:val="0"/>
          <w:color w:val="auto"/>
          <w:sz w:val="24"/>
          <w:szCs w:val="24"/>
          <w:highlight w:val="none"/>
        </w:rPr>
        <w:t>符合上述文件规定的，</w:t>
      </w:r>
      <w:r>
        <w:rPr>
          <w:rFonts w:hint="eastAsia" w:ascii="宋体" w:hAnsi="宋体" w:eastAsia="宋体" w:cs="宋体"/>
          <w:snapToGrid w:val="0"/>
          <w:color w:val="auto"/>
          <w:sz w:val="24"/>
          <w:szCs w:val="24"/>
          <w:highlight w:val="none"/>
          <w:lang w:eastAsia="zh-CN"/>
        </w:rPr>
        <w:t>应按本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，评审时，</w:t>
      </w:r>
      <w:r>
        <w:rPr>
          <w:rFonts w:hint="eastAsia" w:ascii="宋体" w:hAnsi="宋体" w:eastAsia="宋体" w:cs="宋体"/>
          <w:snapToGrid w:val="0"/>
          <w:color w:val="auto"/>
          <w:sz w:val="24"/>
          <w:szCs w:val="24"/>
          <w:highlight w:val="none"/>
          <w:lang w:val="en-US" w:eastAsia="zh-CN"/>
        </w:rPr>
        <w:t>评标委员会</w:t>
      </w:r>
      <w:r>
        <w:rPr>
          <w:rFonts w:hint="eastAsia" w:ascii="宋体" w:hAnsi="宋体" w:eastAsia="宋体" w:cs="宋体"/>
          <w:snapToGrid w:val="0"/>
          <w:color w:val="auto"/>
          <w:sz w:val="24"/>
          <w:szCs w:val="24"/>
          <w:highlight w:val="none"/>
        </w:rPr>
        <w:t>将依据</w:t>
      </w:r>
      <w:r>
        <w:rPr>
          <w:rFonts w:hint="eastAsia" w:ascii="宋体" w:hAnsi="宋体" w:eastAsia="宋体" w:cs="宋体"/>
          <w:snapToGrid w:val="0"/>
          <w:color w:val="auto"/>
          <w:sz w:val="24"/>
          <w:szCs w:val="24"/>
          <w:highlight w:val="none"/>
          <w:lang w:eastAsia="zh-CN"/>
        </w:rPr>
        <w:t>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投标人</w:t>
      </w:r>
      <w:r>
        <w:rPr>
          <w:rFonts w:hint="eastAsia" w:ascii="宋体" w:hAnsi="宋体" w:eastAsia="宋体" w:cs="宋体"/>
          <w:snapToGrid w:val="0"/>
          <w:color w:val="auto"/>
          <w:sz w:val="24"/>
          <w:szCs w:val="24"/>
          <w:highlight w:val="none"/>
        </w:rPr>
        <w:t>须知前附表”规定的报价扣除比例，对供应商报价进行价格扣除，用扣除后的价格参与评审</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公告中明确项目专门面向中小企业采购的，“</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”为资格要求文件，</w:t>
      </w:r>
      <w:r>
        <w:rPr>
          <w:rFonts w:hint="eastAsia" w:ascii="宋体" w:hAnsi="宋体" w:eastAsia="宋体" w:cs="宋体"/>
          <w:snapToGrid w:val="0"/>
          <w:color w:val="auto"/>
          <w:sz w:val="24"/>
          <w:szCs w:val="24"/>
          <w:highlight w:val="none"/>
        </w:rPr>
        <w:t>供应商</w:t>
      </w:r>
      <w:r>
        <w:rPr>
          <w:rFonts w:hint="eastAsia" w:ascii="宋体" w:hAnsi="宋体" w:eastAsia="宋体" w:cs="宋体"/>
          <w:snapToGrid w:val="0"/>
          <w:color w:val="auto"/>
          <w:sz w:val="24"/>
          <w:szCs w:val="24"/>
          <w:highlight w:val="none"/>
          <w:lang w:eastAsia="zh-CN"/>
        </w:rPr>
        <w:t>参与</w:t>
      </w:r>
      <w:r>
        <w:rPr>
          <w:rFonts w:hint="eastAsia" w:ascii="宋体" w:hAnsi="宋体" w:eastAsia="宋体" w:cs="宋体"/>
          <w:snapToGrid w:val="0"/>
          <w:color w:val="auto"/>
          <w:sz w:val="24"/>
          <w:szCs w:val="24"/>
          <w:highlight w:val="none"/>
          <w:lang w:val="en-US" w:eastAsia="zh-CN"/>
        </w:rPr>
        <w:t>投标</w:t>
      </w:r>
      <w:r>
        <w:rPr>
          <w:rFonts w:hint="eastAsia" w:ascii="宋体" w:hAnsi="宋体" w:eastAsia="宋体" w:cs="宋体"/>
          <w:snapToGrid w:val="0"/>
          <w:color w:val="auto"/>
          <w:sz w:val="24"/>
          <w:szCs w:val="24"/>
          <w:highlight w:val="none"/>
          <w:lang w:eastAsia="zh-CN"/>
        </w:rPr>
        <w:t>须按本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”等作为资格证明文件。</w:t>
      </w:r>
      <w:r>
        <w:rPr>
          <w:rFonts w:hint="eastAsia" w:ascii="宋体" w:hAnsi="宋体" w:eastAsia="宋体" w:cs="宋体"/>
          <w:snapToGrid w:val="0"/>
          <w:color w:val="auto"/>
          <w:sz w:val="24"/>
          <w:szCs w:val="24"/>
          <w:highlight w:val="none"/>
          <w:lang w:val="en-US" w:eastAsia="zh-CN"/>
        </w:rPr>
        <w:t xml:space="preserve"> </w:t>
      </w:r>
    </w:p>
    <w:p w14:paraId="743E5E0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42.3 供应商提供的货物、工程或者服务符合下列情形的，享受中小企业扶持政策： </w:t>
      </w:r>
    </w:p>
    <w:p w14:paraId="07E7A00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（1）在货物采购项目中，货物由中小企业制造，即货物由中小企业生产且使用该中小企业商号或者注册商标； </w:t>
      </w:r>
    </w:p>
    <w:p w14:paraId="128FB5A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（2）在工程采购项目中，工程由中小企业承建，即工程施工单位为中小企业； </w:t>
      </w:r>
    </w:p>
    <w:p w14:paraId="4557B96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（3）在服务采购项目中，服务由中小企业承接，即提供服务的人员为中小企业依照《中华人民共和国劳动合同法》订立劳动合同的从业人员。</w:t>
      </w:r>
    </w:p>
    <w:p w14:paraId="5C38B69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42.4 在服务采购项目中，供应商提供的服务既有中小企业承接，也有大型企业承接的，不享受中小企业扶持政策。 </w:t>
      </w:r>
    </w:p>
    <w:p w14:paraId="31F905A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42.5 以联合体形式参加政府采购活动，联合体各方均为中小企业的，联合体视同中小企业。其中，联合体各方均为小微企业的，联合体视同小微企业。</w:t>
      </w:r>
    </w:p>
    <w:p w14:paraId="589A89E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1EF9D90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2EADF7D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5B128E6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42.7.2 依法与安置的每位残疾人签订了1年以上（含1年）的劳动合同或服务协议； </w:t>
      </w:r>
    </w:p>
    <w:p w14:paraId="750299D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5494926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6AD696D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6F6930A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50A69BF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42.8 本项目是否专门面向中小企业预留采购份额见“第一章 </w:t>
      </w:r>
      <w:r>
        <w:rPr>
          <w:rFonts w:hint="eastAsia" w:ascii="宋体" w:hAnsi="宋体" w:eastAsia="宋体" w:cs="宋体"/>
          <w:color w:val="auto"/>
          <w:sz w:val="24"/>
          <w:szCs w:val="24"/>
          <w:highlight w:val="none"/>
          <w:lang w:val="en-US" w:eastAsia="zh-CN"/>
        </w:rPr>
        <w:t>招标公告</w:t>
      </w:r>
      <w:r>
        <w:rPr>
          <w:rFonts w:hint="eastAsia" w:ascii="宋体" w:hAnsi="宋体" w:eastAsia="宋体" w:cs="宋体"/>
          <w:snapToGrid w:val="0"/>
          <w:color w:val="auto"/>
          <w:sz w:val="24"/>
          <w:szCs w:val="24"/>
          <w:highlight w:val="none"/>
          <w:lang w:val="en-US" w:eastAsia="zh-CN"/>
        </w:rPr>
        <w:t>”。    42.9 采购标的对应的中小企业划分标准所属行业见“投标人须知前附表”。    42.10 小微企业价格评审优惠的政策调整：见“投标人须知前附表”及“第五章 评标方法及标准”。</w:t>
      </w:r>
    </w:p>
    <w:p w14:paraId="17DD5FF7">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9" w:name="_Toc163492878"/>
      <w:bookmarkStart w:id="400" w:name="_Toc23996"/>
      <w:bookmarkStart w:id="401" w:name="_Toc15890"/>
      <w:bookmarkStart w:id="402" w:name="_Toc5861"/>
      <w:r>
        <w:rPr>
          <w:rFonts w:hint="eastAsia" w:ascii="宋体" w:hAnsi="宋体" w:eastAsia="宋体" w:cs="宋体"/>
          <w:b/>
          <w:bCs/>
          <w:color w:val="auto"/>
          <w:kern w:val="2"/>
          <w:sz w:val="24"/>
          <w:szCs w:val="24"/>
          <w:highlight w:val="none"/>
          <w:lang w:val="en-US" w:eastAsia="zh-CN" w:bidi="ar-SA"/>
        </w:rPr>
        <w:t>43.政府采购节能产品、环境标志产品</w:t>
      </w:r>
      <w:bookmarkEnd w:id="399"/>
      <w:bookmarkEnd w:id="400"/>
      <w:bookmarkEnd w:id="401"/>
      <w:bookmarkEnd w:id="402"/>
    </w:p>
    <w:p w14:paraId="741E7E7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2EC4C51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25CFE0E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43.3 如本项目采购产品属于实施政府强制采购品目清单范围的节能产品，则投标人所报产品必须获得国家确定的认证机构出具的、处于有效期之内的节能产品认证证书，否则</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 xml:space="preserve">。 </w:t>
      </w:r>
    </w:p>
    <w:p w14:paraId="04E599F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43.4 非政府强制采购的节能产品或环境标志产品，依据品目清单和认证证书实施政府优先采购。优先采购的具体规定见“第五章 评标方法及标准”（如涉及）。</w:t>
      </w:r>
    </w:p>
    <w:p w14:paraId="51B3D92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43.5 </w:t>
      </w:r>
      <w:r>
        <w:rPr>
          <w:rFonts w:hint="eastAsia" w:ascii="宋体" w:hAnsi="宋体" w:eastAsia="宋体" w:cs="宋体"/>
          <w:snapToGrid w:val="0"/>
          <w:color w:val="auto"/>
          <w:sz w:val="24"/>
          <w:szCs w:val="24"/>
          <w:highlight w:val="none"/>
        </w:rPr>
        <w:t>投标人所投产品如属于节能产品政府采购品目清单、环境标志产品政府采购品目清单范围的，须提供国家确定的认证机构出具的、处于有效期内的产品认证证书，认证证书的产品型号与所投产品不一致的，视为未提供。属于政府强制采购产品的，已作为投标时强制性要求不再给予</w:t>
      </w:r>
      <w:r>
        <w:rPr>
          <w:rFonts w:hint="eastAsia" w:ascii="宋体" w:hAnsi="宋体" w:eastAsia="宋体" w:cs="宋体"/>
          <w:snapToGrid w:val="0"/>
          <w:color w:val="auto"/>
          <w:sz w:val="24"/>
          <w:szCs w:val="24"/>
          <w:highlight w:val="none"/>
          <w:lang w:val="en-US" w:eastAsia="zh-CN"/>
        </w:rPr>
        <w:t>价格评审优惠</w:t>
      </w:r>
      <w:r>
        <w:rPr>
          <w:rFonts w:hint="eastAsia" w:ascii="宋体" w:hAnsi="宋体" w:eastAsia="宋体" w:cs="宋体"/>
          <w:snapToGrid w:val="0"/>
          <w:color w:val="auto"/>
          <w:sz w:val="24"/>
          <w:szCs w:val="24"/>
          <w:highlight w:val="none"/>
        </w:rPr>
        <w:t>，未提供认证证书的视为</w:t>
      </w:r>
      <w:r>
        <w:rPr>
          <w:rFonts w:hint="eastAsia" w:ascii="宋体" w:hAnsi="宋体" w:eastAsia="宋体" w:cs="宋体"/>
          <w:b/>
          <w:bCs/>
          <w:snapToGrid w:val="0"/>
          <w:color w:val="auto"/>
          <w:sz w:val="24"/>
          <w:szCs w:val="24"/>
          <w:highlight w:val="none"/>
          <w:lang w:val="en-US" w:eastAsia="zh-CN"/>
        </w:rPr>
        <w:t>投标</w:t>
      </w:r>
      <w:r>
        <w:rPr>
          <w:rFonts w:hint="eastAsia" w:ascii="宋体" w:hAnsi="宋体" w:eastAsia="宋体" w:cs="宋体"/>
          <w:b/>
          <w:bCs/>
          <w:snapToGrid w:val="0"/>
          <w:color w:val="auto"/>
          <w:sz w:val="24"/>
          <w:szCs w:val="24"/>
          <w:highlight w:val="none"/>
        </w:rPr>
        <w:t>无效</w:t>
      </w:r>
      <w:r>
        <w:rPr>
          <w:rFonts w:hint="eastAsia" w:ascii="宋体" w:hAnsi="宋体" w:eastAsia="宋体" w:cs="宋体"/>
          <w:snapToGrid w:val="0"/>
          <w:color w:val="auto"/>
          <w:sz w:val="24"/>
          <w:szCs w:val="24"/>
          <w:highlight w:val="none"/>
        </w:rPr>
        <w:t>。属于</w:t>
      </w:r>
      <w:r>
        <w:rPr>
          <w:rFonts w:hint="eastAsia" w:ascii="宋体" w:hAnsi="宋体" w:eastAsia="宋体" w:cs="宋体"/>
          <w:snapToGrid w:val="0"/>
          <w:color w:val="auto"/>
          <w:sz w:val="24"/>
          <w:szCs w:val="24"/>
          <w:highlight w:val="none"/>
          <w:lang w:val="en-US" w:eastAsia="zh-CN"/>
        </w:rPr>
        <w:t>优先采购</w:t>
      </w:r>
      <w:r>
        <w:rPr>
          <w:rFonts w:hint="eastAsia" w:ascii="宋体" w:hAnsi="宋体" w:eastAsia="宋体" w:cs="宋体"/>
          <w:snapToGrid w:val="0"/>
          <w:color w:val="auto"/>
          <w:sz w:val="24"/>
          <w:szCs w:val="24"/>
          <w:highlight w:val="none"/>
        </w:rPr>
        <w:t>节能产品政府采购品目清单、环境标志产品政府采购品目清单</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创新产品</w:t>
      </w:r>
      <w:r>
        <w:rPr>
          <w:rFonts w:hint="eastAsia" w:ascii="宋体" w:hAnsi="宋体" w:eastAsia="宋体" w:cs="宋体"/>
          <w:snapToGrid w:val="0"/>
          <w:color w:val="auto"/>
          <w:sz w:val="24"/>
          <w:szCs w:val="24"/>
          <w:highlight w:val="none"/>
        </w:rPr>
        <w:t>范围的，按照“</w:t>
      </w:r>
      <w:r>
        <w:rPr>
          <w:rFonts w:hint="eastAsia" w:ascii="宋体" w:hAnsi="宋体" w:eastAsia="宋体" w:cs="宋体"/>
          <w:color w:val="auto"/>
          <w:sz w:val="24"/>
          <w:szCs w:val="24"/>
          <w:highlight w:val="none"/>
          <w:lang w:val="en-US" w:eastAsia="zh-CN"/>
        </w:rPr>
        <w:t>第五章 评标方法及标准</w:t>
      </w:r>
      <w:r>
        <w:rPr>
          <w:rFonts w:hint="eastAsia" w:ascii="宋体" w:hAnsi="宋体" w:eastAsia="宋体" w:cs="宋体"/>
          <w:snapToGrid w:val="0"/>
          <w:color w:val="auto"/>
          <w:sz w:val="24"/>
          <w:szCs w:val="24"/>
          <w:highlight w:val="none"/>
        </w:rPr>
        <w:t>”中相关规定</w:t>
      </w:r>
      <w:r>
        <w:rPr>
          <w:rFonts w:hint="eastAsia" w:ascii="宋体" w:hAnsi="宋体" w:eastAsia="宋体" w:cs="宋体"/>
          <w:color w:val="auto"/>
          <w:sz w:val="24"/>
          <w:szCs w:val="24"/>
          <w:highlight w:val="none"/>
          <w:lang w:val="en-US" w:eastAsia="zh-CN"/>
        </w:rPr>
        <w:t>在评审时给予价格评审优惠，具体详见</w:t>
      </w:r>
      <w:r>
        <w:rPr>
          <w:rFonts w:hint="eastAsia" w:ascii="宋体" w:hAnsi="宋体" w:eastAsia="宋体" w:cs="宋体"/>
          <w:snapToGrid w:val="0"/>
          <w:color w:val="auto"/>
          <w:sz w:val="24"/>
          <w:szCs w:val="24"/>
          <w:highlight w:val="none"/>
          <w:lang w:val="en-US" w:eastAsia="zh-CN"/>
        </w:rPr>
        <w:t>“投标人须知前附表”及</w:t>
      </w:r>
      <w:r>
        <w:rPr>
          <w:rFonts w:hint="eastAsia" w:ascii="宋体" w:hAnsi="宋体" w:eastAsia="宋体" w:cs="宋体"/>
          <w:color w:val="auto"/>
          <w:sz w:val="24"/>
          <w:szCs w:val="24"/>
          <w:highlight w:val="none"/>
          <w:lang w:val="en-US" w:eastAsia="zh-CN"/>
        </w:rPr>
        <w:t>“第五章 评标方法及标准”</w:t>
      </w:r>
      <w:r>
        <w:rPr>
          <w:rFonts w:hint="eastAsia" w:ascii="宋体" w:hAnsi="宋体" w:eastAsia="宋体" w:cs="宋体"/>
          <w:color w:val="auto"/>
          <w:sz w:val="24"/>
          <w:szCs w:val="24"/>
          <w:highlight w:val="none"/>
        </w:rPr>
        <w:t>。</w:t>
      </w:r>
    </w:p>
    <w:p w14:paraId="5F04C72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3" w:name="_Toc8054"/>
      <w:bookmarkStart w:id="404" w:name="_Toc22896"/>
      <w:bookmarkStart w:id="405" w:name="_Toc5777"/>
      <w:bookmarkStart w:id="406" w:name="_Toc163492879"/>
      <w:r>
        <w:rPr>
          <w:rFonts w:hint="eastAsia" w:ascii="宋体" w:hAnsi="宋体" w:eastAsia="宋体" w:cs="宋体"/>
          <w:b/>
          <w:bCs/>
          <w:color w:val="auto"/>
          <w:kern w:val="2"/>
          <w:sz w:val="24"/>
          <w:szCs w:val="24"/>
          <w:highlight w:val="none"/>
          <w:lang w:val="en-US" w:eastAsia="zh-CN" w:bidi="ar-SA"/>
        </w:rPr>
        <w:t>44.正版软件</w:t>
      </w:r>
      <w:bookmarkEnd w:id="403"/>
      <w:bookmarkEnd w:id="404"/>
      <w:bookmarkEnd w:id="405"/>
      <w:r>
        <w:rPr>
          <w:rFonts w:hint="eastAsia" w:ascii="宋体" w:hAnsi="宋体" w:eastAsia="宋体" w:cs="宋体"/>
          <w:b/>
          <w:bCs/>
          <w:color w:val="auto"/>
          <w:kern w:val="2"/>
          <w:sz w:val="24"/>
          <w:szCs w:val="24"/>
          <w:highlight w:val="none"/>
          <w:lang w:val="en-US" w:eastAsia="zh-CN" w:bidi="ar-SA"/>
        </w:rPr>
        <w:t xml:space="preserve">  </w:t>
      </w:r>
    </w:p>
    <w:p w14:paraId="415973C1">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7504E40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号）、《国务院办公厅关于印发政府机关使用正版软件管理办法的通知》国办发〔2013〕88号。</w:t>
      </w:r>
    </w:p>
    <w:p w14:paraId="139B1CB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7" w:name="_Toc7834"/>
      <w:bookmarkStart w:id="408" w:name="_Toc27611"/>
      <w:bookmarkStart w:id="409" w:name="_Toc15694"/>
      <w:r>
        <w:rPr>
          <w:rFonts w:hint="eastAsia" w:ascii="宋体" w:hAnsi="宋体" w:eastAsia="宋体" w:cs="宋体"/>
          <w:b/>
          <w:bCs/>
          <w:color w:val="auto"/>
          <w:kern w:val="2"/>
          <w:sz w:val="24"/>
          <w:szCs w:val="24"/>
          <w:highlight w:val="none"/>
          <w:lang w:val="en-US" w:eastAsia="zh-CN" w:bidi="ar-SA"/>
        </w:rPr>
        <w:t>45.网络安全专用产品</w:t>
      </w:r>
      <w:bookmarkEnd w:id="407"/>
      <w:bookmarkEnd w:id="408"/>
      <w:bookmarkEnd w:id="409"/>
      <w:r>
        <w:rPr>
          <w:rFonts w:hint="eastAsia" w:ascii="宋体" w:hAnsi="宋体" w:eastAsia="宋体" w:cs="宋体"/>
          <w:b/>
          <w:bCs/>
          <w:color w:val="auto"/>
          <w:kern w:val="2"/>
          <w:sz w:val="24"/>
          <w:szCs w:val="24"/>
          <w:highlight w:val="none"/>
          <w:lang w:val="en-US" w:eastAsia="zh-CN" w:bidi="ar-SA"/>
        </w:rPr>
        <w:t xml:space="preserve">   </w:t>
      </w:r>
    </w:p>
    <w:p w14:paraId="13C0877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75DAF1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 </w:t>
      </w:r>
    </w:p>
    <w:p w14:paraId="567E703D">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0" w:name="_Toc27892"/>
      <w:bookmarkStart w:id="411" w:name="_Toc5974"/>
      <w:bookmarkStart w:id="412" w:name="_Toc11862"/>
      <w:r>
        <w:rPr>
          <w:rFonts w:hint="eastAsia" w:ascii="宋体" w:hAnsi="宋体" w:eastAsia="宋体" w:cs="宋体"/>
          <w:b/>
          <w:bCs/>
          <w:color w:val="auto"/>
          <w:kern w:val="2"/>
          <w:sz w:val="24"/>
          <w:szCs w:val="24"/>
          <w:highlight w:val="none"/>
          <w:lang w:val="en-US" w:eastAsia="zh-CN" w:bidi="ar-SA"/>
        </w:rPr>
        <w:t>46.采购需求标准</w:t>
      </w:r>
      <w:bookmarkEnd w:id="410"/>
      <w:bookmarkEnd w:id="411"/>
      <w:bookmarkEnd w:id="412"/>
      <w:r>
        <w:rPr>
          <w:rFonts w:hint="eastAsia" w:ascii="宋体" w:hAnsi="宋体" w:eastAsia="宋体" w:cs="宋体"/>
          <w:b/>
          <w:bCs/>
          <w:color w:val="auto"/>
          <w:kern w:val="2"/>
          <w:sz w:val="24"/>
          <w:szCs w:val="24"/>
          <w:highlight w:val="none"/>
          <w:lang w:val="en-US" w:eastAsia="zh-CN" w:bidi="ar-SA"/>
        </w:rPr>
        <w:t xml:space="preserve">   </w:t>
      </w:r>
    </w:p>
    <w:p w14:paraId="77C6365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46.1 商品包装、快递包装政府采购需求标准（试行） </w:t>
      </w:r>
    </w:p>
    <w:p w14:paraId="3DA9478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号），本项目如涉及商品包装和快递包装的，则其具体要求见第三章《采购需求》。 </w:t>
      </w:r>
    </w:p>
    <w:p w14:paraId="27B020C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46.2 绿色数据中心政府采购需求标准（试行） </w:t>
      </w:r>
    </w:p>
    <w:p w14:paraId="1617383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为加快数据中心绿色转型，根据财政部 生态环境部 工业和信息化部关于印发《绿色数据中心政府采购需求标准（试行）》的通知（财库〔2023〕7 号），本项目如涉及绿色数据中心，则具体要求见第三章《采购需求》。 </w:t>
      </w:r>
    </w:p>
    <w:p w14:paraId="752FA93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46.3台式计算机政府采购需求标准</w:t>
      </w:r>
    </w:p>
    <w:p w14:paraId="3830872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工业和信息化部关于印发《台式计算机政府采购需求标准（2023年版）》的通知（财库〔2023〕29号），本项目如涉及台式计算机采购，则具体要求见第三章《采购需求》。</w:t>
      </w:r>
    </w:p>
    <w:p w14:paraId="3E8B315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46.4便携式计算机政府采购需求标准</w:t>
      </w:r>
    </w:p>
    <w:p w14:paraId="2DDABA7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工业和信息化部关于印发《便携式计算机政府采购需求标准（2023年版）》的通知（财库〔2023〕30号），本项目如涉及便携式计算机采购，则具体要求见第三章《采购需求》。</w:t>
      </w:r>
    </w:p>
    <w:p w14:paraId="385FE90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46.5一体式计算机政府采购需求标准</w:t>
      </w:r>
    </w:p>
    <w:p w14:paraId="30E8139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工业和信息化部关于印发《一体式计算机政府采购需求标准（2023年版）》的通知（财库〔2023〕31号），本项目如涉及一体式计算机采购，则具体要求见第三章《采购需求》。</w:t>
      </w:r>
    </w:p>
    <w:p w14:paraId="07FD3B3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46.6工作站政府采购需求标准</w:t>
      </w:r>
    </w:p>
    <w:p w14:paraId="23F8A15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工业和信息化部关于印发《工作站政府采购需求标准（2023年版）》的通知（财库〔2023〕32号），本项目如涉及工作站采购，则具体要求见第三章《采购需求》。</w:t>
      </w:r>
    </w:p>
    <w:p w14:paraId="6FE6E6D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46.7通用服务器政府采购需求标准</w:t>
      </w:r>
    </w:p>
    <w:p w14:paraId="2DC5EFF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工业和信息化部关于印发《通用服务器政府采购需求标准（2023年版）》的通知（财库〔2023〕33号），本项目如涉及通用服务器采购，则具体要求见第三章《采购需求》。</w:t>
      </w:r>
    </w:p>
    <w:p w14:paraId="5822E47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46.8操作系统政府采购需求标准</w:t>
      </w:r>
    </w:p>
    <w:p w14:paraId="0C0F87E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工业和信息化部关于印发《操作系统政府采购需求标准（2023年版）》的通知（财库〔2023〕34号），本项目如涉及操作系统采购，则具体要求见第三章《采购需求》。</w:t>
      </w:r>
    </w:p>
    <w:p w14:paraId="1177BDB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46.9数据库政府采购需求标准</w:t>
      </w:r>
    </w:p>
    <w:p w14:paraId="45BE4E6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工业和信息化部关于印发《数据库政府采购需求标准（2023年版）》的通知（财库〔2023〕35号），本项目如涉及数据库采购，则具体要求见第三章《采购需求》。</w:t>
      </w:r>
    </w:p>
    <w:p w14:paraId="116745F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46.10物业管理服务政府采购需求标准（办公场所类）（试行）</w:t>
      </w:r>
    </w:p>
    <w:p w14:paraId="0169F2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采购需求》。</w:t>
      </w:r>
    </w:p>
    <w:p w14:paraId="07C1DA2C">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3" w:name="_Toc18589"/>
      <w:bookmarkStart w:id="414" w:name="_Toc17357"/>
      <w:bookmarkStart w:id="415" w:name="_Toc27566"/>
      <w:r>
        <w:rPr>
          <w:rFonts w:hint="eastAsia" w:ascii="宋体" w:hAnsi="宋体" w:eastAsia="宋体" w:cs="宋体"/>
          <w:b/>
          <w:bCs/>
          <w:color w:val="auto"/>
          <w:kern w:val="2"/>
          <w:sz w:val="24"/>
          <w:szCs w:val="24"/>
          <w:highlight w:val="none"/>
          <w:lang w:val="en-US" w:eastAsia="zh-CN" w:bidi="ar-SA"/>
        </w:rPr>
        <w:t>（十四）政府采购合同融资政策</w:t>
      </w:r>
      <w:bookmarkEnd w:id="389"/>
      <w:bookmarkEnd w:id="390"/>
      <w:bookmarkEnd w:id="406"/>
      <w:bookmarkEnd w:id="413"/>
      <w:bookmarkEnd w:id="414"/>
      <w:bookmarkEnd w:id="415"/>
    </w:p>
    <w:p w14:paraId="7CF32745">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6" w:name="_Toc10283"/>
      <w:bookmarkStart w:id="417" w:name="_Toc163492880"/>
      <w:bookmarkStart w:id="418" w:name="_Toc10372"/>
      <w:bookmarkStart w:id="419" w:name="_Toc16609"/>
      <w:r>
        <w:rPr>
          <w:rFonts w:hint="eastAsia" w:ascii="宋体" w:hAnsi="宋体" w:eastAsia="宋体" w:cs="宋体"/>
          <w:b/>
          <w:bCs/>
          <w:color w:val="auto"/>
          <w:kern w:val="2"/>
          <w:sz w:val="24"/>
          <w:szCs w:val="24"/>
          <w:highlight w:val="none"/>
          <w:lang w:val="en-US" w:eastAsia="zh-CN" w:bidi="ar-SA"/>
        </w:rPr>
        <w:t>47.政府采购合同融资政策</w:t>
      </w:r>
      <w:bookmarkEnd w:id="416"/>
      <w:bookmarkEnd w:id="417"/>
      <w:bookmarkEnd w:id="418"/>
      <w:bookmarkEnd w:id="419"/>
    </w:p>
    <w:p w14:paraId="2F90869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.1政府采购合同融资政策：见投标人须知前附表。</w:t>
      </w:r>
    </w:p>
    <w:p w14:paraId="198FC626">
      <w:pPr>
        <w:pStyle w:val="4"/>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0" w:name="_Toc25511"/>
      <w:bookmarkStart w:id="421" w:name="_Toc163492881"/>
      <w:bookmarkStart w:id="422" w:name="_Toc21672"/>
      <w:bookmarkStart w:id="423" w:name="_Toc6921"/>
      <w:r>
        <w:rPr>
          <w:rFonts w:hint="eastAsia" w:ascii="宋体" w:hAnsi="宋体" w:eastAsia="宋体" w:cs="宋体"/>
          <w:b/>
          <w:bCs/>
          <w:color w:val="auto"/>
          <w:kern w:val="2"/>
          <w:sz w:val="24"/>
          <w:szCs w:val="24"/>
          <w:highlight w:val="none"/>
          <w:lang w:val="en-US" w:eastAsia="zh-CN" w:bidi="ar-SA"/>
        </w:rPr>
        <w:t>（十五）其他</w:t>
      </w:r>
      <w:bookmarkEnd w:id="420"/>
      <w:bookmarkEnd w:id="421"/>
      <w:bookmarkEnd w:id="422"/>
      <w:bookmarkEnd w:id="423"/>
    </w:p>
    <w:p w14:paraId="370F802C">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4" w:name="_Toc163492882"/>
      <w:bookmarkStart w:id="425" w:name="_Toc1148"/>
      <w:bookmarkStart w:id="426" w:name="_Toc19852"/>
      <w:bookmarkStart w:id="427" w:name="_Toc28158"/>
      <w:r>
        <w:rPr>
          <w:rFonts w:hint="eastAsia" w:ascii="宋体" w:hAnsi="宋体" w:eastAsia="宋体" w:cs="宋体"/>
          <w:b/>
          <w:bCs/>
          <w:color w:val="auto"/>
          <w:kern w:val="2"/>
          <w:sz w:val="24"/>
          <w:szCs w:val="24"/>
          <w:highlight w:val="none"/>
          <w:lang w:val="en-US" w:eastAsia="zh-CN" w:bidi="ar-SA"/>
        </w:rPr>
        <w:t>48.需要补充的其他内容</w:t>
      </w:r>
      <w:bookmarkEnd w:id="424"/>
      <w:bookmarkEnd w:id="425"/>
      <w:bookmarkEnd w:id="426"/>
      <w:bookmarkEnd w:id="427"/>
    </w:p>
    <w:p w14:paraId="3251640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.1需要补充的其他内容：见投标人须知前附表。</w:t>
      </w:r>
    </w:p>
    <w:p w14:paraId="1BD29CB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8" w:name="_Toc163492883"/>
      <w:bookmarkStart w:id="429" w:name="_Toc746"/>
      <w:bookmarkStart w:id="430" w:name="_Toc155185886"/>
      <w:bookmarkStart w:id="431" w:name="_Toc24080"/>
      <w:bookmarkStart w:id="432" w:name="_Toc140132810"/>
      <w:bookmarkStart w:id="433" w:name="_Toc11583"/>
      <w:r>
        <w:rPr>
          <w:rFonts w:hint="eastAsia" w:ascii="宋体" w:hAnsi="宋体" w:eastAsia="宋体" w:cs="宋体"/>
          <w:b/>
          <w:bCs/>
          <w:color w:val="auto"/>
          <w:kern w:val="2"/>
          <w:sz w:val="24"/>
          <w:szCs w:val="24"/>
          <w:highlight w:val="none"/>
          <w:lang w:val="en-US" w:eastAsia="zh-CN" w:bidi="ar-SA"/>
        </w:rPr>
        <w:t>49.适用法律</w:t>
      </w:r>
      <w:bookmarkEnd w:id="428"/>
      <w:bookmarkEnd w:id="429"/>
      <w:bookmarkEnd w:id="430"/>
      <w:bookmarkEnd w:id="431"/>
      <w:bookmarkEnd w:id="432"/>
      <w:bookmarkEnd w:id="433"/>
    </w:p>
    <w:p w14:paraId="0953B8A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49</w:t>
      </w:r>
      <w:r>
        <w:rPr>
          <w:rFonts w:hint="eastAsia" w:ascii="宋体" w:hAnsi="宋体" w:eastAsia="宋体" w:cs="宋体"/>
          <w:snapToGrid w:val="0"/>
          <w:color w:val="auto"/>
          <w:sz w:val="24"/>
          <w:szCs w:val="24"/>
          <w:highlight w:val="none"/>
        </w:rPr>
        <w:t>.1采购人、采购代理机构及投标人的一切采购活动均适用《中华人民共和国政府采购法》、《中华人民共和国政府采购法实施条例》、《政府采购货物和服务招标投标管理办法》（财政部令第87号）及相关法律法规。</w:t>
      </w:r>
    </w:p>
    <w:p w14:paraId="6AD322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49</w:t>
      </w:r>
      <w:r>
        <w:rPr>
          <w:rFonts w:hint="eastAsia" w:ascii="宋体" w:hAnsi="宋体" w:eastAsia="宋体" w:cs="宋体"/>
          <w:snapToGrid w:val="0"/>
          <w:color w:val="auto"/>
          <w:sz w:val="24"/>
          <w:szCs w:val="24"/>
          <w:highlight w:val="none"/>
        </w:rPr>
        <w:t>.2政府采购合同的履行、违约责任和解决争议的方法等适用《中华人民共和国民法典》。</w:t>
      </w:r>
    </w:p>
    <w:p w14:paraId="468836B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4" w:name="_Toc17601"/>
      <w:bookmarkStart w:id="435" w:name="_Toc17546"/>
      <w:bookmarkStart w:id="436" w:name="_Toc7856"/>
      <w:bookmarkStart w:id="437" w:name="_Toc163492884"/>
      <w:bookmarkStart w:id="438" w:name="_Toc155185887"/>
      <w:r>
        <w:rPr>
          <w:rFonts w:hint="eastAsia" w:ascii="宋体" w:hAnsi="宋体" w:eastAsia="宋体" w:cs="宋体"/>
          <w:b/>
          <w:bCs/>
          <w:color w:val="auto"/>
          <w:kern w:val="2"/>
          <w:sz w:val="24"/>
          <w:szCs w:val="24"/>
          <w:highlight w:val="none"/>
          <w:lang w:val="en-US" w:eastAsia="zh-CN" w:bidi="ar-SA"/>
        </w:rPr>
        <w:t>50.解释权</w:t>
      </w:r>
      <w:bookmarkEnd w:id="434"/>
      <w:bookmarkEnd w:id="435"/>
      <w:bookmarkEnd w:id="436"/>
      <w:bookmarkEnd w:id="437"/>
      <w:bookmarkEnd w:id="438"/>
    </w:p>
    <w:p w14:paraId="5C6D27F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50</w:t>
      </w:r>
      <w:r>
        <w:rPr>
          <w:rFonts w:hint="eastAsia" w:ascii="宋体" w:hAnsi="宋体" w:eastAsia="宋体" w:cs="宋体"/>
          <w:snapToGrid w:val="0"/>
          <w:color w:val="auto"/>
          <w:sz w:val="24"/>
          <w:szCs w:val="24"/>
          <w:highlight w:val="none"/>
        </w:rPr>
        <w:t>.1本招标文件最终解释权归采购人或采购代理机构所有。</w:t>
      </w:r>
    </w:p>
    <w:p w14:paraId="7F68D20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0" w:firstLineChars="0"/>
        <w:textAlignment w:val="auto"/>
        <w:rPr>
          <w:rFonts w:hint="eastAsia"/>
          <w:snapToGrid w:val="0"/>
          <w:color w:val="auto"/>
          <w:highlight w:val="none"/>
        </w:rPr>
      </w:pPr>
    </w:p>
    <w:p w14:paraId="70704BD1">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39" w:name="_Toc155185888"/>
      <w:bookmarkStart w:id="440" w:name="_Toc21746"/>
      <w:r>
        <w:rPr>
          <w:rFonts w:hint="eastAsia" w:ascii="宋体" w:hAnsi="宋体" w:eastAsia="宋体" w:cs="宋体"/>
          <w:b/>
          <w:bCs/>
          <w:color w:val="auto"/>
          <w:kern w:val="44"/>
          <w:sz w:val="36"/>
          <w:szCs w:val="36"/>
          <w:highlight w:val="none"/>
          <w:lang w:val="en-US" w:eastAsia="zh-CN" w:bidi="ar-SA"/>
        </w:rPr>
        <w:t>第三章 采购需求</w:t>
      </w:r>
      <w:bookmarkEnd w:id="439"/>
      <w:bookmarkEnd w:id="440"/>
    </w:p>
    <w:p w14:paraId="74BCECBF">
      <w:pPr>
        <w:pStyle w:val="3"/>
        <w:pageBreakBefore w:val="0"/>
        <w:kinsoku/>
        <w:overflowPunct/>
        <w:bidi w:val="0"/>
        <w:spacing w:before="0" w:beforeAutospacing="0" w:after="0" w:afterAutospacing="0" w:line="560" w:lineRule="exact"/>
        <w:ind w:left="0" w:leftChars="0" w:right="0"/>
        <w:rPr>
          <w:rFonts w:hint="eastAsia"/>
          <w:sz w:val="28"/>
          <w:szCs w:val="28"/>
          <w:lang w:val="en-US" w:eastAsia="zh-CN"/>
        </w:rPr>
      </w:pPr>
      <w:bookmarkStart w:id="441" w:name="_Toc24725"/>
      <w:bookmarkStart w:id="442" w:name="_Toc140132812"/>
      <w:bookmarkStart w:id="443" w:name="_Toc155185889"/>
      <w:r>
        <w:rPr>
          <w:rFonts w:hint="eastAsia"/>
          <w:sz w:val="28"/>
          <w:szCs w:val="28"/>
          <w:lang w:val="en-US" w:eastAsia="zh-CN"/>
        </w:rPr>
        <w:t>一、采购标的</w:t>
      </w:r>
      <w:bookmarkEnd w:id="441"/>
      <w:r>
        <w:rPr>
          <w:rFonts w:hint="eastAsia"/>
          <w:sz w:val="28"/>
          <w:szCs w:val="28"/>
          <w:lang w:val="en-US" w:eastAsia="zh-CN"/>
        </w:rPr>
        <w:t xml:space="preserve"> </w:t>
      </w:r>
    </w:p>
    <w:tbl>
      <w:tblPr>
        <w:tblStyle w:val="29"/>
        <w:tblW w:w="8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2155"/>
        <w:gridCol w:w="821"/>
        <w:gridCol w:w="842"/>
        <w:gridCol w:w="796"/>
        <w:gridCol w:w="1826"/>
        <w:gridCol w:w="1386"/>
      </w:tblGrid>
      <w:tr w14:paraId="6C62C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756" w:type="dxa"/>
            <w:noWrap w:val="0"/>
            <w:vAlign w:val="center"/>
          </w:tcPr>
          <w:p w14:paraId="106EF20C">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bookmarkStart w:id="444" w:name="_Toc4366"/>
            <w:r>
              <w:rPr>
                <w:rFonts w:hint="eastAsia" w:cstheme="minorBidi"/>
                <w:i w:val="0"/>
                <w:iCs w:val="0"/>
                <w:snapToGrid w:val="0"/>
                <w:color w:val="auto"/>
                <w:kern w:val="2"/>
                <w:sz w:val="24"/>
                <w:szCs w:val="24"/>
                <w:highlight w:val="none"/>
                <w:u w:val="none"/>
                <w:shd w:val="clear" w:color="auto" w:fill="auto"/>
                <w:lang w:val="en-US" w:eastAsia="zh-CN" w:bidi="ar-SA"/>
              </w:rPr>
              <w:t>序号</w:t>
            </w:r>
          </w:p>
        </w:tc>
        <w:tc>
          <w:tcPr>
            <w:tcW w:w="2155" w:type="dxa"/>
            <w:noWrap w:val="0"/>
            <w:vAlign w:val="center"/>
          </w:tcPr>
          <w:p w14:paraId="53F74750">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标的名称</w:t>
            </w:r>
          </w:p>
        </w:tc>
        <w:tc>
          <w:tcPr>
            <w:tcW w:w="821" w:type="dxa"/>
            <w:noWrap w:val="0"/>
            <w:vAlign w:val="center"/>
          </w:tcPr>
          <w:p w14:paraId="2ADD271F">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计量</w:t>
            </w:r>
          </w:p>
          <w:p w14:paraId="08FCEB60">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单位</w:t>
            </w:r>
          </w:p>
        </w:tc>
        <w:tc>
          <w:tcPr>
            <w:tcW w:w="842" w:type="dxa"/>
            <w:noWrap w:val="0"/>
            <w:vAlign w:val="center"/>
          </w:tcPr>
          <w:p w14:paraId="591442FA">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数量</w:t>
            </w:r>
          </w:p>
        </w:tc>
        <w:tc>
          <w:tcPr>
            <w:tcW w:w="796" w:type="dxa"/>
            <w:noWrap w:val="0"/>
            <w:vAlign w:val="center"/>
          </w:tcPr>
          <w:p w14:paraId="0E40DEE8">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是否</w:t>
            </w:r>
          </w:p>
          <w:p w14:paraId="5B9B5A3C">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进口</w:t>
            </w:r>
          </w:p>
        </w:tc>
        <w:tc>
          <w:tcPr>
            <w:tcW w:w="1826" w:type="dxa"/>
            <w:noWrap w:val="0"/>
            <w:vAlign w:val="center"/>
          </w:tcPr>
          <w:p w14:paraId="7A856014">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政府采购品目分类</w:t>
            </w:r>
          </w:p>
        </w:tc>
        <w:tc>
          <w:tcPr>
            <w:tcW w:w="1386" w:type="dxa"/>
            <w:noWrap w:val="0"/>
            <w:vAlign w:val="center"/>
          </w:tcPr>
          <w:p w14:paraId="460945E6">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品目</w:t>
            </w:r>
          </w:p>
          <w:p w14:paraId="7D216613">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分类编码</w:t>
            </w:r>
          </w:p>
        </w:tc>
      </w:tr>
      <w:tr w14:paraId="5BD3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noWrap w:val="0"/>
            <w:vAlign w:val="center"/>
          </w:tcPr>
          <w:p w14:paraId="57E23A1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仿宋" w:hAnsi="仿宋" w:eastAsia="仿宋" w:cs="仿宋"/>
                <w:color w:val="auto"/>
                <w:kern w:val="0"/>
                <w:sz w:val="24"/>
                <w:szCs w:val="24"/>
                <w:highlight w:val="none"/>
                <w:u w:val="none"/>
                <w:shd w:val="clear" w:color="auto" w:fill="auto"/>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1</w:t>
            </w:r>
          </w:p>
        </w:tc>
        <w:tc>
          <w:tcPr>
            <w:tcW w:w="2155" w:type="dxa"/>
            <w:noWrap w:val="0"/>
            <w:vAlign w:val="center"/>
          </w:tcPr>
          <w:p w14:paraId="4D11506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仿宋" w:hAnsi="仿宋" w:eastAsia="仿宋" w:cs="仿宋"/>
                <w:color w:val="auto"/>
                <w:kern w:val="0"/>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2025年昆仑人民医院物业管理服务采购项目（标项二）</w:t>
            </w:r>
          </w:p>
        </w:tc>
        <w:tc>
          <w:tcPr>
            <w:tcW w:w="821" w:type="dxa"/>
            <w:noWrap w:val="0"/>
            <w:vAlign w:val="center"/>
          </w:tcPr>
          <w:p w14:paraId="452FF41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批</w:t>
            </w:r>
          </w:p>
        </w:tc>
        <w:tc>
          <w:tcPr>
            <w:tcW w:w="842" w:type="dxa"/>
            <w:noWrap w:val="0"/>
            <w:vAlign w:val="center"/>
          </w:tcPr>
          <w:p w14:paraId="2642158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1</w:t>
            </w:r>
          </w:p>
        </w:tc>
        <w:tc>
          <w:tcPr>
            <w:tcW w:w="796" w:type="dxa"/>
            <w:noWrap w:val="0"/>
            <w:vAlign w:val="center"/>
          </w:tcPr>
          <w:p w14:paraId="2E23EFF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否</w:t>
            </w:r>
          </w:p>
        </w:tc>
        <w:tc>
          <w:tcPr>
            <w:tcW w:w="1826" w:type="dxa"/>
            <w:noWrap w:val="0"/>
            <w:vAlign w:val="center"/>
          </w:tcPr>
          <w:p w14:paraId="5E7B660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物业管理</w:t>
            </w:r>
            <w: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t>服务</w:t>
            </w:r>
          </w:p>
        </w:tc>
        <w:tc>
          <w:tcPr>
            <w:tcW w:w="1386" w:type="dxa"/>
            <w:noWrap w:val="0"/>
            <w:vAlign w:val="center"/>
          </w:tcPr>
          <w:p w14:paraId="1AD4ECB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center"/>
              <w:rPr>
                <w:rFonts w:hint="eastAsia" w:ascii="仿宋" w:hAnsi="仿宋" w:eastAsia="仿宋" w:cs="仿宋"/>
                <w:color w:val="auto"/>
                <w:kern w:val="0"/>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C</w:t>
            </w:r>
            <w:r>
              <w:rPr>
                <w:rFonts w:hint="eastAsia" w:cstheme="minorBidi"/>
                <w:i w:val="0"/>
                <w:iCs w:val="0"/>
                <w:snapToGrid w:val="0"/>
                <w:color w:val="auto"/>
                <w:kern w:val="2"/>
                <w:sz w:val="24"/>
                <w:szCs w:val="24"/>
                <w:highlight w:val="none"/>
                <w:u w:val="none"/>
                <w:shd w:val="clear" w:color="auto" w:fill="auto"/>
                <w:lang w:val="en-US" w:eastAsia="zh-CN" w:bidi="ar-SA"/>
              </w:rPr>
              <w:t>21040000</w:t>
            </w:r>
          </w:p>
        </w:tc>
      </w:tr>
    </w:tbl>
    <w:p w14:paraId="6FD5A72F">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2" w:firstLineChars="200"/>
        <w:rPr>
          <w:rFonts w:hint="eastAsia"/>
          <w:highlight w:val="none"/>
          <w:lang w:val="en-US" w:eastAsia="zh-CN"/>
        </w:rPr>
      </w:pPr>
      <w:r>
        <w:rPr>
          <w:rFonts w:hint="eastAsia" w:eastAsia="宋体" w:asciiTheme="majorHAnsi" w:hAnsiTheme="majorHAnsi" w:cstheme="majorBidi"/>
          <w:b/>
          <w:bCs/>
          <w:kern w:val="2"/>
          <w:sz w:val="28"/>
          <w:szCs w:val="28"/>
          <w:highlight w:val="none"/>
          <w:lang w:val="en-US" w:eastAsia="zh-CN" w:bidi="ar-SA"/>
        </w:rPr>
        <w:t>二、项目概述：</w:t>
      </w:r>
      <w:r>
        <w:rPr>
          <w:rFonts w:hint="eastAsia" w:ascii="仿宋_GB2312" w:hAnsi="仿宋_GB2312" w:eastAsia="仿宋_GB2312" w:cs="仿宋_GB2312"/>
          <w:sz w:val="28"/>
          <w:szCs w:val="28"/>
          <w:highlight w:val="none"/>
          <w:lang w:val="en-US" w:eastAsia="zh-CN"/>
        </w:rPr>
        <w:t>本项目分为两个标项：本标项为环保服务，污水处理运营服务预算金额为58万元/年。</w:t>
      </w:r>
    </w:p>
    <w:p w14:paraId="6D523F8D">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b/>
          <w:bCs/>
          <w:snapToGrid w:val="0"/>
          <w:color w:val="auto"/>
          <w:sz w:val="24"/>
          <w:szCs w:val="24"/>
          <w:highlight w:val="none"/>
          <w:lang w:val="en-US" w:eastAsia="zh-CN"/>
        </w:rPr>
      </w:pPr>
      <w:r>
        <w:rPr>
          <w:rStyle w:val="41"/>
          <w:rFonts w:hint="eastAsia"/>
          <w:sz w:val="28"/>
          <w:szCs w:val="28"/>
          <w:highlight w:val="none"/>
          <w:lang w:val="en-US" w:eastAsia="zh-CN"/>
        </w:rPr>
        <w:t>三、商务要求</w:t>
      </w:r>
      <w:bookmarkEnd w:id="444"/>
    </w:p>
    <w:p w14:paraId="25E0A108">
      <w:pPr>
        <w:pStyle w:val="87"/>
        <w:pageBreakBefore w:val="0"/>
        <w:kinsoku/>
        <w:overflowPunct/>
        <w:bidi w:val="0"/>
        <w:spacing w:beforeAutospacing="0" w:afterAutospacing="0" w:line="560" w:lineRule="exact"/>
        <w:ind w:left="0" w:leftChars="0" w:right="0" w:rightChars="0" w:firstLine="480" w:firstLineChars="200"/>
        <w:jc w:val="both"/>
        <w:rPr>
          <w:rFonts w:hint="eastAsia" w:ascii="宋体" w:hAnsi="宋体" w:eastAsia="宋体" w:cs="宋体"/>
          <w:b/>
          <w:bCs/>
          <w:color w:val="auto"/>
          <w:sz w:val="24"/>
          <w:szCs w:val="24"/>
          <w:highlight w:val="none"/>
          <w:u w:val="single"/>
          <w:lang w:val="en-US" w:eastAsia="zh-CN"/>
        </w:rPr>
      </w:pPr>
      <w:bookmarkStart w:id="445" w:name="_Toc10153"/>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（1）服务（实施）的时间（期限）：</w:t>
      </w:r>
      <w:r>
        <w:rPr>
          <w:rFonts w:hint="eastAsia" w:ascii="宋体" w:hAnsi="宋体" w:eastAsia="宋体" w:cs="宋体"/>
          <w:b w:val="0"/>
          <w:bCs w:val="0"/>
          <w:kern w:val="0"/>
          <w:sz w:val="24"/>
          <w:szCs w:val="24"/>
          <w:highlight w:val="none"/>
          <w:u w:val="single"/>
          <w:lang w:val="en-US" w:eastAsia="zh-CN" w:bidi="ar-SA"/>
        </w:rPr>
        <w:t>自合同签订之日起</w:t>
      </w:r>
      <w:r>
        <w:rPr>
          <w:rFonts w:hint="eastAsia" w:ascii="宋体" w:hAnsi="宋体" w:cs="宋体"/>
          <w:b w:val="0"/>
          <w:bCs w:val="0"/>
          <w:kern w:val="0"/>
          <w:sz w:val="24"/>
          <w:szCs w:val="24"/>
          <w:highlight w:val="none"/>
          <w:u w:val="single"/>
          <w:lang w:val="en-US" w:eastAsia="zh-CN" w:bidi="ar-SA"/>
        </w:rPr>
        <w:t>1年。</w:t>
      </w:r>
      <w:r>
        <w:rPr>
          <w:rFonts w:hint="eastAsia" w:ascii="宋体" w:hAnsi="宋体" w:eastAsia="宋体" w:cs="宋体"/>
          <w:b w:val="0"/>
          <w:bCs w:val="0"/>
          <w:kern w:val="0"/>
          <w:sz w:val="24"/>
          <w:szCs w:val="24"/>
          <w:highlight w:val="none"/>
          <w:u w:val="single"/>
          <w:lang w:val="en-US" w:eastAsia="zh-CN" w:bidi="ar-SA"/>
        </w:rPr>
        <w:t>（</w:t>
      </w:r>
      <w:r>
        <w:rPr>
          <w:rFonts w:hint="eastAsia" w:ascii="宋体" w:hAnsi="宋体" w:cs="宋体"/>
          <w:b w:val="0"/>
          <w:bCs w:val="0"/>
          <w:kern w:val="0"/>
          <w:sz w:val="24"/>
          <w:szCs w:val="24"/>
          <w:highlight w:val="none"/>
          <w:u w:val="single"/>
          <w:lang w:val="en-US" w:eastAsia="zh-CN" w:bidi="ar-SA"/>
        </w:rPr>
        <w:t>具体以签订合同为准</w:t>
      </w:r>
      <w:r>
        <w:rPr>
          <w:rFonts w:hint="eastAsia" w:ascii="宋体" w:hAnsi="宋体" w:eastAsia="宋体" w:cs="宋体"/>
          <w:b w:val="0"/>
          <w:bCs w:val="0"/>
          <w:kern w:val="0"/>
          <w:sz w:val="24"/>
          <w:szCs w:val="24"/>
          <w:highlight w:val="none"/>
          <w:u w:val="single"/>
          <w:lang w:val="en-US" w:eastAsia="zh-CN" w:bidi="ar-SA"/>
        </w:rPr>
        <w:t>）</w:t>
      </w:r>
    </w:p>
    <w:p w14:paraId="667B1808">
      <w:pPr>
        <w:pStyle w:val="89"/>
        <w:pageBreakBefore w:val="0"/>
        <w:kinsoku/>
        <w:overflowPunct/>
        <w:autoSpaceDE w:val="0"/>
        <w:autoSpaceDN w:val="0"/>
        <w:bidi w:val="0"/>
        <w:adjustRightInd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u w:val="single"/>
          <w:lang w:val="en-US" w:eastAsia="zh-CN" w:bidi="ar-SA"/>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（2）服务（实施）的地点（范围）：</w:t>
      </w:r>
      <w:r>
        <w:rPr>
          <w:rFonts w:hint="eastAsia" w:ascii="仿宋_GB2312" w:hAnsi="仿宋_GB2312" w:eastAsia="仿宋_GB2312" w:cs="仿宋_GB2312"/>
          <w:sz w:val="28"/>
          <w:szCs w:val="28"/>
          <w:highlight w:val="none"/>
          <w:u w:val="single"/>
          <w:lang w:val="en-US" w:eastAsia="zh-CN"/>
        </w:rPr>
        <w:t>昆仑人民医院指定地点</w:t>
      </w:r>
      <w:r>
        <w:rPr>
          <w:rFonts w:hint="eastAsia" w:ascii="宋体" w:hAnsi="宋体" w:eastAsia="宋体" w:cs="宋体"/>
          <w:b w:val="0"/>
          <w:bCs w:val="0"/>
          <w:kern w:val="0"/>
          <w:sz w:val="24"/>
          <w:szCs w:val="24"/>
          <w:highlight w:val="none"/>
          <w:u w:val="single"/>
          <w:lang w:val="en-US" w:eastAsia="zh-CN" w:bidi="ar-SA"/>
        </w:rPr>
        <w:t>。</w:t>
      </w:r>
    </w:p>
    <w:p w14:paraId="138A113D">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480" w:firstLineChars="200"/>
        <w:rPr>
          <w:rFonts w:hint="eastAsia" w:ascii="仿宋_GB2312" w:hAnsi="仿宋_GB2312" w:eastAsia="仿宋_GB2312" w:cs="仿宋_GB2312"/>
          <w:sz w:val="28"/>
          <w:szCs w:val="28"/>
          <w:highlight w:val="none"/>
          <w:u w:val="single"/>
          <w:lang w:val="en-US" w:eastAsia="zh-CN"/>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（3）付款条件（进度和方式）：</w:t>
      </w:r>
      <w:r>
        <w:rPr>
          <w:rFonts w:hint="eastAsia" w:ascii="仿宋_GB2312" w:hAnsi="仿宋_GB2312" w:eastAsia="仿宋_GB2312" w:cs="仿宋_GB2312"/>
          <w:sz w:val="28"/>
          <w:szCs w:val="28"/>
          <w:highlight w:val="none"/>
          <w:u w:val="single"/>
          <w:lang w:val="en-US" w:eastAsia="zh-CN"/>
        </w:rPr>
        <w:t>以合同价格按月进行支付，每个月对服务进行质量考核，根据考核结果扣减相应服务费用后，按照甲方要求提供正规发票支付费用。</w:t>
      </w:r>
    </w:p>
    <w:p w14:paraId="5FA47F15">
      <w:pPr>
        <w:pStyle w:val="90"/>
        <w:pageBreakBefore w:val="0"/>
        <w:shd w:val="clear" w:color="auto" w:fill="auto"/>
        <w:kinsoku/>
        <w:overflowPunct/>
        <w:bidi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（4）服务要求</w:t>
      </w:r>
    </w:p>
    <w:p w14:paraId="7BE23DC5">
      <w:pPr>
        <w:pStyle w:val="91"/>
        <w:pageBreakBefore w:val="0"/>
        <w:kinsoku/>
        <w:overflowPunct/>
        <w:bidi w:val="0"/>
        <w:spacing w:beforeAutospacing="0" w:afterAutospacing="0" w:line="560" w:lineRule="exact"/>
        <w:ind w:left="0" w:leftChars="0" w:right="0" w:firstLine="480" w:firstLineChars="200"/>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p>
    <w:p w14:paraId="313B742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bCs/>
          <w:sz w:val="24"/>
          <w:szCs w:val="24"/>
          <w:highlight w:val="none"/>
          <w:lang w:val="en-US" w:eastAsia="zh-CN"/>
        </w:rPr>
      </w:pPr>
      <w:r>
        <w:rPr>
          <w:rFonts w:hint="eastAsia" w:ascii="宋体" w:hAnsi="宋体" w:eastAsia="宋体" w:cs="宋体"/>
          <w:b w:val="0"/>
          <w:bCs/>
          <w:kern w:val="2"/>
          <w:sz w:val="24"/>
          <w:szCs w:val="24"/>
          <w:highlight w:val="none"/>
          <w:lang w:val="en-US" w:eastAsia="zh-CN"/>
        </w:rPr>
        <w:t>（5）</w:t>
      </w:r>
      <w:r>
        <w:rPr>
          <w:rFonts w:hint="eastAsia" w:ascii="宋体" w:hAnsi="宋体" w:eastAsia="宋体" w:cs="宋体"/>
          <w:bCs/>
          <w:sz w:val="24"/>
          <w:szCs w:val="24"/>
          <w:highlight w:val="none"/>
        </w:rPr>
        <w:t>投标报价：</w:t>
      </w:r>
      <w:r>
        <w:rPr>
          <w:rFonts w:hint="eastAsia" w:ascii="宋体" w:hAnsi="宋体" w:eastAsia="宋体" w:cs="宋体"/>
          <w:bCs/>
          <w:sz w:val="24"/>
          <w:szCs w:val="24"/>
          <w:highlight w:val="none"/>
          <w:lang w:val="en-US" w:eastAsia="zh-CN"/>
        </w:rPr>
        <w:t>包括但不限于人员的工资（包括福利、社保及根据国家规定应支付的所有费用）、由服务单位承担的用具用品、人员培训、服装、个人防护用品、管理费、各项税金等完成本项目的所有费用。</w:t>
      </w:r>
    </w:p>
    <w:p w14:paraId="3F90EB4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b/>
          <w:bCs/>
          <w:snapToGrid w:val="0"/>
          <w:color w:val="auto"/>
          <w:sz w:val="24"/>
          <w:szCs w:val="24"/>
          <w:highlight w:val="none"/>
          <w:lang w:val="en-US" w:eastAsia="zh-CN"/>
        </w:rPr>
      </w:pPr>
      <w:r>
        <w:rPr>
          <w:rStyle w:val="41"/>
          <w:rFonts w:hint="eastAsia"/>
          <w:sz w:val="28"/>
          <w:szCs w:val="28"/>
          <w:lang w:val="en-US" w:eastAsia="zh-CN"/>
        </w:rPr>
        <w:t>三、技术要求</w:t>
      </w:r>
      <w:bookmarkEnd w:id="445"/>
    </w:p>
    <w:bookmarkEnd w:id="442"/>
    <w:bookmarkEnd w:id="443"/>
    <w:p w14:paraId="34402393">
      <w:pPr>
        <w:pStyle w:val="4"/>
        <w:keepNext w:val="0"/>
        <w:keepLines w:val="0"/>
        <w:pageBreakBefore w:val="0"/>
        <w:widowControl/>
        <w:suppressLineNumbers w:val="0"/>
        <w:kinsoku/>
        <w:wordWrap/>
        <w:overflowPunct/>
        <w:topLinePunct w:val="0"/>
        <w:autoSpaceDE/>
        <w:bidi w:val="0"/>
        <w:adjustRightInd/>
        <w:spacing w:line="560" w:lineRule="exact"/>
        <w:ind w:firstLine="643" w:firstLineChars="200"/>
        <w:rPr>
          <w:rFonts w:hint="eastAsia" w:ascii="仿宋_GB2312" w:hAnsi="仿宋_GB2312" w:eastAsia="仿宋_GB2312" w:cs="仿宋_GB2312"/>
          <w:b w:val="0"/>
          <w:bCs w:val="0"/>
          <w:color w:val="000000"/>
          <w:kern w:val="2"/>
          <w:sz w:val="32"/>
          <w:szCs w:val="32"/>
          <w:highlight w:val="none"/>
          <w:u w:val="none"/>
          <w:lang w:val="en-US" w:eastAsia="zh-CN" w:bidi="ar-SA"/>
        </w:rPr>
      </w:pPr>
      <w:bookmarkStart w:id="446" w:name="_Toc155185895"/>
      <w:bookmarkStart w:id="447" w:name="_Toc17715"/>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运营费用构成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val="0"/>
          <w:bCs w:val="0"/>
          <w:color w:val="000000"/>
          <w:kern w:val="2"/>
          <w:sz w:val="32"/>
          <w:szCs w:val="32"/>
          <w:highlight w:val="none"/>
          <w:u w:val="none"/>
          <w:lang w:val="en-US" w:eastAsia="zh-CN" w:bidi="ar-SA"/>
        </w:rPr>
        <w:t>污水处理运营费用为58万元/年，包含污水处理设施运营 、在线监测运营 (含第三方检测)，排污许可自行检测及环保服务。</w:t>
      </w:r>
    </w:p>
    <w:p w14:paraId="13D4FEE1">
      <w:pPr>
        <w:pStyle w:val="4"/>
        <w:keepNext w:val="0"/>
        <w:keepLines w:val="0"/>
        <w:pageBreakBefore w:val="0"/>
        <w:widowControl/>
        <w:suppressLineNumbers w:val="0"/>
        <w:kinsoku/>
        <w:wordWrap/>
        <w:overflowPunct/>
        <w:topLinePunct w:val="0"/>
        <w:autoSpaceDE/>
        <w:bidi w:val="0"/>
        <w:adjustRightInd/>
        <w:spacing w:line="560" w:lineRule="exact"/>
        <w:ind w:firstLine="643" w:firstLineChars="200"/>
        <w:rPr>
          <w:rFonts w:hint="eastAsia" w:ascii="仿宋_GB2312" w:hAnsi="仿宋_GB2312" w:eastAsia="仿宋_GB2312" w:cs="仿宋_GB2312"/>
          <w:b w:val="0"/>
          <w:bCs w:val="0"/>
          <w:color w:val="000000"/>
          <w:kern w:val="2"/>
          <w:sz w:val="32"/>
          <w:szCs w:val="32"/>
          <w:highlight w:val="none"/>
          <w:u w:val="none"/>
          <w:lang w:val="en-US" w:eastAsia="zh-CN" w:bidi="ar-SA"/>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服务内容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污水处理设施运营</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color w:val="000000"/>
          <w:kern w:val="2"/>
          <w:sz w:val="32"/>
          <w:szCs w:val="32"/>
          <w:highlight w:val="none"/>
          <w:u w:val="none"/>
          <w:lang w:val="en-US" w:eastAsia="zh-CN" w:bidi="ar-SA"/>
        </w:rPr>
        <w:t>负责医院污水处理设施的日常运行管理，确保设施正常运转，处理能力满足医院污水产生量需求，负责处置污泥。（2）</w:t>
      </w:r>
      <w:r>
        <w:rPr>
          <w:rFonts w:hint="eastAsia" w:ascii="仿宋_GB2312" w:hAnsi="仿宋_GB2312" w:eastAsia="仿宋_GB2312" w:cs="仿宋_GB2312"/>
          <w:b/>
          <w:bCs/>
          <w:sz w:val="32"/>
          <w:szCs w:val="32"/>
        </w:rPr>
        <w:t>在线监测运营</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color w:val="000000"/>
          <w:kern w:val="2"/>
          <w:sz w:val="32"/>
          <w:szCs w:val="32"/>
          <w:highlight w:val="none"/>
          <w:u w:val="none"/>
          <w:lang w:val="en-US" w:eastAsia="zh-CN" w:bidi="ar-SA"/>
        </w:rPr>
        <w:t>包括在线监测设备的维护、校准、数据采集与传输，以及第三方校准检测服务，保证监测数据的准确性和可靠性，检测设备数据与环保局对接上传无误。（3）</w:t>
      </w:r>
      <w:r>
        <w:rPr>
          <w:rFonts w:hint="eastAsia" w:ascii="仿宋_GB2312" w:hAnsi="仿宋_GB2312" w:eastAsia="仿宋_GB2312" w:cs="仿宋_GB2312"/>
          <w:b/>
          <w:bCs/>
          <w:sz w:val="32"/>
          <w:szCs w:val="32"/>
        </w:rPr>
        <w:t>排污许可自行检测及环保服务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配合甲方办理排污许可证，</w:t>
      </w:r>
      <w:r>
        <w:rPr>
          <w:rFonts w:hint="eastAsia" w:ascii="仿宋_GB2312" w:hAnsi="仿宋_GB2312" w:eastAsia="仿宋_GB2312" w:cs="仿宋_GB2312"/>
          <w:b w:val="0"/>
          <w:bCs w:val="0"/>
          <w:color w:val="000000"/>
          <w:kern w:val="2"/>
          <w:sz w:val="32"/>
          <w:szCs w:val="32"/>
          <w:highlight w:val="none"/>
          <w:u w:val="none"/>
          <w:lang w:val="en-US" w:eastAsia="zh-CN" w:bidi="ar-SA"/>
        </w:rPr>
        <w:t>按照排污许可要求，开展自行检测工作，并提供相关环保服务，确保医院污水处理符合环保法规要求。办理排污许可证相关手续，排污许可证管理要求的月报、季报、年报等。根据《环境保护法》等法律法规以及国务院办公厅印发的《排污许可管理条例》等文件，按照《排污许可管理条例》要求加强管理，指导和督促企业事业单位履行责任义务，制定和执行自行监测方案。检测公司需完成医院《排污许可管理条例》要求的相关工作。项目监测费为检测公司对医院进行现场监测产生的费用和上传填报数据费用，主要包括设备损耗、人员现场监测、数据整理并出具监测报告，并根据《排污许可管理条例》上传填报各类数据和排污许可执行月度、季度以及年度报告。检测公司需按照《排污许可管理条例》要求，按时进行相关检测并出具报告（检测项目及次数按排污许可证（副本）要求落实），每天按要求上传收集数据（105项），按期完成排污许可执行报告。完成情况以环保局通报为准，上传数据（公开率）不得低于100%。</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1"/>
        <w:gridCol w:w="2550"/>
        <w:gridCol w:w="1107"/>
        <w:gridCol w:w="910"/>
        <w:gridCol w:w="1533"/>
        <w:gridCol w:w="1191"/>
      </w:tblGrid>
      <w:tr w14:paraId="60F74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noWrap w:val="0"/>
            <w:vAlign w:val="center"/>
          </w:tcPr>
          <w:p w14:paraId="0692005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检测类别</w:t>
            </w:r>
          </w:p>
        </w:tc>
        <w:tc>
          <w:tcPr>
            <w:tcW w:w="2965" w:type="dxa"/>
            <w:noWrap w:val="0"/>
            <w:vAlign w:val="center"/>
          </w:tcPr>
          <w:p w14:paraId="6E8A11F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检测项目</w:t>
            </w:r>
          </w:p>
        </w:tc>
        <w:tc>
          <w:tcPr>
            <w:tcW w:w="1225" w:type="dxa"/>
            <w:noWrap w:val="0"/>
            <w:vAlign w:val="center"/>
          </w:tcPr>
          <w:p w14:paraId="3E29B2A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点位数量</w:t>
            </w:r>
          </w:p>
        </w:tc>
        <w:tc>
          <w:tcPr>
            <w:tcW w:w="987" w:type="dxa"/>
            <w:noWrap w:val="0"/>
            <w:vAlign w:val="center"/>
          </w:tcPr>
          <w:p w14:paraId="19F0751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日频次</w:t>
            </w:r>
          </w:p>
        </w:tc>
        <w:tc>
          <w:tcPr>
            <w:tcW w:w="1738" w:type="dxa"/>
            <w:noWrap w:val="0"/>
            <w:vAlign w:val="center"/>
          </w:tcPr>
          <w:p w14:paraId="4FC9402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每次检测天数</w:t>
            </w:r>
          </w:p>
        </w:tc>
        <w:tc>
          <w:tcPr>
            <w:tcW w:w="1325" w:type="dxa"/>
            <w:noWrap w:val="0"/>
            <w:vAlign w:val="center"/>
          </w:tcPr>
          <w:p w14:paraId="34A1A91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年频次</w:t>
            </w:r>
          </w:p>
        </w:tc>
      </w:tr>
      <w:tr w14:paraId="43318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restart"/>
            <w:noWrap w:val="0"/>
            <w:vAlign w:val="center"/>
          </w:tcPr>
          <w:p w14:paraId="2A61A90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医疗废水</w:t>
            </w:r>
          </w:p>
        </w:tc>
        <w:tc>
          <w:tcPr>
            <w:tcW w:w="2965" w:type="dxa"/>
            <w:noWrap w:val="0"/>
            <w:vAlign w:val="center"/>
          </w:tcPr>
          <w:p w14:paraId="4FCD45F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Ph值</w:t>
            </w:r>
          </w:p>
        </w:tc>
        <w:tc>
          <w:tcPr>
            <w:tcW w:w="1225" w:type="dxa"/>
            <w:noWrap w:val="0"/>
            <w:vAlign w:val="center"/>
          </w:tcPr>
          <w:p w14:paraId="13FF1EB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5205B33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5904ECB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4750CDB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372EE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3C10FE8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709448C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色度</w:t>
            </w:r>
          </w:p>
        </w:tc>
        <w:tc>
          <w:tcPr>
            <w:tcW w:w="1225" w:type="dxa"/>
            <w:noWrap w:val="0"/>
            <w:vAlign w:val="center"/>
          </w:tcPr>
          <w:p w14:paraId="683C5D6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3A7FBD3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04F774C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6A20316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1E75C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2364BE8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710852D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粪大肠菌群</w:t>
            </w:r>
          </w:p>
        </w:tc>
        <w:tc>
          <w:tcPr>
            <w:tcW w:w="1225" w:type="dxa"/>
            <w:noWrap w:val="0"/>
            <w:vAlign w:val="center"/>
          </w:tcPr>
          <w:p w14:paraId="774331E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29A17BA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519A44B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3965344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12</w:t>
            </w:r>
          </w:p>
        </w:tc>
      </w:tr>
      <w:tr w14:paraId="0AE1A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4EBC23D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4899C3B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总汞</w:t>
            </w:r>
          </w:p>
        </w:tc>
        <w:tc>
          <w:tcPr>
            <w:tcW w:w="1225" w:type="dxa"/>
            <w:noWrap w:val="0"/>
            <w:vAlign w:val="center"/>
          </w:tcPr>
          <w:p w14:paraId="0AF55FF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7DE1421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2FD180C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41FD9D6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1F66D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55D0F54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DF44B5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总镉</w:t>
            </w:r>
          </w:p>
        </w:tc>
        <w:tc>
          <w:tcPr>
            <w:tcW w:w="1225" w:type="dxa"/>
            <w:noWrap w:val="0"/>
            <w:vAlign w:val="center"/>
          </w:tcPr>
          <w:p w14:paraId="1753997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49B49ED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4ABE2A7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5E542A8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28741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6B8E4A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70659A7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六价铬</w:t>
            </w:r>
          </w:p>
        </w:tc>
        <w:tc>
          <w:tcPr>
            <w:tcW w:w="1225" w:type="dxa"/>
            <w:noWrap w:val="0"/>
            <w:vAlign w:val="center"/>
          </w:tcPr>
          <w:p w14:paraId="5E3172B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745A59A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7E6A41C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34E4F49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77A8D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6C6A69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E9DF2F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总砷</w:t>
            </w:r>
          </w:p>
        </w:tc>
        <w:tc>
          <w:tcPr>
            <w:tcW w:w="1225" w:type="dxa"/>
            <w:noWrap w:val="0"/>
            <w:vAlign w:val="center"/>
          </w:tcPr>
          <w:p w14:paraId="25C30D5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1744142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15F789B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369C514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4D7F7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3A9B68B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5CC8BB2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总铅</w:t>
            </w:r>
          </w:p>
        </w:tc>
        <w:tc>
          <w:tcPr>
            <w:tcW w:w="1225" w:type="dxa"/>
            <w:noWrap w:val="0"/>
            <w:vAlign w:val="center"/>
          </w:tcPr>
          <w:p w14:paraId="4923236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0548FBE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15E5A99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75049B4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44C24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6DA5AFB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71744F3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总铬</w:t>
            </w:r>
          </w:p>
        </w:tc>
        <w:tc>
          <w:tcPr>
            <w:tcW w:w="1225" w:type="dxa"/>
            <w:noWrap w:val="0"/>
            <w:vAlign w:val="center"/>
          </w:tcPr>
          <w:p w14:paraId="62B5626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27B214C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408D45C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185027B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4CFAC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2F2AF63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86ADE8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总银</w:t>
            </w:r>
          </w:p>
        </w:tc>
        <w:tc>
          <w:tcPr>
            <w:tcW w:w="1225" w:type="dxa"/>
            <w:noWrap w:val="0"/>
            <w:vAlign w:val="center"/>
          </w:tcPr>
          <w:p w14:paraId="320B309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3CB3833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605E734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62BF700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61AF2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3B13708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5CC64D6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总α放射性</w:t>
            </w:r>
          </w:p>
        </w:tc>
        <w:tc>
          <w:tcPr>
            <w:tcW w:w="1225" w:type="dxa"/>
            <w:noWrap w:val="0"/>
            <w:vAlign w:val="center"/>
          </w:tcPr>
          <w:p w14:paraId="262C12D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79CA83A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3C01042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62D8722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72F5E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03AD4EC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27409B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总β放射性</w:t>
            </w:r>
          </w:p>
        </w:tc>
        <w:tc>
          <w:tcPr>
            <w:tcW w:w="1225" w:type="dxa"/>
            <w:noWrap w:val="0"/>
            <w:vAlign w:val="center"/>
          </w:tcPr>
          <w:p w14:paraId="017224F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6FD9B58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3CBC77C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0D28A40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51CB9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1AF16D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5D3A0CD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氨氮</w:t>
            </w:r>
          </w:p>
        </w:tc>
        <w:tc>
          <w:tcPr>
            <w:tcW w:w="1225" w:type="dxa"/>
            <w:noWrap w:val="0"/>
            <w:vAlign w:val="center"/>
          </w:tcPr>
          <w:p w14:paraId="27C5996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3A43883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68C7FF9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4D9B457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65645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2DD5210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195F80D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悬浮物</w:t>
            </w:r>
          </w:p>
        </w:tc>
        <w:tc>
          <w:tcPr>
            <w:tcW w:w="1225" w:type="dxa"/>
            <w:noWrap w:val="0"/>
            <w:vAlign w:val="center"/>
          </w:tcPr>
          <w:p w14:paraId="2979193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1</w:t>
            </w:r>
          </w:p>
        </w:tc>
        <w:tc>
          <w:tcPr>
            <w:tcW w:w="987" w:type="dxa"/>
            <w:noWrap w:val="0"/>
            <w:vAlign w:val="center"/>
          </w:tcPr>
          <w:p w14:paraId="3819F19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1</w:t>
            </w:r>
          </w:p>
        </w:tc>
        <w:tc>
          <w:tcPr>
            <w:tcW w:w="1738" w:type="dxa"/>
            <w:noWrap w:val="0"/>
            <w:vAlign w:val="center"/>
          </w:tcPr>
          <w:p w14:paraId="067BF02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1</w:t>
            </w:r>
          </w:p>
        </w:tc>
        <w:tc>
          <w:tcPr>
            <w:tcW w:w="1325" w:type="dxa"/>
            <w:noWrap w:val="0"/>
            <w:vAlign w:val="center"/>
          </w:tcPr>
          <w:p w14:paraId="3926131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52</w:t>
            </w:r>
          </w:p>
        </w:tc>
      </w:tr>
      <w:tr w14:paraId="3B91B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70FAFE8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2A39875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石油类</w:t>
            </w:r>
          </w:p>
        </w:tc>
        <w:tc>
          <w:tcPr>
            <w:tcW w:w="1225" w:type="dxa"/>
            <w:noWrap w:val="0"/>
            <w:vAlign w:val="center"/>
          </w:tcPr>
          <w:p w14:paraId="47B9ED0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1A19780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11E6D00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0A354E4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30E1F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55DC4D3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8CE07E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挥发酚</w:t>
            </w:r>
          </w:p>
        </w:tc>
        <w:tc>
          <w:tcPr>
            <w:tcW w:w="1225" w:type="dxa"/>
            <w:noWrap w:val="0"/>
            <w:vAlign w:val="center"/>
          </w:tcPr>
          <w:p w14:paraId="209EC38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72206E6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759FB84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76A28F0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450D4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5418EE2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5EC638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动植物油</w:t>
            </w:r>
          </w:p>
        </w:tc>
        <w:tc>
          <w:tcPr>
            <w:tcW w:w="1225" w:type="dxa"/>
            <w:noWrap w:val="0"/>
            <w:vAlign w:val="center"/>
          </w:tcPr>
          <w:p w14:paraId="08EC760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7D41BDD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24021E5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578617C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266C3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08E9B36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0476FF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总余氯</w:t>
            </w:r>
          </w:p>
        </w:tc>
        <w:tc>
          <w:tcPr>
            <w:tcW w:w="1225" w:type="dxa"/>
            <w:noWrap w:val="0"/>
            <w:vAlign w:val="center"/>
          </w:tcPr>
          <w:p w14:paraId="3CDC5D5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5B22019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63E93D3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6A1B576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17D49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4E1A696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119758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总氰化物</w:t>
            </w:r>
          </w:p>
        </w:tc>
        <w:tc>
          <w:tcPr>
            <w:tcW w:w="1225" w:type="dxa"/>
            <w:noWrap w:val="0"/>
            <w:vAlign w:val="center"/>
          </w:tcPr>
          <w:p w14:paraId="1D6A2F3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6AFDAC9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70953F1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2267727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0B116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5A9EF6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AE2C2F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阴离子表面活性剂</w:t>
            </w:r>
          </w:p>
        </w:tc>
        <w:tc>
          <w:tcPr>
            <w:tcW w:w="1225" w:type="dxa"/>
            <w:noWrap w:val="0"/>
            <w:vAlign w:val="center"/>
          </w:tcPr>
          <w:p w14:paraId="21F2CEE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5D54EA1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043016D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39EFD28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16893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EF909B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8D3310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五日生化需氧量</w:t>
            </w:r>
          </w:p>
        </w:tc>
        <w:tc>
          <w:tcPr>
            <w:tcW w:w="1225" w:type="dxa"/>
            <w:noWrap w:val="0"/>
            <w:vAlign w:val="center"/>
          </w:tcPr>
          <w:p w14:paraId="7785D7E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7F99F35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3F2798E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687C060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6E106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67EE82E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ECF3CC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化学需氧量</w:t>
            </w:r>
          </w:p>
        </w:tc>
        <w:tc>
          <w:tcPr>
            <w:tcW w:w="1225" w:type="dxa"/>
            <w:noWrap w:val="0"/>
            <w:vAlign w:val="center"/>
          </w:tcPr>
          <w:p w14:paraId="71FAEF7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1</w:t>
            </w:r>
          </w:p>
        </w:tc>
        <w:tc>
          <w:tcPr>
            <w:tcW w:w="987" w:type="dxa"/>
            <w:noWrap w:val="0"/>
            <w:vAlign w:val="center"/>
          </w:tcPr>
          <w:p w14:paraId="332597A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1</w:t>
            </w:r>
          </w:p>
        </w:tc>
        <w:tc>
          <w:tcPr>
            <w:tcW w:w="1738" w:type="dxa"/>
            <w:noWrap w:val="0"/>
            <w:vAlign w:val="center"/>
          </w:tcPr>
          <w:p w14:paraId="1650029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1</w:t>
            </w:r>
          </w:p>
        </w:tc>
        <w:tc>
          <w:tcPr>
            <w:tcW w:w="1325" w:type="dxa"/>
            <w:noWrap w:val="0"/>
            <w:vAlign w:val="center"/>
          </w:tcPr>
          <w:p w14:paraId="7108E3B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52</w:t>
            </w:r>
          </w:p>
        </w:tc>
      </w:tr>
      <w:tr w14:paraId="12F85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2DB2FA0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7158B73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沙门氏菌</w:t>
            </w:r>
          </w:p>
        </w:tc>
        <w:tc>
          <w:tcPr>
            <w:tcW w:w="1225" w:type="dxa"/>
            <w:noWrap w:val="0"/>
            <w:vAlign w:val="center"/>
          </w:tcPr>
          <w:p w14:paraId="265FD75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04DF7F1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5834E87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57DACAE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7C1A0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B3323B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2EE0279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志贺氏菌</w:t>
            </w:r>
          </w:p>
        </w:tc>
        <w:tc>
          <w:tcPr>
            <w:tcW w:w="1225" w:type="dxa"/>
            <w:noWrap w:val="0"/>
            <w:vAlign w:val="center"/>
          </w:tcPr>
          <w:p w14:paraId="4744634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30D2A1A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3D00D48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5928883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4DA2C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noWrap w:val="0"/>
            <w:vAlign w:val="center"/>
          </w:tcPr>
          <w:p w14:paraId="3359E4B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检测类别</w:t>
            </w:r>
          </w:p>
        </w:tc>
        <w:tc>
          <w:tcPr>
            <w:tcW w:w="2965" w:type="dxa"/>
            <w:noWrap w:val="0"/>
            <w:vAlign w:val="center"/>
          </w:tcPr>
          <w:p w14:paraId="0AFD126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检测项目</w:t>
            </w:r>
          </w:p>
        </w:tc>
        <w:tc>
          <w:tcPr>
            <w:tcW w:w="1225" w:type="dxa"/>
            <w:noWrap w:val="0"/>
            <w:vAlign w:val="center"/>
          </w:tcPr>
          <w:p w14:paraId="7A0963F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点位数量</w:t>
            </w:r>
          </w:p>
        </w:tc>
        <w:tc>
          <w:tcPr>
            <w:tcW w:w="987" w:type="dxa"/>
            <w:noWrap w:val="0"/>
            <w:vAlign w:val="center"/>
          </w:tcPr>
          <w:p w14:paraId="78A9BE3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日频次</w:t>
            </w:r>
          </w:p>
        </w:tc>
        <w:tc>
          <w:tcPr>
            <w:tcW w:w="1738" w:type="dxa"/>
            <w:noWrap w:val="0"/>
            <w:vAlign w:val="center"/>
          </w:tcPr>
          <w:p w14:paraId="7339F87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每次检测天数</w:t>
            </w:r>
          </w:p>
        </w:tc>
        <w:tc>
          <w:tcPr>
            <w:tcW w:w="1325" w:type="dxa"/>
            <w:noWrap w:val="0"/>
            <w:vAlign w:val="center"/>
          </w:tcPr>
          <w:p w14:paraId="37AF842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年频次</w:t>
            </w:r>
          </w:p>
        </w:tc>
      </w:tr>
      <w:tr w14:paraId="300A5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restart"/>
            <w:noWrap w:val="0"/>
            <w:vAlign w:val="center"/>
          </w:tcPr>
          <w:p w14:paraId="3140C4D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有组织废气</w:t>
            </w:r>
          </w:p>
        </w:tc>
        <w:tc>
          <w:tcPr>
            <w:tcW w:w="2965" w:type="dxa"/>
            <w:noWrap w:val="0"/>
            <w:vAlign w:val="center"/>
          </w:tcPr>
          <w:p w14:paraId="621104F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硫化氢</w:t>
            </w:r>
          </w:p>
        </w:tc>
        <w:tc>
          <w:tcPr>
            <w:tcW w:w="1225" w:type="dxa"/>
            <w:noWrap w:val="0"/>
            <w:vAlign w:val="center"/>
          </w:tcPr>
          <w:p w14:paraId="19CC512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6A1480E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3</w:t>
            </w:r>
          </w:p>
        </w:tc>
        <w:tc>
          <w:tcPr>
            <w:tcW w:w="1738" w:type="dxa"/>
            <w:noWrap w:val="0"/>
            <w:vAlign w:val="center"/>
          </w:tcPr>
          <w:p w14:paraId="0DC0747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7F462B8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3EF20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3054263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474C118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氨</w:t>
            </w:r>
          </w:p>
        </w:tc>
        <w:tc>
          <w:tcPr>
            <w:tcW w:w="1225" w:type="dxa"/>
            <w:noWrap w:val="0"/>
            <w:vAlign w:val="center"/>
          </w:tcPr>
          <w:p w14:paraId="6773DA9A">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53E2381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3</w:t>
            </w:r>
          </w:p>
        </w:tc>
        <w:tc>
          <w:tcPr>
            <w:tcW w:w="1738" w:type="dxa"/>
            <w:noWrap w:val="0"/>
            <w:vAlign w:val="center"/>
          </w:tcPr>
          <w:p w14:paraId="670529E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24F0BA4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1EB07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02B0083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0C1E434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臭气浓度</w:t>
            </w:r>
          </w:p>
        </w:tc>
        <w:tc>
          <w:tcPr>
            <w:tcW w:w="1225" w:type="dxa"/>
            <w:noWrap w:val="0"/>
            <w:vAlign w:val="center"/>
          </w:tcPr>
          <w:p w14:paraId="1A096F1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987" w:type="dxa"/>
            <w:noWrap w:val="0"/>
            <w:vAlign w:val="center"/>
          </w:tcPr>
          <w:p w14:paraId="3563056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3</w:t>
            </w:r>
          </w:p>
        </w:tc>
        <w:tc>
          <w:tcPr>
            <w:tcW w:w="1738" w:type="dxa"/>
            <w:noWrap w:val="0"/>
            <w:vAlign w:val="center"/>
          </w:tcPr>
          <w:p w14:paraId="67D8AE4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7462563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2D3C5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noWrap w:val="0"/>
            <w:vAlign w:val="center"/>
          </w:tcPr>
          <w:p w14:paraId="2249018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检测类别</w:t>
            </w:r>
          </w:p>
        </w:tc>
        <w:tc>
          <w:tcPr>
            <w:tcW w:w="2965" w:type="dxa"/>
            <w:noWrap w:val="0"/>
            <w:vAlign w:val="center"/>
          </w:tcPr>
          <w:p w14:paraId="3938524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检测项目</w:t>
            </w:r>
          </w:p>
        </w:tc>
        <w:tc>
          <w:tcPr>
            <w:tcW w:w="1225" w:type="dxa"/>
            <w:noWrap w:val="0"/>
            <w:vAlign w:val="center"/>
          </w:tcPr>
          <w:p w14:paraId="472816D1">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点位数量</w:t>
            </w:r>
          </w:p>
        </w:tc>
        <w:tc>
          <w:tcPr>
            <w:tcW w:w="987" w:type="dxa"/>
            <w:noWrap w:val="0"/>
            <w:vAlign w:val="center"/>
          </w:tcPr>
          <w:p w14:paraId="5211D31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日频次</w:t>
            </w:r>
          </w:p>
        </w:tc>
        <w:tc>
          <w:tcPr>
            <w:tcW w:w="1738" w:type="dxa"/>
            <w:noWrap w:val="0"/>
            <w:vAlign w:val="center"/>
          </w:tcPr>
          <w:p w14:paraId="2C7F853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每次检测天数</w:t>
            </w:r>
          </w:p>
        </w:tc>
        <w:tc>
          <w:tcPr>
            <w:tcW w:w="1325" w:type="dxa"/>
            <w:noWrap w:val="0"/>
            <w:vAlign w:val="center"/>
          </w:tcPr>
          <w:p w14:paraId="7BAD42A4">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年频次</w:t>
            </w:r>
          </w:p>
        </w:tc>
      </w:tr>
      <w:tr w14:paraId="457BD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restart"/>
            <w:noWrap w:val="0"/>
            <w:vAlign w:val="center"/>
          </w:tcPr>
          <w:p w14:paraId="03352EB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无组织环境空气</w:t>
            </w:r>
          </w:p>
        </w:tc>
        <w:tc>
          <w:tcPr>
            <w:tcW w:w="2965" w:type="dxa"/>
            <w:noWrap w:val="0"/>
            <w:vAlign w:val="center"/>
          </w:tcPr>
          <w:p w14:paraId="4A4765B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硫化氢</w:t>
            </w:r>
          </w:p>
        </w:tc>
        <w:tc>
          <w:tcPr>
            <w:tcW w:w="1225" w:type="dxa"/>
            <w:noWrap w:val="0"/>
            <w:vAlign w:val="center"/>
          </w:tcPr>
          <w:p w14:paraId="09777E6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52B4E10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1738" w:type="dxa"/>
            <w:noWrap w:val="0"/>
            <w:vAlign w:val="center"/>
          </w:tcPr>
          <w:p w14:paraId="40DE71B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371EE81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68DD2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71EC53F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30EF69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氨</w:t>
            </w:r>
          </w:p>
        </w:tc>
        <w:tc>
          <w:tcPr>
            <w:tcW w:w="1225" w:type="dxa"/>
            <w:noWrap w:val="0"/>
            <w:vAlign w:val="center"/>
          </w:tcPr>
          <w:p w14:paraId="3C8E341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4A36FF3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1738" w:type="dxa"/>
            <w:noWrap w:val="0"/>
            <w:vAlign w:val="center"/>
          </w:tcPr>
          <w:p w14:paraId="7467D372">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08486B2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4061A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26EBB1E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19BD38F">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臭气浓度</w:t>
            </w:r>
          </w:p>
        </w:tc>
        <w:tc>
          <w:tcPr>
            <w:tcW w:w="1225" w:type="dxa"/>
            <w:noWrap w:val="0"/>
            <w:vAlign w:val="center"/>
          </w:tcPr>
          <w:p w14:paraId="01A33A1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49E286E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1738" w:type="dxa"/>
            <w:noWrap w:val="0"/>
            <w:vAlign w:val="center"/>
          </w:tcPr>
          <w:p w14:paraId="13A6794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302BD8B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642FB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59254BC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3CB6ABA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甲烷</w:t>
            </w:r>
          </w:p>
        </w:tc>
        <w:tc>
          <w:tcPr>
            <w:tcW w:w="1225" w:type="dxa"/>
            <w:noWrap w:val="0"/>
            <w:vAlign w:val="center"/>
          </w:tcPr>
          <w:p w14:paraId="720266C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702FB6EC">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1738" w:type="dxa"/>
            <w:noWrap w:val="0"/>
            <w:vAlign w:val="center"/>
          </w:tcPr>
          <w:p w14:paraId="7E1624F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1AB1877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06989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144865D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549772F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氯气</w:t>
            </w:r>
          </w:p>
        </w:tc>
        <w:tc>
          <w:tcPr>
            <w:tcW w:w="1225" w:type="dxa"/>
            <w:noWrap w:val="0"/>
            <w:vAlign w:val="center"/>
          </w:tcPr>
          <w:p w14:paraId="2585F4D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120AF15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1738" w:type="dxa"/>
            <w:noWrap w:val="0"/>
            <w:vAlign w:val="center"/>
          </w:tcPr>
          <w:p w14:paraId="64C26A7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73FCA50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62525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noWrap w:val="0"/>
            <w:vAlign w:val="center"/>
          </w:tcPr>
          <w:p w14:paraId="355EEF1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检测类别</w:t>
            </w:r>
          </w:p>
        </w:tc>
        <w:tc>
          <w:tcPr>
            <w:tcW w:w="2965" w:type="dxa"/>
            <w:noWrap w:val="0"/>
            <w:vAlign w:val="center"/>
          </w:tcPr>
          <w:p w14:paraId="5D7DB61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检测项目</w:t>
            </w:r>
          </w:p>
        </w:tc>
        <w:tc>
          <w:tcPr>
            <w:tcW w:w="1225" w:type="dxa"/>
            <w:noWrap w:val="0"/>
            <w:vAlign w:val="center"/>
          </w:tcPr>
          <w:p w14:paraId="7493AE46">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点位数量</w:t>
            </w:r>
          </w:p>
        </w:tc>
        <w:tc>
          <w:tcPr>
            <w:tcW w:w="987" w:type="dxa"/>
            <w:noWrap w:val="0"/>
            <w:vAlign w:val="center"/>
          </w:tcPr>
          <w:p w14:paraId="1C686928">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日频次</w:t>
            </w:r>
          </w:p>
        </w:tc>
        <w:tc>
          <w:tcPr>
            <w:tcW w:w="1738" w:type="dxa"/>
            <w:noWrap w:val="0"/>
            <w:vAlign w:val="center"/>
          </w:tcPr>
          <w:p w14:paraId="2EA1734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每次检测天数</w:t>
            </w:r>
          </w:p>
        </w:tc>
        <w:tc>
          <w:tcPr>
            <w:tcW w:w="1325" w:type="dxa"/>
            <w:noWrap w:val="0"/>
            <w:vAlign w:val="center"/>
          </w:tcPr>
          <w:p w14:paraId="7B8BC89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年频次</w:t>
            </w:r>
          </w:p>
        </w:tc>
      </w:tr>
      <w:tr w14:paraId="5E816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restart"/>
            <w:noWrap w:val="0"/>
            <w:vAlign w:val="center"/>
          </w:tcPr>
          <w:p w14:paraId="0EDD4EA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噪声</w:t>
            </w:r>
          </w:p>
        </w:tc>
        <w:tc>
          <w:tcPr>
            <w:tcW w:w="2965" w:type="dxa"/>
            <w:noWrap w:val="0"/>
            <w:vAlign w:val="center"/>
          </w:tcPr>
          <w:p w14:paraId="417C5430">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昼间</w:t>
            </w:r>
          </w:p>
        </w:tc>
        <w:tc>
          <w:tcPr>
            <w:tcW w:w="1225" w:type="dxa"/>
            <w:noWrap w:val="0"/>
            <w:vAlign w:val="center"/>
          </w:tcPr>
          <w:p w14:paraId="7C13EC7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74E7D74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65C10AE7">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25112719">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2C858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vMerge w:val="continue"/>
            <w:noWrap w:val="0"/>
            <w:vAlign w:val="center"/>
          </w:tcPr>
          <w:p w14:paraId="6A3A4D3B">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p>
        </w:tc>
        <w:tc>
          <w:tcPr>
            <w:tcW w:w="2965" w:type="dxa"/>
            <w:noWrap w:val="0"/>
            <w:vAlign w:val="center"/>
          </w:tcPr>
          <w:p w14:paraId="6205C0BE">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夜间</w:t>
            </w:r>
          </w:p>
        </w:tc>
        <w:tc>
          <w:tcPr>
            <w:tcW w:w="1225" w:type="dxa"/>
            <w:noWrap w:val="0"/>
            <w:vAlign w:val="center"/>
          </w:tcPr>
          <w:p w14:paraId="3DDF198D">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c>
          <w:tcPr>
            <w:tcW w:w="987" w:type="dxa"/>
            <w:noWrap w:val="0"/>
            <w:vAlign w:val="center"/>
          </w:tcPr>
          <w:p w14:paraId="27EF39E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738" w:type="dxa"/>
            <w:noWrap w:val="0"/>
            <w:vAlign w:val="center"/>
          </w:tcPr>
          <w:p w14:paraId="0148EE03">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1</w:t>
            </w:r>
          </w:p>
        </w:tc>
        <w:tc>
          <w:tcPr>
            <w:tcW w:w="1325" w:type="dxa"/>
            <w:noWrap w:val="0"/>
            <w:vAlign w:val="center"/>
          </w:tcPr>
          <w:p w14:paraId="0F057735">
            <w:pPr>
              <w:pStyle w:val="8"/>
              <w:keepNext w:val="0"/>
              <w:keepLines w:val="0"/>
              <w:pageBreakBefore w:val="0"/>
              <w:widowControl/>
              <w:suppressLineNumbers w:val="0"/>
              <w:kinsoku/>
              <w:wordWrap/>
              <w:overflowPunct/>
              <w:topLinePunct w:val="0"/>
              <w:autoSpaceDE/>
              <w:bidi w:val="0"/>
              <w:adjustRightInd/>
              <w:spacing w:before="60" w:beforeAutospacing="0" w:after="60" w:afterAutospacing="0" w:line="560" w:lineRule="exact"/>
              <w:ind w:right="0" w:rightChars="0"/>
              <w:jc w:val="cente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t>4</w:t>
            </w:r>
          </w:p>
        </w:tc>
      </w:tr>
      <w:tr w14:paraId="3CF13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9614" w:type="dxa"/>
            <w:gridSpan w:val="6"/>
            <w:noWrap w:val="0"/>
            <w:vAlign w:val="center"/>
          </w:tcPr>
          <w:p w14:paraId="7B7E9919">
            <w:pPr>
              <w:pStyle w:val="8"/>
              <w:keepNext w:val="0"/>
              <w:keepLines w:val="0"/>
              <w:pageBreakBefore w:val="0"/>
              <w:widowControl/>
              <w:numPr>
                <w:ilvl w:val="0"/>
                <w:numId w:val="0"/>
              </w:numPr>
              <w:suppressLineNumbers w:val="0"/>
              <w:kinsoku/>
              <w:wordWrap/>
              <w:overflowPunct/>
              <w:topLinePunct w:val="0"/>
              <w:autoSpaceDE/>
              <w:bidi w:val="0"/>
              <w:adjustRightInd/>
              <w:spacing w:before="60" w:beforeAutospacing="0" w:after="60" w:afterAutospacing="0" w:line="560" w:lineRule="exact"/>
              <w:ind w:right="0" w:rightChars="0" w:firstLine="643" w:firstLineChars="200"/>
              <w:jc w:val="left"/>
              <w:rPr>
                <w:rFonts w:hint="eastAsia" w:ascii="仿宋_GB2312" w:hAnsi="仿宋_GB2312" w:eastAsia="仿宋_GB2312" w:cs="仿宋_GB2312"/>
                <w:b/>
                <w:bCs/>
                <w:color w:val="000000"/>
                <w:kern w:val="2"/>
                <w:sz w:val="32"/>
                <w:szCs w:val="32"/>
                <w:highlight w:val="none"/>
                <w:u w:val="none"/>
                <w:vertAlign w:val="baseline"/>
                <w:lang w:val="en-US" w:eastAsia="zh-CN" w:bidi="ar-SA"/>
              </w:rPr>
            </w:pPr>
            <w:r>
              <w:rPr>
                <w:rFonts w:hint="eastAsia" w:ascii="仿宋_GB2312" w:hAnsi="仿宋_GB2312" w:eastAsia="仿宋_GB2312" w:cs="仿宋_GB2312"/>
                <w:b/>
                <w:bCs/>
                <w:color w:val="000000"/>
                <w:kern w:val="2"/>
                <w:sz w:val="32"/>
                <w:szCs w:val="32"/>
                <w:highlight w:val="none"/>
                <w:u w:val="none"/>
                <w:vertAlign w:val="baseline"/>
                <w:lang w:val="en-US" w:eastAsia="zh-CN" w:bidi="ar-SA"/>
              </w:rPr>
              <w:t>★一、以上医疗废水24项、有组织废气3项、无组织环境空气5项、噪音2项，报价单位必须具有《检验检测机构资质认定证书》，且证书附表中需要具有以上检测项目的全部资质，不得将项目再次分包或转包至其他检测机构。</w:t>
            </w:r>
          </w:p>
          <w:p w14:paraId="7A760690">
            <w:pPr>
              <w:pStyle w:val="8"/>
              <w:keepNext w:val="0"/>
              <w:keepLines w:val="0"/>
              <w:pageBreakBefore w:val="0"/>
              <w:widowControl/>
              <w:numPr>
                <w:ilvl w:val="0"/>
                <w:numId w:val="0"/>
              </w:numPr>
              <w:suppressLineNumbers w:val="0"/>
              <w:kinsoku/>
              <w:wordWrap/>
              <w:overflowPunct/>
              <w:topLinePunct w:val="0"/>
              <w:autoSpaceDE/>
              <w:bidi w:val="0"/>
              <w:adjustRightInd/>
              <w:spacing w:before="60" w:beforeAutospacing="0" w:after="60" w:afterAutospacing="0" w:line="560" w:lineRule="exact"/>
              <w:ind w:right="0" w:rightChars="0" w:firstLine="640" w:firstLineChars="200"/>
              <w:jc w:val="left"/>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vertAlign w:val="baseline"/>
                <w:lang w:val="en-US" w:eastAsia="zh-CN" w:bidi="ar-SA"/>
              </w:rPr>
              <w:t>二、</w:t>
            </w:r>
            <w:r>
              <w:rPr>
                <w:rFonts w:hint="eastAsia" w:ascii="仿宋_GB2312" w:hAnsi="仿宋_GB2312" w:eastAsia="仿宋_GB2312" w:cs="仿宋_GB2312"/>
                <w:b/>
                <w:bCs/>
                <w:color w:val="000000"/>
                <w:kern w:val="2"/>
                <w:sz w:val="32"/>
                <w:szCs w:val="32"/>
                <w:highlight w:val="none"/>
                <w:u w:val="none"/>
                <w:vertAlign w:val="baseline"/>
                <w:lang w:val="en-US" w:eastAsia="zh-CN" w:bidi="ar-SA"/>
              </w:rPr>
              <w:t>根据《中华人民共和国国家环境保护标准污水监测技术规范》（HJ91.1-2019）文件中“常用污水监测项目的采样和水样保存要求”规定，上述检测因子中，部分项目项目的保存时效性为6小时，即报价单位需在6小时内完成相应项目的采样、运输及化验工作。报价单位的实验室地址以《检验检测机构资质认定证书》上的地址为准。</w:t>
            </w:r>
          </w:p>
          <w:p w14:paraId="6AF827C8">
            <w:pPr>
              <w:pStyle w:val="8"/>
              <w:keepNext w:val="0"/>
              <w:keepLines w:val="0"/>
              <w:pageBreakBefore w:val="0"/>
              <w:widowControl/>
              <w:numPr>
                <w:ilvl w:val="0"/>
                <w:numId w:val="0"/>
              </w:numPr>
              <w:suppressLineNumbers w:val="0"/>
              <w:kinsoku/>
              <w:wordWrap/>
              <w:overflowPunct/>
              <w:topLinePunct w:val="0"/>
              <w:autoSpaceDE/>
              <w:bidi w:val="0"/>
              <w:adjustRightInd/>
              <w:spacing w:before="60" w:beforeAutospacing="0" w:after="60" w:afterAutospacing="0" w:line="560" w:lineRule="exact"/>
              <w:ind w:right="0" w:rightChars="0" w:firstLine="640" w:firstLineChars="200"/>
              <w:jc w:val="left"/>
              <w:rPr>
                <w:rFonts w:hint="eastAsia" w:ascii="仿宋_GB2312" w:hAnsi="仿宋_GB2312" w:eastAsia="仿宋_GB2312" w:cs="仿宋_GB2312"/>
                <w:b w:val="0"/>
                <w:bCs w:val="0"/>
                <w:color w:val="000000"/>
                <w:kern w:val="2"/>
                <w:sz w:val="32"/>
                <w:szCs w:val="32"/>
                <w:highlight w:val="none"/>
                <w:u w:val="none"/>
                <w:vertAlign w:val="baseline"/>
                <w:lang w:val="en-US" w:eastAsia="zh-CN" w:bidi="ar-SA"/>
              </w:rPr>
            </w:pPr>
            <w:r>
              <w:rPr>
                <w:rFonts w:hint="eastAsia" w:ascii="仿宋_GB2312" w:hAnsi="仿宋_GB2312" w:eastAsia="仿宋_GB2312" w:cs="仿宋_GB2312"/>
                <w:b w:val="0"/>
                <w:bCs w:val="0"/>
                <w:color w:val="000000"/>
                <w:kern w:val="2"/>
                <w:sz w:val="32"/>
                <w:szCs w:val="32"/>
                <w:vertAlign w:val="baseline"/>
                <w:lang w:val="en-US" w:eastAsia="zh-CN" w:bidi="ar-SA"/>
              </w:rPr>
              <w:t>三、</w:t>
            </w:r>
            <w:r>
              <w:rPr>
                <w:rFonts w:hint="eastAsia" w:ascii="仿宋_GB2312" w:hAnsi="仿宋_GB2312" w:eastAsia="仿宋_GB2312" w:cs="仿宋_GB2312"/>
                <w:b/>
                <w:bCs/>
                <w:color w:val="000000"/>
                <w:kern w:val="2"/>
                <w:sz w:val="32"/>
                <w:szCs w:val="32"/>
                <w:highlight w:val="none"/>
                <w:u w:val="none"/>
                <w:vertAlign w:val="baseline"/>
                <w:lang w:val="en-US" w:eastAsia="zh-CN" w:bidi="ar-SA"/>
              </w:rPr>
              <w:t>报价单位需按排污许可证自行监测方案要求的时间节点将检测结果上传至平台，除此外，需将院区内自动在线设备（ph、流量、余氯）每小时数据按规范上报至排污许可证平台及自治区污染源监测系统。</w:t>
            </w:r>
          </w:p>
        </w:tc>
      </w:tr>
    </w:tbl>
    <w:p w14:paraId="75B32208">
      <w:pPr>
        <w:pStyle w:val="3"/>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2.技术参数</w:t>
      </w:r>
    </w:p>
    <w:p w14:paraId="1E8D5FDE">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sz w:val="28"/>
          <w:szCs w:val="28"/>
        </w:rPr>
        <w:t>（一）处理能力</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val="0"/>
          <w:bCs w:val="0"/>
          <w:kern w:val="2"/>
          <w:sz w:val="28"/>
          <w:szCs w:val="28"/>
          <w:lang w:val="en-US" w:eastAsia="zh-CN" w:bidi="ar-SA"/>
        </w:rPr>
        <w:t>（1）能够稳定处理医院每日产生的污水量，污水产生量预估为75 立方米 / 日（需根据医院实际情况准确测定）。处理系统应具备一定的抗冲击负荷能力，以应对污水水质、水量的波动。（2）确保在高峰时段和特殊情况下（如突发公共卫生事件导致污水量增加），污水处理设施仍能正常运行，不出现溢流等问题。</w:t>
      </w:r>
    </w:p>
    <w:p w14:paraId="1E3B7CD5">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sz w:val="28"/>
          <w:szCs w:val="28"/>
        </w:rPr>
        <w:t>（二）水质标准</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val="0"/>
          <w:bCs w:val="0"/>
          <w:kern w:val="2"/>
          <w:sz w:val="28"/>
          <w:szCs w:val="28"/>
          <w:lang w:val="en-US" w:eastAsia="zh-CN" w:bidi="ar-SA"/>
        </w:rPr>
        <w:t>（1）出水水质：处理后的污水必须达到国家和地方规定的排放标准，如《医疗机构水污染物排放标准》（GB 18466 - 2005）中的相关要求。具体指标包括但不限于：化学需氧量（COD）≤250 mg/L、生化需氧量（BOD₅）≤100 mg/L、悬浮物（SS）≤60 mg/L、氨氮（NH₃ - N）≤15] mg/L、总磷（TP）≤500 mg/L、粪大肠菌群数≤5000 MPN/L 等。（2）消毒要求：采用有效的消毒工艺，确保污水中病原体得到有效杀灭，消毒副产物含量符合标准要求。</w:t>
      </w:r>
    </w:p>
    <w:p w14:paraId="5EBFD67E">
      <w:pPr>
        <w:pStyle w:val="3"/>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设备及工艺要求</w:t>
      </w:r>
      <w:r>
        <w:rPr>
          <w:rFonts w:hint="eastAsia" w:ascii="仿宋_GB2312" w:hAnsi="仿宋_GB2312" w:eastAsia="仿宋_GB2312" w:cs="仿宋_GB2312"/>
          <w:sz w:val="28"/>
          <w:szCs w:val="28"/>
          <w:lang w:eastAsia="zh-CN"/>
        </w:rPr>
        <w:t>：</w:t>
      </w:r>
    </w:p>
    <w:p w14:paraId="611989D1">
      <w:pPr>
        <w:pStyle w:val="3"/>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（一）处理工艺1.采用先进、成熟、可靠的污水处理工艺，能够适应医院污水的特点，如含有病原体、化学药剂、重金属等污染物。推荐工艺包括 “预处理 + 生化处理 + 深度处理 + 消毒” 等组合工艺。2.预处理阶段应设置格栅、调节池等设施，去除污水中的大颗粒杂质和调节水质水量；生化处理阶段可选用活性污泥法、生物膜法等；深度处理阶段可采用过滤、吸附等技术进一步去除污染物；消毒阶段可采用二氧化氯消毒、紫外线消毒等方式。</w:t>
      </w:r>
    </w:p>
    <w:p w14:paraId="3DB43817">
      <w:pPr>
        <w:pStyle w:val="3"/>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二）设备要求1.主要设备：污水处理设施的主要设备，如水泵、风机、搅拌器、压滤机等，应选用质量可靠的产品，具备良好的稳定性和耐久性。设备的材质应耐腐蚀、耐磨损，适应污水的特殊环境。2.在线监测设备：配备先进的在线监测设备，对污水中的主要污染物指标进行实时监测，如 COD、氨氮、总磷等。监测设备应具备数据存储、传输功能，能够与环保部门的监控平台联网。3.自动化控制系统：建立完善的自动化控制系统，实现对污水处理设施的远程监控和自动化操作。通过自动化控制系统，可实时监测设备运行状态、调整运行参数，提高运行管理效率。</w:t>
      </w:r>
    </w:p>
    <w:p w14:paraId="6B539826">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640"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（三）人员及资质要求</w:t>
      </w:r>
    </w:p>
    <w:p w14:paraId="7AF0789C">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640"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1.运营单位应配备专业的技术人员和管理人员，负责污水处理设施的运行管理和维护。技术人员应具备相关专业知识和技能，如给排水、环境工程等专业背景，且具有一定的工作经验。</w:t>
      </w:r>
    </w:p>
    <w:p w14:paraId="72903D30">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640"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2.操作人员应经过专业培训，熟悉污水处理工艺和设备操作流程，能够熟练应对各种突发情况。操作人员应持有相关的职业资格证书，如污水处理工证书等。</w:t>
      </w:r>
    </w:p>
    <w:p w14:paraId="05EBAAA9">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640"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3.运营单位应定期组织人员培训，提高人员的业务水平和环保意识，确保污水处理工作的质量和安全。</w:t>
      </w:r>
    </w:p>
    <w:p w14:paraId="20B88A72">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3.验收标准：</w:t>
      </w:r>
    </w:p>
    <w:p w14:paraId="4DE2D30C">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（一）水质考核：1.定期对处理后的污水进行采样检测，检测频率不低于 4 次 / 月。检测结果应符合国家和地方规定的排放标准，如出现超标情况，运营单位应及时采取措施进行整改，并承担相应的责任。2.建立水质监测档案，记录每次检测的结果、时间、检测人员等信息，以便追溯和分析。</w:t>
      </w:r>
    </w:p>
    <w:p w14:paraId="2DC883DE">
      <w:pPr>
        <w:pStyle w:val="4"/>
        <w:keepNext w:val="0"/>
        <w:keepLines w:val="0"/>
        <w:pageBreakBefore w:val="0"/>
        <w:widowControl/>
        <w:suppressLineNumbers w:val="0"/>
        <w:kinsoku/>
        <w:wordWrap/>
        <w:overflowPunct/>
        <w:topLinePunct w:val="0"/>
        <w:autoSpaceDE/>
        <w:bidi w:val="0"/>
        <w:adjustRightInd/>
        <w:spacing w:line="560" w:lineRule="exact"/>
        <w:ind w:firstLine="640"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（二）设备运行考核：1.检查污水处理设施的运行状态，包括设备的运行时间、故障率、维修记录等。设备的完好率应不低于 90%。2.检查在线监测设备的运行情况，确保监测数据的准确性和可靠性。监测数据的传输率应不低于100%，数据误差应控制在合理范围内。</w:t>
      </w:r>
    </w:p>
    <w:p w14:paraId="34D51677">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（三）服务质量考核：1.考核运营单位的服务响应速度，在接到医院通知后，应在 1 小时内响应，3 小时内到达现场处理问题。2.考核运营单位的人员管理情况，包括人员配备、培训情况、工作态度等。运营单位应确保人员具备相应的资质和能力，工作认真负责。3.建立服务质量反馈机制，定期收集医院的意见和建议，对服务质量进行评估和改进。</w:t>
      </w:r>
    </w:p>
    <w:p w14:paraId="62CEEF32">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0"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val="0"/>
          <w:bCs w:val="0"/>
          <w:kern w:val="2"/>
          <w:sz w:val="28"/>
          <w:szCs w:val="28"/>
          <w:lang w:val="en-US" w:eastAsia="zh-CN" w:bidi="ar-SA"/>
        </w:rPr>
        <w:t>（四）考核结果处理：1.根据考核结果，对运营单位进行评分。评分标准分为优（90 分及以上）、良（80 - 89 分）、中（60 - 79 分）、差（60 分以下）四个等级。2.对于考核结果为 “良” 及以上的运营单位，按照合同约定支付费用；对于考核结果为 “中” 的运营单位，扣除当月运营费用的 20%；对于考核结果为 “差” 的运营单位，扣除当月运营费用的 40%，并要求其限期整改。连续 3 个月考核结果为 “差”，医院有权解除合同。</w:t>
      </w:r>
    </w:p>
    <w:p w14:paraId="61F8406C">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2"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4.其他要求</w:t>
      </w:r>
      <w:r>
        <w:rPr>
          <w:rFonts w:hint="eastAsia" w:ascii="仿宋_GB2312" w:hAnsi="仿宋_GB2312" w:eastAsia="仿宋_GB2312" w:cs="仿宋_GB2312"/>
          <w:sz w:val="28"/>
          <w:szCs w:val="28"/>
          <w:lang w:val="en-US" w:eastAsia="zh-CN"/>
        </w:rPr>
        <w:t>：</w:t>
      </w:r>
    </w:p>
    <w:p w14:paraId="3293210B">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（一）应急预案：</w:t>
      </w:r>
    </w:p>
    <w:p w14:paraId="41A31A4B">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1.运营单位应制定完善的应急预案，包括水质超标应急预案、设备故障应急预案、突发环境事件应急预案等。应急预案应明确应急组织机构、职责分工、应急处置措施、应急救援物资储备等内容。</w:t>
      </w:r>
    </w:p>
    <w:p w14:paraId="300ECB1B">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2.定期组织应急演练，提高应对突发情况的能力。演练频率不低于 4 次 / 年，并做好演练记录和总结。</w:t>
      </w:r>
    </w:p>
    <w:p w14:paraId="3DBE2D88">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（二）资料管理：</w:t>
      </w:r>
    </w:p>
    <w:p w14:paraId="1FCB1BE9">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1.运营单位应建立完善的资料管理制度，对污水处理设施的运行记录、水质监测报告、设备维护记录、人员培训记录等资料进行整理和归档。</w:t>
      </w:r>
    </w:p>
    <w:p w14:paraId="5CCD1F80">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2.定期向医院和环保部门报送污水处理设施的运行情况和水质监测数据，确保信息的及时、准确。</w:t>
      </w:r>
    </w:p>
    <w:p w14:paraId="257A45A5">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（三）费用支付：</w:t>
      </w:r>
    </w:p>
    <w:p w14:paraId="547661BA">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1.按照合同约定的支付方式和时间，支付污水处理运营费用。运营单位应在每月10日前，向医院提交上月的运营报告和费用结算申请，经医院审核无误后，在 5 个工作日内支付费用。</w:t>
      </w:r>
    </w:p>
    <w:p w14:paraId="23F2E38F">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2.如因运营单位原因导致水质超标、设备故障等问题，医院有权扣除相应的费用，并要求运营单位承担由此造成的损失。</w:t>
      </w:r>
    </w:p>
    <w:p w14:paraId="134BB81F">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sectPr>
          <w:headerReference r:id="rId8" w:type="default"/>
          <w:footerReference r:id="rId9" w:type="default"/>
          <w:pgSz w:w="11906" w:h="16838"/>
          <w:pgMar w:top="1440" w:right="1800" w:bottom="1440" w:left="1800" w:header="851" w:footer="765" w:gutter="0"/>
          <w:pgBorders>
            <w:top w:val="none" w:sz="0" w:space="0"/>
            <w:left w:val="none" w:sz="0" w:space="0"/>
            <w:bottom w:val="none" w:sz="0" w:space="0"/>
            <w:right w:val="none" w:sz="0" w:space="0"/>
          </w:pgBorders>
          <w:pgNumType w:fmt="numberInDash"/>
          <w:cols w:space="0" w:num="1"/>
          <w:rtlGutter w:val="0"/>
          <w:docGrid w:type="lines" w:linePitch="312" w:charSpace="0"/>
        </w:sectPr>
      </w:pPr>
    </w:p>
    <w:p w14:paraId="11B227F7">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第四章 资格审查</w:t>
      </w:r>
      <w:bookmarkEnd w:id="446"/>
      <w:bookmarkEnd w:id="447"/>
    </w:p>
    <w:p w14:paraId="2133133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9" w:leftChars="116" w:right="0" w:hanging="211" w:hangingChars="75"/>
        <w:textAlignment w:val="auto"/>
        <w:rPr>
          <w:rFonts w:hint="eastAsia"/>
          <w:color w:val="auto"/>
          <w:sz w:val="28"/>
          <w:szCs w:val="28"/>
          <w:highlight w:val="none"/>
          <w:lang w:val="zh-CN" w:eastAsia="zh-CN"/>
        </w:rPr>
      </w:pPr>
      <w:bookmarkStart w:id="448" w:name="_Toc31801"/>
      <w:r>
        <w:rPr>
          <w:rFonts w:hint="eastAsia"/>
          <w:color w:val="auto"/>
          <w:sz w:val="28"/>
          <w:szCs w:val="28"/>
          <w:highlight w:val="none"/>
          <w:lang w:val="en-US" w:eastAsia="zh-CN"/>
        </w:rPr>
        <w:t>一、资格审查程序</w:t>
      </w:r>
      <w:bookmarkEnd w:id="448"/>
      <w:r>
        <w:rPr>
          <w:rFonts w:hint="eastAsia"/>
          <w:color w:val="auto"/>
          <w:sz w:val="28"/>
          <w:szCs w:val="28"/>
          <w:highlight w:val="none"/>
          <w:lang w:val="en-US" w:eastAsia="zh-CN"/>
        </w:rPr>
        <w:t xml:space="preserve"> </w:t>
      </w:r>
    </w:p>
    <w:p w14:paraId="4E4090D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 xml:space="preserve">1.开标结束后，采购人或采购代理机构将根据《资格审查要求》中的规定，对投标人进行资格审查，并形成资格审查结果。 </w:t>
      </w:r>
    </w:p>
    <w:p w14:paraId="62799CDE">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2.投标人《资格证明文件》有任何一项不符合《资格审查要求》的，资格审查不合格，其</w:t>
      </w:r>
      <w:r>
        <w:rPr>
          <w:rFonts w:hint="eastAsia"/>
          <w:b/>
          <w:bCs/>
          <w:color w:val="auto"/>
          <w:highlight w:val="none"/>
          <w:lang w:val="en-US" w:eastAsia="zh-CN"/>
        </w:rPr>
        <w:t>投标无效</w:t>
      </w:r>
      <w:r>
        <w:rPr>
          <w:rFonts w:hint="eastAsia"/>
          <w:color w:val="auto"/>
          <w:highlight w:val="none"/>
          <w:lang w:val="en-US" w:eastAsia="zh-CN"/>
        </w:rPr>
        <w:t xml:space="preserve">。 </w:t>
      </w:r>
    </w:p>
    <w:p w14:paraId="37E914D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 xml:space="preserve">3.资格审查合格的投标人不足 </w:t>
      </w:r>
      <w:r>
        <w:rPr>
          <w:rFonts w:hint="default"/>
          <w:color w:val="auto"/>
          <w:highlight w:val="none"/>
          <w:lang w:val="en-US" w:eastAsia="zh-CN"/>
        </w:rPr>
        <w:t xml:space="preserve">3 </w:t>
      </w:r>
      <w:r>
        <w:rPr>
          <w:rFonts w:hint="eastAsia"/>
          <w:color w:val="auto"/>
          <w:highlight w:val="none"/>
          <w:lang w:val="en-US" w:eastAsia="zh-CN"/>
        </w:rPr>
        <w:t xml:space="preserve">家的，不进行评标。 </w:t>
      </w:r>
    </w:p>
    <w:p w14:paraId="1720E86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9" w:leftChars="116" w:right="0" w:hanging="211" w:hangingChars="75"/>
        <w:textAlignment w:val="auto"/>
        <w:rPr>
          <w:rFonts w:hint="eastAsia"/>
          <w:color w:val="auto"/>
          <w:sz w:val="28"/>
          <w:szCs w:val="28"/>
          <w:highlight w:val="none"/>
          <w:lang w:val="en-US" w:eastAsia="zh-CN"/>
        </w:rPr>
      </w:pPr>
      <w:bookmarkStart w:id="449" w:name="_Toc19754"/>
      <w:r>
        <w:rPr>
          <w:rFonts w:hint="eastAsia"/>
          <w:color w:val="auto"/>
          <w:sz w:val="28"/>
          <w:szCs w:val="28"/>
          <w:highlight w:val="none"/>
          <w:lang w:val="en-US" w:eastAsia="zh-CN"/>
        </w:rPr>
        <w:t>二、资格审查要求</w:t>
      </w:r>
      <w:bookmarkEnd w:id="449"/>
      <w:r>
        <w:rPr>
          <w:rFonts w:hint="eastAsia"/>
          <w:color w:val="auto"/>
          <w:sz w:val="28"/>
          <w:szCs w:val="28"/>
          <w:highlight w:val="none"/>
          <w:lang w:val="en-US" w:eastAsia="zh-CN"/>
        </w:rPr>
        <w:t xml:space="preserve"> </w:t>
      </w:r>
    </w:p>
    <w:tbl>
      <w:tblPr>
        <w:tblStyle w:val="29"/>
        <w:tblW w:w="564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820"/>
        <w:gridCol w:w="1812"/>
        <w:gridCol w:w="5390"/>
        <w:gridCol w:w="1602"/>
      </w:tblGrid>
      <w:tr w14:paraId="4C40C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26" w:type="pct"/>
            <w:shd w:val="clear" w:color="auto" w:fill="D8D8D8" w:themeFill="background1" w:themeFillShade="D9"/>
            <w:vAlign w:val="center"/>
          </w:tcPr>
          <w:p w14:paraId="31F150F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941" w:type="pct"/>
            <w:shd w:val="clear" w:color="auto" w:fill="D8D8D8" w:themeFill="background1" w:themeFillShade="D9"/>
            <w:vAlign w:val="center"/>
          </w:tcPr>
          <w:p w14:paraId="296942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审查因素</w:t>
            </w:r>
          </w:p>
        </w:tc>
        <w:tc>
          <w:tcPr>
            <w:tcW w:w="2799" w:type="pct"/>
            <w:shd w:val="clear" w:color="auto" w:fill="D8D8D8" w:themeFill="background1" w:themeFillShade="D9"/>
            <w:vAlign w:val="center"/>
          </w:tcPr>
          <w:p w14:paraId="635BC09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审查内容</w:t>
            </w:r>
          </w:p>
        </w:tc>
        <w:tc>
          <w:tcPr>
            <w:tcW w:w="832" w:type="pct"/>
            <w:shd w:val="clear" w:color="auto" w:fill="D8D8D8" w:themeFill="background1" w:themeFillShade="D9"/>
            <w:vAlign w:val="center"/>
          </w:tcPr>
          <w:p w14:paraId="6075A15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格式要求</w:t>
            </w:r>
          </w:p>
        </w:tc>
      </w:tr>
      <w:tr w14:paraId="6969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16" w:hRule="atLeast"/>
          <w:jc w:val="center"/>
        </w:trPr>
        <w:tc>
          <w:tcPr>
            <w:tcW w:w="426" w:type="pct"/>
            <w:shd w:val="clear" w:color="auto" w:fill="FFFFFF" w:themeFill="background1"/>
            <w:vAlign w:val="center"/>
          </w:tcPr>
          <w:p w14:paraId="636EB3B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941" w:type="pct"/>
            <w:shd w:val="clear" w:color="auto" w:fill="FFFFFF" w:themeFill="background1"/>
            <w:vAlign w:val="center"/>
          </w:tcPr>
          <w:p w14:paraId="267C167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满足《政府采购 </w:t>
            </w:r>
          </w:p>
          <w:p w14:paraId="58A237A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法》第二十二条 </w:t>
            </w:r>
          </w:p>
          <w:p w14:paraId="4DBD559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规定</w:t>
            </w:r>
          </w:p>
        </w:tc>
        <w:tc>
          <w:tcPr>
            <w:tcW w:w="2799" w:type="pct"/>
            <w:shd w:val="clear" w:color="auto" w:fill="FFFFFF" w:themeFill="background1"/>
            <w:vAlign w:val="center"/>
          </w:tcPr>
          <w:p w14:paraId="215E085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具体规定见“第一章 招标公告”</w:t>
            </w:r>
          </w:p>
        </w:tc>
        <w:tc>
          <w:tcPr>
            <w:tcW w:w="832" w:type="pct"/>
            <w:shd w:val="clear" w:color="auto" w:fill="FFFFFF" w:themeFill="background1"/>
            <w:vAlign w:val="center"/>
          </w:tcPr>
          <w:p w14:paraId="24AF559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26E76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816" w:hRule="atLeast"/>
          <w:jc w:val="center"/>
        </w:trPr>
        <w:tc>
          <w:tcPr>
            <w:tcW w:w="426" w:type="pct"/>
            <w:shd w:val="clear" w:color="auto" w:fill="FFFFFF" w:themeFill="background1"/>
            <w:vAlign w:val="center"/>
          </w:tcPr>
          <w:p w14:paraId="1AF8CF7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2</w:t>
            </w:r>
          </w:p>
        </w:tc>
        <w:tc>
          <w:tcPr>
            <w:tcW w:w="941" w:type="pct"/>
            <w:shd w:val="clear" w:color="auto" w:fill="FFFFFF" w:themeFill="background1"/>
            <w:vAlign w:val="center"/>
          </w:tcPr>
          <w:p w14:paraId="055CD5DC">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营业执照等证明文件</w:t>
            </w:r>
          </w:p>
        </w:tc>
        <w:tc>
          <w:tcPr>
            <w:tcW w:w="2799" w:type="pct"/>
            <w:shd w:val="clear" w:color="auto" w:fill="FFFFFF" w:themeFill="background1"/>
            <w:vAlign w:val="center"/>
          </w:tcPr>
          <w:p w14:paraId="7DB1C26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投标人为企业（包括合伙企业）的，应提供有效的“营业执照”； </w:t>
            </w:r>
          </w:p>
          <w:p w14:paraId="693E34B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投标人为事业单位的，应提供有效的“事业单位法人证书” ； </w:t>
            </w:r>
          </w:p>
          <w:p w14:paraId="0BB3751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投标人是非企业机构的，应提供有效的“执业许可证”、“登记证书”等证明文件； </w:t>
            </w:r>
          </w:p>
          <w:p w14:paraId="0667B6C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投标人是个体工商户的，应提供有效的“个体工商户营业执照”； </w:t>
            </w:r>
          </w:p>
          <w:p w14:paraId="3CB6034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bidi="ar"/>
              </w:rPr>
              <w:t>投标人是自然人的，应提供有效的自然人身份证明。</w:t>
            </w:r>
          </w:p>
        </w:tc>
        <w:tc>
          <w:tcPr>
            <w:tcW w:w="832" w:type="pct"/>
            <w:shd w:val="clear" w:color="auto" w:fill="FFFFFF" w:themeFill="background1"/>
            <w:vAlign w:val="center"/>
          </w:tcPr>
          <w:p w14:paraId="60CD4B8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5486F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48" w:hRule="atLeast"/>
          <w:jc w:val="center"/>
        </w:trPr>
        <w:tc>
          <w:tcPr>
            <w:tcW w:w="426" w:type="pct"/>
            <w:shd w:val="clear" w:color="auto" w:fill="FFFFFF" w:themeFill="background1"/>
            <w:vAlign w:val="center"/>
          </w:tcPr>
          <w:p w14:paraId="1B6B10C6">
            <w:pPr>
              <w:pStyle w:val="48"/>
              <w:pageBreakBefore w:val="0"/>
              <w:kinsoku/>
              <w:overflowPunct/>
              <w:bidi w:val="0"/>
              <w:spacing w:beforeAutospacing="0" w:afterAutospacing="0" w:line="560" w:lineRule="exact"/>
              <w:ind w:left="0" w:leftChars="0" w:right="0"/>
              <w:jc w:val="center"/>
              <w:rPr>
                <w:rFonts w:hint="default"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3</w:t>
            </w:r>
          </w:p>
        </w:tc>
        <w:tc>
          <w:tcPr>
            <w:tcW w:w="941" w:type="pct"/>
            <w:shd w:val="clear" w:color="auto" w:fill="FFFFFF" w:themeFill="background1"/>
            <w:vAlign w:val="center"/>
          </w:tcPr>
          <w:p w14:paraId="1BD0E12D">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投标人信用承诺函</w:t>
            </w:r>
          </w:p>
        </w:tc>
        <w:tc>
          <w:tcPr>
            <w:tcW w:w="2799" w:type="pct"/>
            <w:shd w:val="clear" w:color="auto" w:fill="FFFFFF" w:themeFill="background1"/>
            <w:vAlign w:val="center"/>
          </w:tcPr>
          <w:p w14:paraId="041E784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提供符合招标文件要求的《兵团政府采购供应商信用承诺函》。</w:t>
            </w:r>
          </w:p>
        </w:tc>
        <w:tc>
          <w:tcPr>
            <w:tcW w:w="832" w:type="pct"/>
            <w:shd w:val="clear" w:color="auto" w:fill="FFFFFF" w:themeFill="background1"/>
            <w:vAlign w:val="center"/>
          </w:tcPr>
          <w:p w14:paraId="1422A2B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74E5A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139" w:hRule="atLeast"/>
          <w:jc w:val="center"/>
        </w:trPr>
        <w:tc>
          <w:tcPr>
            <w:tcW w:w="426" w:type="pct"/>
            <w:shd w:val="clear" w:color="auto" w:fill="FFFFFF" w:themeFill="background1"/>
            <w:vAlign w:val="center"/>
          </w:tcPr>
          <w:p w14:paraId="6598074C">
            <w:pPr>
              <w:keepNext w:val="0"/>
              <w:keepLines w:val="0"/>
              <w:widowControl/>
              <w:suppressLineNumbers w:val="0"/>
              <w:jc w:val="center"/>
              <w:rPr>
                <w:rFonts w:hint="eastAsia" w:ascii="宋体" w:hAnsi="宋体" w:eastAsia="宋体" w:cs="宋体"/>
                <w:color w:val="auto"/>
                <w:spacing w:val="-6"/>
                <w:kern w:val="2"/>
                <w:sz w:val="24"/>
                <w:szCs w:val="24"/>
                <w:highlight w:val="none"/>
                <w:lang w:val="en-US" w:eastAsia="zh-CN" w:bidi="ar-SA"/>
              </w:rPr>
            </w:pPr>
            <w:r>
              <w:rPr>
                <w:rFonts w:hint="eastAsia" w:cs="宋体"/>
                <w:color w:val="auto"/>
                <w:spacing w:val="-6"/>
                <w:kern w:val="2"/>
                <w:sz w:val="24"/>
                <w:szCs w:val="24"/>
                <w:highlight w:val="none"/>
                <w:lang w:val="en-US" w:eastAsia="zh-CN" w:bidi="ar-SA"/>
              </w:rPr>
              <w:t>4</w:t>
            </w:r>
          </w:p>
        </w:tc>
        <w:tc>
          <w:tcPr>
            <w:tcW w:w="941" w:type="pct"/>
            <w:shd w:val="clear" w:color="auto" w:fill="FFFFFF" w:themeFill="background1"/>
            <w:vAlign w:val="center"/>
          </w:tcPr>
          <w:p w14:paraId="3E89341E">
            <w:pPr>
              <w:keepNext w:val="0"/>
              <w:keepLines w:val="0"/>
              <w:widowControl/>
              <w:suppressLineNumbers w:val="0"/>
              <w:jc w:val="center"/>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pacing w:val="-6"/>
                <w:kern w:val="2"/>
                <w:sz w:val="24"/>
                <w:szCs w:val="24"/>
                <w:highlight w:val="none"/>
                <w:lang w:val="en-US" w:eastAsia="zh-CN" w:bidi="ar-SA"/>
              </w:rPr>
              <w:t>法人和授权</w:t>
            </w:r>
          </w:p>
          <w:p w14:paraId="531F5A79">
            <w:pPr>
              <w:keepNext w:val="0"/>
              <w:keepLines w:val="0"/>
              <w:widowControl/>
              <w:suppressLineNumbers w:val="0"/>
              <w:jc w:val="center"/>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pacing w:val="-6"/>
                <w:kern w:val="2"/>
                <w:sz w:val="24"/>
                <w:szCs w:val="24"/>
                <w:highlight w:val="none"/>
                <w:lang w:val="en-US" w:eastAsia="zh-CN" w:bidi="ar-SA"/>
              </w:rPr>
              <w:t>代表资格</w:t>
            </w:r>
          </w:p>
          <w:p w14:paraId="68A3F00E">
            <w:pPr>
              <w:keepNext w:val="0"/>
              <w:keepLines w:val="0"/>
              <w:widowControl/>
              <w:suppressLineNumbers w:val="0"/>
              <w:jc w:val="center"/>
              <w:rPr>
                <w:rFonts w:hint="eastAsia" w:ascii="宋体" w:hAnsi="宋体" w:eastAsia="宋体" w:cs="宋体"/>
                <w:color w:val="auto"/>
                <w:spacing w:val="-6"/>
                <w:kern w:val="2"/>
                <w:sz w:val="24"/>
                <w:szCs w:val="24"/>
                <w:highlight w:val="none"/>
                <w:lang w:val="en-US" w:eastAsia="zh-CN" w:bidi="ar-SA"/>
              </w:rPr>
            </w:pPr>
          </w:p>
        </w:tc>
        <w:tc>
          <w:tcPr>
            <w:tcW w:w="2799" w:type="pct"/>
            <w:shd w:val="clear" w:color="auto" w:fill="FFFFFF" w:themeFill="background1"/>
            <w:vAlign w:val="center"/>
          </w:tcPr>
          <w:p w14:paraId="18FCE97F">
            <w:pPr>
              <w:keepNext w:val="0"/>
              <w:keepLines w:val="0"/>
              <w:widowControl/>
              <w:suppressLineNumbers w:val="0"/>
              <w:jc w:val="center"/>
              <w:rPr>
                <w:rFonts w:hint="eastAsia" w:ascii="宋体" w:hAnsi="宋体" w:eastAsia="宋体" w:cs="宋体"/>
                <w:color w:val="auto"/>
                <w:spacing w:val="-6"/>
                <w:kern w:val="2"/>
                <w:sz w:val="24"/>
                <w:szCs w:val="24"/>
                <w:highlight w:val="none"/>
                <w:lang w:val="en-US" w:eastAsia="zh-CN" w:bidi="ar-SA"/>
              </w:rPr>
            </w:pPr>
            <w:r>
              <w:rPr>
                <w:rFonts w:hint="eastAsia" w:ascii="宋体" w:hAnsi="宋体" w:eastAsia="宋体" w:cs="宋体"/>
                <w:color w:val="auto"/>
                <w:spacing w:val="-6"/>
                <w:kern w:val="2"/>
                <w:sz w:val="24"/>
                <w:szCs w:val="24"/>
                <w:highlight w:val="none"/>
                <w:lang w:val="en-US" w:eastAsia="zh-CN" w:bidi="ar-SA"/>
              </w:rPr>
              <w:t>具备有效的法定代表人身份证明文件及法定代表人授权委托书</w:t>
            </w:r>
          </w:p>
        </w:tc>
        <w:tc>
          <w:tcPr>
            <w:tcW w:w="832" w:type="pct"/>
            <w:shd w:val="clear" w:color="auto" w:fill="FFFFFF" w:themeFill="background1"/>
            <w:vAlign w:val="center"/>
          </w:tcPr>
          <w:p w14:paraId="1489625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p>
        </w:tc>
      </w:tr>
      <w:tr w14:paraId="0881D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344" w:hRule="atLeast"/>
          <w:jc w:val="center"/>
        </w:trPr>
        <w:tc>
          <w:tcPr>
            <w:tcW w:w="426" w:type="pct"/>
            <w:shd w:val="clear" w:color="auto" w:fill="FFFFFF" w:themeFill="background1"/>
            <w:vAlign w:val="center"/>
          </w:tcPr>
          <w:p w14:paraId="0A4E48A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5</w:t>
            </w:r>
          </w:p>
        </w:tc>
        <w:tc>
          <w:tcPr>
            <w:tcW w:w="941" w:type="pct"/>
            <w:shd w:val="clear" w:color="auto" w:fill="FFFFFF" w:themeFill="background1"/>
            <w:vAlign w:val="center"/>
          </w:tcPr>
          <w:p w14:paraId="6F34785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投标人信用记录</w:t>
            </w:r>
          </w:p>
        </w:tc>
        <w:tc>
          <w:tcPr>
            <w:tcW w:w="2799" w:type="pct"/>
            <w:shd w:val="clear" w:color="auto" w:fill="FFFFFF" w:themeFill="background1"/>
            <w:vAlign w:val="center"/>
          </w:tcPr>
          <w:p w14:paraId="747BCCCD">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lang w:val="en-US" w:eastAsia="zh-CN"/>
              </w:rPr>
              <w:t xml:space="preserve">查询渠道：信用中国网站和中国政府采购网（ </w:t>
            </w:r>
          </w:p>
          <w:p w14:paraId="4D80C076">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www.creditchina.gov.cn 、www.ccgp.gov.cn）；</w:t>
            </w:r>
            <w:r>
              <w:rPr>
                <w:rFonts w:hint="eastAsia" w:ascii="宋体" w:hAnsi="宋体" w:eastAsia="宋体" w:cs="宋体"/>
                <w:color w:val="auto"/>
                <w:sz w:val="24"/>
                <w:szCs w:val="24"/>
                <w:highlight w:val="none"/>
                <w:lang w:val="en-US" w:eastAsia="zh-CN"/>
              </w:rPr>
              <w:t xml:space="preserve"> </w:t>
            </w:r>
          </w:p>
          <w:p w14:paraId="496D1252">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截止时点：投标截止时间以后、资格审查阶段采购人或采购代理机构的实际查询时间； </w:t>
            </w:r>
          </w:p>
          <w:p w14:paraId="2F28F46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信用信息查询记录和证据留存具体方式：查询结果网页打印页作为查询记录和证据，与其他采购文件一并保存； </w:t>
            </w:r>
          </w:p>
          <w:p w14:paraId="1A0058F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信用信息的使用原则：经认定的被列入失信被执行人、重大税收违法失信主体、政府采购严重违法失信行为记录名单的投标人，其</w:t>
            </w:r>
            <w:r>
              <w:rPr>
                <w:rFonts w:hint="eastAsia" w:ascii="宋体" w:hAnsi="宋体" w:eastAsia="宋体" w:cs="宋体"/>
                <w:b/>
                <w:bCs/>
                <w:color w:val="auto"/>
                <w:spacing w:val="-6"/>
                <w:sz w:val="24"/>
                <w:szCs w:val="24"/>
                <w:highlight w:val="none"/>
                <w:lang w:val="en-US" w:eastAsia="zh-CN"/>
              </w:rPr>
              <w:t>投标无效</w:t>
            </w:r>
            <w:r>
              <w:rPr>
                <w:rFonts w:hint="eastAsia" w:ascii="宋体" w:hAnsi="宋体" w:eastAsia="宋体" w:cs="宋体"/>
                <w:color w:val="auto"/>
                <w:spacing w:val="-6"/>
                <w:sz w:val="24"/>
                <w:szCs w:val="24"/>
                <w:highlight w:val="none"/>
                <w:lang w:val="en-US" w:eastAsia="zh-CN"/>
              </w:rPr>
              <w:t>。联合体形式投标的，联合体成员存在不良信用记录，视同联合体存在不良信用记录。</w:t>
            </w:r>
          </w:p>
        </w:tc>
        <w:tc>
          <w:tcPr>
            <w:tcW w:w="832" w:type="pct"/>
            <w:shd w:val="clear" w:color="auto" w:fill="FFFFFF" w:themeFill="background1"/>
            <w:vAlign w:val="center"/>
          </w:tcPr>
          <w:p w14:paraId="41CEE03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无须投标人提供，由采购人或采购代理机构查询。</w:t>
            </w:r>
          </w:p>
          <w:p w14:paraId="0D14032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p>
        </w:tc>
      </w:tr>
      <w:tr w14:paraId="7DDB6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120" w:hRule="atLeast"/>
          <w:jc w:val="center"/>
        </w:trPr>
        <w:tc>
          <w:tcPr>
            <w:tcW w:w="426" w:type="pct"/>
            <w:shd w:val="clear" w:color="auto" w:fill="FFFFFF" w:themeFill="background1"/>
            <w:vAlign w:val="center"/>
          </w:tcPr>
          <w:p w14:paraId="330FEA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6</w:t>
            </w:r>
          </w:p>
        </w:tc>
        <w:tc>
          <w:tcPr>
            <w:tcW w:w="941" w:type="pct"/>
            <w:shd w:val="clear" w:color="auto" w:fill="FFFFFF" w:themeFill="background1"/>
            <w:vAlign w:val="center"/>
          </w:tcPr>
          <w:p w14:paraId="60F45FA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2799" w:type="pct"/>
            <w:shd w:val="clear" w:color="auto" w:fill="FFFFFF" w:themeFill="background1"/>
            <w:vAlign w:val="center"/>
          </w:tcPr>
          <w:p w14:paraId="2B64265B">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832" w:type="pct"/>
            <w:shd w:val="clear" w:color="auto" w:fill="FFFFFF" w:themeFill="background1"/>
            <w:vAlign w:val="center"/>
          </w:tcPr>
          <w:p w14:paraId="0ACC328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5B37E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420" w:hRule="atLeast"/>
          <w:jc w:val="center"/>
        </w:trPr>
        <w:tc>
          <w:tcPr>
            <w:tcW w:w="426" w:type="pct"/>
            <w:shd w:val="clear" w:color="auto" w:fill="FFFFFF" w:themeFill="background1"/>
            <w:vAlign w:val="center"/>
          </w:tcPr>
          <w:p w14:paraId="45F0574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7</w:t>
            </w:r>
          </w:p>
        </w:tc>
        <w:tc>
          <w:tcPr>
            <w:tcW w:w="941" w:type="pct"/>
            <w:shd w:val="clear" w:color="auto" w:fill="FFFFFF" w:themeFill="background1"/>
            <w:vAlign w:val="center"/>
          </w:tcPr>
          <w:p w14:paraId="004158C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落实政府采购政策需满足的资格要求</w:t>
            </w:r>
          </w:p>
        </w:tc>
        <w:tc>
          <w:tcPr>
            <w:tcW w:w="2799" w:type="pct"/>
            <w:shd w:val="clear" w:color="auto" w:fill="FFFFFF" w:themeFill="background1"/>
            <w:vAlign w:val="center"/>
          </w:tcPr>
          <w:p w14:paraId="3E10D772">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本项目为专门面向中小企业采购的项目，全部由符合政策要求的中小企业承接（说明：监狱企业、残疾人福利性单位视同小型、微型企业），供应商须出具正确的《中小企业声明函》。</w:t>
            </w:r>
          </w:p>
        </w:tc>
        <w:tc>
          <w:tcPr>
            <w:tcW w:w="832" w:type="pct"/>
            <w:shd w:val="clear" w:color="auto" w:fill="FFFFFF" w:themeFill="background1"/>
            <w:vAlign w:val="center"/>
          </w:tcPr>
          <w:p w14:paraId="0BFAF04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37532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276" w:hRule="atLeast"/>
          <w:jc w:val="center"/>
        </w:trPr>
        <w:tc>
          <w:tcPr>
            <w:tcW w:w="426" w:type="pct"/>
            <w:shd w:val="clear" w:color="auto" w:fill="FFFFFF" w:themeFill="background1"/>
            <w:vAlign w:val="center"/>
          </w:tcPr>
          <w:p w14:paraId="35001BC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8</w:t>
            </w:r>
          </w:p>
        </w:tc>
        <w:tc>
          <w:tcPr>
            <w:tcW w:w="941" w:type="pct"/>
            <w:shd w:val="clear" w:color="auto" w:fill="FFFFFF" w:themeFill="background1"/>
            <w:vAlign w:val="center"/>
          </w:tcPr>
          <w:p w14:paraId="33B8D761">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中小企业证明文件</w:t>
            </w:r>
          </w:p>
        </w:tc>
        <w:tc>
          <w:tcPr>
            <w:tcW w:w="2799" w:type="pct"/>
            <w:shd w:val="clear" w:color="auto" w:fill="FFFFFF" w:themeFill="background1"/>
            <w:vAlign w:val="center"/>
          </w:tcPr>
          <w:p w14:paraId="0E14C7F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当本项目（包）涉及预留份额专门面向中小企业采购，此时建议在《资格证明文件》中提供。</w:t>
            </w:r>
          </w:p>
          <w:p w14:paraId="363BBCEC">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1、投标人单独投标的，应提供“中小企业声明函”或“残疾人福利性单位声明函”或由省级以上监狱管理局、戒毒管理局（含新疆生产建设兵团）出具的属于监狱企业的证明文件。 </w:t>
            </w:r>
          </w:p>
          <w:p w14:paraId="48EEE38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招标文件要求以联合体形式参加或者要求合同分包的，且投标人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招标文件关于预留份额的要求。</w:t>
            </w:r>
          </w:p>
        </w:tc>
        <w:tc>
          <w:tcPr>
            <w:tcW w:w="832" w:type="pct"/>
            <w:shd w:val="clear" w:color="auto" w:fill="FFFFFF" w:themeFill="background1"/>
            <w:vAlign w:val="center"/>
          </w:tcPr>
          <w:p w14:paraId="0DDB66C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17E9C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72" w:hRule="atLeast"/>
          <w:jc w:val="center"/>
        </w:trPr>
        <w:tc>
          <w:tcPr>
            <w:tcW w:w="426" w:type="pct"/>
            <w:shd w:val="clear" w:color="auto" w:fill="FFFFFF" w:themeFill="background1"/>
            <w:vAlign w:val="center"/>
          </w:tcPr>
          <w:p w14:paraId="146FC92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9</w:t>
            </w:r>
          </w:p>
        </w:tc>
        <w:tc>
          <w:tcPr>
            <w:tcW w:w="941" w:type="pct"/>
            <w:shd w:val="clear" w:color="auto" w:fill="FFFFFF" w:themeFill="background1"/>
            <w:vAlign w:val="center"/>
          </w:tcPr>
          <w:p w14:paraId="2D441054">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本项目的特定资格要求</w:t>
            </w:r>
          </w:p>
        </w:tc>
        <w:tc>
          <w:tcPr>
            <w:tcW w:w="2799" w:type="pct"/>
            <w:shd w:val="clear" w:color="auto" w:fill="FFFFFF" w:themeFill="background1"/>
            <w:vAlign w:val="center"/>
          </w:tcPr>
          <w:p w14:paraId="192E4791">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（1）投标单位应具备环保工程专业承包资质，资质等级不低于3 级，具备承担医院污水处理项目的能力和经验。 （2）投标单位应具有有效的安全生产许可证，确保在项目实施过程中遵守安全生产法规，保障人员和设备安全。</w:t>
            </w:r>
          </w:p>
        </w:tc>
        <w:tc>
          <w:tcPr>
            <w:tcW w:w="832" w:type="pct"/>
            <w:shd w:val="clear" w:color="auto" w:fill="FFFFFF" w:themeFill="background1"/>
            <w:vAlign w:val="center"/>
          </w:tcPr>
          <w:p w14:paraId="7EC0AFB6">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p>
        </w:tc>
      </w:tr>
      <w:tr w14:paraId="219A6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23" w:hRule="atLeast"/>
          <w:jc w:val="center"/>
        </w:trPr>
        <w:tc>
          <w:tcPr>
            <w:tcW w:w="426" w:type="pct"/>
            <w:shd w:val="clear" w:color="auto" w:fill="FFFFFF" w:themeFill="background1"/>
            <w:vAlign w:val="center"/>
          </w:tcPr>
          <w:p w14:paraId="56F1A5D1">
            <w:pPr>
              <w:pStyle w:val="48"/>
              <w:pageBreakBefore w:val="0"/>
              <w:kinsoku/>
              <w:overflowPunct/>
              <w:bidi w:val="0"/>
              <w:spacing w:beforeAutospacing="0" w:afterAutospacing="0" w:line="560" w:lineRule="exact"/>
              <w:ind w:left="0" w:leftChars="0" w:right="0"/>
              <w:jc w:val="center"/>
              <w:rPr>
                <w:rFonts w:hint="default"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10</w:t>
            </w:r>
          </w:p>
        </w:tc>
        <w:tc>
          <w:tcPr>
            <w:tcW w:w="941" w:type="pct"/>
            <w:shd w:val="clear" w:color="auto" w:fill="FFFFFF" w:themeFill="background1"/>
            <w:vAlign w:val="center"/>
          </w:tcPr>
          <w:p w14:paraId="102A97A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本项目对于联合体的要求</w:t>
            </w:r>
          </w:p>
        </w:tc>
        <w:tc>
          <w:tcPr>
            <w:tcW w:w="2799" w:type="pct"/>
            <w:shd w:val="clear" w:color="auto" w:fill="FFFFFF" w:themeFill="background1"/>
            <w:vAlign w:val="center"/>
          </w:tcPr>
          <w:p w14:paraId="32C9084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如本项目接受联合体投标，且投标人为联合体时必须提供《联合体协议书》，明确各方拟承担的工作和责任，并指定联合体牵头人，授权其代表所有联合体成员负责本项目投标和合同实施阶段的牵头、协调工作。该联合体协议书应当作为投标文件的组成部分，与投标文件其他内容同时递交。 </w:t>
            </w:r>
          </w:p>
          <w:p w14:paraId="07297771">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2、联合体各成员单位均须提供本表中序号1-1、1-2 的证明文件。联合体各成员单位均应满足本表 1-3 及 1-4 项规定。 </w:t>
            </w:r>
          </w:p>
          <w:p w14:paraId="3D553F99">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spacing w:val="-6"/>
                <w:kern w:val="0"/>
                <w:sz w:val="24"/>
                <w:szCs w:val="24"/>
                <w:highlight w:val="none"/>
                <w:lang w:val="en-US" w:eastAsia="zh-CN" w:bidi="ar"/>
              </w:rPr>
              <w:t>本表序号 3-2及3-3 项规定的其他特定资格要求中的每一小项要求，按照《联合体协议书》的分工，联合体各方应具备承担工作所需的特定资格要求并提供证明材料。</w:t>
            </w:r>
            <w:r>
              <w:rPr>
                <w:rFonts w:hint="eastAsia" w:ascii="宋体" w:hAnsi="宋体" w:eastAsia="宋体" w:cs="宋体"/>
                <w:color w:val="auto"/>
                <w:kern w:val="0"/>
                <w:sz w:val="24"/>
                <w:szCs w:val="24"/>
                <w:highlight w:val="none"/>
                <w:lang w:val="en-US" w:eastAsia="zh-CN" w:bidi="ar"/>
              </w:rPr>
              <w:t xml:space="preserve"> </w:t>
            </w:r>
          </w:p>
          <w:p w14:paraId="30B35282">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4、联合体中有同类资质的供应商按照联合体分工承担相同工作的，应当按照资质等级较低的供应商确定资质等级。 </w:t>
            </w:r>
          </w:p>
          <w:p w14:paraId="672B5E7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5、以联合体形式参加政府采购活动的，联合体各方不得再单独参加或者与其他供应商另外组成联合体参加同一合同项下的政府采购活动。 </w:t>
            </w:r>
          </w:p>
          <w:p w14:paraId="5E18183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6、若联合体中任一成员单位中途退出，则该联合体的投标无效。 </w:t>
            </w:r>
          </w:p>
          <w:p w14:paraId="61148C33">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7、本项目不接受联合体投标时，投标人不得为联合体。</w:t>
            </w:r>
          </w:p>
        </w:tc>
        <w:tc>
          <w:tcPr>
            <w:tcW w:w="832" w:type="pct"/>
            <w:shd w:val="clear" w:color="auto" w:fill="FFFFFF" w:themeFill="background1"/>
            <w:vAlign w:val="center"/>
          </w:tcPr>
          <w:p w14:paraId="5004830C">
            <w:pPr>
              <w:pStyle w:val="48"/>
              <w:pageBreakBefore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提供《联合体协议书》原件的电子件 </w:t>
            </w:r>
          </w:p>
          <w:p w14:paraId="16CD91D6">
            <w:pPr>
              <w:pStyle w:val="48"/>
              <w:pageBreakBefore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62B51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57" w:hRule="atLeast"/>
          <w:jc w:val="center"/>
        </w:trPr>
        <w:tc>
          <w:tcPr>
            <w:tcW w:w="426" w:type="pct"/>
            <w:shd w:val="clear" w:color="auto" w:fill="FFFFFF" w:themeFill="background1"/>
            <w:vAlign w:val="center"/>
          </w:tcPr>
          <w:p w14:paraId="11C26D18">
            <w:pPr>
              <w:pStyle w:val="48"/>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default"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11</w:t>
            </w:r>
          </w:p>
        </w:tc>
        <w:tc>
          <w:tcPr>
            <w:tcW w:w="941" w:type="pct"/>
            <w:shd w:val="clear" w:color="auto" w:fill="FFFFFF" w:themeFill="background1"/>
            <w:vAlign w:val="center"/>
          </w:tcPr>
          <w:p w14:paraId="13F91EE0">
            <w:pPr>
              <w:keepNext w:val="0"/>
              <w:keepLines w:val="0"/>
              <w:widowControl/>
              <w:suppressLineNumbers w:val="0"/>
              <w:jc w:val="left"/>
              <w:rPr>
                <w:rFonts w:hint="eastAsia" w:ascii="宋体" w:hAnsi="宋体" w:eastAsia="宋体" w:cs="宋体"/>
                <w:color w:val="auto"/>
                <w:spacing w:val="-6"/>
                <w:kern w:val="0"/>
                <w:sz w:val="24"/>
                <w:szCs w:val="24"/>
                <w:highlight w:val="none"/>
                <w:lang w:val="en-US" w:eastAsia="zh-CN" w:bidi="ar"/>
              </w:rPr>
            </w:pPr>
          </w:p>
          <w:p w14:paraId="534DE301">
            <w:pPr>
              <w:keepNext w:val="0"/>
              <w:keepLines w:val="0"/>
              <w:widowControl/>
              <w:suppressLineNumbers w:val="0"/>
              <w:jc w:val="left"/>
              <w:rPr>
                <w:rFonts w:hint="eastAsia" w:ascii="宋体" w:hAnsi="宋体" w:eastAsia="宋体" w:cs="宋体"/>
                <w:color w:val="auto"/>
                <w:spacing w:val="-6"/>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投标保证金</w:t>
            </w:r>
          </w:p>
          <w:p w14:paraId="7365B9ED">
            <w:pPr>
              <w:pStyle w:val="48"/>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p>
        </w:tc>
        <w:tc>
          <w:tcPr>
            <w:tcW w:w="2799" w:type="pct"/>
            <w:shd w:val="clear" w:color="auto" w:fill="FFFFFF" w:themeFill="background1"/>
            <w:vAlign w:val="center"/>
          </w:tcPr>
          <w:p w14:paraId="7730F1B2">
            <w:pPr>
              <w:keepNext w:val="0"/>
              <w:keepLines w:val="0"/>
              <w:widowControl/>
              <w:suppressLineNumbers w:val="0"/>
              <w:jc w:val="left"/>
              <w:rPr>
                <w:rFonts w:hint="eastAsia" w:ascii="宋体" w:hAnsi="宋体" w:eastAsia="宋体" w:cs="宋体"/>
                <w:color w:val="auto"/>
                <w:spacing w:val="-6"/>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是否按照投标须知要求金额递交了投标保证金或电子保函，并提供了证明文件。</w:t>
            </w:r>
          </w:p>
          <w:p w14:paraId="2884C4EB">
            <w:pPr>
              <w:pStyle w:val="48"/>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p>
        </w:tc>
        <w:tc>
          <w:tcPr>
            <w:tcW w:w="832" w:type="pct"/>
            <w:shd w:val="clear" w:color="auto" w:fill="FFFFFF" w:themeFill="background1"/>
            <w:vAlign w:val="center"/>
          </w:tcPr>
          <w:p w14:paraId="3449BF74">
            <w:pPr>
              <w:pStyle w:val="48"/>
              <w:keepNext w:val="0"/>
              <w:keepLines w:val="0"/>
              <w:pageBreakBefore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both"/>
              <w:textAlignment w:val="auto"/>
              <w:rPr>
                <w:rFonts w:hint="eastAsia" w:ascii="宋体" w:hAnsi="宋体" w:eastAsia="宋体" w:cs="宋体"/>
                <w:color w:val="auto"/>
                <w:kern w:val="0"/>
                <w:sz w:val="24"/>
                <w:szCs w:val="24"/>
                <w:highlight w:val="none"/>
                <w:lang w:val="en-US" w:eastAsia="zh-CN" w:bidi="ar"/>
              </w:rPr>
            </w:pPr>
          </w:p>
        </w:tc>
      </w:tr>
    </w:tbl>
    <w:p w14:paraId="21B53EAD">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default" w:ascii="宋体" w:hAnsi="宋体" w:eastAsia="宋体" w:cs="宋体"/>
          <w:b/>
          <w:bCs/>
          <w:color w:val="auto"/>
          <w:kern w:val="44"/>
          <w:sz w:val="36"/>
          <w:szCs w:val="36"/>
          <w:highlight w:val="none"/>
          <w:lang w:val="en-US" w:eastAsia="zh-CN" w:bidi="ar-SA"/>
        </w:rPr>
      </w:pPr>
      <w:r>
        <w:rPr>
          <w:rFonts w:hint="eastAsia" w:ascii="宋体" w:hAnsi="宋体" w:eastAsia="宋体" w:cs="宋体"/>
          <w:color w:val="auto"/>
          <w:kern w:val="0"/>
          <w:sz w:val="24"/>
          <w:szCs w:val="24"/>
          <w:highlight w:val="none"/>
          <w:lang w:val="en-US" w:eastAsia="zh-CN" w:bidi="ar"/>
        </w:rPr>
        <w:t xml:space="preserve"> </w:t>
      </w:r>
      <w:bookmarkStart w:id="450" w:name="_Toc155185903"/>
      <w:bookmarkStart w:id="451" w:name="_Toc18814"/>
      <w:r>
        <w:rPr>
          <w:rFonts w:hint="eastAsia" w:ascii="宋体" w:hAnsi="宋体" w:eastAsia="宋体" w:cs="宋体"/>
          <w:b/>
          <w:bCs/>
          <w:color w:val="auto"/>
          <w:kern w:val="44"/>
          <w:sz w:val="36"/>
          <w:szCs w:val="36"/>
          <w:highlight w:val="none"/>
          <w:lang w:val="en-US" w:eastAsia="zh-CN" w:bidi="ar-SA"/>
        </w:rPr>
        <w:t>第五章 评标方法</w:t>
      </w:r>
      <w:bookmarkEnd w:id="450"/>
      <w:r>
        <w:rPr>
          <w:rFonts w:hint="eastAsia" w:ascii="宋体" w:hAnsi="宋体" w:eastAsia="宋体" w:cs="宋体"/>
          <w:b/>
          <w:bCs/>
          <w:color w:val="auto"/>
          <w:kern w:val="44"/>
          <w:sz w:val="36"/>
          <w:szCs w:val="36"/>
          <w:highlight w:val="none"/>
          <w:lang w:val="en-US" w:eastAsia="zh-CN" w:bidi="ar-SA"/>
        </w:rPr>
        <w:t>及标准(综合评分法)</w:t>
      </w:r>
      <w:bookmarkEnd w:id="451"/>
    </w:p>
    <w:p w14:paraId="2BB6F8A4">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根据《中华人民共和国政府采购法》及其实施条例、《政府采购货物和服务招标投标管理办法》</w:t>
      </w:r>
      <w:r>
        <w:rPr>
          <w:rFonts w:hint="eastAsia"/>
          <w:color w:val="auto"/>
          <w:highlight w:val="none"/>
          <w:lang w:val="en-US" w:eastAsia="zh-CN"/>
        </w:rPr>
        <w:t>及</w:t>
      </w:r>
      <w:r>
        <w:rPr>
          <w:rFonts w:hint="eastAsia"/>
          <w:color w:val="auto"/>
          <w:highlight w:val="none"/>
        </w:rPr>
        <w:t>相关法律法规确定以下评标</w:t>
      </w:r>
      <w:r>
        <w:rPr>
          <w:rFonts w:hint="eastAsia"/>
          <w:color w:val="auto"/>
          <w:highlight w:val="none"/>
          <w:lang w:val="en-US" w:eastAsia="zh-CN"/>
        </w:rPr>
        <w:t>方</w:t>
      </w:r>
      <w:r>
        <w:rPr>
          <w:rFonts w:hint="eastAsia"/>
          <w:color w:val="auto"/>
          <w:highlight w:val="none"/>
        </w:rPr>
        <w:t>法及标准。</w:t>
      </w:r>
    </w:p>
    <w:p w14:paraId="040C2DF7">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28"/>
          <w:szCs w:val="28"/>
          <w:highlight w:val="none"/>
          <w:lang w:val="zh-CN" w:eastAsia="zh-CN"/>
        </w:rPr>
      </w:pPr>
      <w:bookmarkStart w:id="452" w:name="_Toc21370"/>
      <w:bookmarkStart w:id="453" w:name="_Toc109899484"/>
      <w:bookmarkStart w:id="454" w:name="_Toc494561962"/>
      <w:bookmarkStart w:id="455" w:name="_Toc109900322"/>
      <w:bookmarkStart w:id="456" w:name="_Toc155185905"/>
      <w:bookmarkStart w:id="457" w:name="_Toc61280402"/>
      <w:bookmarkStart w:id="458" w:name="_Toc511894518"/>
      <w:bookmarkStart w:id="459" w:name="_Toc140132826"/>
      <w:bookmarkStart w:id="460" w:name="_Toc109899903"/>
      <w:bookmarkStart w:id="461" w:name="_Toc272247709"/>
      <w:bookmarkStart w:id="462" w:name="_Toc278891606"/>
      <w:r>
        <w:rPr>
          <w:rFonts w:hint="eastAsia" w:ascii="宋体" w:hAnsi="宋体" w:eastAsia="宋体" w:cs="宋体"/>
          <w:color w:val="auto"/>
          <w:sz w:val="28"/>
          <w:szCs w:val="28"/>
          <w:highlight w:val="none"/>
          <w:lang w:val="zh-CN" w:eastAsia="zh-CN"/>
        </w:rPr>
        <w:t>一、评标</w:t>
      </w:r>
      <w:r>
        <w:rPr>
          <w:rFonts w:hint="eastAsia" w:ascii="宋体" w:hAnsi="宋体" w:eastAsia="宋体" w:cs="宋体"/>
          <w:color w:val="auto"/>
          <w:sz w:val="28"/>
          <w:szCs w:val="28"/>
          <w:highlight w:val="none"/>
          <w:lang w:val="en-US" w:eastAsia="zh-CN"/>
        </w:rPr>
        <w:t>方</w:t>
      </w:r>
      <w:r>
        <w:rPr>
          <w:rFonts w:hint="eastAsia" w:ascii="宋体" w:hAnsi="宋体" w:eastAsia="宋体" w:cs="宋体"/>
          <w:color w:val="auto"/>
          <w:sz w:val="28"/>
          <w:szCs w:val="28"/>
          <w:highlight w:val="none"/>
          <w:lang w:val="zh-CN" w:eastAsia="zh-CN"/>
        </w:rPr>
        <w:t>法</w:t>
      </w:r>
      <w:bookmarkEnd w:id="452"/>
    </w:p>
    <w:p w14:paraId="40F9AE8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rPr>
        <w:t>1.</w:t>
      </w:r>
      <w:r>
        <w:rPr>
          <w:rFonts w:hint="eastAsia"/>
          <w:b/>
          <w:bCs/>
          <w:color w:val="auto"/>
          <w:highlight w:val="none"/>
        </w:rPr>
        <w:t>本项目采用综合评分法</w:t>
      </w:r>
      <w:r>
        <w:rPr>
          <w:rFonts w:hint="eastAsia"/>
          <w:color w:val="auto"/>
          <w:highlight w:val="none"/>
        </w:rPr>
        <w:t>。综合评分法，是指投标文件满足招标文件全部实质性要求，且按照评审因素的量化指标评审得分最高的投标人为中标候选人的评标方法。</w:t>
      </w:r>
    </w:p>
    <w:p w14:paraId="5EC2DCA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28"/>
          <w:szCs w:val="28"/>
          <w:highlight w:val="none"/>
          <w:lang w:val="zh-CN" w:eastAsia="zh-CN"/>
        </w:rPr>
      </w:pPr>
      <w:bookmarkStart w:id="463" w:name="_Toc4945"/>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val="zh-CN" w:eastAsia="zh-CN"/>
        </w:rPr>
        <w:t>、评标程序</w:t>
      </w:r>
      <w:bookmarkEnd w:id="463"/>
    </w:p>
    <w:p w14:paraId="2CEA851A">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835" w:name="_GoBack"/>
      <w:bookmarkEnd w:id="835"/>
      <w:bookmarkStart w:id="464" w:name="_Toc18989"/>
      <w:bookmarkStart w:id="465" w:name="_Toc27226"/>
      <w:bookmarkStart w:id="466" w:name="_Toc30735"/>
      <w:r>
        <w:rPr>
          <w:rFonts w:hint="eastAsia" w:ascii="宋体" w:hAnsi="宋体" w:eastAsia="宋体" w:cs="宋体"/>
          <w:b/>
          <w:bCs/>
          <w:color w:val="auto"/>
          <w:kern w:val="2"/>
          <w:sz w:val="24"/>
          <w:szCs w:val="24"/>
          <w:highlight w:val="none"/>
          <w:lang w:val="zh-CN" w:eastAsia="zh-CN" w:bidi="ar-SA"/>
        </w:rPr>
        <w:t>（一）符合性审查</w:t>
      </w:r>
      <w:bookmarkEnd w:id="464"/>
      <w:bookmarkEnd w:id="465"/>
      <w:bookmarkEnd w:id="466"/>
    </w:p>
    <w:p w14:paraId="4E726315">
      <w:pPr>
        <w:pStyle w:val="36"/>
        <w:pageBreakBefore w:val="0"/>
        <w:kinsoku/>
        <w:overflowPunct/>
        <w:bidi w:val="0"/>
        <w:spacing w:beforeAutospacing="0" w:afterAutospacing="0" w:line="560" w:lineRule="exact"/>
        <w:ind w:left="0" w:leftChars="0" w:right="0"/>
        <w:rPr>
          <w:rFonts w:hint="eastAsia"/>
          <w:color w:val="auto"/>
          <w:highlight w:val="none"/>
          <w:lang w:val="zh-CN"/>
        </w:rPr>
      </w:pPr>
      <w:r>
        <w:rPr>
          <w:rFonts w:hint="eastAsia"/>
          <w:color w:val="auto"/>
          <w:highlight w:val="none"/>
          <w:lang w:val="en-US" w:eastAsia="zh-CN"/>
        </w:rPr>
        <w:t>2.</w:t>
      </w:r>
      <w:r>
        <w:rPr>
          <w:rFonts w:hint="eastAsia"/>
          <w:color w:val="auto"/>
          <w:highlight w:val="none"/>
        </w:rPr>
        <w:t>评标委员会应当对</w:t>
      </w:r>
      <w:r>
        <w:rPr>
          <w:rFonts w:hint="eastAsia"/>
          <w:color w:val="auto"/>
          <w:highlight w:val="none"/>
          <w:lang w:val="en-US" w:eastAsia="zh-CN"/>
        </w:rPr>
        <w:t>通过</w:t>
      </w:r>
      <w:r>
        <w:rPr>
          <w:rFonts w:hint="eastAsia"/>
          <w:color w:val="auto"/>
          <w:highlight w:val="none"/>
        </w:rPr>
        <w:t>资格</w:t>
      </w:r>
      <w:r>
        <w:rPr>
          <w:rFonts w:hint="eastAsia"/>
          <w:color w:val="auto"/>
          <w:highlight w:val="none"/>
          <w:lang w:val="en-US" w:eastAsia="zh-CN"/>
        </w:rPr>
        <w:t>审查</w:t>
      </w:r>
      <w:r>
        <w:rPr>
          <w:rFonts w:hint="eastAsia"/>
          <w:color w:val="auto"/>
          <w:highlight w:val="none"/>
        </w:rPr>
        <w:t>的投标人的投标文件进行符合性审查，以确定其是否满足招标文件的实质性要求。投标人必须通过符合性审查的全部评审指标</w:t>
      </w:r>
      <w:r>
        <w:rPr>
          <w:rFonts w:hint="eastAsia"/>
          <w:color w:val="auto"/>
          <w:highlight w:val="none"/>
          <w:lang w:eastAsia="zh-CN"/>
        </w:rPr>
        <w:t>，</w:t>
      </w:r>
      <w:r>
        <w:rPr>
          <w:rFonts w:hint="eastAsia"/>
          <w:color w:val="auto"/>
          <w:highlight w:val="none"/>
        </w:rPr>
        <w:t>不满足招标文件的实质性要求的，</w:t>
      </w:r>
      <w:r>
        <w:rPr>
          <w:rFonts w:hint="eastAsia"/>
          <w:color w:val="auto"/>
          <w:highlight w:val="none"/>
          <w:lang w:val="en-US" w:eastAsia="zh-CN"/>
        </w:rPr>
        <w:t>其</w:t>
      </w:r>
      <w:r>
        <w:rPr>
          <w:rFonts w:hint="eastAsia"/>
          <w:b/>
          <w:bCs/>
          <w:color w:val="auto"/>
          <w:highlight w:val="none"/>
        </w:rPr>
        <w:t>投标无效</w:t>
      </w:r>
      <w:r>
        <w:rPr>
          <w:rFonts w:hint="eastAsia"/>
          <w:color w:val="auto"/>
          <w:highlight w:val="none"/>
        </w:rPr>
        <w:t>。</w:t>
      </w:r>
      <w:r>
        <w:rPr>
          <w:rFonts w:hint="eastAsia"/>
          <w:color w:val="auto"/>
          <w:highlight w:val="none"/>
          <w:lang w:val="en-US" w:eastAsia="zh-CN"/>
        </w:rPr>
        <w:t>具体内容详</w:t>
      </w:r>
      <w:r>
        <w:rPr>
          <w:rFonts w:hint="eastAsia"/>
          <w:color w:val="auto"/>
          <w:highlight w:val="none"/>
          <w:lang w:val="zh-CN"/>
        </w:rPr>
        <w:t>本章“</w:t>
      </w:r>
      <w:r>
        <w:rPr>
          <w:rFonts w:hint="eastAsia"/>
          <w:color w:val="auto"/>
          <w:highlight w:val="none"/>
          <w:lang w:val="en-US" w:eastAsia="zh-CN"/>
        </w:rPr>
        <w:t>四</w:t>
      </w:r>
      <w:r>
        <w:rPr>
          <w:rFonts w:hint="eastAsia"/>
          <w:color w:val="auto"/>
          <w:highlight w:val="none"/>
          <w:lang w:val="zh-CN"/>
        </w:rPr>
        <w:t>、评标标准”中</w:t>
      </w:r>
      <w:r>
        <w:rPr>
          <w:rFonts w:hint="eastAsia"/>
          <w:color w:val="auto"/>
          <w:highlight w:val="none"/>
          <w:lang w:val="en-US" w:eastAsia="zh-CN"/>
        </w:rPr>
        <w:t>的</w:t>
      </w:r>
      <w:r>
        <w:rPr>
          <w:rFonts w:hint="eastAsia"/>
          <w:color w:val="auto"/>
          <w:highlight w:val="none"/>
          <w:lang w:val="zh-CN"/>
        </w:rPr>
        <w:t>“（一）符合性审查”。</w:t>
      </w:r>
    </w:p>
    <w:p w14:paraId="6117DC47">
      <w:pPr>
        <w:pStyle w:val="36"/>
        <w:pageBreakBefore w:val="0"/>
        <w:kinsoku/>
        <w:overflowPunct/>
        <w:bidi w:val="0"/>
        <w:spacing w:beforeAutospacing="0" w:afterAutospacing="0" w:line="560" w:lineRule="exact"/>
        <w:ind w:left="0" w:leftChars="0" w:right="0"/>
        <w:rPr>
          <w:rFonts w:hint="eastAsia"/>
          <w:color w:val="auto"/>
          <w:highlight w:val="none"/>
          <w:lang w:val="zh-CN"/>
        </w:rPr>
      </w:pPr>
      <w:r>
        <w:rPr>
          <w:rFonts w:hint="eastAsia"/>
          <w:color w:val="auto"/>
          <w:highlight w:val="none"/>
          <w:lang w:val="en-US" w:eastAsia="zh-CN"/>
        </w:rPr>
        <w:t>通过</w:t>
      </w:r>
      <w:r>
        <w:rPr>
          <w:rFonts w:hint="eastAsia"/>
          <w:color w:val="auto"/>
          <w:highlight w:val="none"/>
        </w:rPr>
        <w:t>符合性审查</w:t>
      </w:r>
      <w:r>
        <w:rPr>
          <w:rFonts w:hint="eastAsia"/>
          <w:color w:val="auto"/>
          <w:highlight w:val="none"/>
          <w:lang w:val="en-US" w:eastAsia="zh-CN"/>
        </w:rPr>
        <w:t>的</w:t>
      </w:r>
      <w:r>
        <w:rPr>
          <w:rFonts w:hint="eastAsia"/>
          <w:color w:val="auto"/>
          <w:highlight w:val="none"/>
        </w:rPr>
        <w:t>有效</w:t>
      </w:r>
      <w:r>
        <w:rPr>
          <w:rFonts w:hint="eastAsia"/>
          <w:color w:val="auto"/>
          <w:highlight w:val="none"/>
          <w:lang w:eastAsia="zh-CN"/>
        </w:rPr>
        <w:t>供应商</w:t>
      </w:r>
      <w:r>
        <w:rPr>
          <w:rFonts w:hint="eastAsia"/>
          <w:color w:val="auto"/>
          <w:highlight w:val="none"/>
        </w:rPr>
        <w:t>不足3家的应当终止采购活动，发布项目终止公告并说明原因，重新开展采购活动。</w:t>
      </w:r>
    </w:p>
    <w:p w14:paraId="34580356">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67" w:name="_Toc102116048"/>
      <w:bookmarkStart w:id="468" w:name="_Toc155185907"/>
      <w:bookmarkStart w:id="469" w:name="_Toc102116178"/>
      <w:bookmarkStart w:id="470" w:name="_Toc102114946"/>
      <w:bookmarkStart w:id="471" w:name="_Toc102056244"/>
      <w:bookmarkStart w:id="472" w:name="_Toc102119879"/>
      <w:bookmarkStart w:id="473" w:name="_Toc102057744"/>
      <w:bookmarkStart w:id="474" w:name="_Toc10476"/>
      <w:bookmarkStart w:id="475" w:name="_Toc20930"/>
      <w:bookmarkStart w:id="476" w:name="_Toc2036"/>
      <w:bookmarkStart w:id="477" w:name="_Toc163492903"/>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）投标文件澄清</w:t>
      </w:r>
      <w:bookmarkEnd w:id="467"/>
      <w:bookmarkEnd w:id="468"/>
      <w:bookmarkEnd w:id="469"/>
      <w:bookmarkEnd w:id="470"/>
      <w:bookmarkEnd w:id="471"/>
      <w:bookmarkEnd w:id="472"/>
      <w:bookmarkEnd w:id="473"/>
      <w:r>
        <w:rPr>
          <w:rFonts w:hint="eastAsia" w:ascii="宋体" w:hAnsi="宋体" w:eastAsia="宋体" w:cs="宋体"/>
          <w:b/>
          <w:bCs/>
          <w:color w:val="auto"/>
          <w:kern w:val="2"/>
          <w:sz w:val="24"/>
          <w:szCs w:val="24"/>
          <w:highlight w:val="none"/>
          <w:lang w:val="zh-CN" w:eastAsia="zh-CN" w:bidi="ar-SA"/>
        </w:rPr>
        <w:t>及修正</w:t>
      </w:r>
      <w:bookmarkEnd w:id="474"/>
      <w:bookmarkEnd w:id="475"/>
      <w:bookmarkEnd w:id="476"/>
      <w:bookmarkEnd w:id="477"/>
    </w:p>
    <w:p w14:paraId="0EC9197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3</w:t>
      </w:r>
      <w:r>
        <w:rPr>
          <w:color w:val="auto"/>
          <w:highlight w:val="none"/>
        </w:rPr>
        <w:t>.</w:t>
      </w:r>
      <w:r>
        <w:rPr>
          <w:rFonts w:hint="eastAsia"/>
          <w:iCs/>
          <w:color w:val="auto"/>
          <w:spacing w:val="-6"/>
          <w:sz w:val="24"/>
          <w:highlight w:val="none"/>
        </w:rPr>
        <w:t>评标期间，对于投标文件中含义不明确、同类问题表述不一致或者有明显文字和计算错误的内容需要投标人作出必要的澄清、说明或者补正的，评标委员会应当在</w:t>
      </w:r>
      <w:r>
        <w:rPr>
          <w:rFonts w:hint="eastAsia"/>
          <w:iCs/>
          <w:color w:val="auto"/>
          <w:spacing w:val="-6"/>
          <w:sz w:val="24"/>
          <w:highlight w:val="none"/>
          <w:lang w:val="en-US" w:eastAsia="zh-CN"/>
        </w:rPr>
        <w:t>政采云平台评标</w:t>
      </w:r>
      <w:r>
        <w:rPr>
          <w:rFonts w:hint="eastAsia"/>
          <w:iCs/>
          <w:color w:val="auto"/>
          <w:spacing w:val="-6"/>
          <w:sz w:val="24"/>
          <w:highlight w:val="none"/>
        </w:rPr>
        <w:t>系统中以书面形式要求投标人作出必要的澄清、说明或者补正。</w:t>
      </w:r>
    </w:p>
    <w:p w14:paraId="079329D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4</w:t>
      </w:r>
      <w:r>
        <w:rPr>
          <w:color w:val="auto"/>
          <w:highlight w:val="none"/>
        </w:rPr>
        <w:t>.</w:t>
      </w:r>
      <w:r>
        <w:rPr>
          <w:rFonts w:hint="eastAsia"/>
          <w:color w:val="auto"/>
          <w:highlight w:val="none"/>
        </w:rPr>
        <w:t>投标人应按照评标委员会要求在规定时间内作出澄清、说明或者补正，</w:t>
      </w:r>
      <w:r>
        <w:rPr>
          <w:color w:val="auto"/>
          <w:highlight w:val="none"/>
        </w:rPr>
        <w:t>澄清、说明或者补正不得超出投标文件的范围或者改变投标文件的实质性内容。</w:t>
      </w:r>
    </w:p>
    <w:p w14:paraId="591A645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5</w:t>
      </w:r>
      <w:r>
        <w:rPr>
          <w:color w:val="auto"/>
          <w:highlight w:val="none"/>
        </w:rPr>
        <w:t>.</w:t>
      </w:r>
      <w:r>
        <w:rPr>
          <w:rFonts w:hint="eastAsia"/>
          <w:color w:val="auto"/>
          <w:highlight w:val="none"/>
        </w:rPr>
        <w:t>投标人的</w:t>
      </w:r>
      <w:r>
        <w:rPr>
          <w:color w:val="auto"/>
          <w:highlight w:val="none"/>
        </w:rPr>
        <w:t>澄清、说明或者补正</w:t>
      </w:r>
      <w:r>
        <w:rPr>
          <w:rFonts w:hint="eastAsia"/>
          <w:color w:val="auto"/>
          <w:highlight w:val="none"/>
        </w:rPr>
        <w:t>是其投标文件的有效组成部分，</w:t>
      </w:r>
      <w:r>
        <w:rPr>
          <w:color w:val="auto"/>
          <w:highlight w:val="none"/>
        </w:rPr>
        <w:t>澄清、说明或者补正应当</w:t>
      </w:r>
      <w:r>
        <w:rPr>
          <w:rFonts w:hint="eastAsia"/>
          <w:color w:val="auto"/>
          <w:highlight w:val="none"/>
        </w:rPr>
        <w:t>在</w:t>
      </w:r>
      <w:r>
        <w:rPr>
          <w:rFonts w:hint="eastAsia"/>
          <w:color w:val="auto"/>
          <w:highlight w:val="none"/>
          <w:lang w:val="en-US" w:eastAsia="zh-CN"/>
        </w:rPr>
        <w:t>政采云平台评标</w:t>
      </w:r>
      <w:r>
        <w:rPr>
          <w:rFonts w:hint="eastAsia"/>
          <w:color w:val="auto"/>
          <w:highlight w:val="none"/>
        </w:rPr>
        <w:t>系统中加盖电子印章后提交</w:t>
      </w:r>
      <w:r>
        <w:rPr>
          <w:color w:val="auto"/>
          <w:highlight w:val="none"/>
        </w:rPr>
        <w:t>。</w:t>
      </w:r>
    </w:p>
    <w:p w14:paraId="3B46602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6</w:t>
      </w:r>
      <w:r>
        <w:rPr>
          <w:color w:val="auto"/>
          <w:highlight w:val="none"/>
        </w:rPr>
        <w:t>.</w:t>
      </w:r>
      <w:r>
        <w:rPr>
          <w:rFonts w:hint="eastAsia"/>
          <w:color w:val="auto"/>
          <w:highlight w:val="none"/>
        </w:rPr>
        <w:t>报价合理性说明：</w:t>
      </w:r>
      <w:r>
        <w:rPr>
          <w:color w:val="auto"/>
          <w:highlight w:val="none"/>
        </w:rPr>
        <w:t>评标委员会认为投标人的报价明显低于其他通过</w:t>
      </w:r>
      <w:r>
        <w:rPr>
          <w:rFonts w:hint="eastAsia"/>
          <w:color w:val="auto"/>
          <w:highlight w:val="none"/>
        </w:rPr>
        <w:t>符合性审查</w:t>
      </w:r>
      <w:r>
        <w:rPr>
          <w:color w:val="auto"/>
          <w:highlight w:val="none"/>
        </w:rPr>
        <w:t>投标人的报价，有可能影响</w:t>
      </w:r>
      <w:r>
        <w:rPr>
          <w:rFonts w:hint="eastAsia"/>
          <w:color w:val="auto"/>
          <w:highlight w:val="none"/>
          <w:lang w:val="en-US" w:eastAsia="zh-CN"/>
        </w:rPr>
        <w:t>服务</w:t>
      </w:r>
      <w:r>
        <w:rPr>
          <w:color w:val="auto"/>
          <w:highlight w:val="none"/>
        </w:rPr>
        <w:t>质量或者不能诚信履约的，</w:t>
      </w:r>
      <w:r>
        <w:rPr>
          <w:rFonts w:hint="eastAsia"/>
          <w:color w:val="auto"/>
          <w:highlight w:val="none"/>
          <w:lang w:val="en-US" w:eastAsia="zh-CN"/>
        </w:rPr>
        <w:t>应当</w:t>
      </w:r>
      <w:r>
        <w:rPr>
          <w:color w:val="auto"/>
          <w:highlight w:val="none"/>
        </w:rPr>
        <w:t>要求</w:t>
      </w:r>
      <w:r>
        <w:rPr>
          <w:rFonts w:hint="eastAsia"/>
          <w:color w:val="auto"/>
          <w:highlight w:val="none"/>
          <w:lang w:val="en-US" w:eastAsia="zh-CN"/>
        </w:rPr>
        <w:t>该投标人</w:t>
      </w:r>
      <w:r>
        <w:rPr>
          <w:rFonts w:hint="eastAsia"/>
          <w:color w:val="auto"/>
          <w:highlight w:val="none"/>
        </w:rPr>
        <w:t>在</w:t>
      </w:r>
      <w:r>
        <w:rPr>
          <w:color w:val="auto"/>
          <w:highlight w:val="none"/>
        </w:rPr>
        <w:t>合理的时间内提供说明，必要时提交相关证明材料；</w:t>
      </w:r>
      <w:r>
        <w:rPr>
          <w:rFonts w:hint="eastAsia"/>
          <w:color w:val="auto"/>
          <w:highlight w:val="none"/>
          <w:lang w:val="en-US" w:eastAsia="zh-CN"/>
        </w:rPr>
        <w:t>若</w:t>
      </w:r>
      <w:r>
        <w:rPr>
          <w:color w:val="auto"/>
          <w:highlight w:val="none"/>
        </w:rPr>
        <w:t>投标人不能证明其报价合理性的，评标委员</w:t>
      </w:r>
      <w:r>
        <w:rPr>
          <w:rFonts w:hint="eastAsia"/>
          <w:color w:val="auto"/>
          <w:highlight w:val="none"/>
          <w:lang w:val="en-US" w:eastAsia="zh-CN"/>
        </w:rPr>
        <w:t>会应当</w:t>
      </w:r>
      <w:r>
        <w:rPr>
          <w:rFonts w:hint="eastAsia"/>
          <w:color w:val="auto"/>
          <w:highlight w:val="none"/>
        </w:rPr>
        <w:t>将其作</w:t>
      </w:r>
      <w:r>
        <w:rPr>
          <w:b/>
          <w:bCs/>
          <w:color w:val="auto"/>
          <w:highlight w:val="none"/>
        </w:rPr>
        <w:t>无效投标</w:t>
      </w:r>
      <w:r>
        <w:rPr>
          <w:color w:val="auto"/>
          <w:highlight w:val="none"/>
        </w:rPr>
        <w:t>处理。</w:t>
      </w:r>
    </w:p>
    <w:p w14:paraId="4FD6345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7.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分投标，其</w:t>
      </w:r>
      <w:r>
        <w:rPr>
          <w:rFonts w:hint="eastAsia"/>
          <w:b/>
          <w:bCs/>
          <w:color w:val="auto"/>
          <w:highlight w:val="none"/>
          <w:lang w:val="en-US" w:eastAsia="zh-CN"/>
        </w:rPr>
        <w:t>投标无效</w:t>
      </w:r>
      <w:r>
        <w:rPr>
          <w:rFonts w:hint="eastAsia"/>
          <w:color w:val="auto"/>
          <w:highlight w:val="none"/>
          <w:lang w:val="en-US" w:eastAsia="zh-CN"/>
        </w:rPr>
        <w:t>。</w:t>
      </w:r>
    </w:p>
    <w:p w14:paraId="015D7E7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8.投标文件报价出现前后不一致的，除招标文件另有规定外，按照下列规定修正：</w:t>
      </w:r>
    </w:p>
    <w:p w14:paraId="4D96701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8.1投标文件中开标一览表（报价表）内容与投标文件中相应内容不一致的，以开标一览表（报价表）为准；</w:t>
      </w:r>
    </w:p>
    <w:p w14:paraId="657B9F5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8.2大写金额和小写金额不一致的，以大写金额为准；</w:t>
      </w:r>
    </w:p>
    <w:p w14:paraId="628E9D7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8.3单价金额小数点或者百分比有明显错位的，以开标一览表的总价为准，并修改单价；</w:t>
      </w:r>
    </w:p>
    <w:p w14:paraId="3D45997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8.4总价金额与按单价汇总金额不一致的，以单价金额计算结果为准。</w:t>
      </w:r>
    </w:p>
    <w:p w14:paraId="4E5FFFF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同时出现两种以上不一致的，按照8.1—8.4的顺序修正。修正后的报价采用书面形式，并加盖公章，或者由法定代表人或其授权的代表签字，经投标人确认后产生约束力，投标人不确认的，其</w:t>
      </w:r>
      <w:r>
        <w:rPr>
          <w:rFonts w:hint="eastAsia"/>
          <w:b/>
          <w:bCs/>
          <w:color w:val="auto"/>
          <w:highlight w:val="none"/>
          <w:lang w:val="en-US" w:eastAsia="zh-CN"/>
        </w:rPr>
        <w:t>投标无效</w:t>
      </w:r>
      <w:r>
        <w:rPr>
          <w:rFonts w:hint="eastAsia"/>
          <w:color w:val="auto"/>
          <w:highlight w:val="none"/>
          <w:lang w:val="en-US" w:eastAsia="zh-CN"/>
        </w:rPr>
        <w:t>。</w:t>
      </w:r>
    </w:p>
    <w:p w14:paraId="33748C4F">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78" w:name="_Toc1388"/>
      <w:bookmarkStart w:id="479" w:name="_Toc13289"/>
      <w:bookmarkStart w:id="480" w:name="_Toc8536"/>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）比较与评价</w:t>
      </w:r>
      <w:bookmarkEnd w:id="478"/>
      <w:bookmarkEnd w:id="479"/>
      <w:bookmarkEnd w:id="480"/>
    </w:p>
    <w:p w14:paraId="2BE6ECB2">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lang w:val="en-US" w:eastAsia="zh-CN"/>
        </w:rPr>
        <w:t>9.</w:t>
      </w:r>
      <w:r>
        <w:rPr>
          <w:rFonts w:hint="eastAsia"/>
          <w:color w:val="auto"/>
          <w:highlight w:val="none"/>
        </w:rPr>
        <w:t>评标委员会应当按照招标文件中规定的评标方法和标准，对符合性审查合格的投标文件进行商务和技术评</w:t>
      </w:r>
      <w:r>
        <w:rPr>
          <w:rFonts w:hint="eastAsia"/>
          <w:color w:val="auto"/>
          <w:highlight w:val="none"/>
          <w:lang w:val="en-US" w:eastAsia="zh-CN"/>
        </w:rPr>
        <w:t>估</w:t>
      </w:r>
      <w:r>
        <w:rPr>
          <w:rFonts w:hint="eastAsia"/>
          <w:color w:val="auto"/>
          <w:highlight w:val="none"/>
        </w:rPr>
        <w:t>，综合比较与评价</w:t>
      </w:r>
      <w:r>
        <w:rPr>
          <w:rFonts w:hint="eastAsia"/>
          <w:color w:val="auto"/>
          <w:highlight w:val="none"/>
          <w:lang w:val="en-US" w:eastAsia="zh-CN"/>
        </w:rPr>
        <w:t>；未通过符合性审查的投标文件不得进入比较与评价</w:t>
      </w:r>
      <w:r>
        <w:rPr>
          <w:rFonts w:hint="eastAsia"/>
          <w:color w:val="auto"/>
          <w:highlight w:val="none"/>
        </w:rPr>
        <w:t>。评审因素包括投标报价、商务技术以及落实政府采购政策。评审因素及标准见本章</w:t>
      </w:r>
      <w:r>
        <w:rPr>
          <w:rFonts w:hint="eastAsia"/>
          <w:color w:val="auto"/>
          <w:highlight w:val="none"/>
          <w:lang w:eastAsia="zh-CN"/>
        </w:rPr>
        <w:t>“</w:t>
      </w:r>
      <w:r>
        <w:rPr>
          <w:rFonts w:hint="eastAsia"/>
          <w:color w:val="auto"/>
          <w:highlight w:val="none"/>
          <w:lang w:val="en-US" w:eastAsia="zh-CN"/>
        </w:rPr>
        <w:t>四、</w:t>
      </w:r>
      <w:r>
        <w:rPr>
          <w:rFonts w:hint="eastAsia"/>
          <w:color w:val="auto"/>
          <w:highlight w:val="none"/>
        </w:rPr>
        <w:t>评</w:t>
      </w:r>
      <w:r>
        <w:rPr>
          <w:rFonts w:hint="eastAsia"/>
          <w:color w:val="auto"/>
          <w:highlight w:val="none"/>
          <w:lang w:val="en-US" w:eastAsia="zh-CN"/>
        </w:rPr>
        <w:t>标</w:t>
      </w:r>
      <w:r>
        <w:rPr>
          <w:rFonts w:hint="eastAsia"/>
          <w:color w:val="auto"/>
          <w:highlight w:val="none"/>
        </w:rPr>
        <w:t>标准</w:t>
      </w:r>
      <w:r>
        <w:rPr>
          <w:rFonts w:hint="eastAsia"/>
          <w:color w:val="auto"/>
          <w:highlight w:val="none"/>
          <w:lang w:eastAsia="zh-CN"/>
        </w:rPr>
        <w:t>”</w:t>
      </w:r>
      <w:r>
        <w:rPr>
          <w:rFonts w:hint="eastAsia"/>
          <w:color w:val="auto"/>
          <w:highlight w:val="none"/>
        </w:rPr>
        <w:t>。</w:t>
      </w:r>
    </w:p>
    <w:p w14:paraId="384D833B">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color w:val="auto"/>
          <w:highlight w:val="none"/>
        </w:rPr>
      </w:pPr>
      <w:r>
        <w:rPr>
          <w:rFonts w:hint="eastAsia"/>
          <w:color w:val="auto"/>
          <w:highlight w:val="none"/>
          <w:lang w:val="en-US" w:eastAsia="zh-CN"/>
        </w:rPr>
        <w:t>10</w:t>
      </w:r>
      <w:r>
        <w:rPr>
          <w:color w:val="auto"/>
          <w:highlight w:val="none"/>
        </w:rPr>
        <w:t>.</w:t>
      </w:r>
      <w:r>
        <w:rPr>
          <w:rFonts w:hint="eastAsia"/>
          <w:color w:val="auto"/>
          <w:highlight w:val="none"/>
        </w:rPr>
        <w:t>有效投标</w:t>
      </w:r>
      <w:r>
        <w:rPr>
          <w:rFonts w:hint="eastAsia"/>
          <w:color w:val="auto"/>
          <w:highlight w:val="none"/>
          <w:lang w:val="en-US" w:eastAsia="zh-CN"/>
        </w:rPr>
        <w:t>人</w:t>
      </w:r>
      <w:r>
        <w:rPr>
          <w:rFonts w:hint="eastAsia"/>
          <w:color w:val="auto"/>
          <w:highlight w:val="none"/>
        </w:rPr>
        <w:t>不足</w:t>
      </w:r>
      <w:r>
        <w:rPr>
          <w:color w:val="auto"/>
          <w:highlight w:val="none"/>
        </w:rPr>
        <w:t>3</w:t>
      </w:r>
      <w:r>
        <w:rPr>
          <w:rFonts w:hint="eastAsia"/>
          <w:color w:val="auto"/>
          <w:highlight w:val="none"/>
        </w:rPr>
        <w:t>家的应按</w:t>
      </w:r>
      <w:r>
        <w:rPr>
          <w:rFonts w:hint="eastAsia"/>
          <w:b/>
          <w:bCs/>
          <w:color w:val="auto"/>
          <w:highlight w:val="none"/>
        </w:rPr>
        <w:t>废标</w:t>
      </w:r>
      <w:r>
        <w:rPr>
          <w:rFonts w:hint="eastAsia"/>
          <w:color w:val="auto"/>
          <w:highlight w:val="none"/>
        </w:rPr>
        <w:t>处理。</w:t>
      </w:r>
    </w:p>
    <w:p w14:paraId="7C54BD9F">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81" w:name="_Toc22691"/>
      <w:bookmarkStart w:id="482" w:name="_Toc4273"/>
      <w:bookmarkStart w:id="483" w:name="_Toc24190"/>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四</w:t>
      </w:r>
      <w:r>
        <w:rPr>
          <w:rFonts w:hint="eastAsia" w:ascii="宋体" w:hAnsi="宋体" w:eastAsia="宋体" w:cs="宋体"/>
          <w:b/>
          <w:bCs/>
          <w:color w:val="auto"/>
          <w:kern w:val="2"/>
          <w:sz w:val="24"/>
          <w:szCs w:val="24"/>
          <w:highlight w:val="none"/>
          <w:lang w:val="zh-CN" w:eastAsia="zh-CN" w:bidi="ar-SA"/>
        </w:rPr>
        <w:t>）报价评审</w:t>
      </w:r>
      <w:bookmarkEnd w:id="481"/>
      <w:bookmarkEnd w:id="482"/>
      <w:bookmarkEnd w:id="483"/>
    </w:p>
    <w:p w14:paraId="21874171">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11.</w:t>
      </w:r>
      <w:r>
        <w:rPr>
          <w:color w:val="auto"/>
          <w:highlight w:val="none"/>
        </w:rPr>
        <w:t>投标报价评审</w:t>
      </w:r>
    </w:p>
    <w:p w14:paraId="266BD854">
      <w:pPr>
        <w:pStyle w:val="36"/>
        <w:pageBreakBefore w:val="0"/>
        <w:kinsoku/>
        <w:overflowPunct/>
        <w:bidi w:val="0"/>
        <w:spacing w:beforeAutospacing="0" w:afterAutospacing="0" w:line="560" w:lineRule="exact"/>
        <w:ind w:left="0" w:leftChars="0" w:right="0"/>
        <w:rPr>
          <w:color w:val="auto"/>
          <w:highlight w:val="none"/>
        </w:rPr>
      </w:pPr>
      <w:r>
        <w:rPr>
          <w:rFonts w:hint="eastAsia" w:ascii="宋体" w:hAnsi="宋体" w:eastAsia="宋体"/>
          <w:color w:val="auto"/>
          <w:highlight w:val="none"/>
          <w:lang w:val="en-US" w:eastAsia="zh-CN"/>
        </w:rPr>
        <w:t>11.1服务项目的价格分值占总分值的比重不得低于</w:t>
      </w:r>
      <w:r>
        <w:rPr>
          <w:rFonts w:hint="default" w:ascii="宋体" w:hAnsi="宋体" w:eastAsia="宋体"/>
          <w:color w:val="auto"/>
          <w:highlight w:val="none"/>
          <w:lang w:val="en-US" w:eastAsia="zh-CN"/>
        </w:rPr>
        <w:t>10%。</w:t>
      </w:r>
      <w:r>
        <w:rPr>
          <w:rFonts w:hint="eastAsia"/>
          <w:color w:val="auto"/>
          <w:highlight w:val="none"/>
          <w:lang w:val="en-US" w:eastAsia="zh-CN"/>
        </w:rPr>
        <w:t>执行国家统一定价标准和采用固定价格采购的项目，其价格不列为评审因素。</w:t>
      </w:r>
      <w:r>
        <w:rPr>
          <w:color w:val="auto"/>
          <w:highlight w:val="none"/>
        </w:rPr>
        <w:t>价格分应当采用低价优先法计算，即满足招标文件要求且投标价格最低的投标报价为评标基准价，其价格分为满分。其他投标人的价格分统一按照下列公式计算：</w:t>
      </w:r>
    </w:p>
    <w:p w14:paraId="2D86B7AD">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投标报价得分</w:t>
      </w:r>
      <w:r>
        <w:rPr>
          <w:color w:val="auto"/>
          <w:highlight w:val="none"/>
        </w:rPr>
        <w:t>=(评标基准价／投标报价)×</w:t>
      </w:r>
      <w:r>
        <w:rPr>
          <w:rFonts w:hint="eastAsia"/>
          <w:color w:val="auto"/>
          <w:highlight w:val="none"/>
        </w:rPr>
        <w:t>价格</w:t>
      </w:r>
      <w:r>
        <w:rPr>
          <w:rFonts w:hint="eastAsia"/>
          <w:color w:val="auto"/>
          <w:highlight w:val="none"/>
          <w:lang w:eastAsia="zh-CN"/>
        </w:rPr>
        <w:t>分值</w:t>
      </w:r>
    </w:p>
    <w:p w14:paraId="0CCB2E48">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评标过程中，不得去掉报价中的最高报价和最低报价。</w:t>
      </w:r>
    </w:p>
    <w:p w14:paraId="14E623B0">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11.</w:t>
      </w:r>
      <w:r>
        <w:rPr>
          <w:color w:val="auto"/>
          <w:highlight w:val="none"/>
        </w:rPr>
        <w:t>2</w:t>
      </w:r>
      <w:r>
        <w:rPr>
          <w:rFonts w:hint="eastAsia"/>
          <w:iCs/>
          <w:color w:val="auto"/>
          <w:spacing w:val="-6"/>
          <w:sz w:val="24"/>
          <w:highlight w:val="none"/>
        </w:rPr>
        <w:t>除算术修正和落实政府采购政策的价格扣除外，不对投标报价进行调整；</w:t>
      </w:r>
    </w:p>
    <w:p w14:paraId="6DDDADCE">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11.</w:t>
      </w:r>
      <w:r>
        <w:rPr>
          <w:color w:val="auto"/>
          <w:highlight w:val="none"/>
        </w:rPr>
        <w:t>3价</w:t>
      </w:r>
      <w:r>
        <w:rPr>
          <w:rFonts w:hint="eastAsia"/>
          <w:color w:val="auto"/>
          <w:highlight w:val="none"/>
        </w:rPr>
        <w:t>格</w:t>
      </w:r>
      <w:r>
        <w:rPr>
          <w:rFonts w:hint="eastAsia"/>
          <w:color w:val="auto"/>
          <w:highlight w:val="none"/>
          <w:lang w:eastAsia="zh-CN"/>
        </w:rPr>
        <w:t>分值</w:t>
      </w:r>
      <w:r>
        <w:rPr>
          <w:rFonts w:hint="eastAsia"/>
          <w:color w:val="auto"/>
          <w:highlight w:val="none"/>
        </w:rPr>
        <w:t>见本章</w:t>
      </w:r>
      <w:r>
        <w:rPr>
          <w:rFonts w:hint="eastAsia"/>
          <w:color w:val="auto"/>
          <w:highlight w:val="none"/>
          <w:lang w:eastAsia="zh-CN"/>
        </w:rPr>
        <w:t>“</w:t>
      </w:r>
      <w:r>
        <w:rPr>
          <w:rFonts w:hint="eastAsia"/>
          <w:color w:val="auto"/>
          <w:highlight w:val="none"/>
          <w:lang w:val="en-US" w:eastAsia="zh-CN"/>
        </w:rPr>
        <w:t>四、</w:t>
      </w:r>
      <w:r>
        <w:rPr>
          <w:rFonts w:hint="eastAsia"/>
          <w:color w:val="auto"/>
          <w:highlight w:val="none"/>
        </w:rPr>
        <w:t>评</w:t>
      </w:r>
      <w:r>
        <w:rPr>
          <w:rFonts w:hint="eastAsia"/>
          <w:color w:val="auto"/>
          <w:highlight w:val="none"/>
          <w:lang w:val="en-US" w:eastAsia="zh-CN"/>
        </w:rPr>
        <w:t>标</w:t>
      </w:r>
      <w:r>
        <w:rPr>
          <w:rFonts w:hint="eastAsia"/>
          <w:color w:val="auto"/>
          <w:highlight w:val="none"/>
        </w:rPr>
        <w:t>标准</w:t>
      </w:r>
      <w:r>
        <w:rPr>
          <w:rFonts w:hint="eastAsia"/>
          <w:color w:val="auto"/>
          <w:highlight w:val="none"/>
          <w:lang w:eastAsia="zh-CN"/>
        </w:rPr>
        <w:t>”</w:t>
      </w:r>
      <w:r>
        <w:rPr>
          <w:color w:val="auto"/>
          <w:highlight w:val="none"/>
        </w:rPr>
        <w:t>。</w:t>
      </w:r>
    </w:p>
    <w:p w14:paraId="30866637">
      <w:pPr>
        <w:pStyle w:val="36"/>
        <w:pageBreakBefore w:val="0"/>
        <w:kinsoku/>
        <w:overflowPunct/>
        <w:bidi w:val="0"/>
        <w:spacing w:beforeAutospacing="0" w:afterAutospacing="0" w:line="560" w:lineRule="exact"/>
        <w:ind w:left="0" w:leftChars="0" w:right="0"/>
        <w:rPr>
          <w:b w:val="0"/>
          <w:bCs w:val="0"/>
          <w:color w:val="auto"/>
          <w:highlight w:val="none"/>
        </w:rPr>
      </w:pPr>
      <w:r>
        <w:rPr>
          <w:rFonts w:hint="eastAsia"/>
          <w:b w:val="0"/>
          <w:bCs w:val="0"/>
          <w:color w:val="auto"/>
          <w:highlight w:val="none"/>
        </w:rPr>
        <w:t>1</w:t>
      </w:r>
      <w:r>
        <w:rPr>
          <w:rFonts w:hint="eastAsia"/>
          <w:b w:val="0"/>
          <w:bCs w:val="0"/>
          <w:color w:val="auto"/>
          <w:highlight w:val="none"/>
          <w:lang w:val="en-US" w:eastAsia="zh-CN"/>
        </w:rPr>
        <w:t>2</w:t>
      </w:r>
      <w:r>
        <w:rPr>
          <w:b w:val="0"/>
          <w:bCs w:val="0"/>
          <w:color w:val="auto"/>
          <w:highlight w:val="none"/>
        </w:rPr>
        <w:t>.</w:t>
      </w:r>
      <w:r>
        <w:rPr>
          <w:rFonts w:hint="eastAsia"/>
          <w:b w:val="0"/>
          <w:bCs w:val="0"/>
          <w:color w:val="auto"/>
          <w:highlight w:val="none"/>
        </w:rPr>
        <w:t>政府采购政策评审</w:t>
      </w:r>
    </w:p>
    <w:p w14:paraId="1627C557">
      <w:pPr>
        <w:pStyle w:val="36"/>
        <w:pageBreakBefore w:val="0"/>
        <w:numPr>
          <w:ilvl w:val="0"/>
          <w:numId w:val="0"/>
        </w:numPr>
        <w:kinsoku/>
        <w:overflowPunct/>
        <w:bidi w:val="0"/>
        <w:spacing w:beforeAutospacing="0" w:afterAutospacing="0" w:line="560" w:lineRule="exact"/>
        <w:ind w:left="0" w:leftChars="0" w:right="0" w:firstLine="480" w:firstLineChars="200"/>
        <w:rPr>
          <w:color w:val="auto"/>
          <w:highlight w:val="none"/>
        </w:rPr>
      </w:pPr>
      <w:r>
        <w:rPr>
          <w:color w:val="auto"/>
          <w:highlight w:val="none"/>
        </w:rPr>
        <w:t>1</w:t>
      </w:r>
      <w:r>
        <w:rPr>
          <w:rFonts w:hint="eastAsia"/>
          <w:color w:val="auto"/>
          <w:highlight w:val="none"/>
          <w:lang w:val="en-US" w:eastAsia="zh-CN"/>
        </w:rPr>
        <w:t>2</w:t>
      </w:r>
      <w:r>
        <w:rPr>
          <w:color w:val="auto"/>
          <w:highlight w:val="none"/>
        </w:rPr>
        <w:t>.1非专门面向中小企业的采购项目或采购包，对符合规定的小微企业（</w:t>
      </w:r>
      <w:r>
        <w:rPr>
          <w:rFonts w:hint="eastAsia"/>
          <w:color w:val="auto"/>
          <w:highlight w:val="none"/>
          <w:lang w:val="en-US" w:eastAsia="zh-CN"/>
        </w:rPr>
        <w:t>含</w:t>
      </w:r>
      <w:r>
        <w:rPr>
          <w:color w:val="auto"/>
          <w:highlight w:val="none"/>
        </w:rPr>
        <w:t>监狱企业、残疾人福利性单位、联合体各方均为小微企业的联合体、符合小微企业划分标准的个体工商户视同小微企业）报价</w:t>
      </w:r>
      <w:r>
        <w:rPr>
          <w:rFonts w:hint="eastAsia"/>
          <w:color w:val="auto"/>
          <w:highlight w:val="none"/>
        </w:rPr>
        <w:t>按照本招标文件</w:t>
      </w:r>
      <w:r>
        <w:rPr>
          <w:rFonts w:hint="eastAsia"/>
          <w:color w:val="auto"/>
          <w:highlight w:val="none"/>
          <w:lang w:eastAsia="zh-CN"/>
        </w:rPr>
        <w:t>“</w:t>
      </w:r>
      <w:r>
        <w:rPr>
          <w:rFonts w:hint="eastAsia"/>
          <w:color w:val="auto"/>
          <w:highlight w:val="none"/>
        </w:rPr>
        <w:t>投标人须知前附表”中的规定</w:t>
      </w:r>
      <w:r>
        <w:rPr>
          <w:color w:val="auto"/>
          <w:highlight w:val="none"/>
        </w:rPr>
        <w:t>扣除</w:t>
      </w:r>
      <w:r>
        <w:rPr>
          <w:rFonts w:hint="eastAsia"/>
          <w:color w:val="auto"/>
          <w:highlight w:val="none"/>
        </w:rPr>
        <w:t>，对小微企业中的监狱企业、残疾人福利性单位、采购产品纳入创新产品应用示范推荐目录内企业、采购产品获得节能产品或环境标志产品认证证书的企业报价按照本</w:t>
      </w:r>
      <w:r>
        <w:rPr>
          <w:rFonts w:hint="eastAsia"/>
          <w:color w:val="auto"/>
          <w:highlight w:val="none"/>
          <w:lang w:val="en-US" w:eastAsia="zh-CN"/>
        </w:rPr>
        <w:t>招标</w:t>
      </w:r>
      <w:r>
        <w:rPr>
          <w:rFonts w:hint="eastAsia"/>
          <w:color w:val="auto"/>
          <w:highlight w:val="none"/>
        </w:rPr>
        <w:t>文件</w:t>
      </w:r>
      <w:r>
        <w:rPr>
          <w:rFonts w:hint="eastAsia"/>
          <w:color w:val="auto"/>
          <w:highlight w:val="none"/>
          <w:lang w:eastAsia="zh-CN"/>
        </w:rPr>
        <w:t>“</w:t>
      </w:r>
      <w:r>
        <w:rPr>
          <w:rFonts w:hint="eastAsia"/>
          <w:color w:val="auto"/>
          <w:highlight w:val="none"/>
          <w:lang w:val="en-US" w:eastAsia="zh-CN"/>
        </w:rPr>
        <w:t>投标人</w:t>
      </w:r>
      <w:r>
        <w:rPr>
          <w:rFonts w:hint="eastAsia"/>
          <w:color w:val="auto"/>
          <w:highlight w:val="none"/>
        </w:rPr>
        <w:t>须知前附表”中的规定扣除，用扣除后的价格计算评审基准价</w:t>
      </w:r>
      <w:r>
        <w:rPr>
          <w:color w:val="auto"/>
          <w:highlight w:val="none"/>
        </w:rPr>
        <w:t>。</w:t>
      </w:r>
    </w:p>
    <w:p w14:paraId="1E5F4E03">
      <w:pPr>
        <w:pStyle w:val="36"/>
        <w:pageBreakBefore w:val="0"/>
        <w:numPr>
          <w:ilvl w:val="0"/>
          <w:numId w:val="0"/>
        </w:numPr>
        <w:kinsoku/>
        <w:overflowPunct/>
        <w:bidi w:val="0"/>
        <w:spacing w:beforeAutospacing="0" w:afterAutospacing="0" w:line="560" w:lineRule="exact"/>
        <w:ind w:left="0" w:leftChars="0" w:right="0" w:firstLine="480" w:firstLineChars="200"/>
        <w:rPr>
          <w:rFonts w:ascii="宋体" w:hAnsi="宋体" w:eastAsia="宋体"/>
          <w:color w:val="auto"/>
          <w:highlight w:val="none"/>
        </w:rPr>
      </w:pPr>
      <w:r>
        <w:rPr>
          <w:rFonts w:hint="eastAsia" w:ascii="宋体" w:hAnsi="宋体" w:eastAsia="宋体"/>
          <w:color w:val="auto"/>
          <w:highlight w:val="none"/>
          <w:lang w:val="en-US" w:eastAsia="zh-CN"/>
        </w:rPr>
        <w:t>12.</w:t>
      </w:r>
      <w:r>
        <w:rPr>
          <w:rFonts w:hint="eastAsia" w:ascii="宋体" w:hAnsi="宋体" w:eastAsia="宋体"/>
          <w:color w:val="auto"/>
          <w:highlight w:val="none"/>
          <w:lang w:val="zh-CN" w:eastAsia="zh-CN"/>
        </w:rPr>
        <w:t>2</w:t>
      </w:r>
      <w:r>
        <w:rPr>
          <w:rFonts w:ascii="宋体" w:hAnsi="宋体" w:eastAsia="宋体"/>
          <w:color w:val="auto"/>
          <w:highlight w:val="none"/>
        </w:rPr>
        <w:t>参加政府采购活动的小微企业</w:t>
      </w:r>
      <w:r>
        <w:rPr>
          <w:rFonts w:hint="eastAsia"/>
          <w:color w:val="auto"/>
          <w:highlight w:val="none"/>
        </w:rPr>
        <w:t>（含节能环保、创新产品企业）</w:t>
      </w:r>
      <w:r>
        <w:rPr>
          <w:rFonts w:ascii="宋体" w:hAnsi="宋体" w:eastAsia="宋体"/>
          <w:color w:val="auto"/>
          <w:highlight w:val="none"/>
        </w:rPr>
        <w:t>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r>
        <w:rPr>
          <w:rFonts w:hint="eastAsia"/>
          <w:color w:val="auto"/>
          <w:highlight w:val="none"/>
          <w:lang w:val="en-US" w:eastAsia="zh-CN"/>
        </w:rPr>
        <w:t>若供应商同时属于小型或微型企业、监狱企业、残疾人福利性单位 中的两种及以上，将不重复享受小微企业价格扣减的优惠政策。</w:t>
      </w:r>
    </w:p>
    <w:p w14:paraId="1A495953">
      <w:pPr>
        <w:pStyle w:val="36"/>
        <w:pageBreakBefore w:val="0"/>
        <w:numPr>
          <w:ilvl w:val="0"/>
          <w:numId w:val="0"/>
        </w:numPr>
        <w:shd w:val="clear" w:color="auto" w:fill="FFFFFF" w:themeFill="background1"/>
        <w:kinsoku/>
        <w:overflowPunct/>
        <w:bidi w:val="0"/>
        <w:spacing w:beforeAutospacing="0" w:afterAutospacing="0" w:line="560" w:lineRule="exact"/>
        <w:ind w:left="0" w:leftChars="0" w:right="0" w:firstLine="480" w:firstLineChars="200"/>
        <w:rPr>
          <w:rFonts w:ascii="宋体" w:hAnsi="宋体" w:eastAsia="宋体" w:cstheme="minorBidi"/>
          <w:color w:val="auto"/>
          <w:kern w:val="2"/>
          <w:sz w:val="24"/>
          <w:szCs w:val="22"/>
          <w:highlight w:val="none"/>
          <w:lang w:val="en-US" w:eastAsia="zh-CN" w:bidi="ar-SA"/>
        </w:rPr>
      </w:pPr>
      <w:r>
        <w:rPr>
          <w:rFonts w:ascii="宋体" w:hAnsi="宋体" w:eastAsia="宋体" w:cstheme="minorBidi"/>
          <w:color w:val="auto"/>
          <w:kern w:val="2"/>
          <w:sz w:val="24"/>
          <w:szCs w:val="22"/>
          <w:highlight w:val="none"/>
          <w:lang w:val="en-US" w:eastAsia="zh-CN" w:bidi="ar-SA"/>
        </w:rPr>
        <w:t>组成联合体或者接受分包的小微企业与联合体内其他企业、分包企业</w:t>
      </w:r>
      <w:r>
        <w:rPr>
          <w:rFonts w:hint="default" w:ascii="宋体" w:hAnsi="宋体" w:eastAsia="宋体" w:cstheme="minorBidi"/>
          <w:color w:val="auto"/>
          <w:kern w:val="2"/>
          <w:sz w:val="24"/>
          <w:szCs w:val="22"/>
          <w:highlight w:val="none"/>
          <w:lang w:val="en-US" w:eastAsia="zh-CN" w:bidi="ar-SA"/>
        </w:rPr>
        <w:t>之间存在直接控股、管理关系的，不享受价格扣除优惠政策。</w:t>
      </w:r>
    </w:p>
    <w:p w14:paraId="4FDAF77C">
      <w:pPr>
        <w:pStyle w:val="36"/>
        <w:pageBreakBefore w:val="0"/>
        <w:numPr>
          <w:ilvl w:val="0"/>
          <w:numId w:val="0"/>
        </w:numPr>
        <w:kinsoku/>
        <w:overflowPunct/>
        <w:bidi w:val="0"/>
        <w:spacing w:beforeAutospacing="0" w:afterAutospacing="0" w:line="560" w:lineRule="exact"/>
        <w:ind w:left="0" w:leftChars="0" w:right="0" w:firstLine="480" w:firstLineChars="200"/>
        <w:rPr>
          <w:rFonts w:ascii="宋体" w:hAnsi="宋体" w:eastAsia="宋体"/>
          <w:color w:val="auto"/>
          <w:highlight w:val="none"/>
        </w:rPr>
      </w:pPr>
      <w:r>
        <w:rPr>
          <w:rFonts w:ascii="宋体" w:hAnsi="宋体" w:eastAsia="宋体" w:cstheme="minorBidi"/>
          <w:color w:val="auto"/>
          <w:kern w:val="2"/>
          <w:sz w:val="24"/>
          <w:szCs w:val="22"/>
          <w:highlight w:val="none"/>
          <w:lang w:val="en-US" w:eastAsia="zh-CN" w:bidi="ar-SA"/>
        </w:rPr>
        <w:t>价格扣除比例对小型企业和微型企业同等对待，不作区分。</w:t>
      </w:r>
    </w:p>
    <w:p w14:paraId="71DD10A8">
      <w:pPr>
        <w:pStyle w:val="36"/>
        <w:pageBreakBefore w:val="0"/>
        <w:numPr>
          <w:ilvl w:val="0"/>
          <w:numId w:val="0"/>
        </w:numPr>
        <w:kinsoku/>
        <w:overflowPunct/>
        <w:bidi w:val="0"/>
        <w:spacing w:beforeAutospacing="0" w:afterAutospacing="0" w:line="560" w:lineRule="exact"/>
        <w:ind w:left="0" w:leftChars="0" w:right="0" w:firstLine="480" w:firstLineChars="200"/>
        <w:rPr>
          <w:rFonts w:ascii="宋体" w:hAnsi="宋体" w:eastAsia="宋体"/>
          <w:color w:val="auto"/>
          <w:highlight w:val="none"/>
        </w:rPr>
      </w:pPr>
      <w:r>
        <w:rPr>
          <w:rFonts w:hint="eastAsia" w:ascii="宋体" w:hAnsi="宋体" w:eastAsia="宋体"/>
          <w:color w:val="auto"/>
          <w:highlight w:val="none"/>
          <w:lang w:val="en-US" w:eastAsia="zh-CN"/>
        </w:rPr>
        <w:t>12.</w:t>
      </w:r>
      <w:r>
        <w:rPr>
          <w:rFonts w:hint="eastAsia" w:ascii="宋体" w:hAnsi="宋体" w:eastAsia="宋体"/>
          <w:color w:val="auto"/>
          <w:highlight w:val="none"/>
          <w:lang w:val="zh-CN" w:eastAsia="zh-CN"/>
        </w:rPr>
        <w:t>3</w:t>
      </w:r>
      <w:r>
        <w:rPr>
          <w:rFonts w:ascii="宋体" w:hAnsi="宋体" w:eastAsia="宋体"/>
          <w:color w:val="auto"/>
          <w:highlight w:val="none"/>
        </w:rPr>
        <w:t>专门面向中小企业、预留部分采购份额面向中小企业采购的项目或采购包，评审时不再进行价格扣除。</w:t>
      </w:r>
    </w:p>
    <w:p w14:paraId="3874ED83">
      <w:pPr>
        <w:pStyle w:val="36"/>
        <w:pageBreakBefore w:val="0"/>
        <w:numPr>
          <w:ilvl w:val="0"/>
          <w:numId w:val="0"/>
        </w:numPr>
        <w:kinsoku/>
        <w:overflowPunct/>
        <w:bidi w:val="0"/>
        <w:spacing w:beforeAutospacing="0" w:afterAutospacing="0" w:line="560" w:lineRule="exact"/>
        <w:ind w:left="0" w:leftChars="0" w:right="0" w:firstLine="480" w:firstLineChars="200"/>
        <w:rPr>
          <w:rFonts w:hint="eastAsia" w:ascii="宋体" w:hAnsi="宋体" w:eastAsia="宋体"/>
          <w:color w:val="auto"/>
          <w:highlight w:val="none"/>
        </w:rPr>
      </w:pPr>
      <w:r>
        <w:rPr>
          <w:rFonts w:hint="eastAsia" w:ascii="宋体" w:hAnsi="宋体" w:eastAsia="宋体"/>
          <w:color w:val="auto"/>
          <w:highlight w:val="none"/>
          <w:lang w:val="en-US" w:eastAsia="zh-CN"/>
        </w:rPr>
        <w:t>12.4</w:t>
      </w:r>
      <w:r>
        <w:rPr>
          <w:rFonts w:hint="eastAsia" w:ascii="宋体" w:hAnsi="宋体" w:eastAsia="宋体"/>
          <w:color w:val="auto"/>
          <w:highlight w:val="none"/>
        </w:rPr>
        <w:t>对于未预留份额专门面向中小企业的政府采购项目，以及预留份额政府采购项目中的非预留部分标项，对小型和微型企业的投标报价给予10%-</w:t>
      </w:r>
      <w:r>
        <w:rPr>
          <w:rFonts w:ascii="宋体" w:hAnsi="宋体" w:eastAsia="宋体"/>
          <w:color w:val="auto"/>
          <w:highlight w:val="none"/>
        </w:rPr>
        <w:t>20</w:t>
      </w:r>
      <w:r>
        <w:rPr>
          <w:rFonts w:hint="eastAsia" w:ascii="宋体" w:hAnsi="宋体" w:eastAsia="宋体"/>
          <w:color w:val="auto"/>
          <w:highlight w:val="none"/>
        </w:rPr>
        <w:t>%的扣除，用扣除后的价格参与评审。接受大中型企业与小微企业组成联合体或者允许大中型企业向一家或者多家小微企业分包的政府采购项目，对于联合</w:t>
      </w:r>
      <w:r>
        <w:rPr>
          <w:rFonts w:hint="eastAsia" w:ascii="宋体" w:hAnsi="宋体" w:eastAsia="宋体"/>
          <w:color w:val="auto"/>
          <w:highlight w:val="none"/>
          <w:lang w:val="en-US" w:eastAsia="zh-CN"/>
        </w:rPr>
        <w:t>体</w:t>
      </w:r>
      <w:r>
        <w:rPr>
          <w:rFonts w:hint="eastAsia" w:ascii="宋体" w:hAnsi="宋体" w:eastAsia="宋体"/>
          <w:color w:val="auto"/>
          <w:highlight w:val="none"/>
        </w:rPr>
        <w:t>协议</w:t>
      </w:r>
      <w:r>
        <w:rPr>
          <w:rFonts w:hint="eastAsia" w:ascii="宋体" w:hAnsi="宋体" w:eastAsia="宋体"/>
          <w:color w:val="auto"/>
          <w:highlight w:val="none"/>
          <w:lang w:val="en-US" w:eastAsia="zh-CN"/>
        </w:rPr>
        <w:t>书</w:t>
      </w:r>
      <w:r>
        <w:rPr>
          <w:rFonts w:hint="eastAsia" w:ascii="宋体" w:hAnsi="宋体" w:eastAsia="宋体"/>
          <w:color w:val="auto"/>
          <w:highlight w:val="none"/>
        </w:rPr>
        <w:t>或者分包意向协议</w:t>
      </w:r>
      <w:r>
        <w:rPr>
          <w:rFonts w:hint="eastAsia" w:ascii="宋体" w:hAnsi="宋体" w:eastAsia="宋体"/>
          <w:color w:val="auto"/>
          <w:highlight w:val="none"/>
          <w:lang w:val="en-US" w:eastAsia="zh-CN"/>
        </w:rPr>
        <w:t>书</w:t>
      </w:r>
      <w:r>
        <w:rPr>
          <w:rFonts w:hint="eastAsia" w:ascii="宋体" w:hAnsi="宋体" w:eastAsia="宋体"/>
          <w:color w:val="auto"/>
          <w:highlight w:val="none"/>
        </w:rPr>
        <w:t>约定小微企业的合同份额占到合同总金额30%以上的，对联合体或者大中型企业的报价给予4%-</w:t>
      </w:r>
      <w:r>
        <w:rPr>
          <w:rFonts w:ascii="宋体" w:hAnsi="宋体" w:eastAsia="宋体"/>
          <w:color w:val="auto"/>
          <w:highlight w:val="none"/>
        </w:rPr>
        <w:t>6</w:t>
      </w:r>
      <w:r>
        <w:rPr>
          <w:rFonts w:hint="eastAsia" w:ascii="宋体" w:hAnsi="宋体" w:eastAsia="宋体"/>
          <w:color w:val="auto"/>
          <w:highlight w:val="none"/>
        </w:rPr>
        <w:t>%的扣除，用扣除后的价格参加评审。组成联合体或者接受分包的小微企业与联合体内其他企业、分包企业之间存在直接控股、管理关系的，不享受价格扣除优惠政策。</w:t>
      </w:r>
    </w:p>
    <w:p w14:paraId="548FFFDB">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84" w:name="_Toc32272"/>
      <w:bookmarkStart w:id="485" w:name="_Toc8718"/>
      <w:bookmarkStart w:id="486" w:name="_Toc13576"/>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zh-CN" w:eastAsia="zh-CN" w:bidi="ar-SA"/>
        </w:rPr>
        <w:t>）评标得分及复核</w:t>
      </w:r>
      <w:bookmarkEnd w:id="484"/>
      <w:bookmarkEnd w:id="485"/>
      <w:bookmarkEnd w:id="486"/>
    </w:p>
    <w:p w14:paraId="073A56A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13.评标过程中，各项分值一般精确到小数点后两位，评标得分应为商务评分、技术评分、报价评分之和。评标委员会各成员应汇总每个投标人的得分。</w:t>
      </w:r>
    </w:p>
    <w:p w14:paraId="0BE80DC7">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14.评标结果汇总完成后，采购代理机构应对评标结果进行复核。经复核发现存在以下情形之一的，</w:t>
      </w:r>
      <w:r>
        <w:rPr>
          <w:rFonts w:hint="eastAsia"/>
          <w:iCs/>
          <w:color w:val="auto"/>
          <w:spacing w:val="-6"/>
          <w:sz w:val="24"/>
          <w:highlight w:val="none"/>
          <w:lang w:val="en-US" w:eastAsia="zh-CN"/>
        </w:rPr>
        <w:t>评标委员会应当当场修改评标结果，并在评标报告中记载</w:t>
      </w:r>
      <w:r>
        <w:rPr>
          <w:rFonts w:hint="eastAsia"/>
          <w:color w:val="auto"/>
          <w:highlight w:val="none"/>
          <w:lang w:val="en-US" w:eastAsia="zh-CN"/>
        </w:rPr>
        <w:t>：</w:t>
      </w:r>
    </w:p>
    <w:p w14:paraId="427128F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14.1分值汇总计算错误的；</w:t>
      </w:r>
    </w:p>
    <w:p w14:paraId="4404F7B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14.2分项评分超出评分标准范围的；</w:t>
      </w:r>
    </w:p>
    <w:p w14:paraId="18150CA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14.3评标委员会成员对客观评审因素评分不一致的；</w:t>
      </w:r>
    </w:p>
    <w:p w14:paraId="6BFAB3D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14.4经评标委员会认定评分畸高、畸低的。</w:t>
      </w:r>
    </w:p>
    <w:p w14:paraId="0FD26D1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15.各投标人的最终得分为评标委员会所有成员对各投标人评标得分汇总后的算术平均值。</w:t>
      </w:r>
    </w:p>
    <w:p w14:paraId="1FD846A7">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15.1除资格性检查认定错误、分值汇总计算错误、分项评分超出评分标准范围、客观分评分不一致、经评标委员会一致认定评分畸高、畸低的情形外，采购人或者采购代理机构不得以任何理由组织重新评审。采购人、采购代理机构发现评标委员会未按照招标文件规定的评审标准进行评审的，应当重新开展采购活动，并同时书面报告本级财政部门。</w:t>
      </w:r>
    </w:p>
    <w:p w14:paraId="5228022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15.2采购人或者采购代理机构不得通过对样品进行检测、对投标人进行考察等方式改变评审结果。</w:t>
      </w:r>
    </w:p>
    <w:p w14:paraId="5AB9E04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87" w:name="_Toc10811"/>
      <w:bookmarkStart w:id="488" w:name="_Toc25831"/>
      <w:bookmarkStart w:id="489" w:name="_Toc16908"/>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zh-CN" w:eastAsia="zh-CN" w:bidi="ar-SA"/>
        </w:rPr>
        <w:t>）排序与推荐</w:t>
      </w:r>
      <w:bookmarkEnd w:id="487"/>
      <w:bookmarkEnd w:id="488"/>
      <w:bookmarkEnd w:id="489"/>
    </w:p>
    <w:p w14:paraId="514ADBD8">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lang w:val="en-US" w:eastAsia="zh-CN"/>
        </w:rPr>
        <w:t>16.</w:t>
      </w:r>
      <w:r>
        <w:rPr>
          <w:rFonts w:hint="eastAsia"/>
          <w:color w:val="auto"/>
          <w:highlight w:val="none"/>
        </w:rPr>
        <w:t>评标结果按评审后得分由高到低顺序排列。投标文件满足招标文件全部实质性要求，且按照评审因素的量化指标评审得分最高的投标人为排名第一的中标候选人。得分相同的，按投标报价由低到高顺序排列。得分且投标报价相同的，</w:t>
      </w:r>
      <w:r>
        <w:rPr>
          <w:rFonts w:hint="eastAsia"/>
          <w:color w:val="auto"/>
          <w:highlight w:val="none"/>
          <w:lang w:val="en-US" w:eastAsia="zh-CN"/>
        </w:rPr>
        <w:t>按</w:t>
      </w:r>
      <w:r>
        <w:rPr>
          <w:rFonts w:hint="eastAsia"/>
          <w:color w:val="auto"/>
          <w:highlight w:val="none"/>
        </w:rPr>
        <w:t>技术指标</w:t>
      </w:r>
      <w:r>
        <w:rPr>
          <w:rFonts w:hint="eastAsia"/>
          <w:color w:val="auto"/>
          <w:highlight w:val="none"/>
          <w:lang w:val="en-US" w:eastAsia="zh-CN"/>
        </w:rPr>
        <w:t>优劣顺序排列</w:t>
      </w:r>
      <w:r>
        <w:rPr>
          <w:rFonts w:hint="eastAsia"/>
          <w:color w:val="auto"/>
          <w:highlight w:val="none"/>
        </w:rPr>
        <w:t>。</w:t>
      </w:r>
    </w:p>
    <w:p w14:paraId="3B1F6C1A">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17.</w:t>
      </w:r>
      <w:r>
        <w:rPr>
          <w:rFonts w:hint="eastAsia"/>
          <w:color w:val="auto"/>
          <w:highlight w:val="none"/>
        </w:rPr>
        <w:t>中标候选人</w:t>
      </w:r>
      <w:r>
        <w:rPr>
          <w:rFonts w:hint="eastAsia"/>
          <w:color w:val="auto"/>
          <w:highlight w:val="none"/>
          <w:lang w:val="en-US" w:eastAsia="zh-CN"/>
        </w:rPr>
        <w:t>推荐家数详</w:t>
      </w:r>
      <w:r>
        <w:rPr>
          <w:rFonts w:hint="eastAsia"/>
          <w:color w:val="auto"/>
          <w:highlight w:val="none"/>
        </w:rPr>
        <w:t>见“</w:t>
      </w:r>
      <w:r>
        <w:rPr>
          <w:rFonts w:hint="eastAsia"/>
          <w:color w:val="auto"/>
          <w:highlight w:val="none"/>
          <w:lang w:val="en-US" w:eastAsia="zh-CN"/>
        </w:rPr>
        <w:t>投标人须知</w:t>
      </w:r>
      <w:r>
        <w:rPr>
          <w:rFonts w:hint="eastAsia"/>
          <w:color w:val="auto"/>
          <w:highlight w:val="none"/>
        </w:rPr>
        <w:t>前附表”。</w:t>
      </w:r>
    </w:p>
    <w:p w14:paraId="1F98E10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90" w:name="_Toc13628"/>
      <w:bookmarkStart w:id="491" w:name="_Toc31063"/>
      <w:bookmarkStart w:id="492" w:name="_Toc7048"/>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七</w:t>
      </w:r>
      <w:r>
        <w:rPr>
          <w:rFonts w:hint="eastAsia" w:ascii="宋体" w:hAnsi="宋体" w:eastAsia="宋体" w:cs="宋体"/>
          <w:b/>
          <w:bCs/>
          <w:color w:val="auto"/>
          <w:kern w:val="2"/>
          <w:sz w:val="24"/>
          <w:szCs w:val="24"/>
          <w:highlight w:val="none"/>
          <w:lang w:val="zh-CN" w:eastAsia="zh-CN" w:bidi="ar-SA"/>
        </w:rPr>
        <w:t>）编写评标报告</w:t>
      </w:r>
      <w:bookmarkEnd w:id="490"/>
      <w:bookmarkEnd w:id="491"/>
      <w:bookmarkEnd w:id="492"/>
    </w:p>
    <w:p w14:paraId="3576CABA">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18.</w:t>
      </w:r>
      <w:r>
        <w:rPr>
          <w:rFonts w:hint="eastAsia"/>
          <w:color w:val="auto"/>
          <w:highlight w:val="none"/>
        </w:rPr>
        <w:t>评标委员会根据全体评标成员签字的原始评标记录和评标结果编写评标报告。评标委员会应当在评标报告上签名，对自己的评审意见承担法律责任。评标委员会成员对需要共同认定的事项存在争议的，应当按照少数服从多数的原则作出结论。持不同意见的评标委员会成员应当在评标报告上签署不同意见，并说明理由，否则视为同意评标报告。</w:t>
      </w:r>
    </w:p>
    <w:p w14:paraId="29512443">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93" w:name="_Toc22304"/>
      <w:bookmarkStart w:id="494" w:name="_Toc102057717"/>
      <w:bookmarkStart w:id="495" w:name="_Toc4897"/>
      <w:bookmarkStart w:id="496" w:name="_Toc25294"/>
      <w:bookmarkStart w:id="497" w:name="_Toc102056217"/>
      <w:bookmarkStart w:id="498" w:name="_Toc102116021"/>
      <w:bookmarkStart w:id="499" w:name="_Toc102116151"/>
      <w:bookmarkStart w:id="500" w:name="_Toc163492906"/>
      <w:bookmarkStart w:id="501" w:name="_Toc102114919"/>
      <w:bookmarkStart w:id="502" w:name="_Toc102119852"/>
      <w:bookmarkStart w:id="503" w:name="_Toc155185913"/>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八</w:t>
      </w:r>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投标无效及</w:t>
      </w:r>
      <w:r>
        <w:rPr>
          <w:rFonts w:hint="eastAsia" w:ascii="宋体" w:hAnsi="宋体" w:eastAsia="宋体" w:cs="宋体"/>
          <w:b/>
          <w:bCs/>
          <w:color w:val="auto"/>
          <w:kern w:val="2"/>
          <w:sz w:val="24"/>
          <w:szCs w:val="24"/>
          <w:highlight w:val="none"/>
          <w:lang w:val="zh-CN" w:eastAsia="zh-CN" w:bidi="ar-SA"/>
        </w:rPr>
        <w:t>应予废标的情形</w:t>
      </w:r>
      <w:bookmarkEnd w:id="493"/>
      <w:bookmarkEnd w:id="494"/>
      <w:bookmarkEnd w:id="495"/>
      <w:bookmarkEnd w:id="496"/>
      <w:bookmarkEnd w:id="497"/>
      <w:bookmarkEnd w:id="498"/>
      <w:bookmarkEnd w:id="499"/>
      <w:bookmarkEnd w:id="500"/>
      <w:bookmarkEnd w:id="501"/>
      <w:bookmarkEnd w:id="502"/>
      <w:bookmarkEnd w:id="503"/>
    </w:p>
    <w:p w14:paraId="2D93D6F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19.投标人存在下列情形之一的，</w:t>
      </w:r>
      <w:r>
        <w:rPr>
          <w:rFonts w:hint="eastAsia"/>
          <w:b/>
          <w:bCs/>
          <w:color w:val="auto"/>
          <w:highlight w:val="none"/>
          <w:lang w:val="en-US" w:eastAsia="zh-CN"/>
        </w:rPr>
        <w:t>投标无效</w:t>
      </w:r>
      <w:r>
        <w:rPr>
          <w:rFonts w:hint="eastAsia"/>
          <w:color w:val="auto"/>
          <w:highlight w:val="none"/>
          <w:lang w:val="en-US" w:eastAsia="zh-CN"/>
        </w:rPr>
        <w:t>：</w:t>
      </w:r>
    </w:p>
    <w:p w14:paraId="5C1B2C9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1</w:t>
      </w:r>
      <w:r>
        <w:rPr>
          <w:rFonts w:hint="eastAsia"/>
          <w:color w:val="auto"/>
          <w:highlight w:val="none"/>
          <w:lang w:val="en-US" w:eastAsia="zh-CN"/>
        </w:rPr>
        <w:t>投标人</w:t>
      </w:r>
      <w:r>
        <w:rPr>
          <w:rFonts w:hint="eastAsia"/>
          <w:color w:val="auto"/>
          <w:highlight w:val="none"/>
          <w:lang w:val="zh-CN" w:eastAsia="zh-CN"/>
        </w:rPr>
        <w:t>不具备《中华人民共和国政府采购法》第二十二条规定条件</w:t>
      </w:r>
      <w:r>
        <w:rPr>
          <w:rFonts w:hint="eastAsia"/>
          <w:color w:val="auto"/>
          <w:highlight w:val="none"/>
          <w:lang w:val="en-US" w:eastAsia="zh-CN"/>
        </w:rPr>
        <w:t>；</w:t>
      </w:r>
    </w:p>
    <w:p w14:paraId="15C939E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eastAsia="宋体"/>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2</w:t>
      </w:r>
      <w:r>
        <w:rPr>
          <w:rFonts w:hint="eastAsia"/>
          <w:color w:val="auto"/>
          <w:highlight w:val="none"/>
        </w:rPr>
        <w:t>投标文件未按招标文件要求签署、盖章的</w:t>
      </w:r>
      <w:r>
        <w:rPr>
          <w:rFonts w:hint="eastAsia"/>
          <w:color w:val="auto"/>
          <w:highlight w:val="none"/>
          <w:lang w:val="en-US" w:eastAsia="zh-CN"/>
        </w:rPr>
        <w:t>；</w:t>
      </w:r>
    </w:p>
    <w:p w14:paraId="0A936FC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3</w:t>
      </w:r>
      <w:r>
        <w:rPr>
          <w:rFonts w:hint="eastAsia"/>
          <w:color w:val="auto"/>
          <w:highlight w:val="none"/>
          <w:lang w:val="en-US" w:eastAsia="zh-CN"/>
        </w:rPr>
        <w:t>不具备招标文件中规定的资格要求的（投标人未提供有效资格文件的，视为投标人不具备招标文件中规定的资格要求）；</w:t>
      </w:r>
    </w:p>
    <w:p w14:paraId="0C68E35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4</w:t>
      </w:r>
      <w:r>
        <w:rPr>
          <w:rFonts w:hint="eastAsia"/>
          <w:color w:val="auto"/>
          <w:highlight w:val="none"/>
          <w:lang w:val="en-US" w:eastAsia="zh-CN"/>
        </w:rPr>
        <w:t>投标</w:t>
      </w:r>
      <w:r>
        <w:rPr>
          <w:rFonts w:hint="eastAsia"/>
          <w:color w:val="auto"/>
          <w:highlight w:val="none"/>
          <w:lang w:val="zh-CN" w:eastAsia="zh-CN"/>
        </w:rPr>
        <w:t>文件提供虚假材料的</w:t>
      </w:r>
      <w:r>
        <w:rPr>
          <w:rFonts w:hint="eastAsia"/>
          <w:color w:val="auto"/>
          <w:highlight w:val="none"/>
          <w:lang w:val="en-US" w:eastAsia="zh-CN"/>
        </w:rPr>
        <w:t>；</w:t>
      </w:r>
    </w:p>
    <w:p w14:paraId="3FDAE16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5</w:t>
      </w:r>
      <w:r>
        <w:rPr>
          <w:rFonts w:hint="eastAsia"/>
          <w:color w:val="auto"/>
          <w:highlight w:val="none"/>
          <w:lang w:val="en-US" w:eastAsia="zh-CN"/>
        </w:rPr>
        <w:t>投标</w:t>
      </w:r>
      <w:r>
        <w:rPr>
          <w:rFonts w:hint="eastAsia"/>
          <w:color w:val="auto"/>
          <w:highlight w:val="none"/>
          <w:lang w:val="zh-CN" w:eastAsia="zh-CN"/>
        </w:rPr>
        <w:t>文件不满足</w:t>
      </w:r>
      <w:r>
        <w:rPr>
          <w:rFonts w:hint="eastAsia"/>
          <w:color w:val="auto"/>
          <w:highlight w:val="none"/>
          <w:lang w:val="en-US" w:eastAsia="zh-CN"/>
        </w:rPr>
        <w:t>招标</w:t>
      </w:r>
      <w:r>
        <w:rPr>
          <w:rFonts w:hint="eastAsia"/>
          <w:color w:val="auto"/>
          <w:highlight w:val="none"/>
          <w:lang w:val="zh-CN" w:eastAsia="zh-CN"/>
        </w:rPr>
        <w:t>文件中标注“★”号的实质性条款（或指标）要求的</w:t>
      </w:r>
      <w:r>
        <w:rPr>
          <w:rFonts w:hint="eastAsia"/>
          <w:color w:val="auto"/>
          <w:highlight w:val="none"/>
          <w:lang w:val="en-US" w:eastAsia="zh-CN"/>
        </w:rPr>
        <w:t>；</w:t>
      </w:r>
    </w:p>
    <w:p w14:paraId="2C5FC30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6</w:t>
      </w:r>
      <w:r>
        <w:rPr>
          <w:rFonts w:hint="eastAsia"/>
          <w:color w:val="auto"/>
          <w:highlight w:val="none"/>
          <w:lang w:val="en-US" w:eastAsia="zh-CN"/>
        </w:rPr>
        <w:t>投标人</w:t>
      </w:r>
      <w:r>
        <w:rPr>
          <w:rFonts w:hint="eastAsia"/>
          <w:color w:val="auto"/>
          <w:highlight w:val="none"/>
          <w:lang w:val="zh-CN" w:eastAsia="zh-CN"/>
        </w:rPr>
        <w:t>报价超过招标文件中规定的</w:t>
      </w:r>
      <w:r>
        <w:rPr>
          <w:rFonts w:hint="eastAsia" w:ascii="宋体" w:hAnsi="宋体" w:eastAsia="宋体"/>
          <w:color w:val="auto"/>
          <w:highlight w:val="none"/>
          <w:lang w:val="en-US" w:eastAsia="zh-CN"/>
        </w:rPr>
        <w:t>最高限价或者预算金额</w:t>
      </w:r>
      <w:r>
        <w:rPr>
          <w:rFonts w:hint="eastAsia"/>
          <w:color w:val="auto"/>
          <w:highlight w:val="none"/>
          <w:lang w:val="zh-CN" w:eastAsia="zh-CN"/>
        </w:rPr>
        <w:t>的</w:t>
      </w:r>
      <w:r>
        <w:rPr>
          <w:rFonts w:hint="eastAsia"/>
          <w:color w:val="auto"/>
          <w:highlight w:val="none"/>
          <w:lang w:val="en-US" w:eastAsia="zh-CN"/>
        </w:rPr>
        <w:t>；</w:t>
      </w:r>
    </w:p>
    <w:p w14:paraId="6FC2A54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7联合体的供应商未提交各方共同签署的</w:t>
      </w:r>
      <w:r>
        <w:rPr>
          <w:rFonts w:hint="eastAsia"/>
          <w:color w:val="auto"/>
          <w:highlight w:val="none"/>
          <w:lang w:val="en-US" w:eastAsia="zh-CN"/>
        </w:rPr>
        <w:t>联合体</w:t>
      </w:r>
      <w:r>
        <w:rPr>
          <w:rFonts w:hint="eastAsia"/>
          <w:color w:val="auto"/>
          <w:highlight w:val="none"/>
          <w:lang w:val="zh-CN" w:eastAsia="zh-CN"/>
        </w:rPr>
        <w:t>协议</w:t>
      </w:r>
      <w:r>
        <w:rPr>
          <w:rFonts w:hint="eastAsia"/>
          <w:color w:val="auto"/>
          <w:highlight w:val="none"/>
          <w:lang w:val="en-US" w:eastAsia="zh-CN"/>
        </w:rPr>
        <w:t>的；</w:t>
      </w:r>
    </w:p>
    <w:p w14:paraId="4D1E785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8</w:t>
      </w:r>
      <w:r>
        <w:rPr>
          <w:rFonts w:hint="eastAsia"/>
          <w:color w:val="auto"/>
          <w:highlight w:val="none"/>
          <w:lang w:val="en-US" w:eastAsia="zh-CN"/>
        </w:rPr>
        <w:t>投标人</w:t>
      </w:r>
      <w:r>
        <w:rPr>
          <w:rFonts w:hint="eastAsia"/>
          <w:color w:val="auto"/>
          <w:highlight w:val="none"/>
          <w:lang w:val="zh-CN" w:eastAsia="zh-CN"/>
        </w:rPr>
        <w:t>未按</w:t>
      </w:r>
      <w:r>
        <w:rPr>
          <w:rFonts w:hint="eastAsia"/>
          <w:color w:val="auto"/>
          <w:highlight w:val="none"/>
          <w:lang w:val="en-US" w:eastAsia="zh-CN"/>
        </w:rPr>
        <w:t>招标</w:t>
      </w:r>
      <w:r>
        <w:rPr>
          <w:rFonts w:hint="eastAsia"/>
          <w:color w:val="auto"/>
          <w:highlight w:val="none"/>
          <w:lang w:val="zh-CN" w:eastAsia="zh-CN"/>
        </w:rPr>
        <w:t>文件</w:t>
      </w:r>
      <w:r>
        <w:rPr>
          <w:rFonts w:hint="eastAsia"/>
          <w:color w:val="auto"/>
          <w:highlight w:val="none"/>
          <w:lang w:val="en-US" w:eastAsia="zh-CN"/>
        </w:rPr>
        <w:t>的规定</w:t>
      </w:r>
      <w:r>
        <w:rPr>
          <w:rFonts w:hint="eastAsia"/>
          <w:color w:val="auto"/>
          <w:highlight w:val="none"/>
          <w:lang w:val="zh-CN" w:eastAsia="zh-CN"/>
        </w:rPr>
        <w:t>交纳投标保证金</w:t>
      </w:r>
      <w:r>
        <w:rPr>
          <w:rFonts w:hint="eastAsia"/>
          <w:color w:val="auto"/>
          <w:highlight w:val="none"/>
          <w:lang w:val="en-US" w:eastAsia="zh-CN"/>
        </w:rPr>
        <w:t>的；</w:t>
      </w:r>
    </w:p>
    <w:p w14:paraId="149A35CB">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9评审期间,</w:t>
      </w:r>
      <w:r>
        <w:rPr>
          <w:rFonts w:hint="eastAsia"/>
          <w:color w:val="auto"/>
          <w:highlight w:val="none"/>
          <w:lang w:val="en-US" w:eastAsia="zh-CN"/>
        </w:rPr>
        <w:t>投标人</w:t>
      </w:r>
      <w:r>
        <w:rPr>
          <w:rFonts w:hint="eastAsia"/>
          <w:color w:val="auto"/>
          <w:highlight w:val="none"/>
          <w:lang w:val="zh-CN" w:eastAsia="zh-CN"/>
        </w:rPr>
        <w:t>没有按评标委员会的要求提交经授权代表签字的澄清、说明、补正或改变了</w:t>
      </w:r>
      <w:r>
        <w:rPr>
          <w:rFonts w:hint="eastAsia"/>
          <w:color w:val="auto"/>
          <w:highlight w:val="none"/>
          <w:lang w:val="en-US" w:eastAsia="zh-CN"/>
        </w:rPr>
        <w:t>投标</w:t>
      </w:r>
      <w:r>
        <w:rPr>
          <w:rFonts w:hint="eastAsia"/>
          <w:color w:val="auto"/>
          <w:highlight w:val="none"/>
          <w:lang w:val="zh-CN" w:eastAsia="zh-CN"/>
        </w:rPr>
        <w:t>文件的实质性内容</w:t>
      </w:r>
      <w:r>
        <w:rPr>
          <w:rFonts w:hint="eastAsia"/>
          <w:color w:val="auto"/>
          <w:highlight w:val="none"/>
          <w:lang w:val="en-US" w:eastAsia="zh-CN"/>
        </w:rPr>
        <w:t>的；</w:t>
      </w:r>
    </w:p>
    <w:p w14:paraId="19EFB93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10</w:t>
      </w:r>
      <w:r>
        <w:rPr>
          <w:rFonts w:hint="eastAsia"/>
          <w:color w:val="auto"/>
          <w:highlight w:val="none"/>
          <w:lang w:val="en-US" w:eastAsia="zh-CN"/>
        </w:rPr>
        <w:t>投标人</w:t>
      </w:r>
      <w:r>
        <w:rPr>
          <w:rFonts w:hint="eastAsia"/>
          <w:color w:val="auto"/>
          <w:highlight w:val="none"/>
          <w:lang w:val="zh-CN" w:eastAsia="zh-CN"/>
        </w:rPr>
        <w:t>对采购人、采购代理机构、评标委员会及其工作人员施加影响,有碍公平、公正</w:t>
      </w:r>
      <w:r>
        <w:rPr>
          <w:rFonts w:hint="eastAsia"/>
          <w:color w:val="auto"/>
          <w:highlight w:val="none"/>
          <w:lang w:val="en-US" w:eastAsia="zh-CN"/>
        </w:rPr>
        <w:t>的；</w:t>
      </w:r>
    </w:p>
    <w:p w14:paraId="3A6B238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color w:val="auto"/>
          <w:highlight w:val="none"/>
          <w:lang w:val="en-US" w:eastAsia="zh-CN"/>
        </w:rPr>
      </w:pPr>
      <w:r>
        <w:rPr>
          <w:rFonts w:hint="eastAsia"/>
          <w:color w:val="auto"/>
          <w:highlight w:val="none"/>
          <w:lang w:val="en-US" w:eastAsia="zh-CN"/>
        </w:rPr>
        <w:t>19.11投标文件含有采购人不能接受的附加条件的；</w:t>
      </w:r>
    </w:p>
    <w:p w14:paraId="3764E97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1</w:t>
      </w:r>
      <w:r>
        <w:rPr>
          <w:rFonts w:hint="eastAsia"/>
          <w:color w:val="auto"/>
          <w:highlight w:val="none"/>
          <w:lang w:val="en-US" w:eastAsia="zh-CN"/>
        </w:rPr>
        <w:t>2</w:t>
      </w:r>
      <w:r>
        <w:rPr>
          <w:rFonts w:hint="eastAsia"/>
          <w:color w:val="auto"/>
          <w:highlight w:val="none"/>
          <w:lang w:val="zh-CN" w:eastAsia="zh-CN"/>
        </w:rPr>
        <w:t>法律、法规、规章规定属于</w:t>
      </w:r>
      <w:r>
        <w:rPr>
          <w:rFonts w:hint="eastAsia"/>
          <w:color w:val="auto"/>
          <w:highlight w:val="none"/>
          <w:lang w:val="en-US" w:eastAsia="zh-CN"/>
        </w:rPr>
        <w:t>投标</w:t>
      </w:r>
      <w:r>
        <w:rPr>
          <w:rFonts w:hint="eastAsia"/>
          <w:color w:val="auto"/>
          <w:highlight w:val="none"/>
          <w:lang w:val="zh-CN" w:eastAsia="zh-CN"/>
        </w:rPr>
        <w:t>无效的其他情形。</w:t>
      </w:r>
    </w:p>
    <w:p w14:paraId="601D797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20.有下列情形之一的，视为投标人串通投标，其</w:t>
      </w:r>
      <w:r>
        <w:rPr>
          <w:rFonts w:hint="eastAsia"/>
          <w:b/>
          <w:bCs/>
          <w:color w:val="auto"/>
          <w:highlight w:val="none"/>
          <w:lang w:val="en-US" w:eastAsia="zh-CN"/>
        </w:rPr>
        <w:t>投标无效</w:t>
      </w:r>
      <w:r>
        <w:rPr>
          <w:rFonts w:hint="eastAsia"/>
          <w:color w:val="auto"/>
          <w:highlight w:val="none"/>
          <w:lang w:val="en-US" w:eastAsia="zh-CN"/>
        </w:rPr>
        <w:t>：</w:t>
      </w:r>
    </w:p>
    <w:p w14:paraId="0BD5061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20.1不同投标人的投标文件由同一单位或者个人编制；</w:t>
      </w:r>
    </w:p>
    <w:p w14:paraId="3181555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20.2不同投标人委托同一单位或者个人办理投标事宜；</w:t>
      </w:r>
    </w:p>
    <w:p w14:paraId="3AD2037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20.3不同投标人的投标文件载明的项目管理成员或者联系人员为同一人；</w:t>
      </w:r>
    </w:p>
    <w:p w14:paraId="3F168EA2">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20.4不同投标人的投标文件异常一致或者投标报价呈规律性差异；</w:t>
      </w:r>
    </w:p>
    <w:p w14:paraId="634E793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20.5不同投标人的投标文件相互混装；</w:t>
      </w:r>
    </w:p>
    <w:p w14:paraId="3B078CE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20.6不同投标人的投标保证金从同一单位或者个人的账户转出；</w:t>
      </w:r>
    </w:p>
    <w:p w14:paraId="1C3AF75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20.7</w:t>
      </w:r>
      <w:r>
        <w:rPr>
          <w:rFonts w:hint="eastAsia"/>
          <w:color w:val="auto"/>
          <w:highlight w:val="none"/>
          <w:lang w:val="zh-CN" w:eastAsia="zh-CN"/>
        </w:rPr>
        <w:t>不同投标人使用同一电脑（机器特征值一致：如MAC地址等）或使用同一电子密钥，编制或上传电子投标文件</w:t>
      </w:r>
      <w:r>
        <w:rPr>
          <w:rFonts w:hint="eastAsia"/>
          <w:color w:val="auto"/>
          <w:highlight w:val="none"/>
          <w:lang w:val="en-US" w:eastAsia="zh-CN"/>
        </w:rPr>
        <w:t>；</w:t>
      </w:r>
    </w:p>
    <w:p w14:paraId="0641DF4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eastAsia="宋体"/>
          <w:color w:val="auto"/>
          <w:highlight w:val="none"/>
          <w:lang w:val="en-US" w:eastAsia="zh-CN"/>
        </w:rPr>
      </w:pPr>
      <w:r>
        <w:rPr>
          <w:rFonts w:hint="eastAsia"/>
          <w:color w:val="auto"/>
          <w:highlight w:val="none"/>
          <w:lang w:val="en-US" w:eastAsia="zh-CN"/>
        </w:rPr>
        <w:t>20.8法律、法规、规章规定属于投标人串通投标的其他情形</w:t>
      </w:r>
      <w:r>
        <w:rPr>
          <w:rFonts w:hint="eastAsia"/>
          <w:color w:val="auto"/>
          <w:highlight w:val="none"/>
          <w:lang w:val="zh-CN" w:eastAsia="zh-CN"/>
        </w:rPr>
        <w:t>。</w:t>
      </w:r>
    </w:p>
    <w:p w14:paraId="737FAF0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w:t>
      </w:r>
      <w:r>
        <w:rPr>
          <w:rFonts w:hint="eastAsia"/>
          <w:color w:val="auto"/>
          <w:highlight w:val="none"/>
        </w:rPr>
        <w:t>根据《中华人民共和国政府采购法》第三十六条之规定，在招标采购过程中，出现下列情形之一的，应予</w:t>
      </w:r>
      <w:r>
        <w:rPr>
          <w:rFonts w:hint="eastAsia"/>
          <w:b/>
          <w:bCs/>
          <w:color w:val="auto"/>
          <w:highlight w:val="none"/>
        </w:rPr>
        <w:t>废标</w:t>
      </w:r>
      <w:r>
        <w:rPr>
          <w:rFonts w:hint="eastAsia"/>
          <w:color w:val="auto"/>
          <w:highlight w:val="none"/>
        </w:rPr>
        <w:t>：</w:t>
      </w:r>
    </w:p>
    <w:p w14:paraId="2C92042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.1</w:t>
      </w:r>
      <w:r>
        <w:rPr>
          <w:rFonts w:hint="eastAsia"/>
          <w:iCs/>
          <w:color w:val="auto"/>
          <w:spacing w:val="-6"/>
          <w:sz w:val="24"/>
          <w:highlight w:val="none"/>
        </w:rPr>
        <w:t>符合专业条件的供应商或者对招标文件作实质响应的供应商不足3家的；</w:t>
      </w:r>
    </w:p>
    <w:p w14:paraId="34ECD7A2">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.2</w:t>
      </w:r>
      <w:r>
        <w:rPr>
          <w:rFonts w:hint="eastAsia"/>
          <w:color w:val="auto"/>
          <w:highlight w:val="none"/>
        </w:rPr>
        <w:t>出现影响采购公正的违法、违规行为的；</w:t>
      </w:r>
    </w:p>
    <w:p w14:paraId="55223AA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.3</w:t>
      </w:r>
      <w:r>
        <w:rPr>
          <w:rFonts w:hint="eastAsia"/>
          <w:color w:val="auto"/>
          <w:highlight w:val="none"/>
        </w:rPr>
        <w:t>投标人的报价均超过了采购预算，采购人不能支付的；</w:t>
      </w:r>
    </w:p>
    <w:p w14:paraId="238CC2DB">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21</w:t>
      </w:r>
      <w:r>
        <w:rPr>
          <w:color w:val="auto"/>
          <w:highlight w:val="none"/>
        </w:rPr>
        <w:t>.4</w:t>
      </w:r>
      <w:r>
        <w:rPr>
          <w:rFonts w:hint="eastAsia"/>
          <w:color w:val="auto"/>
          <w:highlight w:val="none"/>
        </w:rPr>
        <w:t>因重大变故，采购任务取消的</w:t>
      </w:r>
      <w:r>
        <w:rPr>
          <w:rFonts w:hint="eastAsia"/>
          <w:color w:val="auto"/>
          <w:highlight w:val="none"/>
          <w:lang w:val="en-US" w:eastAsia="zh-CN"/>
        </w:rPr>
        <w:t>；</w:t>
      </w:r>
    </w:p>
    <w:p w14:paraId="42948BC7">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21.5</w:t>
      </w:r>
      <w:r>
        <w:rPr>
          <w:rFonts w:hint="eastAsia"/>
          <w:color w:val="auto"/>
          <w:highlight w:val="none"/>
        </w:rPr>
        <w:t>法律、法规、规章规定属于</w:t>
      </w:r>
      <w:r>
        <w:rPr>
          <w:rFonts w:hint="eastAsia"/>
          <w:color w:val="auto"/>
          <w:highlight w:val="none"/>
          <w:lang w:val="en-US" w:eastAsia="zh-CN"/>
        </w:rPr>
        <w:t>废标</w:t>
      </w:r>
      <w:r>
        <w:rPr>
          <w:rFonts w:hint="eastAsia"/>
          <w:color w:val="auto"/>
          <w:highlight w:val="none"/>
        </w:rPr>
        <w:t>的其他情形。</w:t>
      </w:r>
    </w:p>
    <w:p w14:paraId="3EE3913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22.</w:t>
      </w:r>
      <w:r>
        <w:rPr>
          <w:rFonts w:hint="eastAsia"/>
          <w:color w:val="auto"/>
          <w:highlight w:val="none"/>
        </w:rPr>
        <w:t>废标后，采购人应当将废标理由通知所有投标人。</w:t>
      </w:r>
    </w:p>
    <w:p w14:paraId="05AB6DC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zh-CN" w:eastAsia="zh-CN" w:bidi="ar-SA"/>
        </w:rPr>
      </w:pPr>
      <w:bookmarkStart w:id="504" w:name="_Toc163492907"/>
      <w:bookmarkStart w:id="505" w:name="_Toc102056218"/>
      <w:bookmarkStart w:id="506" w:name="_Toc20839"/>
      <w:bookmarkStart w:id="507" w:name="_Toc155185914"/>
      <w:bookmarkStart w:id="508" w:name="_Toc102116152"/>
      <w:bookmarkStart w:id="509" w:name="_Toc5243"/>
      <w:bookmarkStart w:id="510" w:name="_Toc102057718"/>
      <w:bookmarkStart w:id="511" w:name="_Toc14002"/>
      <w:bookmarkStart w:id="512" w:name="_Toc102114920"/>
      <w:bookmarkStart w:id="513" w:name="_Toc102116022"/>
      <w:bookmarkStart w:id="514" w:name="_Toc102119853"/>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九</w:t>
      </w:r>
      <w:r>
        <w:rPr>
          <w:rFonts w:hint="eastAsia" w:ascii="宋体" w:hAnsi="宋体" w:eastAsia="宋体" w:cs="宋体"/>
          <w:b/>
          <w:bCs/>
          <w:color w:val="auto"/>
          <w:kern w:val="2"/>
          <w:sz w:val="24"/>
          <w:szCs w:val="24"/>
          <w:highlight w:val="none"/>
          <w:lang w:val="zh-CN" w:eastAsia="zh-CN" w:bidi="ar-SA"/>
        </w:rPr>
        <w:t>）停止评标的情形</w:t>
      </w:r>
      <w:bookmarkEnd w:id="504"/>
      <w:bookmarkEnd w:id="505"/>
      <w:bookmarkEnd w:id="506"/>
      <w:bookmarkEnd w:id="507"/>
      <w:bookmarkEnd w:id="508"/>
      <w:bookmarkEnd w:id="509"/>
      <w:bookmarkEnd w:id="510"/>
      <w:bookmarkEnd w:id="511"/>
      <w:bookmarkEnd w:id="512"/>
      <w:bookmarkEnd w:id="513"/>
      <w:bookmarkEnd w:id="514"/>
    </w:p>
    <w:p w14:paraId="190044DE">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lang w:val="en-US" w:eastAsia="zh-CN"/>
        </w:rPr>
        <w:t>23</w:t>
      </w:r>
      <w:r>
        <w:rPr>
          <w:color w:val="auto"/>
          <w:highlight w:val="none"/>
        </w:rPr>
        <w:t>.</w:t>
      </w:r>
      <w:r>
        <w:rPr>
          <w:rFonts w:hint="eastAsia"/>
          <w:color w:val="auto"/>
          <w:highlight w:val="none"/>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2CDB1955">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1" w:leftChars="100" w:right="0" w:hanging="181" w:hangingChars="75"/>
        <w:textAlignment w:val="auto"/>
        <w:rPr>
          <w:rFonts w:hint="eastAsia" w:ascii="宋体" w:hAnsi="宋体" w:eastAsia="宋体" w:cs="宋体"/>
          <w:b/>
          <w:bCs/>
          <w:color w:val="auto"/>
          <w:kern w:val="2"/>
          <w:sz w:val="24"/>
          <w:szCs w:val="24"/>
          <w:highlight w:val="none"/>
          <w:lang w:val="zh-CN" w:eastAsia="zh-CN" w:bidi="ar-SA"/>
        </w:rPr>
      </w:pPr>
      <w:bookmarkStart w:id="515" w:name="_Toc13967"/>
      <w:bookmarkStart w:id="516" w:name="_Toc10597"/>
      <w:bookmarkStart w:id="517" w:name="_Toc8262"/>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十</w:t>
      </w:r>
      <w:r>
        <w:rPr>
          <w:rFonts w:hint="eastAsia" w:ascii="宋体" w:hAnsi="宋体" w:eastAsia="宋体" w:cs="宋体"/>
          <w:b/>
          <w:bCs/>
          <w:color w:val="auto"/>
          <w:kern w:val="2"/>
          <w:sz w:val="24"/>
          <w:szCs w:val="24"/>
          <w:highlight w:val="none"/>
          <w:lang w:val="zh-CN" w:eastAsia="zh-CN" w:bidi="ar-SA"/>
        </w:rPr>
        <w:t>）重新开展采购</w:t>
      </w:r>
      <w:bookmarkEnd w:id="515"/>
      <w:bookmarkEnd w:id="516"/>
      <w:bookmarkEnd w:id="517"/>
    </w:p>
    <w:p w14:paraId="461B653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有</w:t>
      </w:r>
      <w:r>
        <w:rPr>
          <w:rFonts w:hint="eastAsia"/>
          <w:color w:val="auto"/>
          <w:highlight w:val="none"/>
          <w:lang w:eastAsia="zh-CN"/>
        </w:rPr>
        <w:t>《</w:t>
      </w:r>
      <w:r>
        <w:rPr>
          <w:rFonts w:hint="eastAsia"/>
          <w:color w:val="auto"/>
          <w:highlight w:val="none"/>
        </w:rPr>
        <w:t>中华人民共和国政府采购法</w:t>
      </w:r>
      <w:r>
        <w:rPr>
          <w:rFonts w:hint="eastAsia"/>
          <w:color w:val="auto"/>
          <w:highlight w:val="none"/>
          <w:lang w:eastAsia="zh-CN"/>
        </w:rPr>
        <w:t>》</w:t>
      </w:r>
      <w:r>
        <w:rPr>
          <w:rFonts w:hint="eastAsia"/>
          <w:color w:val="auto"/>
          <w:highlight w:val="none"/>
        </w:rPr>
        <w:t>第七十一条、第七十二条规定的违法行为之一，影响或者可能影响中标结果的，依照下列规定处理：</w:t>
      </w:r>
    </w:p>
    <w:p w14:paraId="7AA5C7C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.1</w:t>
      </w:r>
      <w:r>
        <w:rPr>
          <w:rFonts w:hint="eastAsia"/>
          <w:iCs/>
          <w:color w:val="auto"/>
          <w:spacing w:val="-6"/>
          <w:sz w:val="24"/>
          <w:highlight w:val="none"/>
        </w:rPr>
        <w:t>未确定中标供应商的，终止本次政府采购活动，重新开展政府采购活动。</w:t>
      </w:r>
    </w:p>
    <w:p w14:paraId="3A79489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.2已确定中标供应商但尚未签订政府采购合同的，中标结果无效，从合格的中标候选人中另行确定中标供应商；没有合格的中标候选人的，重新开展政府采购活动。</w:t>
      </w:r>
    </w:p>
    <w:p w14:paraId="595100C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.3政府采购合同已签订但尚未履行的，撤销合同，从合格的中标候选人中另行确定中标供应商；没有合格的中标候选人的，重新开展政府采购活动。</w:t>
      </w:r>
    </w:p>
    <w:p w14:paraId="45E078B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.4政府采购合同已经履行，给采购人、供应商造成损失的，由责任人承担赔偿责任。</w:t>
      </w:r>
    </w:p>
    <w:p w14:paraId="43A428E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24</w:t>
      </w:r>
      <w:r>
        <w:rPr>
          <w:rFonts w:hint="eastAsia"/>
          <w:color w:val="auto"/>
          <w:highlight w:val="none"/>
        </w:rPr>
        <w:t>.5政府采购当事人有其他违反</w:t>
      </w:r>
      <w:r>
        <w:rPr>
          <w:rFonts w:hint="eastAsia"/>
          <w:iCs/>
          <w:color w:val="auto"/>
          <w:spacing w:val="-6"/>
          <w:sz w:val="24"/>
          <w:highlight w:val="none"/>
          <w:lang w:eastAsia="zh-CN"/>
        </w:rPr>
        <w:t>《</w:t>
      </w:r>
      <w:r>
        <w:rPr>
          <w:rFonts w:hint="eastAsia"/>
          <w:iCs/>
          <w:color w:val="auto"/>
          <w:spacing w:val="-6"/>
          <w:sz w:val="24"/>
          <w:highlight w:val="none"/>
        </w:rPr>
        <w:t>中华人民共和国政府采购法</w:t>
      </w:r>
      <w:r>
        <w:rPr>
          <w:rFonts w:hint="eastAsia"/>
          <w:iCs/>
          <w:color w:val="auto"/>
          <w:spacing w:val="-6"/>
          <w:sz w:val="24"/>
          <w:highlight w:val="none"/>
          <w:lang w:eastAsia="zh-CN"/>
        </w:rPr>
        <w:t>》</w:t>
      </w:r>
      <w:r>
        <w:rPr>
          <w:rFonts w:hint="eastAsia"/>
          <w:iCs/>
          <w:color w:val="auto"/>
          <w:spacing w:val="-6"/>
          <w:sz w:val="24"/>
          <w:highlight w:val="none"/>
        </w:rPr>
        <w:t>或者</w:t>
      </w:r>
      <w:r>
        <w:rPr>
          <w:rFonts w:hint="eastAsia"/>
          <w:iCs/>
          <w:color w:val="auto"/>
          <w:spacing w:val="-6"/>
          <w:sz w:val="24"/>
          <w:highlight w:val="none"/>
          <w:lang w:eastAsia="zh-CN"/>
        </w:rPr>
        <w:t>《</w:t>
      </w:r>
      <w:r>
        <w:rPr>
          <w:rFonts w:hint="eastAsia"/>
          <w:iCs/>
          <w:color w:val="auto"/>
          <w:spacing w:val="-6"/>
          <w:sz w:val="24"/>
          <w:highlight w:val="none"/>
        </w:rPr>
        <w:t>中华人民共和国政府采购法实施条例</w:t>
      </w:r>
      <w:r>
        <w:rPr>
          <w:rFonts w:hint="eastAsia"/>
          <w:iCs/>
          <w:color w:val="auto"/>
          <w:spacing w:val="-6"/>
          <w:sz w:val="24"/>
          <w:highlight w:val="none"/>
          <w:lang w:eastAsia="zh-CN"/>
        </w:rPr>
        <w:t>》</w:t>
      </w:r>
      <w:r>
        <w:rPr>
          <w:rFonts w:hint="eastAsia"/>
          <w:color w:val="auto"/>
          <w:highlight w:val="none"/>
        </w:rPr>
        <w:t>等法律法规规定的行为，经改正后仍然影响或者可能影响中标结果或者依法被认定为中标无效的，依照</w:t>
      </w:r>
      <w:r>
        <w:rPr>
          <w:rFonts w:hint="eastAsia"/>
          <w:color w:val="auto"/>
          <w:highlight w:val="none"/>
          <w:lang w:val="en-US" w:eastAsia="zh-CN"/>
        </w:rPr>
        <w:t>24</w:t>
      </w:r>
      <w:r>
        <w:rPr>
          <w:rFonts w:hint="eastAsia"/>
          <w:color w:val="auto"/>
          <w:highlight w:val="none"/>
        </w:rPr>
        <w:t>.1</w:t>
      </w:r>
      <w:r>
        <w:rPr>
          <w:rFonts w:hint="eastAsia"/>
          <w:color w:val="auto"/>
          <w:highlight w:val="none"/>
          <w:lang w:eastAsia="zh-CN"/>
        </w:rPr>
        <w:t>—</w:t>
      </w:r>
      <w:r>
        <w:rPr>
          <w:rFonts w:hint="eastAsia"/>
          <w:color w:val="auto"/>
          <w:highlight w:val="none"/>
          <w:lang w:val="en-US" w:eastAsia="zh-CN"/>
        </w:rPr>
        <w:t>24</w:t>
      </w:r>
      <w:r>
        <w:rPr>
          <w:rFonts w:hint="eastAsia"/>
          <w:color w:val="auto"/>
          <w:highlight w:val="none"/>
        </w:rPr>
        <w:t>.4规定处理。</w:t>
      </w:r>
    </w:p>
    <w:bookmarkEnd w:id="453"/>
    <w:bookmarkEnd w:id="454"/>
    <w:bookmarkEnd w:id="455"/>
    <w:bookmarkEnd w:id="456"/>
    <w:bookmarkEnd w:id="457"/>
    <w:bookmarkEnd w:id="458"/>
    <w:bookmarkEnd w:id="459"/>
    <w:bookmarkEnd w:id="460"/>
    <w:bookmarkEnd w:id="461"/>
    <w:bookmarkEnd w:id="462"/>
    <w:p w14:paraId="6AD5E432">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89" w:leftChars="116" w:right="0" w:hanging="211" w:hangingChars="75"/>
        <w:textAlignment w:val="auto"/>
        <w:rPr>
          <w:rFonts w:hint="default" w:ascii="宋体" w:hAnsi="宋体" w:eastAsia="宋体" w:cs="宋体"/>
          <w:color w:val="auto"/>
          <w:sz w:val="28"/>
          <w:szCs w:val="28"/>
          <w:highlight w:val="none"/>
          <w:lang w:val="en-US" w:eastAsia="zh-CN"/>
        </w:rPr>
      </w:pPr>
      <w:bookmarkStart w:id="518" w:name="_Toc27264"/>
      <w:bookmarkStart w:id="519" w:name="_Toc14768"/>
      <w:r>
        <w:rPr>
          <w:rFonts w:hint="eastAsia" w:ascii="宋体" w:hAnsi="宋体" w:eastAsia="宋体" w:cs="宋体"/>
          <w:color w:val="auto"/>
          <w:sz w:val="28"/>
          <w:szCs w:val="28"/>
          <w:highlight w:val="none"/>
          <w:lang w:val="zh-CN" w:eastAsia="zh-CN"/>
        </w:rPr>
        <w:t>三、评标</w:t>
      </w:r>
      <w:r>
        <w:rPr>
          <w:rFonts w:hint="eastAsia" w:ascii="宋体" w:hAnsi="宋体" w:eastAsia="宋体" w:cs="宋体"/>
          <w:color w:val="auto"/>
          <w:sz w:val="28"/>
          <w:szCs w:val="28"/>
          <w:highlight w:val="none"/>
          <w:lang w:val="en-US" w:eastAsia="zh-CN"/>
        </w:rPr>
        <w:t>其他要求</w:t>
      </w:r>
      <w:bookmarkEnd w:id="518"/>
      <w:bookmarkEnd w:id="519"/>
    </w:p>
    <w:p w14:paraId="466276FA">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rightChars="0" w:firstLine="321" w:firstLineChars="100"/>
        <w:textAlignment w:val="auto"/>
        <w:rPr>
          <w:rFonts w:hint="eastAsia"/>
          <w:color w:val="auto"/>
          <w:highlight w:val="none"/>
          <w:lang w:val="en-US" w:eastAsia="zh-CN"/>
        </w:rPr>
      </w:pPr>
      <w:bookmarkStart w:id="520" w:name="_Toc22385"/>
      <w:bookmarkStart w:id="521" w:name="_Toc2099"/>
      <w:r>
        <w:rPr>
          <w:rFonts w:hint="eastAsia"/>
          <w:color w:val="auto"/>
          <w:highlight w:val="none"/>
          <w:lang w:val="en-US" w:eastAsia="zh-CN"/>
        </w:rPr>
        <w:t>无</w:t>
      </w:r>
    </w:p>
    <w:p w14:paraId="0BE29AB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420" w:leftChars="0" w:right="0" w:rightChars="0"/>
        <w:textAlignment w:val="auto"/>
        <w:rPr>
          <w:rFonts w:hint="eastAsia" w:ascii="宋体" w:hAnsi="宋体" w:eastAsia="宋体" w:cs="宋体"/>
          <w:color w:val="auto"/>
          <w:sz w:val="28"/>
          <w:szCs w:val="28"/>
          <w:highlight w:val="none"/>
          <w:lang w:val="zh-CN" w:eastAsia="zh-CN"/>
        </w:rPr>
      </w:pPr>
      <w:r>
        <w:rPr>
          <w:rFonts w:hint="eastAsia" w:ascii="宋体" w:hAnsi="宋体" w:cs="宋体"/>
          <w:color w:val="auto"/>
          <w:sz w:val="28"/>
          <w:szCs w:val="28"/>
          <w:highlight w:val="none"/>
          <w:lang w:val="en-US" w:eastAsia="zh-CN"/>
        </w:rPr>
        <w:t xml:space="preserve">    四、 </w:t>
      </w:r>
      <w:r>
        <w:rPr>
          <w:rFonts w:hint="eastAsia" w:ascii="宋体" w:hAnsi="宋体" w:eastAsia="宋体" w:cs="宋体"/>
          <w:color w:val="auto"/>
          <w:sz w:val="28"/>
          <w:szCs w:val="28"/>
          <w:highlight w:val="none"/>
          <w:lang w:val="zh-CN" w:eastAsia="zh-CN"/>
        </w:rPr>
        <w:t>评标标准</w:t>
      </w:r>
      <w:bookmarkEnd w:id="520"/>
      <w:bookmarkEnd w:id="521"/>
    </w:p>
    <w:p w14:paraId="00AE4BE7">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textAlignment w:val="auto"/>
        <w:rPr>
          <w:rFonts w:hint="eastAsia"/>
          <w:lang w:val="zh-CN" w:eastAsia="zh-CN"/>
        </w:rPr>
      </w:pPr>
      <w:r>
        <w:rPr>
          <w:rFonts w:hint="eastAsia" w:ascii="宋体" w:hAnsi="宋体" w:eastAsia="宋体" w:cs="宋体"/>
          <w:b/>
          <w:bCs/>
          <w:color w:val="auto"/>
          <w:kern w:val="2"/>
          <w:sz w:val="24"/>
          <w:szCs w:val="24"/>
          <w:highlight w:val="none"/>
          <w:lang w:val="zh-CN" w:eastAsia="zh-CN" w:bidi="ar-SA"/>
        </w:rPr>
        <w:t>（一）符合性审查表</w:t>
      </w:r>
    </w:p>
    <w:tbl>
      <w:tblPr>
        <w:tblStyle w:val="29"/>
        <w:tblpPr w:leftFromText="180" w:rightFromText="180" w:vertAnchor="text" w:horzAnchor="page" w:tblpXSpec="center" w:tblpY="561"/>
        <w:tblOverlap w:val="never"/>
        <w:tblW w:w="548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24"/>
        <w:gridCol w:w="1300"/>
        <w:gridCol w:w="5484"/>
        <w:gridCol w:w="865"/>
        <w:gridCol w:w="1088"/>
      </w:tblGrid>
      <w:tr w14:paraId="1B3A5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333" w:type="pct"/>
            <w:vMerge w:val="restart"/>
            <w:shd w:val="clear" w:color="auto" w:fill="D8D8D8" w:themeFill="background1" w:themeFillShade="D9"/>
            <w:vAlign w:val="center"/>
          </w:tcPr>
          <w:p w14:paraId="5270ECDC">
            <w:pPr>
              <w:pStyle w:val="48"/>
              <w:pageBreakBefore w:val="0"/>
              <w:kinsoku/>
              <w:overflowPunct/>
              <w:bidi w:val="0"/>
              <w:spacing w:beforeAutospacing="0" w:afterAutospacing="0" w:line="560" w:lineRule="exact"/>
              <w:ind w:left="0" w:leftChars="0" w:right="0"/>
              <w:jc w:val="both"/>
              <w:rPr>
                <w:rFonts w:hint="eastAsia" w:ascii="宋体" w:hAnsi="宋体" w:eastAsia="宋体" w:cs="宋体"/>
                <w:b/>
                <w:bCs/>
                <w:color w:val="auto"/>
                <w:sz w:val="21"/>
                <w:szCs w:val="21"/>
                <w:highlight w:val="none"/>
                <w:lang w:val="zh-CN"/>
              </w:rPr>
            </w:pPr>
            <w:bookmarkStart w:id="522" w:name="_Toc1508"/>
            <w:bookmarkStart w:id="523" w:name="_Toc29368"/>
            <w:bookmarkStart w:id="524" w:name="_Toc163492909"/>
            <w:bookmarkStart w:id="525" w:name="_Toc12396"/>
            <w:r>
              <w:rPr>
                <w:rFonts w:hint="eastAsia" w:ascii="宋体" w:hAnsi="宋体" w:eastAsia="宋体" w:cs="宋体"/>
                <w:b/>
                <w:bCs/>
                <w:color w:val="auto"/>
                <w:sz w:val="21"/>
                <w:szCs w:val="21"/>
                <w:highlight w:val="none"/>
                <w:lang w:val="zh-CN"/>
              </w:rPr>
              <w:t>序号</w:t>
            </w:r>
          </w:p>
        </w:tc>
        <w:tc>
          <w:tcPr>
            <w:tcW w:w="694" w:type="pct"/>
            <w:vMerge w:val="restart"/>
            <w:shd w:val="clear" w:color="auto" w:fill="D8D8D8" w:themeFill="background1" w:themeFillShade="D9"/>
            <w:vAlign w:val="center"/>
          </w:tcPr>
          <w:p w14:paraId="27A939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审查项名称</w:t>
            </w:r>
          </w:p>
        </w:tc>
        <w:tc>
          <w:tcPr>
            <w:tcW w:w="2928" w:type="pct"/>
            <w:vMerge w:val="restart"/>
            <w:shd w:val="clear" w:color="auto" w:fill="D8D8D8" w:themeFill="background1" w:themeFillShade="D9"/>
            <w:vAlign w:val="center"/>
          </w:tcPr>
          <w:p w14:paraId="0ED19FE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审查内容</w:t>
            </w:r>
          </w:p>
        </w:tc>
        <w:tc>
          <w:tcPr>
            <w:tcW w:w="1043" w:type="pct"/>
            <w:gridSpan w:val="2"/>
            <w:shd w:val="clear" w:color="auto" w:fill="D8D8D8" w:themeFill="background1" w:themeFillShade="D9"/>
            <w:vAlign w:val="center"/>
          </w:tcPr>
          <w:p w14:paraId="03973FB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审查结果</w:t>
            </w:r>
          </w:p>
        </w:tc>
      </w:tr>
      <w:tr w14:paraId="7A811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333" w:type="pct"/>
            <w:vMerge w:val="continue"/>
            <w:shd w:val="clear" w:color="auto" w:fill="D8D8D8" w:themeFill="background1" w:themeFillShade="D9"/>
            <w:vAlign w:val="center"/>
          </w:tcPr>
          <w:p w14:paraId="3D4582F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p>
        </w:tc>
        <w:tc>
          <w:tcPr>
            <w:tcW w:w="694" w:type="pct"/>
            <w:vMerge w:val="continue"/>
            <w:shd w:val="clear" w:color="auto" w:fill="D8D8D8" w:themeFill="background1" w:themeFillShade="D9"/>
            <w:vAlign w:val="center"/>
          </w:tcPr>
          <w:p w14:paraId="47D2DAE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p>
        </w:tc>
        <w:tc>
          <w:tcPr>
            <w:tcW w:w="2928" w:type="pct"/>
            <w:vMerge w:val="continue"/>
            <w:shd w:val="clear" w:color="auto" w:fill="D8D8D8" w:themeFill="background1" w:themeFillShade="D9"/>
            <w:vAlign w:val="center"/>
          </w:tcPr>
          <w:p w14:paraId="000F50A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p>
        </w:tc>
        <w:tc>
          <w:tcPr>
            <w:tcW w:w="462" w:type="pct"/>
            <w:shd w:val="clear" w:color="auto" w:fill="D8D8D8" w:themeFill="background1" w:themeFillShade="D9"/>
            <w:vAlign w:val="center"/>
          </w:tcPr>
          <w:p w14:paraId="1795C0B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符合</w:t>
            </w:r>
          </w:p>
        </w:tc>
        <w:tc>
          <w:tcPr>
            <w:tcW w:w="581" w:type="pct"/>
            <w:shd w:val="clear" w:color="auto" w:fill="D8D8D8" w:themeFill="background1" w:themeFillShade="D9"/>
            <w:vAlign w:val="center"/>
          </w:tcPr>
          <w:p w14:paraId="428B4EB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不符合</w:t>
            </w:r>
          </w:p>
        </w:tc>
      </w:tr>
      <w:tr w14:paraId="6AB3C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jc w:val="center"/>
        </w:trPr>
        <w:tc>
          <w:tcPr>
            <w:tcW w:w="333" w:type="pct"/>
            <w:shd w:val="clear" w:color="auto" w:fill="auto"/>
            <w:vAlign w:val="center"/>
          </w:tcPr>
          <w:p w14:paraId="728FD219">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1</w:t>
            </w:r>
          </w:p>
        </w:tc>
        <w:tc>
          <w:tcPr>
            <w:tcW w:w="694" w:type="pct"/>
            <w:vAlign w:val="center"/>
          </w:tcPr>
          <w:p w14:paraId="3A20AAC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投标文件</w:t>
            </w:r>
            <w:r>
              <w:rPr>
                <w:rFonts w:hint="eastAsia" w:ascii="宋体" w:hAnsi="宋体" w:eastAsia="宋体" w:cs="宋体"/>
                <w:color w:val="auto"/>
                <w:sz w:val="21"/>
                <w:szCs w:val="21"/>
                <w:highlight w:val="none"/>
              </w:rPr>
              <w:t>签署</w:t>
            </w:r>
          </w:p>
        </w:tc>
        <w:tc>
          <w:tcPr>
            <w:tcW w:w="2928" w:type="pct"/>
            <w:shd w:val="clear" w:color="auto" w:fill="auto"/>
            <w:vAlign w:val="center"/>
          </w:tcPr>
          <w:p w14:paraId="4F720865">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投标文件按招标文件要求签署、盖章的</w:t>
            </w:r>
          </w:p>
        </w:tc>
        <w:tc>
          <w:tcPr>
            <w:tcW w:w="462" w:type="pct"/>
            <w:shd w:val="clear" w:color="auto" w:fill="auto"/>
            <w:vAlign w:val="center"/>
          </w:tcPr>
          <w:p w14:paraId="1EE21A4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14974CD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68D97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jc w:val="center"/>
        </w:trPr>
        <w:tc>
          <w:tcPr>
            <w:tcW w:w="333" w:type="pct"/>
            <w:shd w:val="clear" w:color="auto" w:fill="auto"/>
            <w:vAlign w:val="center"/>
          </w:tcPr>
          <w:p w14:paraId="62891D31">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2</w:t>
            </w:r>
          </w:p>
        </w:tc>
        <w:tc>
          <w:tcPr>
            <w:tcW w:w="694" w:type="pct"/>
            <w:shd w:val="clear" w:color="auto" w:fill="auto"/>
            <w:vAlign w:val="center"/>
          </w:tcPr>
          <w:p w14:paraId="609EC1A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实质性要求</w:t>
            </w:r>
          </w:p>
        </w:tc>
        <w:tc>
          <w:tcPr>
            <w:tcW w:w="2928" w:type="pct"/>
            <w:shd w:val="clear" w:color="auto" w:fill="auto"/>
            <w:vAlign w:val="center"/>
          </w:tcPr>
          <w:p w14:paraId="67E8EC7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文件满足</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val="zh-CN" w:eastAsia="zh-CN"/>
              </w:rPr>
              <w:t>文件中标注“★”号的实质性条款（或指标）要求的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具体详见</w:t>
            </w:r>
            <w:r>
              <w:rPr>
                <w:rFonts w:hint="eastAsia" w:ascii="宋体" w:hAnsi="宋体" w:eastAsia="宋体" w:cs="宋体"/>
                <w:color w:val="auto"/>
                <w:sz w:val="21"/>
                <w:szCs w:val="21"/>
                <w:highlight w:val="none"/>
                <w:lang w:val="zh-CN"/>
              </w:rPr>
              <w:t>“实质性响应一览表”</w:t>
            </w:r>
          </w:p>
        </w:tc>
        <w:tc>
          <w:tcPr>
            <w:tcW w:w="462" w:type="pct"/>
            <w:shd w:val="clear" w:color="auto" w:fill="auto"/>
            <w:vAlign w:val="center"/>
          </w:tcPr>
          <w:p w14:paraId="09346E6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25F08ED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0BFD3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jc w:val="center"/>
        </w:trPr>
        <w:tc>
          <w:tcPr>
            <w:tcW w:w="333" w:type="pct"/>
            <w:shd w:val="clear" w:color="auto" w:fill="auto"/>
            <w:vAlign w:val="center"/>
          </w:tcPr>
          <w:p w14:paraId="0F758178">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3</w:t>
            </w:r>
          </w:p>
        </w:tc>
        <w:tc>
          <w:tcPr>
            <w:tcW w:w="694" w:type="pct"/>
            <w:vAlign w:val="center"/>
          </w:tcPr>
          <w:p w14:paraId="0BD2CA0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投标报价</w:t>
            </w:r>
          </w:p>
        </w:tc>
        <w:tc>
          <w:tcPr>
            <w:tcW w:w="2928" w:type="pct"/>
            <w:shd w:val="clear" w:color="auto" w:fill="auto"/>
            <w:vAlign w:val="center"/>
          </w:tcPr>
          <w:p w14:paraId="73B6D24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投标人报价未超过招标文件中规定的</w:t>
            </w:r>
            <w:r>
              <w:rPr>
                <w:rFonts w:hint="eastAsia" w:ascii="宋体" w:hAnsi="宋体" w:eastAsia="宋体" w:cs="宋体"/>
                <w:color w:val="auto"/>
                <w:sz w:val="21"/>
                <w:szCs w:val="21"/>
                <w:highlight w:val="none"/>
                <w:lang w:val="en-US" w:eastAsia="zh-CN"/>
              </w:rPr>
              <w:t>最高限价或者预算金额</w:t>
            </w:r>
            <w:r>
              <w:rPr>
                <w:rFonts w:hint="eastAsia" w:ascii="宋体" w:hAnsi="宋体" w:eastAsia="宋体" w:cs="宋体"/>
                <w:color w:val="auto"/>
                <w:kern w:val="2"/>
                <w:sz w:val="21"/>
                <w:szCs w:val="21"/>
                <w:highlight w:val="none"/>
                <w:lang w:val="en-US" w:eastAsia="zh-CN" w:bidi="ar-SA"/>
              </w:rPr>
              <w:t>的</w:t>
            </w:r>
          </w:p>
        </w:tc>
        <w:tc>
          <w:tcPr>
            <w:tcW w:w="462" w:type="pct"/>
            <w:shd w:val="clear" w:color="auto" w:fill="auto"/>
            <w:vAlign w:val="center"/>
          </w:tcPr>
          <w:p w14:paraId="1B8E8A1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2B2E467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58FC8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jc w:val="center"/>
        </w:trPr>
        <w:tc>
          <w:tcPr>
            <w:tcW w:w="333" w:type="pct"/>
            <w:shd w:val="clear" w:color="auto" w:fill="auto"/>
            <w:vAlign w:val="center"/>
          </w:tcPr>
          <w:p w14:paraId="648636C2">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4</w:t>
            </w:r>
          </w:p>
        </w:tc>
        <w:tc>
          <w:tcPr>
            <w:tcW w:w="694" w:type="pct"/>
            <w:vAlign w:val="center"/>
          </w:tcPr>
          <w:p w14:paraId="378C8EC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虚假材料</w:t>
            </w:r>
          </w:p>
        </w:tc>
        <w:tc>
          <w:tcPr>
            <w:tcW w:w="2928" w:type="pct"/>
            <w:shd w:val="clear" w:color="auto" w:fill="auto"/>
            <w:vAlign w:val="center"/>
          </w:tcPr>
          <w:p w14:paraId="1DD413D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提供虚假材料的</w:t>
            </w:r>
          </w:p>
        </w:tc>
        <w:tc>
          <w:tcPr>
            <w:tcW w:w="462" w:type="pct"/>
            <w:shd w:val="clear" w:color="auto" w:fill="auto"/>
            <w:vAlign w:val="center"/>
          </w:tcPr>
          <w:p w14:paraId="09510BC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5C8F34A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6108D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333" w:type="pct"/>
            <w:shd w:val="clear" w:color="auto" w:fill="auto"/>
            <w:vAlign w:val="center"/>
          </w:tcPr>
          <w:p w14:paraId="6EB82C47">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5</w:t>
            </w:r>
          </w:p>
        </w:tc>
        <w:tc>
          <w:tcPr>
            <w:tcW w:w="694" w:type="pct"/>
            <w:vAlign w:val="center"/>
          </w:tcPr>
          <w:p w14:paraId="351D4DA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投标保证金</w:t>
            </w:r>
          </w:p>
        </w:tc>
        <w:tc>
          <w:tcPr>
            <w:tcW w:w="2928" w:type="pct"/>
            <w:shd w:val="clear" w:color="auto" w:fill="auto"/>
            <w:vAlign w:val="center"/>
          </w:tcPr>
          <w:p w14:paraId="06F93478">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投标人按招标文件的规定交纳投标保证金的</w:t>
            </w:r>
          </w:p>
        </w:tc>
        <w:tc>
          <w:tcPr>
            <w:tcW w:w="462" w:type="pct"/>
            <w:shd w:val="clear" w:color="auto" w:fill="auto"/>
            <w:vAlign w:val="center"/>
          </w:tcPr>
          <w:p w14:paraId="233B470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27050EC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41A52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333" w:type="pct"/>
            <w:shd w:val="clear" w:color="auto" w:fill="auto"/>
            <w:vAlign w:val="center"/>
          </w:tcPr>
          <w:p w14:paraId="67065E94">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6</w:t>
            </w:r>
          </w:p>
        </w:tc>
        <w:tc>
          <w:tcPr>
            <w:tcW w:w="694" w:type="pct"/>
            <w:vAlign w:val="center"/>
          </w:tcPr>
          <w:p w14:paraId="4ABDE1A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投标人影响评标</w:t>
            </w:r>
          </w:p>
        </w:tc>
        <w:tc>
          <w:tcPr>
            <w:tcW w:w="2928" w:type="pct"/>
            <w:shd w:val="clear" w:color="auto" w:fill="auto"/>
            <w:vAlign w:val="center"/>
          </w:tcPr>
          <w:p w14:paraId="78121EC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eastAsia="zh-CN"/>
              </w:rPr>
              <w:t>对采购人、采购代理机构、评标委员会及其工作人员</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施加影响,</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有碍公平、公正</w:t>
            </w:r>
            <w:r>
              <w:rPr>
                <w:rFonts w:hint="eastAsia" w:ascii="宋体" w:hAnsi="宋体" w:eastAsia="宋体" w:cs="宋体"/>
                <w:color w:val="auto"/>
                <w:sz w:val="21"/>
                <w:szCs w:val="21"/>
                <w:highlight w:val="none"/>
                <w:lang w:val="en-US" w:eastAsia="zh-CN"/>
              </w:rPr>
              <w:t>的</w:t>
            </w:r>
          </w:p>
        </w:tc>
        <w:tc>
          <w:tcPr>
            <w:tcW w:w="462" w:type="pct"/>
            <w:shd w:val="clear" w:color="auto" w:fill="auto"/>
            <w:vAlign w:val="center"/>
          </w:tcPr>
          <w:p w14:paraId="3F8E653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1BD53E4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10EB1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18" w:hRule="atLeast"/>
          <w:jc w:val="center"/>
        </w:trPr>
        <w:tc>
          <w:tcPr>
            <w:tcW w:w="333" w:type="pct"/>
            <w:shd w:val="clear" w:color="auto" w:fill="auto"/>
            <w:vAlign w:val="center"/>
          </w:tcPr>
          <w:p w14:paraId="5D5B61CE">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7</w:t>
            </w:r>
          </w:p>
        </w:tc>
        <w:tc>
          <w:tcPr>
            <w:tcW w:w="694" w:type="pct"/>
            <w:vAlign w:val="center"/>
          </w:tcPr>
          <w:p w14:paraId="65E0F61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围标串标情形</w:t>
            </w:r>
          </w:p>
        </w:tc>
        <w:tc>
          <w:tcPr>
            <w:tcW w:w="2928" w:type="pct"/>
            <w:shd w:val="clear" w:color="auto" w:fill="auto"/>
            <w:vAlign w:val="center"/>
          </w:tcPr>
          <w:p w14:paraId="08215FA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“第五章 评标方法及标准”</w:t>
            </w:r>
            <w:r>
              <w:rPr>
                <w:rFonts w:hint="eastAsia" w:ascii="宋体" w:hAnsi="宋体" w:eastAsia="宋体" w:cs="宋体"/>
                <w:color w:val="auto"/>
                <w:sz w:val="21"/>
                <w:szCs w:val="21"/>
                <w:highlight w:val="none"/>
                <w:lang w:val="en-US" w:eastAsia="zh-CN"/>
              </w:rPr>
              <w:t>第20条情形之一的</w:t>
            </w:r>
          </w:p>
        </w:tc>
        <w:tc>
          <w:tcPr>
            <w:tcW w:w="462" w:type="pct"/>
            <w:shd w:val="clear" w:color="auto" w:fill="auto"/>
            <w:vAlign w:val="center"/>
          </w:tcPr>
          <w:p w14:paraId="2BE4754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6F9BF20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4F8D1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jc w:val="center"/>
        </w:trPr>
        <w:tc>
          <w:tcPr>
            <w:tcW w:w="333" w:type="pct"/>
            <w:shd w:val="clear" w:color="auto" w:fill="auto"/>
            <w:vAlign w:val="center"/>
          </w:tcPr>
          <w:p w14:paraId="444CF041">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8</w:t>
            </w:r>
          </w:p>
        </w:tc>
        <w:tc>
          <w:tcPr>
            <w:tcW w:w="694" w:type="pct"/>
            <w:vAlign w:val="center"/>
          </w:tcPr>
          <w:p w14:paraId="3E7BCE1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附加条件</w:t>
            </w:r>
          </w:p>
        </w:tc>
        <w:tc>
          <w:tcPr>
            <w:tcW w:w="2928" w:type="pct"/>
            <w:shd w:val="clear" w:color="auto" w:fill="auto"/>
            <w:vAlign w:val="center"/>
          </w:tcPr>
          <w:p w14:paraId="6C9D5B0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投标文件没有采购人不能接受的附加条件的</w:t>
            </w:r>
          </w:p>
        </w:tc>
        <w:tc>
          <w:tcPr>
            <w:tcW w:w="462" w:type="pct"/>
            <w:shd w:val="clear" w:color="auto" w:fill="auto"/>
            <w:vAlign w:val="center"/>
          </w:tcPr>
          <w:p w14:paraId="0FCCF9F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648C292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2F628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jc w:val="center"/>
        </w:trPr>
        <w:tc>
          <w:tcPr>
            <w:tcW w:w="333" w:type="pct"/>
            <w:shd w:val="clear" w:color="auto" w:fill="auto"/>
            <w:vAlign w:val="center"/>
          </w:tcPr>
          <w:p w14:paraId="444B64E8">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9</w:t>
            </w:r>
          </w:p>
        </w:tc>
        <w:tc>
          <w:tcPr>
            <w:tcW w:w="694" w:type="pct"/>
            <w:vAlign w:val="center"/>
          </w:tcPr>
          <w:p w14:paraId="0919AFC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其他无效情形</w:t>
            </w:r>
          </w:p>
        </w:tc>
        <w:tc>
          <w:tcPr>
            <w:tcW w:w="2928" w:type="pct"/>
            <w:shd w:val="clear" w:color="auto" w:fill="auto"/>
            <w:vAlign w:val="center"/>
          </w:tcPr>
          <w:p w14:paraId="0786EC6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法律、法规、规章规定属于</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无效的其他情形。</w:t>
            </w:r>
          </w:p>
        </w:tc>
        <w:tc>
          <w:tcPr>
            <w:tcW w:w="462" w:type="pct"/>
            <w:shd w:val="clear" w:color="auto" w:fill="auto"/>
            <w:vAlign w:val="center"/>
          </w:tcPr>
          <w:p w14:paraId="3384B95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6A39FFE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bookmarkEnd w:id="522"/>
      <w:bookmarkEnd w:id="523"/>
      <w:bookmarkEnd w:id="524"/>
      <w:bookmarkEnd w:id="525"/>
    </w:tbl>
    <w:p w14:paraId="1300A53A">
      <w:pPr>
        <w:pageBreakBefore w:val="0"/>
        <w:kinsoku/>
        <w:overflowPunct/>
        <w:bidi w:val="0"/>
        <w:spacing w:beforeAutospacing="0" w:afterAutospacing="0" w:line="560" w:lineRule="exact"/>
        <w:ind w:left="0" w:leftChars="0" w:right="0"/>
        <w:rPr>
          <w:rFonts w:hint="eastAsia" w:ascii="宋体" w:hAnsi="宋体" w:eastAsia="宋体" w:cstheme="minorBidi"/>
          <w:b/>
          <w:bCs/>
          <w:color w:val="auto"/>
          <w:kern w:val="2"/>
          <w:sz w:val="30"/>
          <w:szCs w:val="32"/>
          <w:highlight w:val="none"/>
          <w:lang w:val="zh-CN" w:eastAsia="zh-CN" w:bidi="ar-SA"/>
        </w:rPr>
      </w:pPr>
      <w:bookmarkStart w:id="526" w:name="_Toc163492910"/>
      <w:bookmarkStart w:id="527" w:name="_Toc155185917"/>
      <w:r>
        <w:rPr>
          <w:rFonts w:hint="eastAsia" w:ascii="宋体" w:hAnsi="宋体" w:eastAsia="宋体" w:cstheme="minorBidi"/>
          <w:b/>
          <w:bCs/>
          <w:color w:val="auto"/>
          <w:kern w:val="2"/>
          <w:sz w:val="30"/>
          <w:szCs w:val="32"/>
          <w:highlight w:val="none"/>
          <w:lang w:val="zh-CN" w:eastAsia="zh-CN" w:bidi="ar-SA"/>
        </w:rPr>
        <w:br w:type="page"/>
      </w:r>
    </w:p>
    <w:p w14:paraId="7D635A1B">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Pr>
          <w:rFonts w:hint="eastAsia" w:ascii="宋体" w:hAnsi="宋体" w:cs="宋体"/>
          <w:b/>
          <w:color w:val="auto"/>
          <w:sz w:val="24"/>
          <w:highlight w:val="none"/>
        </w:rPr>
      </w:pPr>
    </w:p>
    <w:p w14:paraId="3DB6FBF5">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Pr>
          <w:rFonts w:hint="eastAsia"/>
          <w:color w:val="auto"/>
          <w:highlight w:val="none"/>
        </w:rPr>
      </w:pPr>
      <w:r>
        <w:rPr>
          <w:rFonts w:hint="eastAsia" w:ascii="宋体" w:hAnsi="宋体" w:cs="宋体"/>
          <w:b/>
          <w:color w:val="auto"/>
          <w:sz w:val="24"/>
          <w:highlight w:val="none"/>
        </w:rPr>
        <w:t>符合</w:t>
      </w:r>
      <w:r>
        <w:rPr>
          <w:rFonts w:hint="eastAsia" w:ascii="宋体" w:hAnsi="宋体" w:cs="宋体"/>
          <w:b/>
          <w:color w:val="auto"/>
          <w:sz w:val="24"/>
          <w:highlight w:val="none"/>
          <w:lang w:eastAsia="zh-CN"/>
        </w:rPr>
        <w:t>性</w:t>
      </w:r>
      <w:r>
        <w:rPr>
          <w:rFonts w:hint="eastAsia" w:cs="宋体"/>
          <w:b/>
          <w:color w:val="auto"/>
          <w:sz w:val="24"/>
          <w:highlight w:val="none"/>
          <w:lang w:val="en-US" w:eastAsia="zh-CN"/>
        </w:rPr>
        <w:t>审查表-</w:t>
      </w:r>
      <w:r>
        <w:rPr>
          <w:rFonts w:hint="eastAsia" w:ascii="宋体" w:hAnsi="宋体" w:cs="宋体"/>
          <w:b/>
          <w:color w:val="auto"/>
          <w:sz w:val="24"/>
          <w:highlight w:val="none"/>
        </w:rPr>
        <w:t>附表</w:t>
      </w:r>
    </w:p>
    <w:p w14:paraId="70584E38">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ascii="宋体" w:hAnsi="宋体" w:eastAsia="宋体" w:cstheme="minorBidi"/>
          <w:b/>
          <w:bCs/>
          <w:color w:val="auto"/>
          <w:kern w:val="2"/>
          <w:sz w:val="28"/>
          <w:szCs w:val="28"/>
          <w:highlight w:val="none"/>
          <w:lang w:val="zh-CN" w:eastAsia="zh-CN" w:bidi="ar-SA"/>
        </w:rPr>
      </w:pPr>
      <w:bookmarkStart w:id="528" w:name="_Toc32259"/>
      <w:bookmarkStart w:id="529" w:name="_Toc26981"/>
      <w:bookmarkStart w:id="530" w:name="_Toc15958"/>
      <w:r>
        <w:rPr>
          <w:rFonts w:hint="eastAsia" w:ascii="宋体" w:hAnsi="宋体" w:eastAsia="宋体" w:cstheme="minorBidi"/>
          <w:b/>
          <w:bCs/>
          <w:color w:val="auto"/>
          <w:kern w:val="2"/>
          <w:sz w:val="28"/>
          <w:szCs w:val="28"/>
          <w:highlight w:val="none"/>
          <w:lang w:val="zh-CN" w:eastAsia="zh-CN" w:bidi="ar-SA"/>
        </w:rPr>
        <w:t>实质性响应一览表</w:t>
      </w:r>
      <w:bookmarkEnd w:id="528"/>
      <w:bookmarkEnd w:id="529"/>
      <w:bookmarkEnd w:id="530"/>
    </w:p>
    <w:p w14:paraId="7DFD9111">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212CF784">
      <w:pPr>
        <w:pStyle w:val="23"/>
        <w:pageBreakBefore w:val="0"/>
        <w:kinsoku/>
        <w:overflowPunct/>
        <w:bidi w:val="0"/>
        <w:spacing w:beforeAutospacing="0" w:afterAutospacing="0" w:line="560" w:lineRule="exact"/>
        <w:ind w:left="0" w:leftChars="0" w:right="0"/>
        <w:rPr>
          <w:rFonts w:hint="eastAsia" w:ascii="宋体" w:hAnsi="宋体" w:cs="宋体"/>
          <w:color w:val="auto"/>
          <w:highlight w:val="none"/>
        </w:rPr>
      </w:pPr>
    </w:p>
    <w:tbl>
      <w:tblPr>
        <w:tblStyle w:val="29"/>
        <w:tblW w:w="56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993"/>
        <w:gridCol w:w="4261"/>
        <w:gridCol w:w="1874"/>
        <w:gridCol w:w="732"/>
      </w:tblGrid>
      <w:tr w14:paraId="1FD1D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369" w:type="pct"/>
            <w:vMerge w:val="restart"/>
            <w:noWrap w:val="0"/>
            <w:vAlign w:val="center"/>
          </w:tcPr>
          <w:p w14:paraId="09A086DC">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序号</w:t>
            </w:r>
          </w:p>
        </w:tc>
        <w:tc>
          <w:tcPr>
            <w:tcW w:w="3268" w:type="pct"/>
            <w:gridSpan w:val="2"/>
            <w:noWrap w:val="0"/>
            <w:vAlign w:val="center"/>
          </w:tcPr>
          <w:p w14:paraId="109667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文件要求的实质性响应内容</w:t>
            </w:r>
          </w:p>
        </w:tc>
        <w:tc>
          <w:tcPr>
            <w:tcW w:w="979" w:type="pct"/>
            <w:vMerge w:val="restart"/>
            <w:noWrap w:val="0"/>
            <w:vAlign w:val="center"/>
          </w:tcPr>
          <w:p w14:paraId="6DCB698F">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投标文件响应</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具体内容</w:t>
            </w:r>
          </w:p>
        </w:tc>
        <w:tc>
          <w:tcPr>
            <w:tcW w:w="382" w:type="pct"/>
            <w:vMerge w:val="restart"/>
            <w:noWrap w:val="0"/>
            <w:vAlign w:val="center"/>
          </w:tcPr>
          <w:p w14:paraId="765EB3DC">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177A0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369" w:type="pct"/>
            <w:vMerge w:val="continue"/>
            <w:noWrap w:val="0"/>
            <w:vAlign w:val="center"/>
          </w:tcPr>
          <w:p w14:paraId="3D79851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c>
          <w:tcPr>
            <w:tcW w:w="1041" w:type="pct"/>
            <w:noWrap w:val="0"/>
            <w:vAlign w:val="center"/>
          </w:tcPr>
          <w:p w14:paraId="0F3903F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实质性要求</w:t>
            </w:r>
          </w:p>
        </w:tc>
        <w:tc>
          <w:tcPr>
            <w:tcW w:w="2226" w:type="pct"/>
            <w:noWrap w:val="0"/>
            <w:vAlign w:val="center"/>
          </w:tcPr>
          <w:p w14:paraId="6A94C6B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招标文件中的规定</w:t>
            </w:r>
          </w:p>
        </w:tc>
        <w:tc>
          <w:tcPr>
            <w:tcW w:w="979" w:type="pct"/>
            <w:vMerge w:val="continue"/>
            <w:noWrap w:val="0"/>
            <w:vAlign w:val="center"/>
          </w:tcPr>
          <w:p w14:paraId="0A2E8B9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p>
        </w:tc>
        <w:tc>
          <w:tcPr>
            <w:tcW w:w="382" w:type="pct"/>
            <w:vMerge w:val="continue"/>
            <w:noWrap w:val="0"/>
            <w:vAlign w:val="center"/>
          </w:tcPr>
          <w:p w14:paraId="1392189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r>
      <w:tr w14:paraId="2D2D0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3" w:hRule="atLeast"/>
          <w:jc w:val="center"/>
        </w:trPr>
        <w:tc>
          <w:tcPr>
            <w:tcW w:w="369" w:type="pct"/>
            <w:noWrap w:val="0"/>
            <w:vAlign w:val="center"/>
          </w:tcPr>
          <w:p w14:paraId="0D67600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41" w:type="pct"/>
            <w:shd w:val="clear" w:color="auto" w:fill="auto"/>
            <w:noWrap w:val="0"/>
            <w:vAlign w:val="center"/>
          </w:tcPr>
          <w:p w14:paraId="74D6AD0F">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响应文件有效期</w:t>
            </w:r>
          </w:p>
        </w:tc>
        <w:tc>
          <w:tcPr>
            <w:tcW w:w="2226" w:type="pct"/>
            <w:shd w:val="clear" w:color="auto" w:fill="auto"/>
            <w:noWrap w:val="0"/>
            <w:vAlign w:val="center"/>
          </w:tcPr>
          <w:p w14:paraId="4F06F53A">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响应文件递交截止日期后90日历日</w:t>
            </w:r>
          </w:p>
        </w:tc>
        <w:tc>
          <w:tcPr>
            <w:tcW w:w="979" w:type="pct"/>
            <w:noWrap w:val="0"/>
            <w:vAlign w:val="center"/>
          </w:tcPr>
          <w:p w14:paraId="6C8ABAED">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2D5E9DE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3F86D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369" w:type="pct"/>
            <w:noWrap w:val="0"/>
            <w:vAlign w:val="center"/>
          </w:tcPr>
          <w:p w14:paraId="647B594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41" w:type="pct"/>
            <w:shd w:val="clear" w:color="auto" w:fill="auto"/>
            <w:noWrap w:val="0"/>
            <w:vAlign w:val="center"/>
          </w:tcPr>
          <w:p w14:paraId="2A8A46D1">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kern w:val="0"/>
                <w:sz w:val="24"/>
                <w:szCs w:val="24"/>
                <w:highlight w:val="none"/>
                <w:lang w:val="en-US" w:eastAsia="zh-CN" w:bidi="ar-SA"/>
              </w:rPr>
              <w:t>服务（实施）的</w:t>
            </w:r>
            <w:r>
              <w:rPr>
                <w:rFonts w:hint="eastAsia" w:cs="宋体"/>
                <w:b w:val="0"/>
                <w:bCs w:val="0"/>
                <w:kern w:val="0"/>
                <w:sz w:val="24"/>
                <w:szCs w:val="24"/>
                <w:highlight w:val="none"/>
                <w:lang w:val="en-US" w:eastAsia="zh-CN" w:bidi="ar-SA"/>
              </w:rPr>
              <w:t>时间（期限）</w:t>
            </w:r>
          </w:p>
        </w:tc>
        <w:tc>
          <w:tcPr>
            <w:tcW w:w="2226" w:type="pct"/>
            <w:shd w:val="clear" w:color="auto" w:fill="auto"/>
            <w:noWrap w:val="0"/>
            <w:vAlign w:val="center"/>
          </w:tcPr>
          <w:p w14:paraId="7C0C449B">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自合同签订之日起1年。（具体以签订合同为准）</w:t>
            </w:r>
          </w:p>
        </w:tc>
        <w:tc>
          <w:tcPr>
            <w:tcW w:w="979" w:type="pct"/>
            <w:noWrap w:val="0"/>
            <w:vAlign w:val="center"/>
          </w:tcPr>
          <w:p w14:paraId="77014566">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3BEFB48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7A60F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369" w:type="pct"/>
            <w:shd w:val="clear" w:color="auto" w:fill="auto"/>
            <w:noWrap w:val="0"/>
            <w:vAlign w:val="center"/>
          </w:tcPr>
          <w:p w14:paraId="3CBDADC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41" w:type="pct"/>
            <w:shd w:val="clear" w:color="auto" w:fill="auto"/>
            <w:noWrap w:val="0"/>
            <w:vAlign w:val="center"/>
          </w:tcPr>
          <w:p w14:paraId="294FAA98">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服务（实施）的地点（范围）</w:t>
            </w:r>
          </w:p>
        </w:tc>
        <w:tc>
          <w:tcPr>
            <w:tcW w:w="2226" w:type="pct"/>
            <w:shd w:val="clear" w:color="auto" w:fill="auto"/>
            <w:noWrap w:val="0"/>
            <w:vAlign w:val="center"/>
          </w:tcPr>
          <w:p w14:paraId="35374227">
            <w:pPr>
              <w:pStyle w:val="48"/>
              <w:pageBreakBefore w:val="0"/>
              <w:kinsoku/>
              <w:overflowPunct/>
              <w:bidi w:val="0"/>
              <w:spacing w:beforeAutospacing="0" w:afterAutospacing="0" w:line="560" w:lineRule="exact"/>
              <w:ind w:left="0" w:leftChars="0" w:right="0" w:rightChars="0" w:firstLine="480" w:firstLineChars="200"/>
              <w:rPr>
                <w:rFonts w:hint="default" w:ascii="宋体" w:hAnsi="宋体" w:eastAsia="宋体" w:cs="宋体"/>
                <w:b/>
                <w:bCs/>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采购人指定地点</w:t>
            </w:r>
          </w:p>
        </w:tc>
        <w:tc>
          <w:tcPr>
            <w:tcW w:w="979" w:type="pct"/>
            <w:noWrap w:val="0"/>
            <w:vAlign w:val="center"/>
          </w:tcPr>
          <w:p w14:paraId="44EC0749">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5C9178D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68DEC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2" w:hRule="atLeast"/>
          <w:jc w:val="center"/>
        </w:trPr>
        <w:tc>
          <w:tcPr>
            <w:tcW w:w="369" w:type="pct"/>
            <w:shd w:val="clear" w:color="auto" w:fill="auto"/>
            <w:noWrap w:val="0"/>
            <w:vAlign w:val="center"/>
          </w:tcPr>
          <w:p w14:paraId="52340B2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41" w:type="pct"/>
            <w:shd w:val="clear" w:color="auto" w:fill="auto"/>
            <w:noWrap w:val="0"/>
            <w:vAlign w:val="center"/>
          </w:tcPr>
          <w:p w14:paraId="02E9C49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color w:val="auto"/>
                <w:kern w:val="0"/>
                <w:sz w:val="24"/>
                <w:szCs w:val="24"/>
                <w:highlight w:val="none"/>
                <w:u w:val="none"/>
                <w:lang w:val="en-US" w:eastAsia="zh-CN" w:bidi="ar-SA"/>
              </w:rPr>
              <w:t>付款方式（进度和方式）</w:t>
            </w:r>
          </w:p>
        </w:tc>
        <w:tc>
          <w:tcPr>
            <w:tcW w:w="2226" w:type="pct"/>
            <w:shd w:val="clear" w:color="auto" w:fill="auto"/>
            <w:noWrap w:val="0"/>
            <w:vAlign w:val="center"/>
          </w:tcPr>
          <w:p w14:paraId="58E89ACC">
            <w:pPr>
              <w:keepNext w:val="0"/>
              <w:keepLines w:val="0"/>
              <w:pageBreakBefore w:val="0"/>
              <w:numPr>
                <w:ilvl w:val="0"/>
                <w:numId w:val="0"/>
              </w:numPr>
              <w:kinsoku/>
              <w:wordWrap/>
              <w:overflowPunct/>
              <w:topLinePunct w:val="0"/>
              <w:autoSpaceDE/>
              <w:bidi w:val="0"/>
              <w:adjustRightInd/>
              <w:spacing w:beforeAutospacing="0" w:afterAutospacing="0" w:line="560" w:lineRule="exact"/>
              <w:ind w:right="0" w:rightChars="0"/>
              <w:rPr>
                <w:rFonts w:hint="eastAsia" w:ascii="仿宋_GB2312" w:hAnsi="仿宋_GB2312" w:eastAsia="仿宋_GB2312" w:cs="仿宋_GB2312"/>
                <w:sz w:val="24"/>
                <w:szCs w:val="24"/>
                <w:highlight w:val="none"/>
                <w:u w:val="single"/>
                <w:lang w:val="en-US" w:eastAsia="zh-CN"/>
              </w:rPr>
            </w:pPr>
            <w:r>
              <w:rPr>
                <w:rFonts w:hint="eastAsia" w:ascii="仿宋_GB2312" w:hAnsi="仿宋_GB2312" w:eastAsia="仿宋_GB2312" w:cs="仿宋_GB2312"/>
                <w:sz w:val="24"/>
                <w:szCs w:val="24"/>
                <w:highlight w:val="none"/>
                <w:u w:val="single"/>
                <w:lang w:val="en-US" w:eastAsia="zh-CN"/>
              </w:rPr>
              <w:t>以合同价格按月进行支付，每个月对服务进行质量考核，根据考核结果扣减相应服务费用后，按照甲方要求提供正规发票支付费用。</w:t>
            </w:r>
          </w:p>
          <w:p w14:paraId="4A43957D">
            <w:pPr>
              <w:pStyle w:val="48"/>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63AE21C8">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7EFA8F3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70CE9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1C321E2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p>
        </w:tc>
        <w:tc>
          <w:tcPr>
            <w:tcW w:w="1041" w:type="pct"/>
            <w:shd w:val="clear" w:color="auto" w:fill="auto"/>
            <w:noWrap w:val="0"/>
            <w:vAlign w:val="center"/>
          </w:tcPr>
          <w:p w14:paraId="5CD9C2A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服务要求</w:t>
            </w:r>
          </w:p>
        </w:tc>
        <w:tc>
          <w:tcPr>
            <w:tcW w:w="2226" w:type="pct"/>
            <w:shd w:val="clear" w:color="auto" w:fill="auto"/>
            <w:noWrap w:val="0"/>
            <w:vAlign w:val="center"/>
          </w:tcPr>
          <w:p w14:paraId="0EE28541">
            <w:pPr>
              <w:pStyle w:val="91"/>
              <w:pageBreakBefore w:val="0"/>
              <w:kinsoku/>
              <w:overflowPunct/>
              <w:bidi w:val="0"/>
              <w:spacing w:beforeAutospacing="0" w:afterAutospacing="0" w:line="560" w:lineRule="exact"/>
              <w:ind w:right="0"/>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p>
          <w:p w14:paraId="73CAE218">
            <w:pPr>
              <w:pStyle w:val="48"/>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6812FAB2">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63930C5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517DE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69" w:type="pct"/>
            <w:shd w:val="clear" w:color="auto" w:fill="auto"/>
            <w:noWrap w:val="0"/>
            <w:vAlign w:val="center"/>
          </w:tcPr>
          <w:p w14:paraId="1308187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6</w:t>
            </w:r>
          </w:p>
        </w:tc>
        <w:tc>
          <w:tcPr>
            <w:tcW w:w="1041" w:type="pct"/>
            <w:shd w:val="clear" w:color="auto" w:fill="auto"/>
            <w:noWrap w:val="0"/>
            <w:vAlign w:val="center"/>
          </w:tcPr>
          <w:p w14:paraId="1A52BA8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技术要求</w:t>
            </w:r>
          </w:p>
        </w:tc>
        <w:tc>
          <w:tcPr>
            <w:tcW w:w="2226" w:type="pct"/>
            <w:shd w:val="clear" w:color="auto" w:fill="auto"/>
            <w:noWrap w:val="0"/>
            <w:vAlign w:val="center"/>
          </w:tcPr>
          <w:p w14:paraId="7878C93D">
            <w:pPr>
              <w:pStyle w:val="48"/>
              <w:pageBreakBefore w:val="0"/>
              <w:kinsoku/>
              <w:overflowPunct/>
              <w:bidi w:val="0"/>
              <w:spacing w:beforeAutospacing="0" w:afterAutospacing="0" w:line="560" w:lineRule="exact"/>
              <w:ind w:right="0" w:rightChars="0"/>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val="0"/>
                <w:bCs w:val="0"/>
                <w:kern w:val="0"/>
                <w:sz w:val="24"/>
                <w:szCs w:val="24"/>
                <w:highlight w:val="none"/>
                <w:lang w:val="en-US" w:eastAsia="zh-CN" w:bidi="ar-SA"/>
              </w:rPr>
              <w:t>医疗废水24项、有组织废气3项、无组织环境空气5项、噪音2项，报价单位必须具有《检验检测机构资质认定证书》，且证书附表中需要具有以上检测项目的全部资质，不得将项目再次分包或转包至其他检测机构。</w:t>
            </w:r>
          </w:p>
        </w:tc>
        <w:tc>
          <w:tcPr>
            <w:tcW w:w="979" w:type="pct"/>
            <w:noWrap w:val="0"/>
            <w:vAlign w:val="center"/>
          </w:tcPr>
          <w:p w14:paraId="0BB009EF">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6C44E38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2938D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69" w:type="pct"/>
            <w:shd w:val="clear" w:color="auto" w:fill="auto"/>
            <w:noWrap w:val="0"/>
            <w:vAlign w:val="center"/>
          </w:tcPr>
          <w:p w14:paraId="67D6269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7</w:t>
            </w:r>
          </w:p>
        </w:tc>
        <w:tc>
          <w:tcPr>
            <w:tcW w:w="1041" w:type="pct"/>
            <w:shd w:val="clear" w:color="auto" w:fill="auto"/>
            <w:noWrap w:val="0"/>
            <w:vAlign w:val="center"/>
          </w:tcPr>
          <w:p w14:paraId="1E36DBA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p>
        </w:tc>
        <w:tc>
          <w:tcPr>
            <w:tcW w:w="2226" w:type="pct"/>
            <w:shd w:val="clear" w:color="auto" w:fill="auto"/>
            <w:noWrap w:val="0"/>
            <w:vAlign w:val="center"/>
          </w:tcPr>
          <w:p w14:paraId="6ADCECD2">
            <w:pPr>
              <w:pStyle w:val="48"/>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lang w:val="en-US" w:eastAsia="zh-CN" w:bidi="ar-SA"/>
              </w:rPr>
            </w:pPr>
          </w:p>
        </w:tc>
        <w:tc>
          <w:tcPr>
            <w:tcW w:w="979" w:type="pct"/>
            <w:noWrap w:val="0"/>
            <w:vAlign w:val="center"/>
          </w:tcPr>
          <w:p w14:paraId="4B9485F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p>
        </w:tc>
        <w:tc>
          <w:tcPr>
            <w:tcW w:w="382" w:type="pct"/>
            <w:noWrap w:val="0"/>
            <w:vAlign w:val="center"/>
          </w:tcPr>
          <w:p w14:paraId="0225C73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bl>
    <w:p w14:paraId="511479FF">
      <w:pPr>
        <w:pageBreakBefore w:val="0"/>
        <w:kinsoku/>
        <w:overflowPunct/>
        <w:bidi w:val="0"/>
        <w:spacing w:beforeAutospacing="0" w:afterAutospacing="0" w:line="560" w:lineRule="exact"/>
        <w:ind w:left="0" w:leftChars="0" w:right="0"/>
        <w:rPr>
          <w:rFonts w:hint="eastAsia"/>
          <w:b/>
          <w:bCs/>
          <w:color w:val="auto"/>
          <w:sz w:val="21"/>
          <w:szCs w:val="21"/>
          <w:highlight w:val="none"/>
          <w:lang w:val="en-US" w:eastAsia="zh-CN"/>
        </w:rPr>
      </w:pPr>
    </w:p>
    <w:p w14:paraId="73C7580B">
      <w:pPr>
        <w:pageBreakBefore w:val="0"/>
        <w:kinsoku/>
        <w:overflowPunct/>
        <w:bidi w:val="0"/>
        <w:spacing w:beforeAutospacing="0" w:afterAutospacing="0" w:line="560" w:lineRule="exact"/>
        <w:ind w:left="0" w:leftChars="0" w:right="0"/>
        <w:rPr>
          <w:rFonts w:hint="default" w:eastAsia="宋体"/>
          <w:b/>
          <w:bCs/>
          <w:color w:val="auto"/>
          <w:sz w:val="21"/>
          <w:szCs w:val="21"/>
          <w:highlight w:val="none"/>
          <w:lang w:val="en-US" w:eastAsia="zh-CN"/>
        </w:rPr>
      </w:pPr>
      <w:r>
        <w:rPr>
          <w:rFonts w:hint="eastAsia"/>
          <w:b/>
          <w:bCs/>
          <w:color w:val="auto"/>
          <w:sz w:val="21"/>
          <w:szCs w:val="21"/>
          <w:highlight w:val="none"/>
          <w:lang w:val="en-US" w:eastAsia="zh-CN"/>
        </w:rPr>
        <w:t>注：“实质性响应一览表”中的内容为参考，可根据项目情况自行设置。</w:t>
      </w:r>
    </w:p>
    <w:p w14:paraId="16A7E26A">
      <w:pPr>
        <w:pageBreakBefore w:val="0"/>
        <w:kinsoku/>
        <w:overflowPunct/>
        <w:bidi w:val="0"/>
        <w:spacing w:beforeAutospacing="0" w:afterAutospacing="0" w:line="560" w:lineRule="exact"/>
        <w:ind w:left="0" w:leftChars="0" w:right="0"/>
        <w:rPr>
          <w:rFonts w:hint="eastAsia" w:ascii="宋体" w:hAnsi="宋体" w:eastAsia="宋体" w:cstheme="minorBidi"/>
          <w:b/>
          <w:bCs/>
          <w:color w:val="auto"/>
          <w:kern w:val="2"/>
          <w:sz w:val="30"/>
          <w:szCs w:val="32"/>
          <w:highlight w:val="none"/>
          <w:lang w:val="zh-CN" w:eastAsia="zh-CN" w:bidi="ar-SA"/>
        </w:rPr>
      </w:pPr>
      <w:r>
        <w:rPr>
          <w:rFonts w:hint="eastAsia" w:ascii="宋体" w:hAnsi="宋体" w:eastAsia="宋体" w:cstheme="minorBidi"/>
          <w:b/>
          <w:bCs/>
          <w:color w:val="auto"/>
          <w:kern w:val="2"/>
          <w:sz w:val="30"/>
          <w:szCs w:val="32"/>
          <w:highlight w:val="none"/>
          <w:lang w:val="zh-CN" w:eastAsia="zh-CN" w:bidi="ar-SA"/>
        </w:rPr>
        <w:br w:type="page"/>
      </w:r>
    </w:p>
    <w:p w14:paraId="3FE0903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31" w:name="_Toc30949"/>
      <w:bookmarkStart w:id="532" w:name="_Toc9173"/>
      <w:bookmarkStart w:id="533" w:name="_Toc27284"/>
      <w:r>
        <w:rPr>
          <w:rFonts w:hint="eastAsia" w:ascii="宋体" w:hAnsi="宋体" w:eastAsia="宋体" w:cs="宋体"/>
          <w:b/>
          <w:bCs/>
          <w:color w:val="auto"/>
          <w:kern w:val="2"/>
          <w:sz w:val="24"/>
          <w:szCs w:val="24"/>
          <w:highlight w:val="none"/>
          <w:lang w:val="zh-CN" w:eastAsia="zh-CN" w:bidi="ar-SA"/>
        </w:rPr>
        <w:t>（二）评分标准</w:t>
      </w:r>
      <w:bookmarkEnd w:id="526"/>
      <w:bookmarkEnd w:id="527"/>
      <w:bookmarkEnd w:id="531"/>
      <w:bookmarkEnd w:id="532"/>
      <w:bookmarkEnd w:id="533"/>
    </w:p>
    <w:p w14:paraId="7679D3A0">
      <w:pPr>
        <w:pageBreakBefore w:val="0"/>
        <w:kinsoku/>
        <w:overflowPunct/>
        <w:bidi w:val="0"/>
        <w:spacing w:beforeAutospacing="0" w:afterAutospacing="0" w:line="560" w:lineRule="exact"/>
        <w:ind w:left="0" w:leftChars="0" w:right="0"/>
        <w:rPr>
          <w:rFonts w:hint="eastAsia"/>
          <w:color w:val="auto"/>
          <w:sz w:val="21"/>
          <w:szCs w:val="21"/>
          <w:highlight w:val="none"/>
          <w:lang w:val="zh-CN" w:eastAsia="zh-CN"/>
        </w:rPr>
      </w:pPr>
      <w:r>
        <w:rPr>
          <w:rFonts w:hint="eastAsia"/>
          <w:color w:val="auto"/>
          <w:sz w:val="21"/>
          <w:szCs w:val="21"/>
          <w:highlight w:val="none"/>
          <w:lang w:val="en-US" w:eastAsia="zh-CN"/>
        </w:rPr>
        <w:t>注：以下评标分项根据项目实际情况可自行设置。</w:t>
      </w:r>
    </w:p>
    <w:tbl>
      <w:tblPr>
        <w:tblStyle w:val="29"/>
        <w:tblW w:w="55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1577"/>
        <w:gridCol w:w="1495"/>
        <w:gridCol w:w="5550"/>
      </w:tblGrid>
      <w:tr w14:paraId="37BF5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12" w:type="pct"/>
            <w:shd w:val="clear" w:color="auto" w:fill="D8D8D8" w:themeFill="background1" w:themeFillShade="D9"/>
            <w:vAlign w:val="center"/>
          </w:tcPr>
          <w:p w14:paraId="36022A2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评标项目</w:t>
            </w:r>
          </w:p>
        </w:tc>
        <w:tc>
          <w:tcPr>
            <w:tcW w:w="839" w:type="pct"/>
            <w:shd w:val="clear" w:color="auto" w:fill="D8D8D8" w:themeFill="background1" w:themeFillShade="D9"/>
            <w:vAlign w:val="center"/>
          </w:tcPr>
          <w:p w14:paraId="03A1484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评标分项</w:t>
            </w:r>
          </w:p>
        </w:tc>
        <w:tc>
          <w:tcPr>
            <w:tcW w:w="795" w:type="pct"/>
            <w:shd w:val="clear" w:color="auto" w:fill="D8D8D8" w:themeFill="background1" w:themeFillShade="D9"/>
            <w:vAlign w:val="center"/>
          </w:tcPr>
          <w:p w14:paraId="700AE4F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分值</w:t>
            </w:r>
          </w:p>
        </w:tc>
        <w:tc>
          <w:tcPr>
            <w:tcW w:w="2952" w:type="pct"/>
            <w:shd w:val="clear" w:color="auto" w:fill="D8D8D8" w:themeFill="background1" w:themeFillShade="D9"/>
            <w:vAlign w:val="center"/>
          </w:tcPr>
          <w:p w14:paraId="6F4168F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子项目及分值</w:t>
            </w:r>
          </w:p>
        </w:tc>
      </w:tr>
      <w:tr w14:paraId="538DF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412" w:type="pct"/>
            <w:vAlign w:val="center"/>
          </w:tcPr>
          <w:p w14:paraId="4BEFE39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价格部分</w:t>
            </w:r>
          </w:p>
          <w:p w14:paraId="1CCAE49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rPr>
              <w:t>分）</w:t>
            </w:r>
          </w:p>
        </w:tc>
        <w:tc>
          <w:tcPr>
            <w:tcW w:w="839" w:type="pct"/>
            <w:tcBorders>
              <w:bottom w:val="single" w:color="auto" w:sz="4" w:space="0"/>
            </w:tcBorders>
            <w:vAlign w:val="center"/>
          </w:tcPr>
          <w:p w14:paraId="4EE6E8D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最后</w:t>
            </w:r>
            <w:r>
              <w:rPr>
                <w:rFonts w:hint="eastAsia" w:ascii="宋体" w:hAnsi="宋体" w:eastAsia="宋体" w:cs="宋体"/>
                <w:i w:val="0"/>
                <w:iCs w:val="0"/>
                <w:color w:val="auto"/>
                <w:sz w:val="21"/>
                <w:szCs w:val="21"/>
                <w:highlight w:val="none"/>
              </w:rPr>
              <w:t>报价</w:t>
            </w:r>
          </w:p>
        </w:tc>
        <w:tc>
          <w:tcPr>
            <w:tcW w:w="795" w:type="pct"/>
            <w:vAlign w:val="center"/>
          </w:tcPr>
          <w:p w14:paraId="17082DAF">
            <w:pPr>
              <w:pStyle w:val="48"/>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10分</w:t>
            </w:r>
          </w:p>
        </w:tc>
        <w:tc>
          <w:tcPr>
            <w:tcW w:w="2952" w:type="pct"/>
            <w:vAlign w:val="center"/>
          </w:tcPr>
          <w:p w14:paraId="69298891">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满足招标文件要求且投标价格最低的投标报价为评标基准价，其价格分为满分。其他</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的价格分统一按照下列公式计算：</w:t>
            </w:r>
          </w:p>
          <w:p w14:paraId="2CE75A8E">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投标报价得分=（评标基准价／投标报价)×价格分值</w:t>
            </w:r>
          </w:p>
        </w:tc>
      </w:tr>
      <w:tr w14:paraId="0A692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12" w:type="pct"/>
            <w:vMerge w:val="restart"/>
            <w:vAlign w:val="center"/>
          </w:tcPr>
          <w:p w14:paraId="0619898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商务部分</w:t>
            </w:r>
          </w:p>
          <w:p w14:paraId="56512EE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20</w:t>
            </w:r>
            <w:r>
              <w:rPr>
                <w:rFonts w:hint="eastAsia" w:ascii="宋体" w:hAnsi="宋体" w:eastAsia="宋体" w:cs="宋体"/>
                <w:i w:val="0"/>
                <w:iCs w:val="0"/>
                <w:color w:val="auto"/>
                <w:sz w:val="21"/>
                <w:szCs w:val="21"/>
                <w:highlight w:val="none"/>
              </w:rPr>
              <w:t>分）</w:t>
            </w:r>
          </w:p>
        </w:tc>
        <w:tc>
          <w:tcPr>
            <w:tcW w:w="839" w:type="pct"/>
            <w:tcBorders>
              <w:top w:val="single" w:color="auto" w:sz="4" w:space="0"/>
            </w:tcBorders>
            <w:vAlign w:val="center"/>
          </w:tcPr>
          <w:p w14:paraId="1A97E7E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类似项目业绩</w:t>
            </w:r>
          </w:p>
        </w:tc>
        <w:tc>
          <w:tcPr>
            <w:tcW w:w="795" w:type="pct"/>
            <w:vAlign w:val="center"/>
          </w:tcPr>
          <w:p w14:paraId="7850D89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7A57ABCC">
            <w:pPr>
              <w:pStyle w:val="13"/>
              <w:pageBreakBefore w:val="0"/>
              <w:numPr>
                <w:ilvl w:val="0"/>
                <w:numId w:val="0"/>
              </w:numPr>
              <w:kinsoku/>
              <w:overflowPunct/>
              <w:bidi w:val="0"/>
              <w:spacing w:beforeAutospacing="0" w:after="0" w:afterAutospacing="0" w:line="560" w:lineRule="exact"/>
              <w:ind w:left="0" w:leftChars="0" w:right="0" w:firstLine="210" w:firstLineChars="100"/>
              <w:rPr>
                <w:rFonts w:hint="eastAsia" w:ascii="宋体" w:hAnsi="宋体" w:eastAsia="宋体" w:cs="宋体"/>
                <w:i w:val="0"/>
                <w:iCs w:val="0"/>
                <w:color w:val="auto"/>
                <w:kern w:val="2"/>
                <w:sz w:val="21"/>
                <w:szCs w:val="21"/>
                <w:highlight w:val="none"/>
                <w:lang w:val="en-US" w:eastAsia="zh-CN" w:bidi="ar-SA"/>
              </w:rPr>
            </w:pPr>
            <w:r>
              <w:rPr>
                <w:rFonts w:hint="eastAsia" w:ascii="宋体" w:hAnsi="宋体" w:cs="宋体"/>
                <w:i w:val="0"/>
                <w:iCs w:val="0"/>
                <w:color w:val="auto"/>
                <w:kern w:val="2"/>
                <w:sz w:val="21"/>
                <w:szCs w:val="21"/>
                <w:highlight w:val="none"/>
                <w:lang w:val="en-US" w:eastAsia="zh-CN" w:bidi="ar-SA"/>
              </w:rPr>
              <w:t>供应商</w:t>
            </w:r>
            <w:r>
              <w:rPr>
                <w:rFonts w:hint="eastAsia" w:ascii="宋体" w:hAnsi="宋体" w:eastAsia="宋体" w:cs="宋体"/>
                <w:i w:val="0"/>
                <w:iCs w:val="0"/>
                <w:color w:val="auto"/>
                <w:kern w:val="2"/>
                <w:sz w:val="21"/>
                <w:szCs w:val="21"/>
                <w:highlight w:val="none"/>
                <w:lang w:val="en-US" w:eastAsia="zh-CN" w:bidi="ar-SA"/>
              </w:rPr>
              <w:t>自2022年1月1日至投标截止之日完成的类似该项目业绩，每提供1份得1分，最高得4分。</w:t>
            </w:r>
          </w:p>
          <w:p w14:paraId="66176A79">
            <w:pPr>
              <w:pStyle w:val="48"/>
              <w:pageBreakBefore w:val="0"/>
              <w:numPr>
                <w:ilvl w:val="0"/>
                <w:numId w:val="0"/>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2"/>
                <w:sz w:val="21"/>
                <w:szCs w:val="21"/>
                <w:highlight w:val="none"/>
                <w:lang w:val="en-US" w:eastAsia="zh-CN" w:bidi="ar-SA"/>
              </w:rPr>
              <w:t>注：业绩证明材料须提供合同或中标通知书原件扫描件并加盖投标单位公章。未按要求提供证明材料的不得分;提供的证明文件未显示日期、未显示项目名称、无法定代表人或授权代表签字（签章）,则该合同视为无效业绩,不予以得分。</w:t>
            </w:r>
          </w:p>
        </w:tc>
      </w:tr>
      <w:tr w14:paraId="0E940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412" w:type="pct"/>
            <w:vMerge w:val="continue"/>
            <w:vAlign w:val="center"/>
          </w:tcPr>
          <w:p w14:paraId="66B90A4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tcBorders>
              <w:top w:val="single" w:color="auto" w:sz="4" w:space="0"/>
            </w:tcBorders>
            <w:vAlign w:val="center"/>
          </w:tcPr>
          <w:p w14:paraId="09559EA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项目人员配置</w:t>
            </w:r>
          </w:p>
        </w:tc>
        <w:tc>
          <w:tcPr>
            <w:tcW w:w="795" w:type="pct"/>
            <w:vAlign w:val="center"/>
          </w:tcPr>
          <w:p w14:paraId="1C47DC9B">
            <w:pPr>
              <w:pStyle w:val="48"/>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8分</w:t>
            </w:r>
          </w:p>
        </w:tc>
        <w:tc>
          <w:tcPr>
            <w:tcW w:w="2952" w:type="pct"/>
            <w:vAlign w:val="center"/>
          </w:tcPr>
          <w:p w14:paraId="7E7AE721">
            <w:pPr>
              <w:pStyle w:val="48"/>
              <w:pageBreakBefore w:val="0"/>
              <w:numPr>
                <w:ilvl w:val="0"/>
                <w:numId w:val="3"/>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 xml:space="preserve">项目负责人具有相关专业中级及以上职称的得3分。 </w:t>
            </w:r>
          </w:p>
          <w:p w14:paraId="0B7C4480">
            <w:pPr>
              <w:pStyle w:val="48"/>
              <w:pageBreakBefore w:val="0"/>
              <w:numPr>
                <w:ilvl w:val="0"/>
                <w:numId w:val="3"/>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项目组成员（除项目负责人）中，具有相关专业中级及以上职称的，每人得 1分，最多</w:t>
            </w:r>
            <w:r>
              <w:rPr>
                <w:rFonts w:hint="eastAsia" w:cs="宋体"/>
                <w:i w:val="0"/>
                <w:iCs w:val="0"/>
                <w:color w:val="auto"/>
                <w:sz w:val="21"/>
                <w:szCs w:val="21"/>
                <w:highlight w:val="none"/>
                <w:lang w:val="en-US" w:eastAsia="zh-CN"/>
              </w:rPr>
              <w:t>5</w:t>
            </w:r>
            <w:r>
              <w:rPr>
                <w:rFonts w:hint="eastAsia" w:ascii="宋体" w:hAnsi="宋体" w:eastAsia="宋体" w:cs="宋体"/>
                <w:i w:val="0"/>
                <w:iCs w:val="0"/>
                <w:color w:val="auto"/>
                <w:sz w:val="21"/>
                <w:szCs w:val="21"/>
                <w:highlight w:val="none"/>
              </w:rPr>
              <w:t xml:space="preserve">分。 </w:t>
            </w:r>
          </w:p>
          <w:p w14:paraId="399AE991">
            <w:pPr>
              <w:pStyle w:val="48"/>
              <w:pageBreakBefore w:val="0"/>
              <w:numPr>
                <w:ilvl w:val="0"/>
                <w:numId w:val="0"/>
              </w:numPr>
              <w:kinsoku/>
              <w:overflowPunct/>
              <w:bidi w:val="0"/>
              <w:spacing w:beforeAutospacing="0" w:afterAutospacing="0" w:line="560" w:lineRule="exact"/>
              <w:ind w:right="0" w:rightChars="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注：以上人员须提供身份证、证书等材料扫描 件加盖单位公章。</w:t>
            </w:r>
          </w:p>
        </w:tc>
      </w:tr>
      <w:tr w14:paraId="5A58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12" w:type="pct"/>
            <w:vMerge w:val="continue"/>
            <w:vAlign w:val="center"/>
          </w:tcPr>
          <w:p w14:paraId="1E077BC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tcBorders>
              <w:top w:val="single" w:color="auto" w:sz="4" w:space="0"/>
            </w:tcBorders>
            <w:vAlign w:val="center"/>
          </w:tcPr>
          <w:p w14:paraId="03CF8A0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ascii="宋体" w:hAnsi="宋体" w:eastAsia="宋体" w:cs="宋体"/>
                <w:sz w:val="24"/>
                <w:szCs w:val="24"/>
                <w:highlight w:val="none"/>
              </w:rPr>
              <w:t xml:space="preserve">售后服务方案 </w:t>
            </w:r>
          </w:p>
        </w:tc>
        <w:tc>
          <w:tcPr>
            <w:tcW w:w="795" w:type="pct"/>
            <w:vAlign w:val="center"/>
          </w:tcPr>
          <w:p w14:paraId="570F7AA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8</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5A060A3E">
            <w:pPr>
              <w:pStyle w:val="48"/>
              <w:pageBreakBefore w:val="0"/>
              <w:kinsoku/>
              <w:overflowPunct/>
              <w:bidi w:val="0"/>
              <w:spacing w:beforeAutospacing="0" w:afterAutospacing="0" w:line="560" w:lineRule="exact"/>
              <w:ind w:left="0" w:leftChars="0" w:right="0"/>
              <w:rPr>
                <w:rFonts w:hint="eastAsia"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售后服务方案包括但不限于服务响应质量、 服务承诺、培训方案等，方案科学、合理、服务体系完善、针对性强得</w:t>
            </w:r>
            <w:r>
              <w:rPr>
                <w:rFonts w:hint="eastAsia" w:cs="宋体"/>
                <w:i w:val="0"/>
                <w:iCs w:val="0"/>
                <w:color w:val="auto"/>
                <w:sz w:val="21"/>
                <w:szCs w:val="21"/>
                <w:highlight w:val="none"/>
                <w:lang w:val="en-US" w:eastAsia="zh-CN"/>
              </w:rPr>
              <w:t>8</w:t>
            </w:r>
            <w:r>
              <w:rPr>
                <w:rFonts w:hint="eastAsia" w:ascii="宋体" w:hAnsi="宋体" w:eastAsia="宋体" w:cs="宋体"/>
                <w:i w:val="0"/>
                <w:iCs w:val="0"/>
                <w:color w:val="auto"/>
                <w:sz w:val="21"/>
                <w:szCs w:val="21"/>
                <w:highlight w:val="none"/>
                <w:lang w:eastAsia="zh-CN"/>
              </w:rPr>
              <w:t>分</w:t>
            </w:r>
            <w:r>
              <w:rPr>
                <w:rFonts w:hint="eastAsia" w:cs="宋体"/>
                <w:i w:val="0"/>
                <w:iCs w:val="0"/>
                <w:color w:val="auto"/>
                <w:sz w:val="21"/>
                <w:szCs w:val="21"/>
                <w:highlight w:val="none"/>
                <w:lang w:eastAsia="zh-CN"/>
              </w:rPr>
              <w:t>。</w:t>
            </w:r>
          </w:p>
          <w:p w14:paraId="6EB17167">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5663B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412" w:type="pct"/>
            <w:vMerge w:val="restart"/>
            <w:vAlign w:val="center"/>
          </w:tcPr>
          <w:p w14:paraId="71F0564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技术部分</w:t>
            </w:r>
          </w:p>
          <w:p w14:paraId="7AB2741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70</w:t>
            </w:r>
            <w:r>
              <w:rPr>
                <w:rFonts w:hint="eastAsia" w:ascii="宋体" w:hAnsi="宋体" w:eastAsia="宋体" w:cs="宋体"/>
                <w:i w:val="0"/>
                <w:iCs w:val="0"/>
                <w:color w:val="auto"/>
                <w:sz w:val="21"/>
                <w:szCs w:val="21"/>
                <w:highlight w:val="none"/>
              </w:rPr>
              <w:t>分）</w:t>
            </w:r>
          </w:p>
        </w:tc>
        <w:tc>
          <w:tcPr>
            <w:tcW w:w="839" w:type="pct"/>
            <w:tcBorders>
              <w:top w:val="single" w:color="auto" w:sz="4" w:space="0"/>
            </w:tcBorders>
            <w:vAlign w:val="center"/>
          </w:tcPr>
          <w:p w14:paraId="7C7BD19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运营</w:t>
            </w:r>
            <w:r>
              <w:rPr>
                <w:rFonts w:hint="eastAsia" w:ascii="宋体" w:hAnsi="宋体" w:eastAsia="宋体" w:cs="宋体"/>
                <w:i w:val="0"/>
                <w:iCs w:val="0"/>
                <w:color w:val="auto"/>
                <w:sz w:val="21"/>
                <w:szCs w:val="21"/>
                <w:highlight w:val="none"/>
                <w:lang w:val="en-US" w:eastAsia="zh-CN"/>
              </w:rPr>
              <w:t>服务实施</w:t>
            </w:r>
          </w:p>
          <w:p w14:paraId="1C40E5D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方案</w:t>
            </w:r>
          </w:p>
        </w:tc>
        <w:tc>
          <w:tcPr>
            <w:tcW w:w="795" w:type="pct"/>
            <w:vAlign w:val="center"/>
          </w:tcPr>
          <w:p w14:paraId="43438A5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35</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0327FAAC">
            <w:pPr>
              <w:pStyle w:val="48"/>
              <w:pageBreakBefore w:val="0"/>
              <w:kinsoku/>
              <w:overflowPunct/>
              <w:bidi w:val="0"/>
              <w:spacing w:beforeAutospacing="0" w:afterAutospacing="0" w:line="560" w:lineRule="exact"/>
              <w:ind w:left="0" w:leftChars="0" w:right="0"/>
              <w:rPr>
                <w:rFonts w:hint="eastAsia"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有详细的运营服务方案，根据采购需求明确运 营服务中的工作内容、人员分工、工作量（如： 设备设施操作及巡检频次，设备设施保养周期 及频次，池体清理、清渣及污泥收集频次、水 质检则频次等）、以及工作要求和标准等。服务方案完整，对采购人需求的把握到位，具有较强可操作性得 35 分</w:t>
            </w:r>
            <w:r>
              <w:rPr>
                <w:rFonts w:hint="eastAsia" w:cs="宋体"/>
                <w:i w:val="0"/>
                <w:iCs w:val="0"/>
                <w:color w:val="auto"/>
                <w:sz w:val="21"/>
                <w:szCs w:val="21"/>
                <w:highlight w:val="none"/>
                <w:lang w:eastAsia="zh-CN"/>
              </w:rPr>
              <w:t>。</w:t>
            </w:r>
          </w:p>
          <w:p w14:paraId="006D3BCB">
            <w:pPr>
              <w:pStyle w:val="48"/>
              <w:pageBreakBefore w:val="0"/>
              <w:kinsoku/>
              <w:overflowPunct/>
              <w:bidi w:val="0"/>
              <w:spacing w:beforeAutospacing="0" w:afterAutospacing="0" w:line="560" w:lineRule="exact"/>
              <w:ind w:left="0" w:leftChars="0" w:right="0"/>
              <w:rPr>
                <w:rFonts w:hint="eastAsia"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w:t>
            </w:r>
            <w:r>
              <w:rPr>
                <w:rFonts w:hint="eastAsia"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lang w:val="en-US" w:eastAsia="zh-CN"/>
              </w:rPr>
              <w:t>分，扣完为止，未提供者不得分。</w:t>
            </w:r>
          </w:p>
        </w:tc>
      </w:tr>
      <w:tr w14:paraId="0ABF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412" w:type="pct"/>
            <w:vMerge w:val="continue"/>
            <w:vAlign w:val="center"/>
          </w:tcPr>
          <w:p w14:paraId="48E8DED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vAlign w:val="center"/>
          </w:tcPr>
          <w:p w14:paraId="66E075A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服务理念</w:t>
            </w:r>
          </w:p>
        </w:tc>
        <w:tc>
          <w:tcPr>
            <w:tcW w:w="795" w:type="pct"/>
            <w:vAlign w:val="center"/>
          </w:tcPr>
          <w:p w14:paraId="2C4D147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0121697B">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根据本项目特点提出合理的污水处理厂运营服务理念、服务定位、服务目标、管理模式等， 能够切合实际、有较强的安全性、可靠性得 2 分。</w:t>
            </w:r>
          </w:p>
          <w:p w14:paraId="6502D1F4">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46E98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412" w:type="pct"/>
            <w:vMerge w:val="continue"/>
            <w:vAlign w:val="center"/>
          </w:tcPr>
          <w:p w14:paraId="730B58F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vAlign w:val="center"/>
          </w:tcPr>
          <w:p w14:paraId="763F9C7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管理制度</w:t>
            </w:r>
          </w:p>
        </w:tc>
        <w:tc>
          <w:tcPr>
            <w:tcW w:w="795" w:type="pct"/>
            <w:vAlign w:val="center"/>
          </w:tcPr>
          <w:p w14:paraId="08A1F89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5</w:t>
            </w:r>
            <w:r>
              <w:rPr>
                <w:rFonts w:hint="eastAsia" w:ascii="宋体" w:hAnsi="宋体" w:eastAsia="宋体" w:cs="宋体"/>
                <w:i w:val="0"/>
                <w:iCs w:val="0"/>
                <w:color w:val="auto"/>
                <w:sz w:val="21"/>
                <w:szCs w:val="21"/>
                <w:highlight w:val="none"/>
                <w:lang w:val="en-US" w:eastAsia="zh-CN"/>
              </w:rPr>
              <w:t xml:space="preserve">分 </w:t>
            </w:r>
          </w:p>
        </w:tc>
        <w:tc>
          <w:tcPr>
            <w:tcW w:w="2952" w:type="pct"/>
            <w:vAlign w:val="center"/>
          </w:tcPr>
          <w:p w14:paraId="35BFCF18">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具有健全的服务人员管理制度的得</w:t>
            </w:r>
            <w:r>
              <w:rPr>
                <w:rFonts w:hint="eastAsia"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lang w:val="en-US" w:eastAsia="zh-CN"/>
              </w:rPr>
              <w:t>分；</w:t>
            </w:r>
          </w:p>
          <w:p w14:paraId="49E013F6">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2.提供可实施的安全文明作业管理方案的得2分。</w:t>
            </w:r>
          </w:p>
          <w:p w14:paraId="692FD26A">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5216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412" w:type="pct"/>
            <w:vMerge w:val="continue"/>
            <w:vAlign w:val="center"/>
          </w:tcPr>
          <w:p w14:paraId="037EB50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vAlign w:val="center"/>
          </w:tcPr>
          <w:p w14:paraId="6CFC2FF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巡检方案</w:t>
            </w:r>
          </w:p>
        </w:tc>
        <w:tc>
          <w:tcPr>
            <w:tcW w:w="795" w:type="pct"/>
            <w:vAlign w:val="center"/>
          </w:tcPr>
          <w:p w14:paraId="769C608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4B1CA549">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根据</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位置结合实际情况制定巡检线路，内容明确:巡检记录文档详细、巡检重点突出、巡检管理制度健全、巡检人员职责明确，得</w:t>
            </w: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分。</w:t>
            </w:r>
          </w:p>
          <w:p w14:paraId="180F17BE">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77D35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12" w:type="pct"/>
            <w:vMerge w:val="continue"/>
            <w:vAlign w:val="center"/>
          </w:tcPr>
          <w:p w14:paraId="1CA47E6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tcBorders>
              <w:top w:val="single" w:color="auto" w:sz="4" w:space="0"/>
            </w:tcBorders>
            <w:vAlign w:val="center"/>
          </w:tcPr>
          <w:p w14:paraId="5D5E86C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应急预案</w:t>
            </w:r>
          </w:p>
        </w:tc>
        <w:tc>
          <w:tcPr>
            <w:tcW w:w="795" w:type="pct"/>
            <w:vAlign w:val="center"/>
          </w:tcPr>
          <w:p w14:paraId="5CE7AC54">
            <w:pPr>
              <w:pStyle w:val="48"/>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18分</w:t>
            </w:r>
          </w:p>
        </w:tc>
        <w:tc>
          <w:tcPr>
            <w:tcW w:w="2952" w:type="pct"/>
            <w:vAlign w:val="center"/>
          </w:tcPr>
          <w:p w14:paraId="1E427B60">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应针对本项目实际工作内容和环境，提供应急方案，要求切实合理可行：</w:t>
            </w:r>
          </w:p>
          <w:p w14:paraId="425F6CC7">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综合应急预案包含系统在日常过程中可能遇到的突发事件所指定的应急方针、应急行动、人员调配、安全预防措施和保障等基本要求和程序，满足要求的得1</w:t>
            </w:r>
            <w:r>
              <w:rPr>
                <w:rFonts w:hint="eastAsia" w:cs="宋体"/>
                <w:i w:val="0"/>
                <w:iCs w:val="0"/>
                <w:color w:val="auto"/>
                <w:sz w:val="21"/>
                <w:szCs w:val="21"/>
                <w:highlight w:val="none"/>
                <w:lang w:val="en-US" w:eastAsia="zh-CN"/>
              </w:rPr>
              <w:t>8</w:t>
            </w:r>
            <w:r>
              <w:rPr>
                <w:rFonts w:hint="eastAsia" w:ascii="宋体" w:hAnsi="宋体" w:eastAsia="宋体" w:cs="宋体"/>
                <w:i w:val="0"/>
                <w:iCs w:val="0"/>
                <w:color w:val="auto"/>
                <w:sz w:val="21"/>
                <w:szCs w:val="21"/>
                <w:highlight w:val="none"/>
                <w:lang w:val="en-US" w:eastAsia="zh-CN"/>
              </w:rPr>
              <w:t>分。</w:t>
            </w:r>
          </w:p>
          <w:p w14:paraId="57B21F1E">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15ECB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251" w:type="pct"/>
            <w:gridSpan w:val="2"/>
            <w:vAlign w:val="center"/>
          </w:tcPr>
          <w:p w14:paraId="5F92F6E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合计</w:t>
            </w:r>
          </w:p>
        </w:tc>
        <w:tc>
          <w:tcPr>
            <w:tcW w:w="795" w:type="pct"/>
            <w:tcBorders>
              <w:bottom w:val="single" w:color="auto" w:sz="4" w:space="0"/>
            </w:tcBorders>
            <w:vAlign w:val="center"/>
          </w:tcPr>
          <w:p w14:paraId="6306481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=SUM(ABOVE)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100</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lang w:val="en-US" w:eastAsia="zh-CN"/>
              </w:rPr>
              <w:t>分</w:t>
            </w:r>
          </w:p>
        </w:tc>
        <w:tc>
          <w:tcPr>
            <w:tcW w:w="2952" w:type="pct"/>
            <w:tcBorders>
              <w:bottom w:val="single" w:color="auto" w:sz="4" w:space="0"/>
            </w:tcBorders>
            <w:vAlign w:val="center"/>
          </w:tcPr>
          <w:p w14:paraId="733B01FF">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p>
        </w:tc>
      </w:tr>
    </w:tbl>
    <w:p w14:paraId="41E694E4">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zh-CN" w:eastAsia="zh-CN" w:bidi="ar-SA"/>
        </w:rPr>
        <w:sectPr>
          <w:headerReference r:id="rId10" w:type="default"/>
          <w:footerReference r:id="rId11" w:type="default"/>
          <w:pgSz w:w="11905" w:h="16840"/>
          <w:pgMar w:top="1440" w:right="1797" w:bottom="1440" w:left="1797" w:header="851" w:footer="850" w:gutter="0"/>
          <w:pgBorders>
            <w:top w:val="none" w:sz="0" w:space="0"/>
            <w:left w:val="none" w:sz="0" w:space="0"/>
            <w:bottom w:val="none" w:sz="0" w:space="0"/>
            <w:right w:val="none" w:sz="0" w:space="0"/>
          </w:pgBorders>
          <w:pgNumType w:fmt="numberInDash"/>
          <w:cols w:space="720" w:num="1"/>
        </w:sectPr>
      </w:pPr>
      <w:bookmarkStart w:id="534" w:name="_Toc155185918"/>
      <w:bookmarkStart w:id="535" w:name="_Toc17112"/>
    </w:p>
    <w:p w14:paraId="54C87150">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zh-CN" w:eastAsia="zh-CN" w:bidi="ar-SA"/>
        </w:rPr>
      </w:pPr>
      <w:r>
        <w:rPr>
          <w:rFonts w:hint="eastAsia" w:ascii="宋体" w:hAnsi="宋体" w:eastAsia="宋体" w:cs="宋体"/>
          <w:b/>
          <w:bCs/>
          <w:color w:val="auto"/>
          <w:kern w:val="44"/>
          <w:sz w:val="36"/>
          <w:szCs w:val="36"/>
          <w:highlight w:val="none"/>
          <w:lang w:val="zh-CN" w:eastAsia="zh-CN" w:bidi="ar-SA"/>
        </w:rPr>
        <w:t xml:space="preserve">第六章 </w:t>
      </w:r>
      <w:r>
        <w:rPr>
          <w:rFonts w:hint="eastAsia" w:eastAsia="宋体" w:cs="宋体"/>
          <w:b/>
          <w:bCs/>
          <w:color w:val="auto"/>
          <w:kern w:val="44"/>
          <w:sz w:val="36"/>
          <w:szCs w:val="36"/>
          <w:highlight w:val="none"/>
          <w:lang w:val="en-US" w:eastAsia="zh-CN" w:bidi="ar-SA"/>
        </w:rPr>
        <w:t>政府采购</w:t>
      </w:r>
      <w:r>
        <w:rPr>
          <w:rFonts w:hint="eastAsia" w:ascii="宋体" w:hAnsi="宋体" w:eastAsia="宋体" w:cs="宋体"/>
          <w:b/>
          <w:bCs/>
          <w:color w:val="auto"/>
          <w:kern w:val="44"/>
          <w:sz w:val="36"/>
          <w:szCs w:val="36"/>
          <w:highlight w:val="none"/>
          <w:lang w:val="zh-CN" w:eastAsia="zh-CN" w:bidi="ar-SA"/>
        </w:rPr>
        <w:t>合同</w:t>
      </w:r>
      <w:bookmarkEnd w:id="534"/>
      <w:r>
        <w:rPr>
          <w:rFonts w:hint="eastAsia" w:ascii="宋体" w:hAnsi="宋体" w:eastAsia="宋体" w:cs="宋体"/>
          <w:b/>
          <w:bCs/>
          <w:color w:val="auto"/>
          <w:kern w:val="44"/>
          <w:sz w:val="36"/>
          <w:szCs w:val="36"/>
          <w:highlight w:val="none"/>
          <w:lang w:val="zh-CN" w:eastAsia="zh-CN" w:bidi="ar-SA"/>
        </w:rPr>
        <w:t>草案</w:t>
      </w:r>
      <w:bookmarkEnd w:id="535"/>
    </w:p>
    <w:p w14:paraId="0F73DEB3">
      <w:pPr>
        <w:pageBreakBefore w:val="0"/>
        <w:kinsoku/>
        <w:wordWrap w:val="0"/>
        <w:overflowPunct/>
        <w:bidi w:val="0"/>
        <w:spacing w:beforeAutospacing="0" w:afterAutospacing="0" w:line="560" w:lineRule="exact"/>
        <w:ind w:left="0" w:leftChars="0" w:right="0"/>
        <w:jc w:val="center"/>
        <w:rPr>
          <w:bCs/>
          <w:color w:val="auto"/>
          <w:sz w:val="36"/>
          <w:szCs w:val="36"/>
          <w:highlight w:val="none"/>
        </w:rPr>
      </w:pPr>
      <w:r>
        <w:rPr>
          <w:rFonts w:hint="eastAsia"/>
          <w:color w:val="auto"/>
          <w:highlight w:val="none"/>
        </w:rPr>
        <w:t>（</w:t>
      </w:r>
      <w:r>
        <w:rPr>
          <w:rFonts w:hint="eastAsia"/>
          <w:color w:val="auto"/>
          <w:szCs w:val="24"/>
          <w:highlight w:val="none"/>
        </w:rPr>
        <w:t>此合同书仅作为签订正式合同时的参考，正式合同书应包括本参考格式的内容）</w:t>
      </w:r>
    </w:p>
    <w:p w14:paraId="51E629DD">
      <w:pPr>
        <w:pageBreakBefore w:val="0"/>
        <w:kinsoku/>
        <w:wordWrap w:val="0"/>
        <w:overflowPunct/>
        <w:bidi w:val="0"/>
        <w:spacing w:beforeAutospacing="0" w:afterAutospacing="0" w:line="560" w:lineRule="exact"/>
        <w:ind w:left="0" w:leftChars="0" w:right="0"/>
        <w:rPr>
          <w:bCs/>
          <w:color w:val="auto"/>
          <w:sz w:val="28"/>
          <w:szCs w:val="28"/>
          <w:highlight w:val="none"/>
        </w:rPr>
      </w:pPr>
      <w:r>
        <w:rPr>
          <w:rFonts w:hint="eastAsia" w:cs="Helvetica"/>
          <w:bCs/>
          <w:color w:val="auto"/>
          <w:szCs w:val="24"/>
          <w:highlight w:val="none"/>
          <w:lang w:val="zh-CN"/>
        </w:rPr>
        <w:t>合同编号：</w:t>
      </w:r>
      <w:r>
        <w:rPr>
          <w:rFonts w:hint="eastAsia" w:cs="Helvetica"/>
          <w:bCs/>
          <w:color w:val="auto"/>
          <w:szCs w:val="24"/>
          <w:highlight w:val="none"/>
          <w:u w:val="single"/>
        </w:rPr>
        <w:t xml:space="preserve">              </w:t>
      </w:r>
    </w:p>
    <w:p w14:paraId="4DD54709">
      <w:pPr>
        <w:pStyle w:val="13"/>
        <w:pageBreakBefore w:val="0"/>
        <w:kinsoku/>
        <w:overflowPunct/>
        <w:bidi w:val="0"/>
        <w:spacing w:beforeAutospacing="0" w:after="0" w:afterAutospacing="0" w:line="560" w:lineRule="exact"/>
        <w:ind w:left="0" w:leftChars="0" w:right="0"/>
        <w:jc w:val="center"/>
        <w:rPr>
          <w:rFonts w:ascii="宋体" w:hAnsi="宋体" w:cs="宋体"/>
          <w:b/>
          <w:bCs/>
          <w:color w:val="auto"/>
          <w:spacing w:val="-20"/>
          <w:kern w:val="44"/>
          <w:sz w:val="48"/>
          <w:szCs w:val="48"/>
          <w:highlight w:val="none"/>
        </w:rPr>
      </w:pPr>
      <w:bookmarkStart w:id="536" w:name="_Toc3995"/>
    </w:p>
    <w:p w14:paraId="3B059C39">
      <w:pPr>
        <w:pStyle w:val="13"/>
        <w:pageBreakBefore w:val="0"/>
        <w:kinsoku/>
        <w:overflowPunct/>
        <w:bidi w:val="0"/>
        <w:spacing w:beforeAutospacing="0" w:after="0" w:afterAutospacing="0" w:line="560" w:lineRule="exact"/>
        <w:ind w:left="0" w:leftChars="0" w:right="0"/>
        <w:rPr>
          <w:color w:val="auto"/>
          <w:highlight w:val="none"/>
        </w:rPr>
      </w:pPr>
    </w:p>
    <w:p w14:paraId="1EAD278A">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bCs/>
          <w:color w:val="auto"/>
          <w:spacing w:val="-20"/>
          <w:kern w:val="44"/>
          <w:sz w:val="44"/>
          <w:szCs w:val="44"/>
          <w:highlight w:val="none"/>
          <w:lang w:val="en-US" w:eastAsia="zh-CN" w:bidi="ar-SA"/>
        </w:rPr>
      </w:pPr>
      <w:bookmarkStart w:id="537" w:name="_Toc9350"/>
      <w:bookmarkStart w:id="538" w:name="_Toc3714"/>
      <w:r>
        <w:rPr>
          <w:rFonts w:hint="eastAsia" w:ascii="宋体" w:hAnsi="宋体" w:eastAsia="宋体" w:cs="宋体"/>
          <w:b/>
          <w:bCs/>
          <w:color w:val="auto"/>
          <w:spacing w:val="-20"/>
          <w:kern w:val="44"/>
          <w:sz w:val="44"/>
          <w:szCs w:val="44"/>
          <w:highlight w:val="none"/>
          <w:lang w:val="en-US" w:eastAsia="zh-CN" w:bidi="ar-SA"/>
        </w:rPr>
        <w:t>政府采购合同参考范本</w:t>
      </w:r>
      <w:bookmarkEnd w:id="537"/>
      <w:bookmarkEnd w:id="538"/>
    </w:p>
    <w:p w14:paraId="4571CDB1">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bCs/>
          <w:color w:val="auto"/>
          <w:spacing w:val="-20"/>
          <w:kern w:val="44"/>
          <w:sz w:val="44"/>
          <w:szCs w:val="44"/>
          <w:highlight w:val="none"/>
          <w:lang w:val="en-US" w:eastAsia="zh-CN" w:bidi="ar-SA"/>
        </w:rPr>
      </w:pPr>
      <w:bookmarkStart w:id="539" w:name="_Toc22704"/>
      <w:bookmarkStart w:id="540" w:name="_Toc8560"/>
      <w:r>
        <w:rPr>
          <w:rFonts w:hint="eastAsia" w:ascii="宋体" w:hAnsi="宋体" w:eastAsia="宋体" w:cs="宋体"/>
          <w:b/>
          <w:bCs/>
          <w:color w:val="auto"/>
          <w:spacing w:val="-20"/>
          <w:kern w:val="44"/>
          <w:sz w:val="44"/>
          <w:szCs w:val="44"/>
          <w:highlight w:val="none"/>
          <w:lang w:val="en-US" w:eastAsia="zh-CN" w:bidi="ar-SA"/>
        </w:rPr>
        <w:t>（服务类）</w:t>
      </w:r>
      <w:bookmarkEnd w:id="539"/>
      <w:bookmarkEnd w:id="540"/>
    </w:p>
    <w:p w14:paraId="78DDAE5C">
      <w:pPr>
        <w:pageBreakBefore w:val="0"/>
        <w:kinsoku/>
        <w:overflowPunct/>
        <w:bidi w:val="0"/>
        <w:spacing w:beforeAutospacing="0" w:afterAutospacing="0" w:line="560" w:lineRule="exact"/>
        <w:ind w:left="0" w:leftChars="0" w:right="0"/>
        <w:jc w:val="center"/>
        <w:rPr>
          <w:rFonts w:cs="Times New Roman" w:asciiTheme="minorEastAsia" w:hAnsiTheme="minorEastAsia" w:eastAsiaTheme="minorEastAsia"/>
          <w:b/>
          <w:color w:val="auto"/>
          <w:sz w:val="24"/>
          <w:szCs w:val="24"/>
          <w:highlight w:val="none"/>
        </w:rPr>
      </w:pPr>
    </w:p>
    <w:p w14:paraId="317A7DEF">
      <w:pPr>
        <w:pageBreakBefore w:val="0"/>
        <w:kinsoku/>
        <w:overflowPunct/>
        <w:bidi w:val="0"/>
        <w:spacing w:beforeAutospacing="0" w:afterAutospacing="0" w:line="560" w:lineRule="exact"/>
        <w:ind w:left="0" w:leftChars="0" w:right="0"/>
        <w:jc w:val="center"/>
        <w:rPr>
          <w:rFonts w:cs="Times New Roman" w:asciiTheme="minorEastAsia" w:hAnsiTheme="minorEastAsia" w:eastAsiaTheme="minorEastAsia"/>
          <w:b/>
          <w:color w:val="auto"/>
          <w:sz w:val="24"/>
          <w:szCs w:val="24"/>
          <w:highlight w:val="none"/>
        </w:rPr>
      </w:pPr>
    </w:p>
    <w:p w14:paraId="55C3B597">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color w:val="auto"/>
          <w:sz w:val="36"/>
          <w:szCs w:val="36"/>
          <w:highlight w:val="none"/>
        </w:rPr>
      </w:pPr>
      <w:bookmarkStart w:id="541" w:name="_Toc24900"/>
      <w:bookmarkStart w:id="542" w:name="_Toc16803"/>
      <w:bookmarkStart w:id="543" w:name="_Toc2449"/>
      <w:r>
        <w:rPr>
          <w:rFonts w:hint="eastAsia" w:ascii="宋体" w:hAnsi="宋体" w:eastAsia="宋体" w:cs="宋体"/>
          <w:b/>
          <w:color w:val="auto"/>
          <w:sz w:val="36"/>
          <w:szCs w:val="36"/>
          <w:highlight w:val="none"/>
        </w:rPr>
        <w:t>第一部分 合同书</w:t>
      </w:r>
      <w:bookmarkEnd w:id="541"/>
      <w:bookmarkEnd w:id="542"/>
      <w:bookmarkEnd w:id="543"/>
    </w:p>
    <w:p w14:paraId="4BA01776">
      <w:pPr>
        <w:pageBreakBefore w:val="0"/>
        <w:kinsoku/>
        <w:overflowPunct/>
        <w:bidi w:val="0"/>
        <w:spacing w:beforeAutospacing="0" w:afterAutospacing="0" w:line="560" w:lineRule="exact"/>
        <w:ind w:left="0" w:leftChars="0" w:right="0"/>
        <w:jc w:val="center"/>
        <w:rPr>
          <w:rFonts w:cs="Times New Roman" w:asciiTheme="minorEastAsia" w:hAnsiTheme="minorEastAsia" w:eastAsiaTheme="minorEastAsia"/>
          <w:b/>
          <w:color w:val="auto"/>
          <w:sz w:val="24"/>
          <w:szCs w:val="24"/>
          <w:highlight w:val="none"/>
        </w:rPr>
      </w:pPr>
    </w:p>
    <w:p w14:paraId="5F204112">
      <w:pPr>
        <w:pStyle w:val="13"/>
        <w:pageBreakBefore w:val="0"/>
        <w:kinsoku/>
        <w:overflowPunct/>
        <w:bidi w:val="0"/>
        <w:spacing w:beforeAutospacing="0" w:after="0" w:afterAutospacing="0" w:line="560" w:lineRule="exact"/>
        <w:ind w:left="0" w:leftChars="0" w:right="0"/>
        <w:rPr>
          <w:color w:val="auto"/>
          <w:highlight w:val="none"/>
        </w:rPr>
      </w:pPr>
    </w:p>
    <w:p w14:paraId="69570DA0">
      <w:pPr>
        <w:pStyle w:val="13"/>
        <w:pageBreakBefore w:val="0"/>
        <w:kinsoku/>
        <w:overflowPunct/>
        <w:bidi w:val="0"/>
        <w:spacing w:beforeAutospacing="0" w:after="0" w:afterAutospacing="0" w:line="560" w:lineRule="exact"/>
        <w:ind w:left="0" w:leftChars="0" w:right="0"/>
        <w:rPr>
          <w:color w:val="auto"/>
          <w:highlight w:val="none"/>
        </w:rPr>
      </w:pPr>
    </w:p>
    <w:p w14:paraId="77910ED1">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（分包项目须填写完整的分包号及分包名称）</w:t>
      </w:r>
    </w:p>
    <w:p w14:paraId="730F4465">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u w:val="single"/>
        </w:rPr>
        <w:t xml:space="preserve">        </w:t>
      </w:r>
    </w:p>
    <w:p w14:paraId="66872538">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甲方（采购人）：</w:t>
      </w:r>
      <w:r>
        <w:rPr>
          <w:rFonts w:hint="eastAsia" w:ascii="宋体" w:hAnsi="宋体" w:eastAsia="宋体" w:cs="宋体"/>
          <w:i w:val="0"/>
          <w:iCs w:val="0"/>
          <w:color w:val="auto"/>
          <w:sz w:val="24"/>
          <w:szCs w:val="24"/>
          <w:highlight w:val="none"/>
          <w:u w:val="single"/>
        </w:rPr>
        <w:t xml:space="preserve">                              </w:t>
      </w:r>
    </w:p>
    <w:p w14:paraId="557645D2">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乙方（中标人）：</w:t>
      </w:r>
      <w:r>
        <w:rPr>
          <w:rFonts w:hint="eastAsia" w:ascii="宋体" w:hAnsi="宋体" w:eastAsia="宋体" w:cs="宋体"/>
          <w:i w:val="0"/>
          <w:iCs w:val="0"/>
          <w:color w:val="auto"/>
          <w:sz w:val="24"/>
          <w:szCs w:val="24"/>
          <w:highlight w:val="none"/>
          <w:u w:val="single"/>
        </w:rPr>
        <w:t xml:space="preserve">                              </w:t>
      </w:r>
    </w:p>
    <w:p w14:paraId="263D5C0B">
      <w:pPr>
        <w:pageBreakBefore w:val="0"/>
        <w:kinsoku/>
        <w:overflowPunct/>
        <w:bidi w:val="0"/>
        <w:spacing w:beforeAutospacing="0" w:afterAutospacing="0" w:line="560" w:lineRule="exact"/>
        <w:ind w:left="0" w:leftChars="0" w:right="0" w:firstLine="960" w:firstLineChars="4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签订地：</w:t>
      </w:r>
      <w:r>
        <w:rPr>
          <w:rFonts w:hint="eastAsia" w:ascii="宋体" w:hAnsi="宋体" w:eastAsia="宋体" w:cs="宋体"/>
          <w:i w:val="0"/>
          <w:iCs w:val="0"/>
          <w:color w:val="auto"/>
          <w:sz w:val="24"/>
          <w:szCs w:val="24"/>
          <w:highlight w:val="none"/>
          <w:u w:val="single"/>
        </w:rPr>
        <w:t xml:space="preserve">                                     </w:t>
      </w:r>
    </w:p>
    <w:p w14:paraId="28A94FB3">
      <w:pPr>
        <w:pageBreakBefore w:val="0"/>
        <w:kinsoku/>
        <w:overflowPunct/>
        <w:bidi w:val="0"/>
        <w:spacing w:beforeAutospacing="0" w:afterAutospacing="0" w:line="560" w:lineRule="exact"/>
        <w:ind w:left="0" w:leftChars="0" w:right="0" w:firstLine="960" w:firstLineChars="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签订日期：</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34F4996A">
      <w:pPr>
        <w:pageBreakBefore w:val="0"/>
        <w:widowControl/>
        <w:kinsoku/>
        <w:overflowPunct/>
        <w:bidi w:val="0"/>
        <w:spacing w:beforeAutospacing="0" w:afterAutospacing="0" w:line="560" w:lineRule="exact"/>
        <w:ind w:left="0" w:leftChars="0" w:right="0"/>
        <w:jc w:val="left"/>
        <w:rPr>
          <w:rFonts w:cs="Times New Roman" w:asciiTheme="minorEastAsia" w:hAnsiTheme="minorEastAsia" w:eastAsiaTheme="minorEastAsia"/>
          <w:color w:val="auto"/>
          <w:sz w:val="24"/>
          <w:szCs w:val="24"/>
          <w:highlight w:val="none"/>
        </w:rPr>
      </w:pPr>
      <w:r>
        <w:rPr>
          <w:rFonts w:cs="Times New Roman" w:asciiTheme="minorEastAsia" w:hAnsiTheme="minorEastAsia" w:eastAsiaTheme="minorEastAsia"/>
          <w:color w:val="auto"/>
          <w:sz w:val="24"/>
          <w:szCs w:val="24"/>
          <w:highlight w:val="none"/>
        </w:rPr>
        <w:br w:type="page"/>
      </w:r>
    </w:p>
    <w:p w14:paraId="5343AEB4">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以下简称：甲方</w:t>
      </w:r>
      <w:r>
        <w:rPr>
          <w:rFonts w:hint="eastAsia" w:ascii="宋体" w:hAnsi="宋体" w:eastAsia="宋体" w:cs="宋体"/>
          <w:color w:val="auto"/>
          <w:sz w:val="24"/>
          <w:szCs w:val="24"/>
          <w:highlight w:val="none"/>
        </w:rPr>
        <w:t>）通过</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组织的</w:t>
      </w:r>
      <w:r>
        <w:rPr>
          <w:rFonts w:hint="eastAsia" w:ascii="宋体" w:hAnsi="宋体" w:eastAsia="宋体" w:cs="宋体"/>
          <w:color w:val="auto"/>
          <w:sz w:val="24"/>
          <w:szCs w:val="24"/>
          <w:highlight w:val="none"/>
          <w:u w:val="single"/>
        </w:rPr>
        <w:t>公开招标</w:t>
      </w:r>
      <w:r>
        <w:rPr>
          <w:rFonts w:hint="eastAsia" w:ascii="宋体" w:hAnsi="宋体" w:eastAsia="宋体" w:cs="宋体"/>
          <w:color w:val="auto"/>
          <w:sz w:val="24"/>
          <w:szCs w:val="24"/>
          <w:highlight w:val="none"/>
        </w:rPr>
        <w:t>方式采购活动，经</w:t>
      </w:r>
      <w:r>
        <w:rPr>
          <w:rFonts w:hint="eastAsia" w:ascii="宋体" w:hAnsi="宋体" w:eastAsia="宋体" w:cs="宋体"/>
          <w:color w:val="auto"/>
          <w:sz w:val="24"/>
          <w:szCs w:val="24"/>
          <w:highlight w:val="none"/>
          <w:u w:val="single"/>
        </w:rPr>
        <w:t>评标委员会</w:t>
      </w:r>
      <w:r>
        <w:rPr>
          <w:rFonts w:hint="eastAsia" w:ascii="宋体" w:hAnsi="宋体" w:eastAsia="宋体" w:cs="宋体"/>
          <w:color w:val="auto"/>
          <w:sz w:val="24"/>
          <w:szCs w:val="24"/>
          <w:highlight w:val="none"/>
        </w:rPr>
        <w:t>评定，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以下简称：乙方</w:t>
      </w:r>
      <w:r>
        <w:rPr>
          <w:rFonts w:hint="eastAsia" w:ascii="宋体" w:hAnsi="宋体" w:eastAsia="宋体" w:cs="宋体"/>
          <w:color w:val="auto"/>
          <w:sz w:val="24"/>
          <w:szCs w:val="24"/>
          <w:highlight w:val="none"/>
        </w:rPr>
        <w:t>）为本项目中标人，现按照采购文件确定的事项签订本合同。</w:t>
      </w:r>
    </w:p>
    <w:p w14:paraId="1A7D6614">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根据《中华人民共和国民法典》、《中华人民共和国政府采购法》等相关法律法规之规定，按照平等、自愿、公平和诚实信用的原则，经甲方和乙方协商一致，约定以下合同条款，以兹共同遵守、全面履行。</w:t>
      </w:r>
    </w:p>
    <w:p w14:paraId="081298ED">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44" w:name="_Toc3029"/>
      <w:bookmarkStart w:id="545" w:name="_Toc32343"/>
      <w:bookmarkStart w:id="546" w:name="_Toc24059"/>
      <w:bookmarkStart w:id="547" w:name="_Toc2232"/>
      <w:bookmarkStart w:id="548" w:name="_Toc1600"/>
      <w:r>
        <w:rPr>
          <w:rFonts w:hint="eastAsia" w:ascii="宋体" w:hAnsi="宋体" w:eastAsia="宋体" w:cs="宋体"/>
          <w:b/>
          <w:bCs/>
          <w:color w:val="auto"/>
          <w:sz w:val="24"/>
          <w:szCs w:val="24"/>
          <w:highlight w:val="none"/>
          <w:lang w:val="zh-CN"/>
        </w:rPr>
        <w:t>1.1 合同组成部分</w:t>
      </w:r>
      <w:bookmarkEnd w:id="544"/>
      <w:bookmarkEnd w:id="545"/>
      <w:bookmarkEnd w:id="546"/>
      <w:bookmarkEnd w:id="547"/>
      <w:bookmarkEnd w:id="548"/>
    </w:p>
    <w:p w14:paraId="024A42B6">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下列文件为本合同的组成部分，并构成一个整体，需综合解释、相互补充。如果下列文件内容出现不一致的情形，那么在保证按照采购文件确定的事项前提下，组成本合同的多个文件的优先适用顺序如下：</w:t>
      </w:r>
    </w:p>
    <w:p w14:paraId="62BC58A8">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1.1.1本合同及其补充合同、变更协议；</w:t>
      </w:r>
    </w:p>
    <w:p w14:paraId="037DCF58">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1.1.2中标通知书；</w:t>
      </w:r>
    </w:p>
    <w:p w14:paraId="20FA8DCC">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1.1.3投标文件（含澄清或者说明文件）；</w:t>
      </w:r>
    </w:p>
    <w:p w14:paraId="01E3C1E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1.1.4招标文件（含澄清或者修改文件）；</w:t>
      </w:r>
    </w:p>
    <w:p w14:paraId="7BCC15D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1.1.5其他相关采购文件。</w:t>
      </w:r>
    </w:p>
    <w:p w14:paraId="283E7943">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49" w:name="_Toc2918"/>
      <w:bookmarkStart w:id="550" w:name="_Toc18585"/>
      <w:bookmarkStart w:id="551" w:name="_Toc6311"/>
      <w:bookmarkStart w:id="552" w:name="_Toc22185"/>
      <w:bookmarkStart w:id="553" w:name="_Toc6773"/>
      <w:bookmarkStart w:id="554" w:name="_Toc8950"/>
      <w:bookmarkStart w:id="555" w:name="_Toc4436"/>
      <w:r>
        <w:rPr>
          <w:rFonts w:hint="eastAsia" w:ascii="宋体" w:hAnsi="宋体" w:eastAsia="宋体" w:cs="宋体"/>
          <w:b/>
          <w:bCs/>
          <w:color w:val="auto"/>
          <w:sz w:val="24"/>
          <w:szCs w:val="24"/>
          <w:highlight w:val="none"/>
          <w:lang w:val="zh-CN"/>
        </w:rPr>
        <w:t xml:space="preserve">1.2 </w:t>
      </w:r>
      <w:bookmarkEnd w:id="549"/>
      <w:bookmarkEnd w:id="550"/>
      <w:bookmarkEnd w:id="551"/>
      <w:bookmarkEnd w:id="552"/>
      <w:bookmarkEnd w:id="553"/>
      <w:r>
        <w:rPr>
          <w:rFonts w:hint="eastAsia" w:ascii="宋体" w:hAnsi="宋体" w:eastAsia="宋体" w:cs="宋体"/>
          <w:b/>
          <w:bCs/>
          <w:color w:val="auto"/>
          <w:sz w:val="24"/>
          <w:szCs w:val="24"/>
          <w:highlight w:val="none"/>
          <w:lang w:val="zh-CN"/>
        </w:rPr>
        <w:t>服务</w:t>
      </w:r>
      <w:bookmarkEnd w:id="554"/>
      <w:bookmarkEnd w:id="555"/>
    </w:p>
    <w:p w14:paraId="2A8C8081">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1.2.1服务名称：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D507EFA">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1.2.2服务内容：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7170C53">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1.2.3服务质量：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294900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56" w:name="_Toc21551"/>
      <w:bookmarkStart w:id="557" w:name="_Toc23292"/>
      <w:bookmarkStart w:id="558" w:name="_Toc21631"/>
      <w:bookmarkStart w:id="559" w:name="_Toc11350"/>
      <w:bookmarkStart w:id="560" w:name="_Toc8047"/>
      <w:r>
        <w:rPr>
          <w:rFonts w:hint="eastAsia" w:ascii="宋体" w:hAnsi="宋体" w:eastAsia="宋体" w:cs="宋体"/>
          <w:b/>
          <w:bCs/>
          <w:color w:val="auto"/>
          <w:sz w:val="24"/>
          <w:szCs w:val="24"/>
          <w:highlight w:val="none"/>
          <w:lang w:val="zh-CN"/>
        </w:rPr>
        <w:t>1.3 价款</w:t>
      </w:r>
      <w:bookmarkEnd w:id="556"/>
      <w:bookmarkEnd w:id="557"/>
      <w:bookmarkEnd w:id="558"/>
      <w:bookmarkEnd w:id="559"/>
      <w:bookmarkEnd w:id="560"/>
    </w:p>
    <w:p w14:paraId="0E6E2DB0">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本合同总价为：￥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元（大写：人民币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p w14:paraId="585CBE51">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分项价格：</w:t>
      </w:r>
    </w:p>
    <w:tbl>
      <w:tblPr>
        <w:tblStyle w:val="2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316"/>
        <w:gridCol w:w="12"/>
        <w:gridCol w:w="3225"/>
        <w:gridCol w:w="12"/>
      </w:tblGrid>
      <w:tr w14:paraId="7AF9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vAlign w:val="center"/>
          </w:tcPr>
          <w:p w14:paraId="0CD18D7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4316" w:type="dxa"/>
            <w:vAlign w:val="center"/>
          </w:tcPr>
          <w:p w14:paraId="4F68A816">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3237" w:type="dxa"/>
            <w:gridSpan w:val="2"/>
            <w:vAlign w:val="center"/>
          </w:tcPr>
          <w:p w14:paraId="4C7FFB2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6B92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0F36042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p>
        </w:tc>
        <w:tc>
          <w:tcPr>
            <w:tcW w:w="4316" w:type="dxa"/>
            <w:vAlign w:val="center"/>
          </w:tcPr>
          <w:p w14:paraId="2461E5E0">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0E415F66">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0D861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424CE31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p>
        </w:tc>
        <w:tc>
          <w:tcPr>
            <w:tcW w:w="4316" w:type="dxa"/>
            <w:vAlign w:val="center"/>
          </w:tcPr>
          <w:p w14:paraId="345F5B41">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3722A032">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6F07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512C37D0">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p>
        </w:tc>
        <w:tc>
          <w:tcPr>
            <w:tcW w:w="4316" w:type="dxa"/>
            <w:vAlign w:val="center"/>
          </w:tcPr>
          <w:p w14:paraId="498FC842">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4CAABBD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7BB6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1019B673">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p>
        </w:tc>
        <w:tc>
          <w:tcPr>
            <w:tcW w:w="4316" w:type="dxa"/>
            <w:vAlign w:val="center"/>
          </w:tcPr>
          <w:p w14:paraId="1668CCE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1464721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7B385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85" w:type="dxa"/>
            <w:gridSpan w:val="3"/>
            <w:vAlign w:val="center"/>
          </w:tcPr>
          <w:p w14:paraId="445538F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3237" w:type="dxa"/>
            <w:gridSpan w:val="2"/>
            <w:vAlign w:val="center"/>
          </w:tcPr>
          <w:p w14:paraId="155BB530">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bl>
    <w:p w14:paraId="17E2FC9E">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61" w:name="_Toc21546"/>
      <w:bookmarkStart w:id="562" w:name="_Toc1814"/>
      <w:bookmarkStart w:id="563" w:name="_Toc10340"/>
      <w:bookmarkStart w:id="564" w:name="_Toc20171"/>
      <w:bookmarkStart w:id="565" w:name="_Toc22618"/>
      <w:r>
        <w:rPr>
          <w:rFonts w:hint="eastAsia" w:ascii="宋体" w:hAnsi="宋体" w:eastAsia="宋体" w:cs="宋体"/>
          <w:b/>
          <w:bCs/>
          <w:color w:val="auto"/>
          <w:sz w:val="24"/>
          <w:szCs w:val="24"/>
          <w:highlight w:val="none"/>
          <w:lang w:val="zh-CN"/>
        </w:rPr>
        <w:t>1.4 付款方式和发票开具方式</w:t>
      </w:r>
      <w:bookmarkEnd w:id="561"/>
      <w:bookmarkEnd w:id="562"/>
      <w:bookmarkEnd w:id="563"/>
      <w:bookmarkEnd w:id="564"/>
      <w:bookmarkEnd w:id="565"/>
    </w:p>
    <w:p w14:paraId="0D15CC02">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1.4.1付款方式：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591FB6B">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1.4.2发票开具方式：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0203521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66" w:name="_Toc21443"/>
      <w:bookmarkStart w:id="567" w:name="_Toc2846"/>
      <w:bookmarkStart w:id="568" w:name="_Toc32071"/>
      <w:bookmarkStart w:id="569" w:name="_Toc19304"/>
      <w:bookmarkStart w:id="570" w:name="_Toc15519"/>
      <w:r>
        <w:rPr>
          <w:rFonts w:hint="eastAsia" w:ascii="宋体" w:hAnsi="宋体" w:eastAsia="宋体" w:cs="宋体"/>
          <w:b/>
          <w:bCs/>
          <w:color w:val="auto"/>
          <w:sz w:val="24"/>
          <w:szCs w:val="24"/>
          <w:highlight w:val="none"/>
          <w:lang w:val="zh-CN"/>
        </w:rPr>
        <w:t>1.5 服务期限、地点和方式</w:t>
      </w:r>
      <w:bookmarkEnd w:id="566"/>
      <w:bookmarkEnd w:id="567"/>
      <w:bookmarkEnd w:id="568"/>
      <w:bookmarkEnd w:id="569"/>
      <w:bookmarkEnd w:id="570"/>
    </w:p>
    <w:p w14:paraId="5A2C5E65">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1.5.1服务期限：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3FF6520">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1.5.2服务地点：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CE4FC75">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1.5.3服务方式：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B2ED679">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71" w:name="_Toc9372"/>
      <w:bookmarkStart w:id="572" w:name="_Toc26348"/>
      <w:bookmarkStart w:id="573" w:name="_Toc21423"/>
      <w:bookmarkStart w:id="574" w:name="_Toc19554"/>
      <w:bookmarkStart w:id="575" w:name="_Toc27250"/>
      <w:r>
        <w:rPr>
          <w:rFonts w:hint="eastAsia" w:ascii="宋体" w:hAnsi="宋体" w:eastAsia="宋体" w:cs="宋体"/>
          <w:b/>
          <w:bCs/>
          <w:color w:val="auto"/>
          <w:sz w:val="24"/>
          <w:szCs w:val="24"/>
          <w:highlight w:val="none"/>
          <w:lang w:val="zh-CN"/>
        </w:rPr>
        <w:t>1.6 违约责任</w:t>
      </w:r>
      <w:bookmarkEnd w:id="571"/>
      <w:bookmarkEnd w:id="572"/>
      <w:bookmarkEnd w:id="573"/>
      <w:bookmarkEnd w:id="574"/>
      <w:bookmarkEnd w:id="575"/>
    </w:p>
    <w:p w14:paraId="5DD1292A">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%；迟延履行的违约金计算数额达到前述最高限额之日起，甲方有权在要求乙方支付违约金的同时，书面通知乙方解除本合同；</w:t>
      </w:r>
    </w:p>
    <w:p w14:paraId="7B8B7DE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%；迟延付款的违约金计算数额达到前述最高限额之日起，乙方有权在要求甲方支付违约金的同时，书面通知甲方解除本合同；</w:t>
      </w:r>
    </w:p>
    <w:p w14:paraId="1A4EF162">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9112113">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920104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3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F44C03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3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1.6.6如果出现政府采购监督管理部门在处理投诉事项期间，书面通知甲方暂停采购活动的情形，或者询问或质疑事项可能影响中标结果的，导致甲方中止履行合同的情形，均不视为甲方违约。</w:t>
      </w:r>
    </w:p>
    <w:p w14:paraId="6DDBD42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3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1.6.7因甲方未按合同约定支付价款、未按合同约定受领标的物、擅自解除合同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逾期退还履约保证金导致乙方遭受的直接损失，乙方可向甲方申请赔偿，赔偿金额由双方协商一致；针对因政策变化等原因不能签订合同或解除合同时，造成乙方合法利益受损的情形，可以给予乙方合理补偿，补偿金额不得超过乙方的直接损失。</w:t>
      </w:r>
    </w:p>
    <w:p w14:paraId="1D4B476D">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76" w:name="_Toc16021"/>
      <w:bookmarkStart w:id="577" w:name="_Toc10408"/>
      <w:bookmarkStart w:id="578" w:name="_Toc28375"/>
      <w:bookmarkStart w:id="579" w:name="_Toc15583"/>
      <w:bookmarkStart w:id="580" w:name="_Toc20996"/>
      <w:r>
        <w:rPr>
          <w:rFonts w:hint="eastAsia" w:ascii="宋体" w:hAnsi="宋体" w:eastAsia="宋体" w:cs="宋体"/>
          <w:b/>
          <w:bCs/>
          <w:color w:val="auto"/>
          <w:sz w:val="24"/>
          <w:szCs w:val="24"/>
          <w:highlight w:val="none"/>
          <w:lang w:val="zh-CN"/>
        </w:rPr>
        <w:t>1.7 合同争议的解决</w:t>
      </w:r>
      <w:bookmarkEnd w:id="576"/>
      <w:bookmarkEnd w:id="577"/>
      <w:bookmarkEnd w:id="578"/>
      <w:bookmarkEnd w:id="579"/>
      <w:bookmarkEnd w:id="580"/>
    </w:p>
    <w:p w14:paraId="7C025FBF">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种方式解决：</w:t>
      </w:r>
    </w:p>
    <w:p w14:paraId="7856D441">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1.7.1将争议提交</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仲裁委员会依申请仲裁时其现行有效的仲裁规则裁决；</w:t>
      </w:r>
    </w:p>
    <w:p w14:paraId="525321B9">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人民法院起诉。</w:t>
      </w:r>
    </w:p>
    <w:p w14:paraId="21D8E3B4">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81" w:name="_Toc11173"/>
      <w:bookmarkStart w:id="582" w:name="_Toc21422"/>
      <w:bookmarkStart w:id="583" w:name="_Toc14122"/>
      <w:bookmarkStart w:id="584" w:name="_Toc15322"/>
      <w:bookmarkStart w:id="585" w:name="_Toc7245"/>
      <w:r>
        <w:rPr>
          <w:rFonts w:hint="eastAsia" w:ascii="宋体" w:hAnsi="宋体" w:eastAsia="宋体" w:cs="宋体"/>
          <w:b/>
          <w:bCs/>
          <w:color w:val="auto"/>
          <w:sz w:val="24"/>
          <w:szCs w:val="24"/>
          <w:highlight w:val="none"/>
          <w:lang w:val="zh-CN"/>
        </w:rPr>
        <w:t>1.8 合同生效</w:t>
      </w:r>
      <w:bookmarkEnd w:id="581"/>
      <w:bookmarkEnd w:id="582"/>
      <w:bookmarkEnd w:id="583"/>
      <w:bookmarkEnd w:id="584"/>
      <w:bookmarkEnd w:id="585"/>
    </w:p>
    <w:p w14:paraId="5961B88C">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本合同自双方当事人盖章时生效。</w:t>
      </w:r>
    </w:p>
    <w:p w14:paraId="2F65E252">
      <w:pPr>
        <w:pageBreakBefore w:val="0"/>
        <w:kinsoku/>
        <w:overflowPunct/>
        <w:autoSpaceDE w:val="0"/>
        <w:autoSpaceDN w:val="0"/>
        <w:bidi w:val="0"/>
        <w:adjustRightInd w:val="0"/>
        <w:spacing w:beforeAutospacing="0" w:afterAutospacing="0" w:line="560" w:lineRule="exact"/>
        <w:ind w:left="0" w:leftChars="0" w:right="0"/>
        <w:rPr>
          <w:rFonts w:hint="eastAsia" w:ascii="宋体" w:hAnsi="宋体" w:eastAsia="宋体" w:cs="宋体"/>
          <w:color w:val="auto"/>
          <w:sz w:val="24"/>
          <w:szCs w:val="24"/>
          <w:highlight w:val="none"/>
          <w:lang w:val="zh-CN"/>
        </w:rPr>
      </w:pPr>
    </w:p>
    <w:p w14:paraId="6DB0DE5E">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甲    方：</w:t>
      </w:r>
      <w:r>
        <w:rPr>
          <w:rFonts w:hint="eastAsia" w:ascii="宋体" w:hAnsi="宋体" w:eastAsia="宋体" w:cs="宋体"/>
          <w:bCs/>
          <w:color w:val="auto"/>
          <w:sz w:val="24"/>
          <w:szCs w:val="24"/>
          <w:highlight w:val="none"/>
          <w:u w:val="single"/>
          <w:lang w:val="zh-CN"/>
        </w:rPr>
        <w:t xml:space="preserve">    （单位盖章）     </w:t>
      </w:r>
      <w:r>
        <w:rPr>
          <w:rFonts w:hint="eastAsia" w:ascii="宋体" w:hAnsi="宋体" w:eastAsia="宋体" w:cs="宋体"/>
          <w:bCs/>
          <w:color w:val="auto"/>
          <w:sz w:val="24"/>
          <w:szCs w:val="24"/>
          <w:highlight w:val="none"/>
          <w:lang w:val="zh-CN"/>
        </w:rPr>
        <w:t xml:space="preserve">          乙方：</w:t>
      </w:r>
      <w:r>
        <w:rPr>
          <w:rFonts w:hint="eastAsia" w:ascii="宋体" w:hAnsi="宋体" w:eastAsia="宋体" w:cs="宋体"/>
          <w:bCs/>
          <w:color w:val="auto"/>
          <w:sz w:val="24"/>
          <w:szCs w:val="24"/>
          <w:highlight w:val="none"/>
          <w:u w:val="single"/>
          <w:lang w:val="zh-CN"/>
        </w:rPr>
        <w:t xml:space="preserve">    （单位盖章）     </w:t>
      </w:r>
    </w:p>
    <w:p w14:paraId="1B900B99">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法定代表人                               法定代表人</w:t>
      </w:r>
    </w:p>
    <w:p w14:paraId="009FFBBE">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或授权代表（签字）：                      或授权代表（签字）：</w:t>
      </w:r>
    </w:p>
    <w:p w14:paraId="5226F044">
      <w:pPr>
        <w:keepNext w:val="0"/>
        <w:keepLines w:val="0"/>
        <w:pageBreakBefore w:val="0"/>
        <w:widowControl/>
        <w:kinsoku/>
        <w:wordWrap/>
        <w:overflowPunct/>
        <w:topLinePunct w:val="0"/>
        <w:bidi w:val="0"/>
        <w:snapToGrid/>
        <w:spacing w:beforeAutospacing="0" w:afterAutospacing="0" w:line="560" w:lineRule="exact"/>
        <w:ind w:left="0" w:leftChars="0" w:right="0"/>
        <w:jc w:val="left"/>
        <w:textAlignment w:val="auto"/>
        <w:rPr>
          <w:rFonts w:hint="eastAsia" w:ascii="宋体" w:hAnsi="宋体" w:eastAsia="宋体" w:cs="宋体"/>
          <w:bCs/>
          <w:color w:val="auto"/>
          <w:sz w:val="24"/>
          <w:szCs w:val="24"/>
          <w:highlight w:val="none"/>
        </w:rPr>
      </w:pPr>
      <w:bookmarkStart w:id="586" w:name="_Toc331685783"/>
      <w:r>
        <w:rPr>
          <w:rFonts w:hint="eastAsia" w:ascii="宋体" w:hAnsi="宋体" w:eastAsia="宋体" w:cs="宋体"/>
          <w:bCs/>
          <w:color w:val="auto"/>
          <w:sz w:val="24"/>
          <w:szCs w:val="24"/>
          <w:highlight w:val="none"/>
        </w:rPr>
        <w:t>时间：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               时间：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w:t>
      </w:r>
    </w:p>
    <w:p w14:paraId="0FB8187C">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bookmarkStart w:id="587" w:name="_Hlk110099149"/>
      <w:r>
        <w:rPr>
          <w:rFonts w:hint="eastAsia" w:ascii="宋体" w:hAnsi="宋体" w:eastAsia="宋体" w:cs="宋体"/>
          <w:color w:val="auto"/>
          <w:sz w:val="24"/>
          <w:szCs w:val="24"/>
          <w:highlight w:val="none"/>
        </w:rPr>
        <w:t>乙方账户信息</w:t>
      </w:r>
    </w:p>
    <w:p w14:paraId="58A2B11B">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户名：</w:t>
      </w:r>
      <w:r>
        <w:rPr>
          <w:rFonts w:hint="eastAsia" w:ascii="宋体" w:hAnsi="宋体" w:eastAsia="宋体" w:cs="宋体"/>
          <w:color w:val="auto"/>
          <w:sz w:val="24"/>
          <w:szCs w:val="24"/>
          <w:highlight w:val="none"/>
          <w:u w:val="single"/>
        </w:rPr>
        <w:t xml:space="preserve">            </w:t>
      </w:r>
    </w:p>
    <w:p w14:paraId="0D697104">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账号：</w:t>
      </w:r>
      <w:r>
        <w:rPr>
          <w:rFonts w:hint="eastAsia" w:ascii="宋体" w:hAnsi="宋体" w:eastAsia="宋体" w:cs="宋体"/>
          <w:color w:val="auto"/>
          <w:sz w:val="24"/>
          <w:szCs w:val="24"/>
          <w:highlight w:val="none"/>
          <w:u w:val="single"/>
        </w:rPr>
        <w:t xml:space="preserve">            </w:t>
      </w:r>
    </w:p>
    <w:p w14:paraId="7309CDF0">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开户银行：</w:t>
      </w:r>
      <w:r>
        <w:rPr>
          <w:rFonts w:hint="eastAsia" w:ascii="宋体" w:hAnsi="宋体" w:eastAsia="宋体" w:cs="宋体"/>
          <w:color w:val="auto"/>
          <w:sz w:val="24"/>
          <w:szCs w:val="24"/>
          <w:highlight w:val="none"/>
          <w:u w:val="single"/>
        </w:rPr>
        <w:t xml:space="preserve">        </w:t>
      </w:r>
    </w:p>
    <w:bookmarkEnd w:id="587"/>
    <w:p w14:paraId="4D631BBC">
      <w:pPr>
        <w:pageBreakBefore w:val="0"/>
        <w:widowControl/>
        <w:kinsoku/>
        <w:overflowPunct/>
        <w:bidi w:val="0"/>
        <w:spacing w:beforeAutospacing="0" w:afterAutospacing="0" w:line="560" w:lineRule="exact"/>
        <w:ind w:left="0" w:leftChars="0" w:right="0"/>
        <w:jc w:val="left"/>
        <w:rPr>
          <w:rFonts w:cs="Times New Roman" w:asciiTheme="minorEastAsia" w:hAnsiTheme="minorEastAsia" w:eastAsiaTheme="minorEastAsia"/>
          <w:b/>
          <w:color w:val="auto"/>
          <w:sz w:val="24"/>
          <w:szCs w:val="24"/>
          <w:highlight w:val="none"/>
        </w:rPr>
      </w:pPr>
      <w:r>
        <w:rPr>
          <w:rFonts w:cs="Times New Roman" w:asciiTheme="minorEastAsia" w:hAnsiTheme="minorEastAsia" w:eastAsiaTheme="minorEastAsia"/>
          <w:b/>
          <w:color w:val="auto"/>
          <w:sz w:val="24"/>
          <w:szCs w:val="24"/>
          <w:highlight w:val="none"/>
        </w:rPr>
        <w:br w:type="page"/>
      </w:r>
    </w:p>
    <w:p w14:paraId="37D2F896">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color w:val="auto"/>
          <w:sz w:val="36"/>
          <w:szCs w:val="36"/>
          <w:highlight w:val="none"/>
        </w:rPr>
      </w:pPr>
      <w:bookmarkStart w:id="588" w:name="_Toc13256"/>
      <w:bookmarkStart w:id="589" w:name="_Toc4008"/>
      <w:bookmarkStart w:id="590" w:name="_Toc415"/>
      <w:r>
        <w:rPr>
          <w:rFonts w:hint="eastAsia" w:ascii="宋体" w:hAnsi="宋体" w:eastAsia="宋体" w:cs="宋体"/>
          <w:b/>
          <w:color w:val="auto"/>
          <w:sz w:val="36"/>
          <w:szCs w:val="36"/>
          <w:highlight w:val="none"/>
        </w:rPr>
        <w:t>第二部分 合同一般条款</w:t>
      </w:r>
      <w:bookmarkEnd w:id="586"/>
      <w:bookmarkEnd w:id="588"/>
      <w:bookmarkEnd w:id="589"/>
      <w:bookmarkEnd w:id="590"/>
    </w:p>
    <w:p w14:paraId="232A2B3D">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591" w:name="_Toc279701240"/>
      <w:bookmarkStart w:id="592" w:name="_Toc487900349"/>
      <w:bookmarkStart w:id="593" w:name="_Ref467378404"/>
      <w:bookmarkStart w:id="594" w:name="_Toc6755"/>
      <w:bookmarkStart w:id="595" w:name="_Ref467379094"/>
      <w:bookmarkStart w:id="596" w:name="_Ref467379195"/>
      <w:bookmarkStart w:id="597" w:name="_Ref467379225"/>
      <w:bookmarkStart w:id="598" w:name="_Toc259093669"/>
      <w:bookmarkStart w:id="599" w:name="_Toc15955"/>
      <w:bookmarkStart w:id="600" w:name="_Ref467379109"/>
      <w:bookmarkStart w:id="601" w:name="_Ref467379214"/>
      <w:bookmarkStart w:id="602" w:name="_Toc16917"/>
      <w:bookmarkStart w:id="603" w:name="_Ref467379101"/>
      <w:bookmarkStart w:id="604" w:name="_Ref467378463"/>
      <w:bookmarkStart w:id="605" w:name="_Toc19614"/>
      <w:bookmarkStart w:id="606" w:name="_Ref467379205"/>
      <w:bookmarkStart w:id="607" w:name="_Toc28763"/>
      <w:bookmarkStart w:id="608" w:name="_Ref467378499"/>
      <w:r>
        <w:rPr>
          <w:rFonts w:hint="eastAsia" w:ascii="宋体" w:hAnsi="宋体" w:eastAsia="宋体" w:cs="宋体"/>
          <w:b/>
          <w:bCs/>
          <w:i w:val="0"/>
          <w:iCs w:val="0"/>
          <w:color w:val="auto"/>
          <w:sz w:val="24"/>
          <w:szCs w:val="24"/>
          <w:highlight w:val="none"/>
          <w:lang w:val="zh-CN"/>
        </w:rPr>
        <w:t>2.1 定义</w: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p>
    <w:p w14:paraId="3DABC3C2">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本合同中的下列词语应按以下内容进行解释：</w:t>
      </w:r>
    </w:p>
    <w:p w14:paraId="029314FD">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2.1.1“合同”系指采购人和中标人签订的载明双方当事人所达成的协议，并包括所有的附件、附录和构成合同的其他文件。</w:t>
      </w:r>
    </w:p>
    <w:p w14:paraId="2F4EDFDB">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2.1.2“合同价”系指根据合同约定，中标人在完全履行合同义务后，采购人应支付给中标人的价格。</w:t>
      </w:r>
    </w:p>
    <w:p w14:paraId="5824C107">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2.1.3“服务”系指中标人根据合同约定应向采购人履行的除货物和工程以外的其他政府采购对象，包括采购人自身需要的服务和向社会公众提供的公共服务。</w:t>
      </w:r>
    </w:p>
    <w:p w14:paraId="1802AAD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09" w:name="_Ref467378840"/>
      <w:r>
        <w:rPr>
          <w:rFonts w:hint="eastAsia" w:ascii="宋体" w:hAnsi="宋体" w:eastAsia="宋体" w:cs="宋体"/>
          <w:i w:val="0"/>
          <w:iCs w:val="0"/>
          <w:color w:val="auto"/>
          <w:sz w:val="24"/>
          <w:szCs w:val="24"/>
          <w:highlight w:val="none"/>
        </w:rPr>
        <w:t>2.1.4“甲方”系指与中标人签署合同的采购人</w:t>
      </w:r>
      <w:bookmarkEnd w:id="609"/>
      <w:r>
        <w:rPr>
          <w:rFonts w:hint="eastAsia" w:ascii="宋体" w:hAnsi="宋体" w:eastAsia="宋体" w:cs="宋体"/>
          <w:i w:val="0"/>
          <w:iCs w:val="0"/>
          <w:color w:val="auto"/>
          <w:sz w:val="24"/>
          <w:szCs w:val="24"/>
          <w:highlight w:val="none"/>
        </w:rPr>
        <w:t>；采购人委托采购代理机构代表其与乙方签订合同的，采购人的授权委托书作为合同附件。</w:t>
      </w:r>
    </w:p>
    <w:p w14:paraId="1106E65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10" w:name="_Ref467379400"/>
      <w:r>
        <w:rPr>
          <w:rFonts w:hint="eastAsia" w:ascii="宋体" w:hAnsi="宋体" w:eastAsia="宋体" w:cs="宋体"/>
          <w:i w:val="0"/>
          <w:iCs w:val="0"/>
          <w:color w:val="auto"/>
          <w:sz w:val="24"/>
          <w:szCs w:val="24"/>
          <w:highlight w:val="none"/>
        </w:rPr>
        <w:t>2.1.5“乙方”系指根据合同约定提供服务的中标人</w:t>
      </w:r>
      <w:bookmarkEnd w:id="610"/>
      <w:r>
        <w:rPr>
          <w:rFonts w:hint="eastAsia" w:ascii="宋体" w:hAnsi="宋体" w:eastAsia="宋体" w:cs="宋体"/>
          <w:i w:val="0"/>
          <w:iCs w:val="0"/>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8FF11B">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11" w:name="_Ref467379436"/>
      <w:r>
        <w:rPr>
          <w:rFonts w:hint="eastAsia" w:ascii="宋体" w:hAnsi="宋体" w:eastAsia="宋体" w:cs="宋体"/>
          <w:i w:val="0"/>
          <w:iCs w:val="0"/>
          <w:color w:val="auto"/>
          <w:sz w:val="24"/>
          <w:szCs w:val="24"/>
          <w:highlight w:val="none"/>
        </w:rPr>
        <w:t>2.1.6“现场”系指合同约定提供服务的地点。</w:t>
      </w:r>
      <w:bookmarkEnd w:id="611"/>
    </w:p>
    <w:p w14:paraId="6E2582CC">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12" w:name="_Toc32079"/>
      <w:bookmarkStart w:id="613" w:name="_Toc32504"/>
      <w:bookmarkStart w:id="614" w:name="_Toc27635"/>
      <w:bookmarkStart w:id="615" w:name="_Toc279701241"/>
      <w:bookmarkStart w:id="616" w:name="_Toc28490"/>
      <w:bookmarkStart w:id="617" w:name="_Toc259093670"/>
      <w:bookmarkStart w:id="618" w:name="_Toc13336"/>
      <w:bookmarkStart w:id="619" w:name="_Toc487900350"/>
      <w:r>
        <w:rPr>
          <w:rFonts w:hint="eastAsia" w:ascii="宋体" w:hAnsi="宋体" w:eastAsia="宋体" w:cs="宋体"/>
          <w:b/>
          <w:bCs/>
          <w:i w:val="0"/>
          <w:iCs w:val="0"/>
          <w:color w:val="auto"/>
          <w:sz w:val="24"/>
          <w:szCs w:val="24"/>
          <w:highlight w:val="none"/>
          <w:lang w:val="zh-CN"/>
        </w:rPr>
        <w:t>2.2 技术规范</w:t>
      </w:r>
      <w:bookmarkEnd w:id="612"/>
      <w:bookmarkEnd w:id="613"/>
      <w:bookmarkEnd w:id="614"/>
      <w:bookmarkEnd w:id="615"/>
      <w:bookmarkEnd w:id="616"/>
      <w:bookmarkEnd w:id="617"/>
      <w:bookmarkEnd w:id="618"/>
      <w:bookmarkEnd w:id="619"/>
    </w:p>
    <w:p w14:paraId="69A21D8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9340A7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20" w:name="_Toc31634"/>
      <w:bookmarkStart w:id="621" w:name="_Toc15907"/>
      <w:bookmarkStart w:id="622" w:name="_Toc9829"/>
      <w:bookmarkStart w:id="623" w:name="_Toc279701242"/>
      <w:bookmarkStart w:id="624" w:name="_Toc487900351"/>
      <w:bookmarkStart w:id="625" w:name="_Toc259093671"/>
      <w:bookmarkStart w:id="626" w:name="_Toc27853"/>
      <w:bookmarkStart w:id="627" w:name="_Toc17683"/>
      <w:r>
        <w:rPr>
          <w:rFonts w:hint="eastAsia" w:ascii="宋体" w:hAnsi="宋体" w:eastAsia="宋体" w:cs="宋体"/>
          <w:b/>
          <w:bCs/>
          <w:i w:val="0"/>
          <w:iCs w:val="0"/>
          <w:color w:val="auto"/>
          <w:sz w:val="24"/>
          <w:szCs w:val="24"/>
          <w:highlight w:val="none"/>
          <w:lang w:val="zh-CN"/>
        </w:rPr>
        <w:t>2.3 知识产权</w:t>
      </w:r>
      <w:bookmarkEnd w:id="620"/>
      <w:bookmarkEnd w:id="621"/>
      <w:bookmarkEnd w:id="622"/>
      <w:bookmarkEnd w:id="623"/>
      <w:bookmarkEnd w:id="624"/>
      <w:bookmarkEnd w:id="625"/>
      <w:bookmarkEnd w:id="626"/>
      <w:bookmarkEnd w:id="627"/>
    </w:p>
    <w:p w14:paraId="0051651D">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w:t>
      </w:r>
    </w:p>
    <w:p w14:paraId="1B5AB00A">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2.3.2具有知识产权的计算机软件等货物的知识产权归属，详见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p w14:paraId="7FDDB45A">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28" w:name="_Toc279701245"/>
      <w:bookmarkStart w:id="629" w:name="_Ref467379542"/>
      <w:bookmarkStart w:id="630" w:name="_Ref467378541"/>
      <w:bookmarkStart w:id="631" w:name="_Toc259093674"/>
      <w:bookmarkStart w:id="632" w:name="_Toc487900354"/>
      <w:bookmarkStart w:id="633" w:name="_Ref467378591"/>
      <w:bookmarkStart w:id="634" w:name="_Ref467379527"/>
      <w:bookmarkStart w:id="635" w:name="_Ref467379536"/>
      <w:bookmarkStart w:id="636" w:name="_Toc26182"/>
      <w:bookmarkStart w:id="637" w:name="_Toc30272"/>
      <w:bookmarkStart w:id="638" w:name="_Toc29150"/>
      <w:bookmarkStart w:id="639" w:name="_Toc28304"/>
      <w:bookmarkStart w:id="640" w:name="_Toc19074"/>
      <w:r>
        <w:rPr>
          <w:rFonts w:hint="eastAsia" w:ascii="宋体" w:hAnsi="宋体" w:eastAsia="宋体" w:cs="宋体"/>
          <w:b/>
          <w:bCs/>
          <w:i w:val="0"/>
          <w:iCs w:val="0"/>
          <w:color w:val="auto"/>
          <w:sz w:val="24"/>
          <w:szCs w:val="24"/>
          <w:highlight w:val="none"/>
          <w:lang w:val="zh-CN"/>
        </w:rPr>
        <w:t>2.</w:t>
      </w:r>
      <w:bookmarkEnd w:id="628"/>
      <w:bookmarkEnd w:id="629"/>
      <w:bookmarkEnd w:id="630"/>
      <w:bookmarkEnd w:id="631"/>
      <w:bookmarkEnd w:id="632"/>
      <w:bookmarkEnd w:id="633"/>
      <w:bookmarkEnd w:id="634"/>
      <w:bookmarkEnd w:id="635"/>
      <w:r>
        <w:rPr>
          <w:rFonts w:hint="eastAsia" w:ascii="宋体" w:hAnsi="宋体" w:eastAsia="宋体" w:cs="宋体"/>
          <w:b/>
          <w:bCs/>
          <w:i w:val="0"/>
          <w:iCs w:val="0"/>
          <w:color w:val="auto"/>
          <w:sz w:val="24"/>
          <w:szCs w:val="24"/>
          <w:highlight w:val="none"/>
          <w:lang w:val="zh-CN"/>
        </w:rPr>
        <w:t>4 履约检查和问题反馈</w:t>
      </w:r>
      <w:bookmarkEnd w:id="636"/>
      <w:bookmarkEnd w:id="637"/>
      <w:bookmarkEnd w:id="638"/>
      <w:bookmarkEnd w:id="639"/>
      <w:bookmarkEnd w:id="640"/>
    </w:p>
    <w:p w14:paraId="1F57285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41" w:name="_Toc186431854"/>
      <w:bookmarkStart w:id="642" w:name="_Ref467379793"/>
      <w:bookmarkStart w:id="643" w:name="_Toc259093676"/>
      <w:bookmarkStart w:id="644" w:name="_Toc487900357"/>
      <w:bookmarkStart w:id="645" w:name="_Toc279701247"/>
      <w:bookmarkStart w:id="646" w:name="_Ref467379807"/>
      <w:r>
        <w:rPr>
          <w:rFonts w:hint="eastAsia" w:ascii="宋体" w:hAnsi="宋体" w:eastAsia="宋体" w:cs="宋体"/>
          <w:i w:val="0"/>
          <w:iCs w:val="0"/>
          <w:color w:val="auto"/>
          <w:sz w:val="24"/>
          <w:szCs w:val="24"/>
          <w:highlight w:val="none"/>
        </w:rPr>
        <w:t>2.4.1甲方有权在其认为必要时，对乙方是否能够按照合同约定提供服务进行履约检查，以确保乙方所提供的服务能够依约满足甲方项目需求，但不得因履约检查妨碍乙方的正常工作，乙方应予积极配合；</w:t>
      </w:r>
    </w:p>
    <w:p w14:paraId="46A90DE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2.4.2合同履行期间，甲方有权将履行过程中出现的问题反馈给乙方，双方当事人应以书面形式约定需要完善和改进的内容</w:t>
      </w:r>
      <w:bookmarkEnd w:id="641"/>
      <w:bookmarkStart w:id="647" w:name="_Toc186431855"/>
      <w:r>
        <w:rPr>
          <w:rFonts w:hint="eastAsia" w:ascii="宋体" w:hAnsi="宋体" w:eastAsia="宋体" w:cs="宋体"/>
          <w:i w:val="0"/>
          <w:iCs w:val="0"/>
          <w:color w:val="auto"/>
          <w:sz w:val="24"/>
          <w:szCs w:val="24"/>
          <w:highlight w:val="none"/>
        </w:rPr>
        <w:t>。</w:t>
      </w:r>
    </w:p>
    <w:bookmarkEnd w:id="647"/>
    <w:p w14:paraId="37DDF5E5">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48" w:name="_Toc28451"/>
      <w:bookmarkStart w:id="649" w:name="_Toc745"/>
      <w:bookmarkStart w:id="650" w:name="_Toc19219"/>
      <w:bookmarkStart w:id="651" w:name="_Toc7836"/>
      <w:bookmarkStart w:id="652" w:name="_Toc6918"/>
      <w:r>
        <w:rPr>
          <w:rFonts w:hint="eastAsia" w:ascii="宋体" w:hAnsi="宋体" w:eastAsia="宋体" w:cs="宋体"/>
          <w:b/>
          <w:bCs/>
          <w:i w:val="0"/>
          <w:iCs w:val="0"/>
          <w:color w:val="auto"/>
          <w:sz w:val="24"/>
          <w:szCs w:val="24"/>
          <w:highlight w:val="none"/>
          <w:lang w:val="zh-CN"/>
        </w:rPr>
        <w:t>2.5 结算方式和付款条件</w:t>
      </w:r>
      <w:bookmarkEnd w:id="642"/>
      <w:bookmarkEnd w:id="643"/>
      <w:bookmarkEnd w:id="644"/>
      <w:bookmarkEnd w:id="645"/>
      <w:bookmarkEnd w:id="646"/>
      <w:bookmarkEnd w:id="648"/>
      <w:bookmarkEnd w:id="649"/>
      <w:bookmarkEnd w:id="650"/>
      <w:bookmarkEnd w:id="651"/>
      <w:bookmarkEnd w:id="652"/>
    </w:p>
    <w:p w14:paraId="350F9F19">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p w14:paraId="0E66E79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53" w:name="_Toc279701248"/>
      <w:bookmarkStart w:id="654" w:name="_Ref467379923"/>
      <w:bookmarkStart w:id="655" w:name="_Toc487900358"/>
      <w:bookmarkStart w:id="656" w:name="_Ref467379852"/>
      <w:bookmarkStart w:id="657" w:name="_Toc259093677"/>
      <w:bookmarkStart w:id="658" w:name="_Ref467379863"/>
      <w:bookmarkStart w:id="659" w:name="_Toc16110"/>
      <w:bookmarkStart w:id="660" w:name="_Toc6627"/>
      <w:bookmarkStart w:id="661" w:name="_Toc8947"/>
      <w:bookmarkStart w:id="662" w:name="_Toc3225"/>
      <w:bookmarkStart w:id="663" w:name="_Toc774"/>
      <w:r>
        <w:rPr>
          <w:rFonts w:hint="eastAsia" w:ascii="宋体" w:hAnsi="宋体" w:eastAsia="宋体" w:cs="宋体"/>
          <w:b/>
          <w:bCs/>
          <w:i w:val="0"/>
          <w:iCs w:val="0"/>
          <w:color w:val="auto"/>
          <w:sz w:val="24"/>
          <w:szCs w:val="24"/>
          <w:highlight w:val="none"/>
          <w:lang w:val="zh-CN"/>
        </w:rPr>
        <w:t>2.6 技术资料</w:t>
      </w:r>
      <w:bookmarkEnd w:id="653"/>
      <w:bookmarkEnd w:id="654"/>
      <w:bookmarkEnd w:id="655"/>
      <w:bookmarkEnd w:id="656"/>
      <w:bookmarkEnd w:id="657"/>
      <w:bookmarkEnd w:id="658"/>
      <w:r>
        <w:rPr>
          <w:rFonts w:hint="eastAsia" w:ascii="宋体" w:hAnsi="宋体" w:eastAsia="宋体" w:cs="宋体"/>
          <w:b/>
          <w:bCs/>
          <w:i w:val="0"/>
          <w:iCs w:val="0"/>
          <w:color w:val="auto"/>
          <w:sz w:val="24"/>
          <w:szCs w:val="24"/>
          <w:highlight w:val="none"/>
          <w:lang w:val="zh-CN"/>
        </w:rPr>
        <w:t>和保密义务</w:t>
      </w:r>
      <w:bookmarkEnd w:id="659"/>
      <w:bookmarkEnd w:id="660"/>
      <w:bookmarkEnd w:id="661"/>
      <w:bookmarkEnd w:id="662"/>
      <w:bookmarkEnd w:id="663"/>
    </w:p>
    <w:p w14:paraId="043E0FD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2.6.1乙方有权依据合同约定和项目需要，向甲方了解有关情况，调阅有关资料等，甲方应予积极配合；</w:t>
      </w:r>
    </w:p>
    <w:p w14:paraId="12D7ADE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2.6.2乙方有义务妥善保管和保护由甲方提供的前款信息和资料等；</w:t>
      </w:r>
    </w:p>
    <w:p w14:paraId="1BFAE2B4">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D716C7F">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64" w:name="_Toc20401"/>
      <w:bookmarkStart w:id="665" w:name="_Toc1434"/>
      <w:bookmarkStart w:id="666" w:name="_Toc7860"/>
      <w:r>
        <w:rPr>
          <w:rFonts w:hint="eastAsia" w:ascii="宋体" w:hAnsi="宋体" w:eastAsia="宋体" w:cs="宋体"/>
          <w:b/>
          <w:bCs/>
          <w:i w:val="0"/>
          <w:iCs w:val="0"/>
          <w:color w:val="auto"/>
          <w:sz w:val="24"/>
          <w:szCs w:val="24"/>
          <w:highlight w:val="none"/>
          <w:lang w:val="zh-CN"/>
        </w:rPr>
        <w:t>2.7 质量保证</w:t>
      </w:r>
      <w:bookmarkEnd w:id="664"/>
      <w:bookmarkEnd w:id="665"/>
      <w:bookmarkEnd w:id="666"/>
    </w:p>
    <w:p w14:paraId="06F68E3D">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2.7.1乙方应建立和完善履行合同的内部质量保证体系，并提供相关内部规章制度给甲方，以便甲方进行监督检查；</w:t>
      </w:r>
    </w:p>
    <w:p w14:paraId="37CEC89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2.7.2乙方应保证履行合同的人员数量和素质、软件和硬件设备的配置、场地、环境和设施等满足全面履行合同的要求，并应接受甲方的监督检查。</w:t>
      </w:r>
    </w:p>
    <w:p w14:paraId="6EE54FD6">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667" w:name="_Toc27251"/>
      <w:bookmarkStart w:id="668" w:name="_Toc20440"/>
      <w:bookmarkStart w:id="669" w:name="_Toc22267"/>
      <w:r>
        <w:rPr>
          <w:rFonts w:hint="eastAsia" w:ascii="宋体" w:hAnsi="宋体" w:eastAsia="宋体" w:cs="宋体"/>
          <w:b/>
          <w:i w:val="0"/>
          <w:iCs w:val="0"/>
          <w:color w:val="auto"/>
          <w:sz w:val="24"/>
          <w:szCs w:val="24"/>
          <w:highlight w:val="none"/>
        </w:rPr>
        <w:t>2.8 延迟履行</w:t>
      </w:r>
      <w:bookmarkEnd w:id="667"/>
      <w:bookmarkEnd w:id="668"/>
      <w:bookmarkEnd w:id="669"/>
    </w:p>
    <w:p w14:paraId="39241BB2">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46551B4">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70" w:name="_Toc7502"/>
      <w:bookmarkStart w:id="671" w:name="_Toc22045"/>
      <w:bookmarkStart w:id="672" w:name="_Toc106"/>
      <w:bookmarkStart w:id="673" w:name="_Toc279701254"/>
      <w:bookmarkStart w:id="674" w:name="_Toc487900364"/>
      <w:bookmarkStart w:id="675" w:name="_Ref467378121"/>
      <w:bookmarkStart w:id="676" w:name="_Toc259093683"/>
      <w:r>
        <w:rPr>
          <w:rFonts w:hint="eastAsia" w:ascii="宋体" w:hAnsi="宋体" w:eastAsia="宋体" w:cs="宋体"/>
          <w:b/>
          <w:bCs/>
          <w:i w:val="0"/>
          <w:iCs w:val="0"/>
          <w:color w:val="auto"/>
          <w:sz w:val="24"/>
          <w:szCs w:val="24"/>
          <w:highlight w:val="none"/>
          <w:lang w:val="zh-CN"/>
        </w:rPr>
        <w:t>2.9 合同变更</w:t>
      </w:r>
      <w:bookmarkEnd w:id="670"/>
      <w:bookmarkEnd w:id="671"/>
      <w:bookmarkEnd w:id="672"/>
    </w:p>
    <w:p w14:paraId="60F58CC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2.9.1双方当事人协商一致，可以签订书面补充合同的形式变更合同，但不得违背采购文件确定的事项；</w:t>
      </w:r>
    </w:p>
    <w:p w14:paraId="42F7E75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2.9.2合同继续履行将损害国家利益和社会公共利益的，双方当事人应当以书面形式变更合同。有过错的一方应当承担赔偿责任，双方当事人都有过错的，各自承担相应的责任。</w:t>
      </w:r>
      <w:bookmarkStart w:id="677" w:name="_Toc259093688"/>
      <w:bookmarkStart w:id="678" w:name="_Toc487900369"/>
      <w:bookmarkStart w:id="679" w:name="_Toc279701259"/>
    </w:p>
    <w:p w14:paraId="742F9E7E">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80" w:name="_Toc10366"/>
      <w:bookmarkStart w:id="681" w:name="_Toc22955"/>
      <w:bookmarkStart w:id="682" w:name="_Toc20243"/>
      <w:bookmarkStart w:id="683" w:name="_Toc19955"/>
      <w:bookmarkStart w:id="684" w:name="_Toc15237"/>
      <w:r>
        <w:rPr>
          <w:rFonts w:hint="eastAsia" w:ascii="宋体" w:hAnsi="宋体" w:eastAsia="宋体" w:cs="宋体"/>
          <w:b/>
          <w:bCs/>
          <w:i w:val="0"/>
          <w:iCs w:val="0"/>
          <w:color w:val="auto"/>
          <w:sz w:val="24"/>
          <w:szCs w:val="24"/>
          <w:highlight w:val="none"/>
          <w:lang w:val="zh-CN"/>
        </w:rPr>
        <w:t>2.10 合同转让</w:t>
      </w:r>
      <w:bookmarkEnd w:id="677"/>
      <w:bookmarkEnd w:id="678"/>
      <w:bookmarkEnd w:id="679"/>
      <w:r>
        <w:rPr>
          <w:rFonts w:hint="eastAsia" w:ascii="宋体" w:hAnsi="宋体" w:eastAsia="宋体" w:cs="宋体"/>
          <w:b/>
          <w:bCs/>
          <w:i w:val="0"/>
          <w:iCs w:val="0"/>
          <w:color w:val="auto"/>
          <w:sz w:val="24"/>
          <w:szCs w:val="24"/>
          <w:highlight w:val="none"/>
          <w:lang w:val="zh-CN"/>
        </w:rPr>
        <w:t>和分包</w:t>
      </w:r>
      <w:bookmarkEnd w:id="680"/>
      <w:bookmarkEnd w:id="681"/>
      <w:bookmarkEnd w:id="682"/>
      <w:bookmarkEnd w:id="683"/>
      <w:bookmarkEnd w:id="684"/>
    </w:p>
    <w:p w14:paraId="26ADD7CF">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4061B35">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85" w:name="_Toc22946"/>
      <w:bookmarkStart w:id="686" w:name="_Toc10157"/>
      <w:bookmarkStart w:id="687" w:name="_Toc14066"/>
      <w:bookmarkStart w:id="688" w:name="_Toc13566"/>
      <w:bookmarkStart w:id="689" w:name="_Toc16508"/>
      <w:r>
        <w:rPr>
          <w:rFonts w:hint="eastAsia" w:ascii="宋体" w:hAnsi="宋体" w:eastAsia="宋体" w:cs="宋体"/>
          <w:b/>
          <w:bCs/>
          <w:i w:val="0"/>
          <w:iCs w:val="0"/>
          <w:color w:val="auto"/>
          <w:sz w:val="24"/>
          <w:szCs w:val="24"/>
          <w:highlight w:val="none"/>
          <w:lang w:val="zh-CN"/>
        </w:rPr>
        <w:t>2.11 不可抗力</w:t>
      </w:r>
      <w:bookmarkEnd w:id="685"/>
      <w:bookmarkEnd w:id="686"/>
      <w:bookmarkEnd w:id="687"/>
      <w:bookmarkEnd w:id="688"/>
      <w:bookmarkEnd w:id="689"/>
    </w:p>
    <w:p w14:paraId="2E7E6126">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2.11.1如果任何一方遭遇法律规定的不可抗力，致使合同履行受阻时，履行合同的期限应予延长，延长的期限应相当于不可抗力所影响的时间；</w:t>
      </w:r>
    </w:p>
    <w:p w14:paraId="584AA569">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2.11.2因不可抗力致使不能实现合同目的的，当事人可以解除合同；</w:t>
      </w:r>
    </w:p>
    <w:p w14:paraId="7EC56964">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2.11.3因不可抗力致使合同有变更必要的，双方当事人应在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约定时间内以书面形式变更合同；</w:t>
      </w:r>
    </w:p>
    <w:p w14:paraId="64C45C6C">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2.11.4受不可抗力影响的一方在不可抗力发生后，应在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约定时间内以书面形式通知对方当事人，并在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约定时间内，将有关部门出具的证明文件送达对方当事人。</w:t>
      </w:r>
    </w:p>
    <w:p w14:paraId="0737946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90" w:name="_Toc487900365"/>
      <w:bookmarkStart w:id="691" w:name="_Toc30676"/>
      <w:bookmarkStart w:id="692" w:name="_Toc24332"/>
      <w:bookmarkStart w:id="693" w:name="_Toc259093684"/>
      <w:bookmarkStart w:id="694" w:name="_Toc12787"/>
      <w:bookmarkStart w:id="695" w:name="_Toc6969"/>
      <w:bookmarkStart w:id="696" w:name="_Toc279701255"/>
      <w:bookmarkStart w:id="697" w:name="_Toc689"/>
      <w:r>
        <w:rPr>
          <w:rFonts w:hint="eastAsia" w:ascii="宋体" w:hAnsi="宋体" w:eastAsia="宋体" w:cs="宋体"/>
          <w:b/>
          <w:bCs/>
          <w:i w:val="0"/>
          <w:iCs w:val="0"/>
          <w:color w:val="auto"/>
          <w:sz w:val="24"/>
          <w:szCs w:val="24"/>
          <w:highlight w:val="none"/>
          <w:lang w:val="zh-CN"/>
        </w:rPr>
        <w:t>2.12 税费</w:t>
      </w:r>
      <w:bookmarkEnd w:id="690"/>
      <w:bookmarkEnd w:id="691"/>
      <w:bookmarkEnd w:id="692"/>
      <w:bookmarkEnd w:id="693"/>
      <w:bookmarkEnd w:id="694"/>
      <w:bookmarkEnd w:id="695"/>
      <w:bookmarkEnd w:id="696"/>
      <w:bookmarkEnd w:id="697"/>
    </w:p>
    <w:p w14:paraId="7FDC372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与合同有关的一切税费，均按照中华人民共和国法律的相关规定缴纳。</w:t>
      </w:r>
    </w:p>
    <w:p w14:paraId="485EEA44">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98" w:name="_Toc2206"/>
      <w:bookmarkStart w:id="699" w:name="_Toc487900368"/>
      <w:bookmarkStart w:id="700" w:name="_Toc279701258"/>
      <w:bookmarkStart w:id="701" w:name="_Toc7102"/>
      <w:bookmarkStart w:id="702" w:name="_Toc30741"/>
      <w:bookmarkStart w:id="703" w:name="_Toc8298"/>
      <w:bookmarkStart w:id="704" w:name="_Toc16959"/>
      <w:bookmarkStart w:id="705" w:name="_Toc259093687"/>
      <w:r>
        <w:rPr>
          <w:rFonts w:hint="eastAsia" w:ascii="宋体" w:hAnsi="宋体" w:eastAsia="宋体" w:cs="宋体"/>
          <w:b/>
          <w:bCs/>
          <w:i w:val="0"/>
          <w:iCs w:val="0"/>
          <w:color w:val="auto"/>
          <w:sz w:val="24"/>
          <w:szCs w:val="24"/>
          <w:highlight w:val="none"/>
          <w:lang w:val="zh-CN"/>
        </w:rPr>
        <w:t>2.13 乙方破产</w:t>
      </w:r>
      <w:bookmarkEnd w:id="698"/>
      <w:bookmarkEnd w:id="699"/>
      <w:bookmarkEnd w:id="700"/>
      <w:bookmarkEnd w:id="701"/>
      <w:bookmarkEnd w:id="702"/>
      <w:bookmarkEnd w:id="703"/>
      <w:bookmarkEnd w:id="704"/>
      <w:bookmarkEnd w:id="705"/>
    </w:p>
    <w:p w14:paraId="4706273A">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E79A5F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706" w:name="_Toc15387"/>
      <w:bookmarkStart w:id="707" w:name="_Toc9036"/>
      <w:bookmarkStart w:id="708" w:name="_Toc6134"/>
      <w:bookmarkStart w:id="709" w:name="_Toc13537"/>
      <w:bookmarkStart w:id="710" w:name="_Toc29333"/>
      <w:r>
        <w:rPr>
          <w:rFonts w:hint="eastAsia" w:ascii="宋体" w:hAnsi="宋体" w:eastAsia="宋体" w:cs="宋体"/>
          <w:b/>
          <w:bCs/>
          <w:i w:val="0"/>
          <w:iCs w:val="0"/>
          <w:color w:val="auto"/>
          <w:sz w:val="24"/>
          <w:szCs w:val="24"/>
          <w:highlight w:val="none"/>
          <w:lang w:val="zh-CN"/>
        </w:rPr>
        <w:t>2.14 合同中止、终止</w:t>
      </w:r>
      <w:bookmarkEnd w:id="706"/>
      <w:bookmarkEnd w:id="707"/>
      <w:bookmarkEnd w:id="708"/>
      <w:bookmarkEnd w:id="709"/>
      <w:bookmarkEnd w:id="710"/>
    </w:p>
    <w:p w14:paraId="6151CDA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2.14.1双方当事人不得擅自中止或者终止合同；</w:t>
      </w:r>
    </w:p>
    <w:p w14:paraId="0A33DBB1">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51ADDB2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711" w:name="_Toc6596"/>
      <w:bookmarkStart w:id="712" w:name="_Toc14791"/>
      <w:bookmarkStart w:id="713" w:name="_Toc7061"/>
      <w:bookmarkStart w:id="714" w:name="_Toc14563"/>
      <w:bookmarkStart w:id="715" w:name="_Toc1125"/>
      <w:r>
        <w:rPr>
          <w:rFonts w:hint="eastAsia" w:ascii="宋体" w:hAnsi="宋体" w:eastAsia="宋体" w:cs="宋体"/>
          <w:b/>
          <w:bCs/>
          <w:i w:val="0"/>
          <w:iCs w:val="0"/>
          <w:color w:val="auto"/>
          <w:sz w:val="24"/>
          <w:szCs w:val="24"/>
          <w:highlight w:val="none"/>
          <w:lang w:val="zh-CN"/>
        </w:rPr>
        <w:t>2.15 检验和验收</w:t>
      </w:r>
      <w:bookmarkEnd w:id="711"/>
      <w:bookmarkEnd w:id="712"/>
      <w:bookmarkEnd w:id="713"/>
      <w:bookmarkEnd w:id="714"/>
      <w:bookmarkEnd w:id="715"/>
    </w:p>
    <w:p w14:paraId="4B523E11">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2.15.1乙方按照</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的约定，定期提交服务报告，甲方按照</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的约定进行定期验收；</w:t>
      </w:r>
    </w:p>
    <w:p w14:paraId="2691C969">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5630CD7">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2.15.3检验和验收标准、程序等具体内容以及前述验收书的效力详见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bookmarkEnd w:id="673"/>
    <w:bookmarkEnd w:id="674"/>
    <w:bookmarkEnd w:id="675"/>
    <w:bookmarkEnd w:id="676"/>
    <w:p w14:paraId="73AF77C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rPr>
      </w:pPr>
      <w:bookmarkStart w:id="716" w:name="_Toc12773"/>
      <w:bookmarkStart w:id="717" w:name="_Toc18567"/>
      <w:bookmarkStart w:id="718" w:name="_Toc259093692"/>
      <w:bookmarkStart w:id="719" w:name="_Toc279701263"/>
      <w:bookmarkStart w:id="720" w:name="_Toc487900373"/>
      <w:bookmarkStart w:id="721" w:name="_Toc31923"/>
      <w:bookmarkStart w:id="722" w:name="_Toc10330"/>
      <w:bookmarkStart w:id="723" w:name="_Toc28706"/>
      <w:r>
        <w:rPr>
          <w:rFonts w:hint="eastAsia" w:ascii="宋体" w:hAnsi="宋体" w:eastAsia="宋体" w:cs="宋体"/>
          <w:b/>
          <w:bCs/>
          <w:i w:val="0"/>
          <w:iCs w:val="0"/>
          <w:color w:val="auto"/>
          <w:sz w:val="24"/>
          <w:szCs w:val="24"/>
          <w:highlight w:val="none"/>
        </w:rPr>
        <w:t xml:space="preserve">2.16 </w:t>
      </w:r>
      <w:r>
        <w:rPr>
          <w:rFonts w:hint="eastAsia" w:ascii="宋体" w:hAnsi="宋体" w:eastAsia="宋体" w:cs="宋体"/>
          <w:b/>
          <w:bCs/>
          <w:i w:val="0"/>
          <w:iCs w:val="0"/>
          <w:color w:val="auto"/>
          <w:sz w:val="24"/>
          <w:szCs w:val="24"/>
          <w:highlight w:val="none"/>
          <w:lang w:val="zh-CN"/>
        </w:rPr>
        <w:t>合同使用的文字和适用的法律</w:t>
      </w:r>
      <w:bookmarkEnd w:id="716"/>
      <w:bookmarkEnd w:id="717"/>
      <w:bookmarkEnd w:id="718"/>
      <w:bookmarkEnd w:id="719"/>
      <w:bookmarkEnd w:id="720"/>
      <w:bookmarkEnd w:id="721"/>
      <w:bookmarkEnd w:id="722"/>
      <w:bookmarkEnd w:id="723"/>
    </w:p>
    <w:p w14:paraId="584303E2">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2.16.1合同使用汉语书就、变更和解释；</w:t>
      </w:r>
    </w:p>
    <w:p w14:paraId="6120D4C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2.16.2合同适用中华人民共和国法律。</w:t>
      </w:r>
    </w:p>
    <w:p w14:paraId="6DD35A5C">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724" w:name="_Toc30894"/>
      <w:bookmarkStart w:id="725" w:name="_Toc279701264"/>
      <w:bookmarkStart w:id="726" w:name="_Toc259093693"/>
      <w:bookmarkStart w:id="727" w:name="_Toc16673"/>
      <w:bookmarkStart w:id="728" w:name="_Toc13059"/>
      <w:bookmarkStart w:id="729" w:name="_Toc3148"/>
      <w:bookmarkStart w:id="730" w:name="_Toc12004"/>
      <w:bookmarkStart w:id="731" w:name="_Toc487900374"/>
      <w:r>
        <w:rPr>
          <w:rFonts w:hint="eastAsia" w:ascii="宋体" w:hAnsi="宋体" w:eastAsia="宋体" w:cs="宋体"/>
          <w:b/>
          <w:bCs/>
          <w:i w:val="0"/>
          <w:iCs w:val="0"/>
          <w:color w:val="auto"/>
          <w:sz w:val="24"/>
          <w:szCs w:val="24"/>
          <w:highlight w:val="none"/>
          <w:lang w:val="zh-CN"/>
        </w:rPr>
        <w:t>2.17 履约保证金</w:t>
      </w:r>
      <w:bookmarkEnd w:id="724"/>
      <w:bookmarkEnd w:id="725"/>
      <w:bookmarkEnd w:id="726"/>
      <w:bookmarkEnd w:id="727"/>
      <w:bookmarkEnd w:id="728"/>
      <w:bookmarkEnd w:id="729"/>
      <w:bookmarkEnd w:id="730"/>
    </w:p>
    <w:p w14:paraId="1C42A5BF">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2.17.1采购文件要求乙方提交履约保证金的，乙方应按</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约定的方式，以支票、汇票、本票或者金融机构、担保机构出具的保函等非现金形式提交；</w:t>
      </w:r>
    </w:p>
    <w:p w14:paraId="4D9AC60E">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2.17.2履约保证金在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约定期间内不予退还或者应完全有效，前述约定期间届满之日起</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个工作日内，甲方应将履约保证金退还乙方</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甲方</w:t>
      </w:r>
      <w:r>
        <w:rPr>
          <w:rFonts w:hint="eastAsia" w:ascii="宋体" w:hAnsi="宋体" w:eastAsia="宋体" w:cs="宋体"/>
          <w:i w:val="0"/>
          <w:iCs w:val="0"/>
          <w:color w:val="auto"/>
          <w:sz w:val="24"/>
          <w:szCs w:val="24"/>
          <w:highlight w:val="none"/>
        </w:rPr>
        <w:t>逾期退还履约保证金</w:t>
      </w:r>
      <w:r>
        <w:rPr>
          <w:rFonts w:hint="eastAsia" w:ascii="宋体" w:hAnsi="宋体" w:eastAsia="宋体" w:cs="宋体"/>
          <w:i w:val="0"/>
          <w:iCs w:val="0"/>
          <w:color w:val="auto"/>
          <w:sz w:val="24"/>
          <w:szCs w:val="24"/>
          <w:highlight w:val="none"/>
          <w:lang w:val="en-US" w:eastAsia="zh-CN"/>
        </w:rPr>
        <w:t>应承担违约责任。</w:t>
      </w:r>
    </w:p>
    <w:p w14:paraId="5DC1A76F">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2.17.3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731"/>
    <w:p w14:paraId="1186696B">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732" w:name="_Toc14001"/>
      <w:bookmarkStart w:id="733" w:name="_Toc11238"/>
      <w:bookmarkStart w:id="734" w:name="_Toc19890"/>
      <w:bookmarkStart w:id="735" w:name="_Toc6885"/>
      <w:bookmarkStart w:id="736" w:name="_Toc7242"/>
      <w:r>
        <w:rPr>
          <w:rFonts w:hint="eastAsia" w:ascii="宋体" w:hAnsi="宋体" w:eastAsia="宋体" w:cs="宋体"/>
          <w:b/>
          <w:bCs/>
          <w:i w:val="0"/>
          <w:iCs w:val="0"/>
          <w:color w:val="auto"/>
          <w:sz w:val="24"/>
          <w:szCs w:val="24"/>
          <w:highlight w:val="none"/>
          <w:lang w:val="zh-CN"/>
        </w:rPr>
        <w:t>2.18 合同份数</w:t>
      </w:r>
      <w:bookmarkEnd w:id="732"/>
      <w:bookmarkEnd w:id="733"/>
      <w:bookmarkEnd w:id="734"/>
      <w:bookmarkEnd w:id="735"/>
      <w:bookmarkEnd w:id="736"/>
    </w:p>
    <w:p w14:paraId="1E34590B">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合同份数按</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规定，每份均具有同等法律效力。</w:t>
      </w:r>
    </w:p>
    <w:p w14:paraId="53F3690C">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color w:val="auto"/>
          <w:sz w:val="36"/>
          <w:szCs w:val="36"/>
          <w:highlight w:val="none"/>
        </w:rPr>
      </w:pPr>
      <w:r>
        <w:rPr>
          <w:rFonts w:cs="Times New Roman" w:asciiTheme="minorEastAsia" w:hAnsiTheme="minorEastAsia" w:eastAsiaTheme="minorEastAsia"/>
          <w:color w:val="auto"/>
          <w:sz w:val="24"/>
          <w:szCs w:val="24"/>
          <w:highlight w:val="none"/>
        </w:rPr>
        <w:br w:type="page"/>
      </w:r>
      <w:bookmarkStart w:id="737" w:name="_Toc19801"/>
      <w:bookmarkStart w:id="738" w:name="_Toc3736"/>
      <w:bookmarkStart w:id="739" w:name="_Toc24453"/>
      <w:r>
        <w:rPr>
          <w:rFonts w:hint="eastAsia" w:ascii="宋体" w:hAnsi="宋体" w:eastAsia="宋体" w:cs="宋体"/>
          <w:b/>
          <w:color w:val="auto"/>
          <w:sz w:val="36"/>
          <w:szCs w:val="36"/>
          <w:highlight w:val="none"/>
        </w:rPr>
        <w:t>第三部分 合同专用条款</w:t>
      </w:r>
      <w:bookmarkEnd w:id="737"/>
      <w:bookmarkEnd w:id="738"/>
      <w:bookmarkEnd w:id="739"/>
    </w:p>
    <w:p w14:paraId="3D7C59F3">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9"/>
        <w:tblW w:w="836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94"/>
        <w:gridCol w:w="7568"/>
      </w:tblGrid>
      <w:tr w14:paraId="024E0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794" w:type="dxa"/>
            <w:tcBorders>
              <w:left w:val="single" w:color="auto" w:sz="4" w:space="0"/>
            </w:tcBorders>
            <w:vAlign w:val="center"/>
          </w:tcPr>
          <w:p w14:paraId="30CAE03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7568" w:type="dxa"/>
            <w:vAlign w:val="center"/>
          </w:tcPr>
          <w:p w14:paraId="5E297E2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r>
      <w:tr w14:paraId="47A1D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794" w:type="dxa"/>
            <w:tcBorders>
              <w:left w:val="single" w:color="auto" w:sz="4" w:space="0"/>
            </w:tcBorders>
            <w:vAlign w:val="center"/>
          </w:tcPr>
          <w:p w14:paraId="3B4B21C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40655C4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0B040D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F3CD612">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32E7ECB0">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1FC913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79AF35C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611385E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4AA11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8C18170">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728B234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2F6F8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4A51C9F">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41CA5680">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p>
        </w:tc>
      </w:tr>
      <w:tr w14:paraId="3E013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0931685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5CD2BDD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3FED0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345B688D">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7E92421C">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p>
        </w:tc>
      </w:tr>
      <w:tr w14:paraId="7AA8F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3B5D46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4A52371D">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220B9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CD534FB">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6035952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00AFC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5C13F9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3AE9AB17">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3EE9C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62A2E4F5">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tcBorders>
              <w:top w:val="single" w:color="auto" w:sz="6" w:space="0"/>
              <w:left w:val="single" w:color="auto" w:sz="6" w:space="0"/>
              <w:bottom w:val="single" w:color="auto" w:sz="6" w:space="0"/>
              <w:right w:val="single" w:color="auto" w:sz="6" w:space="0"/>
            </w:tcBorders>
            <w:vAlign w:val="center"/>
          </w:tcPr>
          <w:p w14:paraId="0966F80C">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504B17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0E06642C">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tcBorders>
              <w:top w:val="single" w:color="auto" w:sz="6" w:space="0"/>
              <w:left w:val="single" w:color="auto" w:sz="6" w:space="0"/>
              <w:bottom w:val="single" w:color="auto" w:sz="6" w:space="0"/>
              <w:right w:val="single" w:color="auto" w:sz="6" w:space="0"/>
            </w:tcBorders>
            <w:vAlign w:val="center"/>
          </w:tcPr>
          <w:p w14:paraId="48D2113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bl>
    <w:p w14:paraId="1FAB85DE">
      <w:pPr>
        <w:pageBreakBefore w:val="0"/>
        <w:kinsoku/>
        <w:overflowPunct/>
        <w:bidi w:val="0"/>
        <w:spacing w:beforeAutospacing="0" w:afterAutospacing="0" w:line="560" w:lineRule="exact"/>
        <w:ind w:left="0" w:leftChars="0" w:right="0"/>
        <w:rPr>
          <w:rFonts w:asciiTheme="minorEastAsia" w:hAnsiTheme="minorEastAsia" w:eastAsiaTheme="minorEastAsia"/>
          <w:color w:val="auto"/>
          <w:sz w:val="24"/>
          <w:highlight w:val="none"/>
        </w:rPr>
      </w:pPr>
    </w:p>
    <w:p w14:paraId="02ABD43E">
      <w:pPr>
        <w:pageBreakBefore w:val="0"/>
        <w:widowControl/>
        <w:kinsoku/>
        <w:overflowPunct/>
        <w:bidi w:val="0"/>
        <w:spacing w:beforeAutospacing="0" w:afterAutospacing="0" w:line="560" w:lineRule="exact"/>
        <w:ind w:left="0" w:leftChars="0" w:right="0"/>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bookmarkEnd w:id="536"/>
    <w:p w14:paraId="557A8F2F">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黑体" w:cstheme="minorBidi"/>
          <w:b/>
          <w:bCs/>
          <w:color w:val="auto"/>
          <w:kern w:val="44"/>
          <w:sz w:val="44"/>
          <w:szCs w:val="44"/>
          <w:highlight w:val="none"/>
          <w:lang w:val="en-US" w:eastAsia="zh-CN" w:bidi="ar-SA"/>
        </w:rPr>
      </w:pPr>
      <w:bookmarkStart w:id="740" w:name="_Toc155185919"/>
    </w:p>
    <w:p w14:paraId="72D513E7">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黑体" w:cstheme="minorBidi"/>
          <w:b/>
          <w:bCs/>
          <w:color w:val="auto"/>
          <w:kern w:val="44"/>
          <w:sz w:val="44"/>
          <w:szCs w:val="44"/>
          <w:highlight w:val="none"/>
          <w:lang w:val="en-US" w:eastAsia="zh-CN" w:bidi="ar-SA"/>
        </w:rPr>
      </w:pPr>
    </w:p>
    <w:p w14:paraId="5CAF3138">
      <w:pPr>
        <w:pStyle w:val="2"/>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741" w:name="_Toc4770"/>
      <w:r>
        <w:rPr>
          <w:rFonts w:hint="eastAsia" w:ascii="宋体" w:hAnsi="宋体" w:eastAsia="宋体" w:cs="宋体"/>
          <w:b/>
          <w:bCs/>
          <w:color w:val="auto"/>
          <w:kern w:val="44"/>
          <w:sz w:val="36"/>
          <w:szCs w:val="36"/>
          <w:highlight w:val="none"/>
          <w:lang w:val="en-US" w:eastAsia="zh-CN" w:bidi="ar-SA"/>
        </w:rPr>
        <w:t>第七章 投标文件格式</w:t>
      </w:r>
      <w:bookmarkEnd w:id="740"/>
      <w:bookmarkEnd w:id="741"/>
    </w:p>
    <w:p w14:paraId="20B1063D">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p>
    <w:p w14:paraId="29D44C55">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244DD0F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09EDECB5">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75F9B00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12E1D158">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E6822E5">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2CA045B">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3893E9FD">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95452EF">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0AA66CC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369FA17D">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72E3CAE">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565C3EB">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07DA079A">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E15166A">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3A9983C">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748F8DEC">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F52A8AF">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2FC05CF">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761F2B5A">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99474F0">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390F1A2">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3D40132F">
      <w:pPr>
        <w:pageBreakBefore w:val="0"/>
        <w:kinsoku/>
        <w:overflowPunct/>
        <w:bidi w:val="0"/>
        <w:spacing w:beforeAutospacing="0" w:afterAutospacing="0" w:line="560" w:lineRule="exact"/>
        <w:ind w:right="0"/>
        <w:rPr>
          <w:rFonts w:hint="eastAsia" w:cs="仿宋_GB2312"/>
          <w:color w:val="auto"/>
          <w:szCs w:val="24"/>
          <w:highlight w:val="none"/>
          <w:lang w:val="zh-CN"/>
        </w:rPr>
      </w:pPr>
    </w:p>
    <w:p w14:paraId="375DA883">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6466A4DC">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445E5BF7">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4BD0E164">
      <w:pPr>
        <w:keepNext w:val="0"/>
        <w:keepLines w:val="0"/>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jc w:val="center"/>
        <w:textAlignment w:val="auto"/>
        <w:rPr>
          <w:color w:val="auto"/>
          <w:sz w:val="21"/>
          <w:szCs w:val="24"/>
          <w:highlight w:val="none"/>
        </w:rPr>
      </w:pPr>
    </w:p>
    <w:p w14:paraId="2280C3BA">
      <w:pPr>
        <w:pStyle w:val="3"/>
        <w:pageBreakBefore w:val="0"/>
        <w:widowControl w:val="0"/>
        <w:kinsoku/>
        <w:wordWrap/>
        <w:overflowPunct/>
        <w:topLinePunct w:val="0"/>
        <w:bidi w:val="0"/>
        <w:snapToGrid/>
        <w:spacing w:before="0" w:beforeAutospacing="0" w:after="0" w:afterAutospacing="0" w:line="800" w:lineRule="exact"/>
        <w:ind w:left="0" w:leftChars="0" w:right="0"/>
        <w:jc w:val="center"/>
        <w:textAlignment w:val="auto"/>
        <w:rPr>
          <w:sz w:val="84"/>
          <w:szCs w:val="84"/>
        </w:rPr>
      </w:pPr>
      <w:bookmarkStart w:id="742" w:name="_Toc29969"/>
      <w:r>
        <w:rPr>
          <w:rFonts w:hint="eastAsia"/>
          <w:sz w:val="84"/>
          <w:szCs w:val="84"/>
        </w:rPr>
        <w:t>投 标 文 件</w:t>
      </w:r>
      <w:bookmarkEnd w:id="742"/>
    </w:p>
    <w:p w14:paraId="0FA5F802">
      <w:pPr>
        <w:pStyle w:val="3"/>
        <w:pageBreakBefore w:val="0"/>
        <w:kinsoku/>
        <w:overflowPunct/>
        <w:bidi w:val="0"/>
        <w:spacing w:before="0" w:beforeAutospacing="0" w:after="0" w:afterAutospacing="0" w:line="560" w:lineRule="exact"/>
        <w:ind w:left="0" w:leftChars="0" w:right="0"/>
        <w:jc w:val="center"/>
        <w:rPr>
          <w:sz w:val="56"/>
          <w:szCs w:val="56"/>
        </w:rPr>
      </w:pPr>
      <w:bookmarkStart w:id="743" w:name="_Toc26966"/>
      <w:r>
        <w:rPr>
          <w:rFonts w:hint="eastAsia"/>
          <w:sz w:val="56"/>
          <w:szCs w:val="56"/>
        </w:rPr>
        <w:t>资格证明文件</w:t>
      </w:r>
      <w:bookmarkEnd w:id="743"/>
    </w:p>
    <w:p w14:paraId="66E88D4F">
      <w:pPr>
        <w:pageBreakBefore w:val="0"/>
        <w:kinsoku/>
        <w:overflowPunct/>
        <w:autoSpaceDE w:val="0"/>
        <w:autoSpaceDN w:val="0"/>
        <w:bidi w:val="0"/>
        <w:adjustRightInd w:val="0"/>
        <w:spacing w:beforeAutospacing="0" w:afterAutospacing="0" w:line="560" w:lineRule="exact"/>
        <w:ind w:left="0" w:leftChars="0" w:right="0"/>
        <w:rPr>
          <w:b/>
          <w:bCs/>
          <w:color w:val="auto"/>
          <w:sz w:val="22"/>
          <w:highlight w:val="none"/>
        </w:rPr>
      </w:pPr>
    </w:p>
    <w:p w14:paraId="537F8D86">
      <w:pPr>
        <w:pageBreakBefore w:val="0"/>
        <w:kinsoku/>
        <w:overflowPunct/>
        <w:autoSpaceDE w:val="0"/>
        <w:autoSpaceDN w:val="0"/>
        <w:bidi w:val="0"/>
        <w:adjustRightInd w:val="0"/>
        <w:spacing w:beforeAutospacing="0" w:afterAutospacing="0" w:line="560" w:lineRule="exact"/>
        <w:ind w:left="0" w:leftChars="0" w:right="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26E8C70">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2874C375">
      <w:pPr>
        <w:pStyle w:val="3"/>
        <w:pageBreakBefore w:val="0"/>
        <w:kinsoku/>
        <w:overflowPunct/>
        <w:bidi w:val="0"/>
        <w:spacing w:before="0" w:beforeAutospacing="0" w:after="0" w:afterAutospacing="0" w:line="560" w:lineRule="exact"/>
        <w:ind w:left="0" w:leftChars="0" w:right="0"/>
        <w:rPr>
          <w:color w:val="auto"/>
          <w:highlight w:val="none"/>
        </w:rPr>
      </w:pPr>
    </w:p>
    <w:p w14:paraId="2085130F">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39700BDA">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6334E3E2">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5A643116">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2710CA78">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A39596D">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0613F091">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2330D405">
      <w:pPr>
        <w:pageBreakBefore w:val="0"/>
        <w:kinsoku/>
        <w:overflowPunct/>
        <w:bidi w:val="0"/>
        <w:spacing w:beforeAutospacing="0" w:afterAutospacing="0" w:line="560" w:lineRule="exact"/>
        <w:ind w:left="0" w:leftChars="0" w:right="0"/>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6447D651">
      <w:pPr>
        <w:pageBreakBefore w:val="0"/>
        <w:kinsoku/>
        <w:overflowPunct/>
        <w:bidi w:val="0"/>
        <w:spacing w:beforeAutospacing="0" w:afterAutospacing="0" w:line="560" w:lineRule="exact"/>
        <w:ind w:left="0" w:leftChars="0" w:right="0"/>
        <w:rPr>
          <w:color w:val="auto"/>
          <w:highlight w:val="none"/>
          <w:lang w:val="zh-CN"/>
        </w:rPr>
      </w:pPr>
      <w:r>
        <w:rPr>
          <w:color w:val="auto"/>
          <w:highlight w:val="none"/>
          <w:lang w:val="zh-CN"/>
        </w:rPr>
        <w:br w:type="page"/>
      </w:r>
    </w:p>
    <w:p w14:paraId="6DBE2CDA">
      <w:pPr>
        <w:pageBreakBefore w:val="0"/>
        <w:kinsoku/>
        <w:overflowPunct/>
        <w:bidi w:val="0"/>
        <w:spacing w:beforeAutospacing="0" w:afterAutospacing="0" w:line="560" w:lineRule="exact"/>
        <w:ind w:left="0" w:leftChars="0" w:right="0"/>
        <w:rPr>
          <w:color w:val="auto"/>
          <w:highlight w:val="none"/>
          <w:lang w:val="zh-CN"/>
        </w:rPr>
      </w:pPr>
    </w:p>
    <w:p w14:paraId="215FC2E3">
      <w:pPr>
        <w:pStyle w:val="3"/>
        <w:pageBreakBefore w:val="0"/>
        <w:kinsoku/>
        <w:overflowPunct/>
        <w:bidi w:val="0"/>
        <w:spacing w:before="0" w:beforeAutospacing="0" w:after="0" w:afterAutospacing="0" w:line="560" w:lineRule="exact"/>
        <w:ind w:left="0" w:leftChars="0" w:right="0"/>
        <w:rPr>
          <w:rFonts w:hint="eastAsia"/>
          <w:sz w:val="28"/>
          <w:szCs w:val="28"/>
          <w:lang w:val="en-US" w:eastAsia="zh-CN"/>
        </w:rPr>
      </w:pPr>
      <w:bookmarkStart w:id="744" w:name="_Toc25215"/>
      <w:bookmarkStart w:id="745" w:name="_Toc155185927"/>
      <w:r>
        <w:rPr>
          <w:rFonts w:hint="eastAsia"/>
          <w:sz w:val="28"/>
          <w:szCs w:val="28"/>
          <w:lang w:val="en-US" w:eastAsia="zh-CN"/>
        </w:rPr>
        <w:t>一、满足《中华人民共和国政府采购法》第二十二条规定</w:t>
      </w:r>
      <w:bookmarkEnd w:id="744"/>
    </w:p>
    <w:bookmarkEnd w:id="745"/>
    <w:p w14:paraId="4C03246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0" w:firstLine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（一）法人、其他组织或者自然人的证明文件</w:t>
      </w:r>
    </w:p>
    <w:p w14:paraId="2881C92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1、投标人</w:t>
      </w:r>
      <w:r>
        <w:rPr>
          <w:rFonts w:hint="eastAsia" w:ascii="宋体" w:hAnsi="宋体" w:eastAsia="宋体" w:cs="宋体"/>
          <w:b w:val="0"/>
          <w:bCs w:val="0"/>
          <w:color w:val="auto"/>
          <w:kern w:val="0"/>
          <w:sz w:val="24"/>
          <w:szCs w:val="24"/>
          <w:highlight w:val="none"/>
          <w:lang w:val="en-US" w:eastAsia="zh-CN"/>
        </w:rPr>
        <w:t>为企业（包括合伙企业）的，应提供有效的“营业执照”；</w:t>
      </w:r>
    </w:p>
    <w:p w14:paraId="1CA280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2、投标人</w:t>
      </w:r>
      <w:r>
        <w:rPr>
          <w:rFonts w:hint="eastAsia" w:ascii="宋体" w:hAnsi="宋体" w:eastAsia="宋体" w:cs="宋体"/>
          <w:b w:val="0"/>
          <w:bCs w:val="0"/>
          <w:color w:val="auto"/>
          <w:kern w:val="0"/>
          <w:sz w:val="24"/>
          <w:szCs w:val="24"/>
          <w:highlight w:val="none"/>
          <w:lang w:val="en-US" w:eastAsia="zh-CN"/>
        </w:rPr>
        <w:t>为事业单位的，应提供有效的“事业单位法人证书”；</w:t>
      </w:r>
    </w:p>
    <w:p w14:paraId="4C09FDB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3、投标人</w:t>
      </w:r>
      <w:r>
        <w:rPr>
          <w:rFonts w:hint="eastAsia" w:ascii="宋体" w:hAnsi="宋体" w:eastAsia="宋体" w:cs="宋体"/>
          <w:b w:val="0"/>
          <w:bCs w:val="0"/>
          <w:color w:val="auto"/>
          <w:kern w:val="0"/>
          <w:sz w:val="24"/>
          <w:szCs w:val="24"/>
          <w:highlight w:val="none"/>
          <w:lang w:val="en-US" w:eastAsia="zh-CN"/>
        </w:rPr>
        <w:t>为非企业机构的，应提供有效的“执业许可证”、“登记证书”等证明文件；</w:t>
      </w:r>
    </w:p>
    <w:p w14:paraId="3239349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4、投标人</w:t>
      </w:r>
      <w:r>
        <w:rPr>
          <w:rFonts w:hint="eastAsia" w:ascii="宋体" w:hAnsi="宋体" w:eastAsia="宋体" w:cs="宋体"/>
          <w:b w:val="0"/>
          <w:bCs w:val="0"/>
          <w:color w:val="auto"/>
          <w:kern w:val="0"/>
          <w:sz w:val="24"/>
          <w:szCs w:val="24"/>
          <w:highlight w:val="none"/>
          <w:lang w:val="en-US" w:eastAsia="zh-CN"/>
        </w:rPr>
        <w:t>是个体工商户的，应提供有效的“个体工商户营业执照”；</w:t>
      </w:r>
    </w:p>
    <w:p w14:paraId="47F836A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5、投标人</w:t>
      </w:r>
      <w:r>
        <w:rPr>
          <w:rFonts w:hint="eastAsia" w:ascii="宋体" w:hAnsi="宋体" w:eastAsia="宋体" w:cs="宋体"/>
          <w:b w:val="0"/>
          <w:bCs w:val="0"/>
          <w:color w:val="auto"/>
          <w:kern w:val="0"/>
          <w:sz w:val="24"/>
          <w:szCs w:val="24"/>
          <w:highlight w:val="none"/>
          <w:lang w:val="en-US" w:eastAsia="zh-CN"/>
        </w:rPr>
        <w:t>是自然人的，应提供有效的自然人身份证明</w:t>
      </w:r>
      <w:r>
        <w:rPr>
          <w:rFonts w:hint="eastAsia" w:cs="宋体"/>
          <w:b w:val="0"/>
          <w:bCs w:val="0"/>
          <w:color w:val="auto"/>
          <w:kern w:val="0"/>
          <w:sz w:val="24"/>
          <w:szCs w:val="24"/>
          <w:highlight w:val="none"/>
          <w:lang w:val="en-US" w:eastAsia="zh-CN"/>
        </w:rPr>
        <w:t>。</w:t>
      </w:r>
    </w:p>
    <w:p w14:paraId="77687BE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p>
    <w:p w14:paraId="2FE2A9CA">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p w14:paraId="6FC7F68F">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firstLine="0" w:firstLineChars="0"/>
        <w:textAlignment w:val="auto"/>
        <w:rPr>
          <w:rFonts w:hint="eastAsia" w:eastAsia="宋体" w:cstheme="majorBidi"/>
          <w:b/>
          <w:bCs/>
          <w:color w:val="auto"/>
          <w:kern w:val="2"/>
          <w:sz w:val="24"/>
          <w:szCs w:val="24"/>
          <w:highlight w:val="none"/>
          <w:lang w:val="en-US" w:eastAsia="zh-CN" w:bidi="ar-SA"/>
        </w:rPr>
      </w:pPr>
      <w:bookmarkStart w:id="746" w:name="_Toc23771"/>
      <w:bookmarkStart w:id="747" w:name="_Toc15114"/>
      <w:r>
        <w:rPr>
          <w:rFonts w:hint="eastAsia" w:eastAsia="宋体" w:cstheme="majorBidi"/>
          <w:b/>
          <w:bCs/>
          <w:color w:val="auto"/>
          <w:kern w:val="2"/>
          <w:sz w:val="24"/>
          <w:szCs w:val="24"/>
          <w:highlight w:val="none"/>
          <w:lang w:val="en-US" w:eastAsia="zh-CN" w:bidi="ar-SA"/>
        </w:rPr>
        <w:t>（二）兵团政府采购供应商信用承诺函</w:t>
      </w:r>
      <w:bookmarkEnd w:id="746"/>
      <w:bookmarkEnd w:id="747"/>
    </w:p>
    <w:p w14:paraId="695B752A">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单位名称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自然人姓名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1BF1CBCB">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统一社会信用代码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身份证号码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314E343E">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负责人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2F4CE840">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p>
    <w:p w14:paraId="776D8704">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 xml:space="preserve">自愿参加本次政府采购活动，严格遵守《中华人民共和国政府采购法》及相关法律法规，坚守公开、公平、公正和诚实信用等原则，依法诚信经营，并郑重承诺：    </w:t>
      </w:r>
    </w:p>
    <w:p w14:paraId="353CD750">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符合《中华人民共和国政府采购法》第二十二条规定：</w:t>
      </w:r>
    </w:p>
    <w:p w14:paraId="6C579D2A">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具有独立承担民事责任的能力;</w:t>
      </w:r>
    </w:p>
    <w:p w14:paraId="1253879B">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（二）</w:t>
      </w:r>
      <w:r>
        <w:rPr>
          <w:rFonts w:hint="eastAsia" w:ascii="宋体" w:hAnsi="宋体" w:eastAsia="宋体" w:cs="宋体"/>
          <w:color w:val="auto"/>
          <w:kern w:val="0"/>
          <w:sz w:val="24"/>
          <w:szCs w:val="24"/>
          <w:highlight w:val="none"/>
        </w:rPr>
        <w:t>具有良好的商业信誉和健全的财务会计制度;</w:t>
      </w:r>
    </w:p>
    <w:p w14:paraId="550B1CDF">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（三）</w:t>
      </w:r>
      <w:r>
        <w:rPr>
          <w:rFonts w:hint="eastAsia" w:ascii="宋体" w:hAnsi="宋体" w:eastAsia="宋体" w:cs="宋体"/>
          <w:color w:val="auto"/>
          <w:kern w:val="0"/>
          <w:sz w:val="24"/>
          <w:szCs w:val="24"/>
          <w:highlight w:val="none"/>
        </w:rPr>
        <w:t>具有履行合同所必需的设备和专业技术能力;</w:t>
      </w:r>
    </w:p>
    <w:p w14:paraId="221E549B">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（四）</w:t>
      </w:r>
      <w:r>
        <w:rPr>
          <w:rFonts w:hint="eastAsia" w:ascii="宋体" w:hAnsi="宋体" w:eastAsia="宋体" w:cs="宋体"/>
          <w:color w:val="auto"/>
          <w:kern w:val="0"/>
          <w:sz w:val="24"/>
          <w:szCs w:val="24"/>
          <w:highlight w:val="none"/>
        </w:rPr>
        <w:t>有依法缴纳税收和社会保障资金的良好记录;</w:t>
      </w:r>
    </w:p>
    <w:p w14:paraId="56D831AE">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（五）</w:t>
      </w:r>
      <w:r>
        <w:rPr>
          <w:rFonts w:hint="eastAsia" w:ascii="宋体" w:hAnsi="宋体" w:eastAsia="宋体" w:cs="宋体"/>
          <w:color w:val="auto"/>
          <w:kern w:val="0"/>
          <w:sz w:val="24"/>
          <w:szCs w:val="24"/>
          <w:highlight w:val="none"/>
        </w:rPr>
        <w:t>参加政府采购活动前三年内，在经营活动中没有重大违法记录;</w:t>
      </w:r>
    </w:p>
    <w:p w14:paraId="126A1FC2">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（六）</w:t>
      </w:r>
      <w:r>
        <w:rPr>
          <w:rFonts w:hint="eastAsia" w:ascii="宋体" w:hAnsi="宋体" w:eastAsia="宋体" w:cs="宋体"/>
          <w:color w:val="auto"/>
          <w:kern w:val="0"/>
          <w:sz w:val="24"/>
          <w:szCs w:val="24"/>
          <w:highlight w:val="none"/>
        </w:rPr>
        <w:t>符合法律、行政法规规定的其他条件。</w:t>
      </w:r>
    </w:p>
    <w:p w14:paraId="48BFD221">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未被列入严重违法失信名单、失信被执行人</w:t>
      </w:r>
      <w:r>
        <w:rPr>
          <w:rFonts w:hint="eastAsia" w:ascii="宋体" w:hAnsi="宋体" w:eastAsia="宋体" w:cs="宋体"/>
          <w:color w:val="auto"/>
          <w:kern w:val="0"/>
          <w:sz w:val="24"/>
          <w:szCs w:val="24"/>
          <w:highlight w:val="none"/>
          <w:lang w:eastAsia="zh-CN"/>
        </w:rPr>
        <w:t>名单</w:t>
      </w:r>
      <w:r>
        <w:rPr>
          <w:rFonts w:hint="eastAsia" w:ascii="宋体" w:hAnsi="宋体" w:eastAsia="宋体" w:cs="宋体"/>
          <w:color w:val="auto"/>
          <w:kern w:val="0"/>
          <w:sz w:val="24"/>
          <w:szCs w:val="24"/>
          <w:highlight w:val="none"/>
        </w:rPr>
        <w:t>、重大税收违法失信主体、政府采购严重违法失信行为记录名</w:t>
      </w:r>
      <w:r>
        <w:rPr>
          <w:rFonts w:hint="eastAsia" w:ascii="宋体" w:hAnsi="宋体" w:eastAsia="宋体" w:cs="宋体"/>
          <w:color w:val="auto"/>
          <w:kern w:val="0"/>
          <w:sz w:val="24"/>
          <w:szCs w:val="24"/>
          <w:highlight w:val="none"/>
          <w:lang w:eastAsia="zh-CN"/>
        </w:rPr>
        <w:t>单</w:t>
      </w:r>
      <w:r>
        <w:rPr>
          <w:rFonts w:hint="eastAsia" w:ascii="宋体" w:hAnsi="宋体" w:eastAsia="宋体" w:cs="宋体"/>
          <w:color w:val="auto"/>
          <w:kern w:val="0"/>
          <w:sz w:val="24"/>
          <w:szCs w:val="24"/>
          <w:highlight w:val="none"/>
        </w:rPr>
        <w:t>。</w:t>
      </w:r>
    </w:p>
    <w:p w14:paraId="30747A83">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三、如果本公司（本人）有幸中标（成交），在合同签订之前，采购单位有权要求本公司（本人）提供资格证明材料原件进行核验。</w:t>
      </w:r>
    </w:p>
    <w:p w14:paraId="663B7525">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四、我单位</w:t>
      </w:r>
      <w:r>
        <w:rPr>
          <w:rFonts w:hint="eastAsia" w:ascii="宋体" w:hAnsi="宋体" w:eastAsia="宋体" w:cs="宋体"/>
          <w:color w:val="auto"/>
          <w:kern w:val="0"/>
          <w:sz w:val="24"/>
          <w:szCs w:val="24"/>
          <w:highlight w:val="none"/>
          <w:lang w:eastAsia="zh-CN"/>
        </w:rPr>
        <w:t>（本人）</w:t>
      </w:r>
      <w:r>
        <w:rPr>
          <w:rFonts w:hint="eastAsia" w:ascii="宋体" w:hAnsi="宋体" w:eastAsia="宋体" w:cs="宋体"/>
          <w:color w:val="auto"/>
          <w:kern w:val="0"/>
          <w:sz w:val="24"/>
          <w:szCs w:val="24"/>
          <w:highlight w:val="none"/>
        </w:rPr>
        <w:t>保证上述承诺事项的真实性。如有弄虚作假或其他违法违规行为，自愿按照规定将违背承诺行为作为失信行为记录到社会信用信息平台，并视同为“提供虚假材料谋取中标、成交”按照</w:t>
      </w:r>
      <w:r>
        <w:rPr>
          <w:rFonts w:hint="eastAsia"/>
          <w:color w:val="auto"/>
          <w:highlight w:val="none"/>
        </w:rPr>
        <w:t>《中华人民共和国政府采购法》</w:t>
      </w:r>
      <w:r>
        <w:rPr>
          <w:rFonts w:hint="eastAsia" w:ascii="宋体" w:hAnsi="宋体" w:eastAsia="宋体" w:cs="宋体"/>
          <w:color w:val="auto"/>
          <w:kern w:val="0"/>
          <w:sz w:val="24"/>
          <w:szCs w:val="24"/>
          <w:highlight w:val="none"/>
        </w:rPr>
        <w:t>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2B6C39AD">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p>
    <w:p w14:paraId="49F57DB1">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p>
    <w:p w14:paraId="5AA48816">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w:t>
      </w:r>
      <w:r>
        <w:rPr>
          <w:rFonts w:hint="eastAsia" w:cs="宋体"/>
          <w:color w:val="auto"/>
          <w:kern w:val="0"/>
          <w:sz w:val="24"/>
          <w:szCs w:val="24"/>
          <w:highlight w:val="none"/>
          <w:lang w:val="en-US" w:eastAsia="zh-CN"/>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45C65A8C">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524E5ADC">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2CB41018">
      <w:pPr>
        <w:pageBreakBefore w:val="0"/>
        <w:widowControl/>
        <w:kinsoku/>
        <w:overflowPunct/>
        <w:bidi w:val="0"/>
        <w:spacing w:beforeAutospacing="0" w:afterAutospacing="0" w:line="560" w:lineRule="exact"/>
        <w:ind w:left="0" w:leftChars="0" w:right="0" w:firstLine="630"/>
        <w:jc w:val="left"/>
        <w:rPr>
          <w:rFonts w:hint="eastAsia" w:ascii="宋体" w:hAnsi="宋体" w:eastAsia="宋体" w:cs="宋体"/>
          <w:color w:val="auto"/>
          <w:kern w:val="0"/>
          <w:sz w:val="24"/>
          <w:szCs w:val="24"/>
          <w:highlight w:val="none"/>
        </w:rPr>
      </w:pPr>
    </w:p>
    <w:p w14:paraId="67DF1B87">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br w:type="page"/>
      </w:r>
    </w:p>
    <w:p w14:paraId="70BE810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748" w:name="_Toc109899498"/>
      <w:bookmarkStart w:id="749" w:name="_Toc163492923"/>
      <w:bookmarkStart w:id="750" w:name="_Toc140132840"/>
      <w:bookmarkStart w:id="751" w:name="_Toc155185930"/>
      <w:bookmarkStart w:id="752" w:name="_Toc109900336"/>
      <w:bookmarkStart w:id="753" w:name="_Toc109899917"/>
      <w:bookmarkStart w:id="754" w:name="_Toc21383"/>
      <w:r>
        <w:rPr>
          <w:rFonts w:hint="eastAsia" w:cstheme="majorBidi"/>
          <w:b/>
          <w:bCs/>
          <w:color w:val="auto"/>
          <w:kern w:val="2"/>
          <w:sz w:val="28"/>
          <w:szCs w:val="28"/>
          <w:highlight w:val="none"/>
          <w:lang w:val="en-US" w:eastAsia="zh-CN" w:bidi="ar-SA"/>
        </w:rPr>
        <w:t>二</w:t>
      </w:r>
      <w:r>
        <w:rPr>
          <w:rFonts w:hint="eastAsia" w:eastAsia="宋体" w:asciiTheme="majorHAnsi" w:hAnsiTheme="majorHAnsi" w:cstheme="majorBidi"/>
          <w:b/>
          <w:bCs/>
          <w:color w:val="auto"/>
          <w:kern w:val="2"/>
          <w:sz w:val="28"/>
          <w:szCs w:val="28"/>
          <w:highlight w:val="none"/>
          <w:lang w:val="en-US" w:eastAsia="zh-CN" w:bidi="ar-SA"/>
        </w:rPr>
        <w:t>、</w:t>
      </w:r>
      <w:bookmarkEnd w:id="748"/>
      <w:bookmarkEnd w:id="749"/>
      <w:bookmarkEnd w:id="750"/>
      <w:bookmarkEnd w:id="751"/>
      <w:bookmarkEnd w:id="752"/>
      <w:bookmarkEnd w:id="753"/>
      <w:bookmarkStart w:id="755" w:name="_Toc155185931"/>
      <w:r>
        <w:rPr>
          <w:rFonts w:hint="eastAsia" w:eastAsia="宋体" w:asciiTheme="majorHAnsi" w:hAnsiTheme="majorHAnsi" w:cstheme="majorBidi"/>
          <w:b/>
          <w:bCs/>
          <w:color w:val="auto"/>
          <w:kern w:val="2"/>
          <w:sz w:val="28"/>
          <w:szCs w:val="28"/>
          <w:highlight w:val="none"/>
          <w:lang w:val="zh-CN" w:eastAsia="zh-CN" w:bidi="ar-SA"/>
        </w:rPr>
        <w:t>联合体协议书</w:t>
      </w:r>
      <w:bookmarkEnd w:id="755"/>
      <w:r>
        <w:rPr>
          <w:rFonts w:hint="eastAsia" w:ascii="宋体" w:hAnsi="宋体" w:eastAsia="宋体" w:cstheme="minorBidi"/>
          <w:b w:val="0"/>
          <w:bCs w:val="0"/>
          <w:color w:val="auto"/>
          <w:kern w:val="2"/>
          <w:sz w:val="28"/>
          <w:szCs w:val="28"/>
          <w:highlight w:val="none"/>
          <w:lang w:val="zh-CN" w:eastAsia="zh-CN" w:bidi="ar-SA"/>
        </w:rPr>
        <w:t>【如适用】</w:t>
      </w:r>
      <w:bookmarkEnd w:id="754"/>
    </w:p>
    <w:p w14:paraId="39563C7F">
      <w:pPr>
        <w:pageBreakBefore w:val="0"/>
        <w:kinsoku/>
        <w:overflowPunct/>
        <w:bidi w:val="0"/>
        <w:snapToGrid w:val="0"/>
        <w:spacing w:beforeAutospacing="0" w:afterAutospacing="0" w:line="560" w:lineRule="exact"/>
        <w:ind w:left="0" w:leftChars="0" w:right="0"/>
        <w:jc w:val="center"/>
        <w:outlineLvl w:val="0"/>
        <w:rPr>
          <w:rFonts w:hint="eastAsia" w:ascii="宋体" w:hAnsi="宋体" w:cs="宋体"/>
          <w:b/>
          <w:color w:val="auto"/>
          <w:kern w:val="0"/>
          <w:sz w:val="32"/>
          <w:szCs w:val="32"/>
          <w:highlight w:val="none"/>
        </w:rPr>
      </w:pPr>
    </w:p>
    <w:p w14:paraId="23E3BC9F">
      <w:pPr>
        <w:pageBreakBefore w:val="0"/>
        <w:kinsoku/>
        <w:overflowPunct/>
        <w:bidi w:val="0"/>
        <w:snapToGrid w:val="0"/>
        <w:spacing w:beforeAutospacing="0" w:afterAutospacing="0" w:line="560" w:lineRule="exact"/>
        <w:ind w:left="0" w:leftChars="0" w:right="0"/>
        <w:jc w:val="center"/>
        <w:outlineLvl w:val="0"/>
        <w:rPr>
          <w:rFonts w:hint="eastAsia" w:ascii="宋体" w:hAnsi="宋体" w:cs="宋体"/>
          <w:b/>
          <w:color w:val="auto"/>
          <w:kern w:val="0"/>
          <w:sz w:val="32"/>
          <w:szCs w:val="32"/>
          <w:highlight w:val="none"/>
        </w:rPr>
      </w:pPr>
      <w:bookmarkStart w:id="756" w:name="_Toc6437"/>
      <w:bookmarkStart w:id="757" w:name="_Toc631"/>
      <w:r>
        <w:rPr>
          <w:rFonts w:hint="eastAsia" w:ascii="宋体" w:hAnsi="宋体" w:cs="宋体"/>
          <w:b/>
          <w:color w:val="auto"/>
          <w:kern w:val="0"/>
          <w:sz w:val="32"/>
          <w:szCs w:val="32"/>
          <w:highlight w:val="none"/>
        </w:rPr>
        <w:t>联合体协议书</w:t>
      </w:r>
      <w:bookmarkEnd w:id="756"/>
      <w:bookmarkEnd w:id="757"/>
    </w:p>
    <w:p w14:paraId="67954623">
      <w:pPr>
        <w:pageBreakBefore w:val="0"/>
        <w:widowControl/>
        <w:kinsoku/>
        <w:overflowPunct/>
        <w:bidi w:val="0"/>
        <w:spacing w:beforeAutospacing="0" w:afterAutospacing="0" w:line="560" w:lineRule="exact"/>
        <w:ind w:left="0" w:leftChars="0" w:right="0"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w:t>
      </w:r>
      <w:r>
        <w:rPr>
          <w:rFonts w:hint="eastAsia" w:cs="宋体"/>
          <w:b/>
          <w:color w:val="auto"/>
          <w:sz w:val="24"/>
          <w:highlight w:val="none"/>
          <w:lang w:val="en-US" w:eastAsia="zh-CN"/>
        </w:rPr>
        <w:t>体</w:t>
      </w:r>
      <w:r>
        <w:rPr>
          <w:rFonts w:hint="eastAsia" w:ascii="宋体" w:hAnsi="宋体" w:cs="宋体"/>
          <w:b/>
          <w:color w:val="auto"/>
          <w:sz w:val="24"/>
          <w:highlight w:val="none"/>
        </w:rPr>
        <w:t>协议</w:t>
      </w:r>
      <w:r>
        <w:rPr>
          <w:rFonts w:hint="eastAsia" w:cs="宋体"/>
          <w:b/>
          <w:color w:val="auto"/>
          <w:sz w:val="24"/>
          <w:highlight w:val="none"/>
          <w:lang w:val="en-US" w:eastAsia="zh-CN"/>
        </w:rPr>
        <w:t>书</w:t>
      </w:r>
      <w:r>
        <w:rPr>
          <w:rFonts w:hint="eastAsia" w:ascii="宋体" w:hAnsi="宋体" w:cs="宋体"/>
          <w:b/>
          <w:color w:val="auto"/>
          <w:sz w:val="24"/>
          <w:highlight w:val="none"/>
        </w:rPr>
        <w:t>；本项目不接受联合体投标或者投标人不以联合体形式投标的，则不需要提供）</w:t>
      </w:r>
    </w:p>
    <w:p w14:paraId="14187E65">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682E8747">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FA3C75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94C756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742291A">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bookmarkStart w:id="758"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F758BD">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E4350A6">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758"/>
    <w:p w14:paraId="417425E1">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0493970">
      <w:pPr>
        <w:pageBreakBefore w:val="0"/>
        <w:kinsoku/>
        <w:overflowPunct/>
        <w:bidi w:val="0"/>
        <w:snapToGrid w:val="0"/>
        <w:spacing w:beforeAutospacing="0" w:afterAutospacing="0" w:line="560" w:lineRule="exact"/>
        <w:ind w:left="0" w:leftChars="0" w:right="0"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cs="宋体"/>
          <w:color w:val="auto"/>
          <w:kern w:val="0"/>
          <w:sz w:val="24"/>
          <w:highlight w:val="none"/>
          <w:lang w:val="en-US" w:eastAsia="zh-CN"/>
        </w:rPr>
        <w:t>服务及</w:t>
      </w:r>
      <w:r>
        <w:rPr>
          <w:rFonts w:hint="eastAsia" w:ascii="宋体" w:hAnsi="宋体" w:cs="宋体"/>
          <w:color w:val="auto"/>
          <w:kern w:val="0"/>
          <w:sz w:val="24"/>
          <w:highlight w:val="none"/>
        </w:rPr>
        <w:t>货物由小微企业</w:t>
      </w:r>
      <w:r>
        <w:rPr>
          <w:rFonts w:hint="eastAsia" w:cs="宋体"/>
          <w:color w:val="auto"/>
          <w:kern w:val="0"/>
          <w:sz w:val="24"/>
          <w:highlight w:val="none"/>
          <w:lang w:val="en-US" w:eastAsia="zh-CN"/>
        </w:rPr>
        <w:t>提供和</w:t>
      </w:r>
      <w:r>
        <w:rPr>
          <w:rFonts w:hint="eastAsia" w:ascii="宋体" w:hAnsi="宋体" w:cs="宋体"/>
          <w:color w:val="auto"/>
          <w:kern w:val="0"/>
          <w:sz w:val="24"/>
          <w:highlight w:val="none"/>
        </w:rPr>
        <w:t>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w:t>
      </w:r>
      <w:r>
        <w:rPr>
          <w:rFonts w:hint="eastAsia" w:cs="宋体"/>
          <w:b/>
          <w:color w:val="auto"/>
          <w:kern w:val="0"/>
          <w:sz w:val="24"/>
          <w:highlight w:val="none"/>
          <w:lang w:val="en-US" w:eastAsia="zh-CN"/>
        </w:rPr>
        <w:t>体</w:t>
      </w:r>
      <w:r>
        <w:rPr>
          <w:rFonts w:hint="eastAsia" w:ascii="宋体" w:hAnsi="宋体" w:cs="宋体"/>
          <w:b/>
          <w:color w:val="auto"/>
          <w:kern w:val="0"/>
          <w:sz w:val="24"/>
          <w:highlight w:val="none"/>
          <w:lang w:val="zh-CN"/>
        </w:rPr>
        <w:t>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C0B640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w:t>
      </w:r>
      <w:r>
        <w:rPr>
          <w:rFonts w:hint="eastAsia" w:cs="宋体"/>
          <w:b/>
          <w:bCs/>
          <w:color w:val="auto"/>
          <w:sz w:val="24"/>
          <w:highlight w:val="none"/>
          <w:lang w:val="en-US" w:eastAsia="zh-CN"/>
        </w:rPr>
        <w:t>体</w:t>
      </w:r>
      <w:r>
        <w:rPr>
          <w:rFonts w:hint="eastAsia" w:ascii="宋体" w:hAnsi="宋体" w:cs="宋体"/>
          <w:b/>
          <w:bCs/>
          <w:color w:val="auto"/>
          <w:sz w:val="24"/>
          <w:highlight w:val="none"/>
        </w:rPr>
        <w:t>协议</w:t>
      </w:r>
      <w:r>
        <w:rPr>
          <w:rFonts w:hint="eastAsia" w:cs="宋体"/>
          <w:b/>
          <w:bCs/>
          <w:color w:val="auto"/>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EC462A4">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合同，并就采购合同约定的事项对采购人承担连带责任。</w:t>
      </w:r>
    </w:p>
    <w:p w14:paraId="0B6A82F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18CE91A">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3C062C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DAC4003">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B293209">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4、</w:t>
      </w:r>
      <w:r>
        <w:rPr>
          <w:rFonts w:hint="eastAsia" w:ascii="宋体" w:hAnsi="宋体" w:cs="宋体"/>
          <w:color w:val="auto"/>
          <w:kern w:val="0"/>
          <w:sz w:val="24"/>
          <w:highlight w:val="none"/>
          <w:lang w:val="zh-CN"/>
        </w:rPr>
        <w:t>其他：……</w:t>
      </w:r>
    </w:p>
    <w:p w14:paraId="43009373">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5、</w:t>
      </w:r>
      <w:r>
        <w:rPr>
          <w:rFonts w:hint="eastAsia" w:ascii="宋体" w:hAnsi="宋体" w:cs="宋体"/>
          <w:color w:val="auto"/>
          <w:kern w:val="0"/>
          <w:sz w:val="24"/>
          <w:highlight w:val="none"/>
          <w:lang w:val="zh-CN"/>
        </w:rPr>
        <w:t>本协议书自签署之日起生效，若未中标，自本次投标有效期结束后自行失效；若中标，自合同书规定的期限之后自行失效。</w:t>
      </w:r>
    </w:p>
    <w:p w14:paraId="580F475F">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6、</w:t>
      </w:r>
      <w:r>
        <w:rPr>
          <w:rFonts w:hint="eastAsia" w:ascii="宋体" w:hAnsi="宋体" w:cs="宋体"/>
          <w:color w:val="auto"/>
          <w:kern w:val="0"/>
          <w:sz w:val="24"/>
          <w:highlight w:val="none"/>
          <w:lang w:val="zh-CN"/>
        </w:rPr>
        <w:t>本协议书正本一式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份；副本一式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w:t>
      </w:r>
    </w:p>
    <w:p w14:paraId="75ABC4BD">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p>
    <w:p w14:paraId="4D791421">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p>
    <w:p w14:paraId="1BE31DA1">
      <w:pPr>
        <w:pageBreakBefore w:val="0"/>
        <w:kinsoku/>
        <w:overflowPunct/>
        <w:bidi w:val="0"/>
        <w:snapToGrid w:val="0"/>
        <w:spacing w:beforeAutospacing="0" w:afterAutospacing="0" w:line="560" w:lineRule="exact"/>
        <w:ind w:left="0" w:leftChars="0" w:right="0"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0F946487">
      <w:pPr>
        <w:pageBreakBefore w:val="0"/>
        <w:kinsoku/>
        <w:overflowPunct/>
        <w:bidi w:val="0"/>
        <w:snapToGrid w:val="0"/>
        <w:spacing w:beforeAutospacing="0" w:afterAutospacing="0" w:line="560" w:lineRule="exact"/>
        <w:ind w:left="0" w:leftChars="0" w:right="0"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2C01AA77">
      <w:pPr>
        <w:pageBreakBefore w:val="0"/>
        <w:kinsoku/>
        <w:overflowPunct/>
        <w:bidi w:val="0"/>
        <w:snapToGrid w:val="0"/>
        <w:spacing w:beforeAutospacing="0" w:afterAutospacing="0" w:line="560" w:lineRule="exact"/>
        <w:ind w:left="0" w:leftChars="0" w:right="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4D03F6B">
      <w:pPr>
        <w:pageBreakBefore w:val="0"/>
        <w:kinsoku/>
        <w:overflowPunct/>
        <w:bidi w:val="0"/>
        <w:snapToGrid w:val="0"/>
        <w:spacing w:beforeAutospacing="0" w:afterAutospacing="0" w:line="560" w:lineRule="exact"/>
        <w:ind w:left="0" w:leftChars="0" w:right="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9BB115A">
      <w:pPr>
        <w:pageBreakBefore w:val="0"/>
        <w:kinsoku/>
        <w:overflowPunct/>
        <w:bidi w:val="0"/>
        <w:spacing w:beforeAutospacing="0" w:afterAutospacing="0" w:line="560" w:lineRule="exact"/>
        <w:ind w:left="0" w:leftChars="0" w:right="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68A2ACB2">
      <w:pPr>
        <w:keepNext w:val="0"/>
        <w:keepLines w:val="0"/>
        <w:pageBreakBefore w:val="0"/>
        <w:kinsoku/>
        <w:overflowPunct/>
        <w:topLinePunct w:val="0"/>
        <w:autoSpaceDE/>
        <w:autoSpaceDN/>
        <w:bidi w:val="0"/>
        <w:spacing w:beforeAutospacing="0" w:afterAutospacing="0" w:line="560" w:lineRule="exact"/>
        <w:ind w:left="0" w:leftChars="0" w:right="0"/>
        <w:textAlignment w:val="auto"/>
        <w:rPr>
          <w:rFonts w:cs="Tahoma"/>
          <w:color w:val="auto"/>
          <w:highlight w:val="none"/>
          <w:u w:val="single"/>
        </w:rPr>
      </w:pPr>
      <w:r>
        <w:rPr>
          <w:rFonts w:cs="Tahoma"/>
          <w:color w:val="auto"/>
          <w:highlight w:val="none"/>
          <w:u w:val="single"/>
        </w:rPr>
        <w:br w:type="page"/>
      </w:r>
    </w:p>
    <w:p w14:paraId="054D30B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759" w:name="_Toc162299566"/>
      <w:bookmarkStart w:id="760" w:name="_Toc156490356"/>
      <w:bookmarkStart w:id="761" w:name="_Toc31421"/>
      <w:bookmarkStart w:id="762" w:name="_Hlk101169080"/>
      <w:r>
        <w:rPr>
          <w:rFonts w:hint="eastAsia" w:cstheme="majorBidi"/>
          <w:b/>
          <w:bCs/>
          <w:color w:val="auto"/>
          <w:kern w:val="2"/>
          <w:sz w:val="28"/>
          <w:szCs w:val="28"/>
          <w:highlight w:val="none"/>
          <w:lang w:val="en-US" w:eastAsia="zh-CN" w:bidi="ar-SA"/>
        </w:rPr>
        <w:t>三</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分包意向协议书</w:t>
      </w:r>
      <w:r>
        <w:rPr>
          <w:rFonts w:hint="eastAsia" w:ascii="宋体" w:hAnsi="宋体" w:eastAsia="宋体" w:cstheme="minorBidi"/>
          <w:b w:val="0"/>
          <w:bCs w:val="0"/>
          <w:color w:val="auto"/>
          <w:kern w:val="2"/>
          <w:sz w:val="28"/>
          <w:szCs w:val="28"/>
          <w:highlight w:val="none"/>
          <w:lang w:val="zh-CN" w:eastAsia="zh-CN" w:bidi="ar-SA"/>
        </w:rPr>
        <w:t>【如适用】</w:t>
      </w:r>
      <w:bookmarkEnd w:id="759"/>
      <w:bookmarkEnd w:id="760"/>
      <w:bookmarkEnd w:id="761"/>
    </w:p>
    <w:p w14:paraId="72EF9FB2">
      <w:pPr>
        <w:pageBreakBefore w:val="0"/>
        <w:kinsoku/>
        <w:overflowPunct/>
        <w:bidi w:val="0"/>
        <w:snapToGrid w:val="0"/>
        <w:spacing w:beforeAutospacing="0" w:afterAutospacing="0" w:line="560" w:lineRule="exact"/>
        <w:ind w:left="0" w:leftChars="0" w:right="0"/>
        <w:jc w:val="center"/>
        <w:outlineLvl w:val="0"/>
        <w:rPr>
          <w:rFonts w:hint="eastAsia" w:ascii="宋体" w:hAnsi="宋体" w:cs="宋体"/>
          <w:b/>
          <w:color w:val="auto"/>
          <w:kern w:val="0"/>
          <w:sz w:val="32"/>
          <w:szCs w:val="32"/>
          <w:highlight w:val="none"/>
        </w:rPr>
      </w:pPr>
    </w:p>
    <w:p w14:paraId="7214AD2B">
      <w:pPr>
        <w:pageBreakBefore w:val="0"/>
        <w:kinsoku/>
        <w:overflowPunct/>
        <w:bidi w:val="0"/>
        <w:snapToGrid w:val="0"/>
        <w:spacing w:beforeAutospacing="0" w:afterAutospacing="0" w:line="560" w:lineRule="exact"/>
        <w:ind w:left="0" w:leftChars="0" w:right="0"/>
        <w:jc w:val="center"/>
        <w:outlineLvl w:val="0"/>
        <w:rPr>
          <w:rFonts w:hint="eastAsia" w:ascii="宋体" w:hAnsi="宋体" w:eastAsia="宋体" w:cs="宋体"/>
          <w:b/>
          <w:color w:val="auto"/>
          <w:kern w:val="0"/>
          <w:sz w:val="32"/>
          <w:szCs w:val="32"/>
          <w:highlight w:val="none"/>
          <w:lang w:val="en-US" w:eastAsia="zh-CN"/>
        </w:rPr>
      </w:pPr>
      <w:bookmarkStart w:id="763" w:name="_Toc24460"/>
      <w:bookmarkStart w:id="764" w:name="_Toc16974"/>
      <w:r>
        <w:rPr>
          <w:rFonts w:hint="eastAsia" w:ascii="宋体" w:hAnsi="宋体" w:cs="宋体"/>
          <w:b/>
          <w:color w:val="auto"/>
          <w:kern w:val="0"/>
          <w:sz w:val="32"/>
          <w:szCs w:val="32"/>
          <w:highlight w:val="none"/>
        </w:rPr>
        <w:t>分包意向协议</w:t>
      </w:r>
      <w:r>
        <w:rPr>
          <w:rFonts w:hint="eastAsia" w:ascii="宋体" w:hAnsi="宋体" w:cs="宋体"/>
          <w:b/>
          <w:color w:val="auto"/>
          <w:kern w:val="0"/>
          <w:sz w:val="32"/>
          <w:szCs w:val="32"/>
          <w:highlight w:val="none"/>
          <w:lang w:val="en-US" w:eastAsia="zh-CN"/>
        </w:rPr>
        <w:t>书</w:t>
      </w:r>
      <w:bookmarkEnd w:id="763"/>
      <w:bookmarkEnd w:id="764"/>
    </w:p>
    <w:p w14:paraId="4E9F0BF4">
      <w:pPr>
        <w:pageBreakBefore w:val="0"/>
        <w:widowControl/>
        <w:kinsoku/>
        <w:overflowPunct/>
        <w:bidi w:val="0"/>
        <w:spacing w:beforeAutospacing="0" w:afterAutospacing="0" w:line="560" w:lineRule="exact"/>
        <w:ind w:left="0" w:leftChars="0" w:right="0" w:firstLine="120" w:firstLineChars="50"/>
        <w:jc w:val="left"/>
        <w:rPr>
          <w:rFonts w:hint="eastAsia" w:ascii="宋体" w:hAnsi="宋体" w:eastAsia="宋体" w:cs="宋体"/>
          <w:color w:val="auto"/>
          <w:sz w:val="24"/>
          <w:highlight w:val="none"/>
          <w:lang w:eastAsia="zh-CN"/>
        </w:rPr>
      </w:pPr>
      <w:r>
        <w:rPr>
          <w:rFonts w:hint="eastAsia" w:cs="宋体"/>
          <w:color w:val="auto"/>
          <w:sz w:val="24"/>
          <w:highlight w:val="none"/>
          <w:lang w:eastAsia="zh-CN"/>
        </w:rPr>
        <w:t>【</w:t>
      </w:r>
      <w:r>
        <w:rPr>
          <w:rFonts w:hint="eastAsia" w:ascii="宋体" w:hAnsi="宋体" w:cs="宋体"/>
          <w:b/>
          <w:color w:val="auto"/>
          <w:sz w:val="24"/>
          <w:highlight w:val="none"/>
        </w:rPr>
        <w:t>中标后以分包方式履行合同的，提供分包意向协议</w:t>
      </w:r>
      <w:r>
        <w:rPr>
          <w:rFonts w:hint="eastAsia" w:cs="宋体"/>
          <w:b/>
          <w:color w:val="auto"/>
          <w:sz w:val="24"/>
          <w:highlight w:val="none"/>
          <w:lang w:val="en-US" w:eastAsia="zh-CN"/>
        </w:rPr>
        <w:t>书</w:t>
      </w:r>
      <w:r>
        <w:rPr>
          <w:rFonts w:hint="eastAsia" w:ascii="宋体" w:hAnsi="宋体" w:cs="宋体"/>
          <w:b/>
          <w:color w:val="auto"/>
          <w:sz w:val="24"/>
          <w:highlight w:val="none"/>
        </w:rPr>
        <w:t>；采购人不同意分包或者投标人中标后不以分包方式履行合同的，则不需要提供。</w:t>
      </w:r>
      <w:r>
        <w:rPr>
          <w:rFonts w:hint="eastAsia" w:cs="宋体"/>
          <w:color w:val="auto"/>
          <w:sz w:val="24"/>
          <w:highlight w:val="none"/>
          <w:lang w:eastAsia="zh-CN"/>
        </w:rPr>
        <w:t>】</w:t>
      </w:r>
    </w:p>
    <w:p w14:paraId="5791A45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cs="宋体"/>
          <w:color w:val="auto"/>
          <w:kern w:val="0"/>
          <w:sz w:val="24"/>
          <w:highlight w:val="none"/>
          <w:lang w:val="en-US" w:eastAsia="zh-CN"/>
        </w:rPr>
        <w:t>书</w:t>
      </w:r>
      <w:r>
        <w:rPr>
          <w:rFonts w:hint="eastAsia" w:ascii="宋体" w:hAnsi="宋体" w:cs="宋体"/>
          <w:color w:val="auto"/>
          <w:kern w:val="0"/>
          <w:sz w:val="24"/>
          <w:highlight w:val="none"/>
          <w:lang w:val="zh-CN"/>
        </w:rPr>
        <w:t xml:space="preserve">。 </w:t>
      </w:r>
    </w:p>
    <w:p w14:paraId="545E9079">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E087378">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7B916C5">
      <w:pPr>
        <w:pStyle w:val="3"/>
        <w:pageBreakBefore w:val="0"/>
        <w:tabs>
          <w:tab w:val="left" w:pos="432"/>
        </w:tabs>
        <w:kinsoku/>
        <w:overflowPunct/>
        <w:bidi w:val="0"/>
        <w:spacing w:before="0" w:beforeAutospacing="0" w:after="0" w:afterAutospacing="0" w:line="560" w:lineRule="exact"/>
        <w:ind w:left="0" w:leftChars="0" w:right="0" w:firstLine="229" w:firstLineChars="95"/>
        <w:rPr>
          <w:rFonts w:ascii="宋体" w:hAnsi="宋体" w:eastAsia="宋体" w:cs="宋体"/>
          <w:color w:val="auto"/>
          <w:kern w:val="0"/>
          <w:sz w:val="24"/>
          <w:szCs w:val="24"/>
          <w:highlight w:val="none"/>
        </w:rPr>
      </w:pPr>
      <w:bookmarkStart w:id="765" w:name="_Toc7988"/>
      <w:bookmarkStart w:id="766" w:name="_Toc29070"/>
      <w:r>
        <w:rPr>
          <w:rFonts w:hint="eastAsia" w:ascii="宋体" w:hAnsi="宋体" w:eastAsia="宋体" w:cs="宋体"/>
          <w:color w:val="auto"/>
          <w:kern w:val="0"/>
          <w:sz w:val="24"/>
          <w:szCs w:val="24"/>
          <w:highlight w:val="none"/>
        </w:rPr>
        <w:t>……</w:t>
      </w:r>
      <w:bookmarkEnd w:id="765"/>
      <w:bookmarkEnd w:id="766"/>
    </w:p>
    <w:p w14:paraId="04268894">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88898B5">
      <w:pPr>
        <w:pageBreakBefore w:val="0"/>
        <w:kinsoku/>
        <w:overflowPunct/>
        <w:bidi w:val="0"/>
        <w:snapToGrid w:val="0"/>
        <w:spacing w:beforeAutospacing="0" w:afterAutospacing="0" w:line="560" w:lineRule="exact"/>
        <w:ind w:left="0" w:leftChars="0" w:right="0"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w:t>
      </w:r>
      <w:r>
        <w:rPr>
          <w:rFonts w:hint="eastAsia" w:cs="宋体"/>
          <w:color w:val="auto"/>
          <w:kern w:val="0"/>
          <w:sz w:val="24"/>
          <w:highlight w:val="none"/>
          <w:u w:val="single"/>
          <w:lang w:val="en-US" w:eastAsia="zh-CN"/>
        </w:rPr>
        <w:t>服务</w:t>
      </w:r>
      <w:r>
        <w:rPr>
          <w:rFonts w:hint="eastAsia" w:ascii="宋体" w:hAnsi="宋体" w:cs="宋体"/>
          <w:color w:val="auto"/>
          <w:kern w:val="0"/>
          <w:sz w:val="24"/>
          <w:highlight w:val="none"/>
          <w:u w:val="single"/>
        </w:rPr>
        <w:t>全部由小微企业</w:t>
      </w:r>
      <w:r>
        <w:rPr>
          <w:rFonts w:hint="eastAsia" w:cs="宋体"/>
          <w:color w:val="auto"/>
          <w:kern w:val="0"/>
          <w:sz w:val="24"/>
          <w:highlight w:val="none"/>
          <w:u w:val="single"/>
          <w:lang w:val="en-US" w:eastAsia="zh-CN"/>
        </w:rPr>
        <w:t>承担</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45FF207">
      <w:pPr>
        <w:pageBreakBefore w:val="0"/>
        <w:kinsoku/>
        <w:overflowPunct/>
        <w:bidi w:val="0"/>
        <w:spacing w:beforeAutospacing="0" w:afterAutospacing="0" w:line="560" w:lineRule="exact"/>
        <w:ind w:left="0" w:leftChars="0" w:right="0"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76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cs="宋体"/>
          <w:b/>
          <w:color w:val="auto"/>
          <w:kern w:val="0"/>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767"/>
    </w:p>
    <w:p w14:paraId="51C56E71">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F26E4A3">
      <w:pPr>
        <w:pageBreakBefore w:val="0"/>
        <w:kinsoku/>
        <w:overflowPunct/>
        <w:bidi w:val="0"/>
        <w:snapToGrid w:val="0"/>
        <w:spacing w:beforeAutospacing="0" w:afterAutospacing="0" w:line="560" w:lineRule="exact"/>
        <w:ind w:left="0" w:leftChars="0" w:right="0"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925029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369B1B5">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7AB092">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32B92C8">
      <w:pPr>
        <w:pageBreakBefore w:val="0"/>
        <w:kinsoku/>
        <w:overflowPunct/>
        <w:bidi w:val="0"/>
        <w:snapToGrid w:val="0"/>
        <w:spacing w:beforeAutospacing="0" w:afterAutospacing="0" w:line="560" w:lineRule="exact"/>
        <w:ind w:left="0" w:leftChars="0" w:right="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C79FAF7">
      <w:pPr>
        <w:pageBreakBefore w:val="0"/>
        <w:kinsoku/>
        <w:overflowPunct/>
        <w:bidi w:val="0"/>
        <w:snapToGrid w:val="0"/>
        <w:spacing w:beforeAutospacing="0" w:afterAutospacing="0" w:line="560" w:lineRule="exact"/>
        <w:ind w:left="0" w:leftChars="0" w:right="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7F77B9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2CBB9BB">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D83C451">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DC21D17">
      <w:pPr>
        <w:pageBreakBefore w:val="0"/>
        <w:kinsoku/>
        <w:overflowPunct/>
        <w:bidi w:val="0"/>
        <w:snapToGrid w:val="0"/>
        <w:spacing w:beforeAutospacing="0" w:afterAutospacing="0" w:line="560" w:lineRule="exact"/>
        <w:ind w:left="5040" w:leftChars="0" w:right="0"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  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02869108">
      <w:pPr>
        <w:pageBreakBefore w:val="0"/>
        <w:kinsoku/>
        <w:overflowPunct/>
        <w:bidi w:val="0"/>
        <w:snapToGrid w:val="0"/>
        <w:spacing w:beforeAutospacing="0" w:afterAutospacing="0" w:line="560" w:lineRule="exact"/>
        <w:ind w:left="0" w:leftChars="0" w:right="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63AD0D69">
      <w:pPr>
        <w:pageBreakBefore w:val="0"/>
        <w:kinsoku/>
        <w:overflowPunct/>
        <w:bidi w:val="0"/>
        <w:snapToGrid w:val="0"/>
        <w:spacing w:beforeAutospacing="0" w:afterAutospacing="0" w:line="560" w:lineRule="exact"/>
        <w:ind w:left="0" w:leftChars="0" w:right="0"/>
        <w:jc w:val="right"/>
        <w:rPr>
          <w:rFonts w:ascii="宋体" w:hAnsi="宋体" w:cs="宋体"/>
          <w:color w:val="auto"/>
          <w:kern w:val="0"/>
          <w:sz w:val="24"/>
          <w:highlight w:val="none"/>
          <w:lang w:val="zh-CN"/>
        </w:rPr>
      </w:pPr>
    </w:p>
    <w:p w14:paraId="102F6BD9">
      <w:pPr>
        <w:pageBreakBefore w:val="0"/>
        <w:kinsoku/>
        <w:overflowPunct/>
        <w:bidi w:val="0"/>
        <w:snapToGrid w:val="0"/>
        <w:spacing w:beforeAutospacing="0" w:afterAutospacing="0" w:line="560" w:lineRule="exact"/>
        <w:ind w:left="0" w:leftChars="0" w:right="0"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2C38D7A">
      <w:pPr>
        <w:pageBreakBefore w:val="0"/>
        <w:kinsoku/>
        <w:overflowPunct/>
        <w:bidi w:val="0"/>
        <w:spacing w:beforeAutospacing="0" w:afterAutospacing="0" w:line="560" w:lineRule="exact"/>
        <w:ind w:left="0" w:leftChars="0" w:right="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9A2F910">
      <w:pPr>
        <w:pageBreakBefore w:val="0"/>
        <w:kinsoku/>
        <w:overflowPunct/>
        <w:bidi w:val="0"/>
        <w:spacing w:beforeAutospacing="0" w:afterAutospacing="0" w:line="560" w:lineRule="exact"/>
        <w:ind w:left="0" w:leftChars="0" w:right="0"/>
        <w:rPr>
          <w:rFonts w:ascii="宋体" w:hAnsi="宋体" w:cs="宋体"/>
          <w:color w:val="auto"/>
          <w:sz w:val="24"/>
          <w:highlight w:val="none"/>
        </w:rPr>
      </w:pPr>
      <w:r>
        <w:rPr>
          <w:rFonts w:hint="eastAsia" w:ascii="宋体" w:hAnsi="宋体" w:cs="宋体"/>
          <w:color w:val="auto"/>
          <w:sz w:val="21"/>
          <w:szCs w:val="21"/>
          <w:highlight w:val="none"/>
        </w:rPr>
        <w:t>注：按本格式和要求提供。</w:t>
      </w:r>
    </w:p>
    <w:p w14:paraId="7F0D76CC">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p w14:paraId="5F400CB9">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p w14:paraId="11CAF290">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p w14:paraId="35CFE103">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bookmarkEnd w:id="762"/>
    <w:p w14:paraId="5775F461">
      <w:pPr>
        <w:pageBreakBefore w:val="0"/>
        <w:kinsoku/>
        <w:overflowPunct/>
        <w:bidi w:val="0"/>
        <w:spacing w:beforeAutospacing="0" w:afterAutospacing="0" w:line="560" w:lineRule="exact"/>
        <w:ind w:left="0" w:leftChars="0" w:right="0"/>
        <w:rPr>
          <w:color w:val="auto"/>
          <w:highlight w:val="none"/>
        </w:rPr>
      </w:pPr>
      <w:r>
        <w:rPr>
          <w:rFonts w:cs="Courier New"/>
          <w:color w:val="auto"/>
          <w:szCs w:val="24"/>
          <w:highlight w:val="none"/>
        </w:rPr>
        <w:br w:type="page"/>
      </w:r>
    </w:p>
    <w:p w14:paraId="6C745F3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768" w:name="_Toc163492926"/>
      <w:bookmarkStart w:id="769" w:name="_Toc155185932"/>
      <w:bookmarkStart w:id="770" w:name="_Toc8875"/>
      <w:r>
        <w:rPr>
          <w:rFonts w:hint="eastAsia" w:cstheme="majorBidi"/>
          <w:b/>
          <w:bCs/>
          <w:color w:val="auto"/>
          <w:kern w:val="2"/>
          <w:sz w:val="28"/>
          <w:szCs w:val="28"/>
          <w:highlight w:val="none"/>
          <w:lang w:val="en-US" w:eastAsia="zh-CN" w:bidi="ar-SA"/>
        </w:rPr>
        <w:t>四</w:t>
      </w:r>
      <w:r>
        <w:rPr>
          <w:rFonts w:hint="eastAsia" w:eastAsia="宋体" w:asciiTheme="majorHAnsi" w:hAnsiTheme="majorHAnsi" w:cstheme="majorBidi"/>
          <w:b/>
          <w:bCs/>
          <w:color w:val="auto"/>
          <w:kern w:val="2"/>
          <w:sz w:val="28"/>
          <w:szCs w:val="28"/>
          <w:highlight w:val="none"/>
          <w:lang w:val="en-US" w:eastAsia="zh-CN" w:bidi="ar-SA"/>
        </w:rPr>
        <w:t>、</w:t>
      </w:r>
      <w:bookmarkEnd w:id="768"/>
      <w:bookmarkEnd w:id="769"/>
      <w:r>
        <w:rPr>
          <w:rFonts w:hint="eastAsia" w:eastAsia="宋体" w:asciiTheme="majorHAnsi" w:hAnsiTheme="majorHAnsi" w:cstheme="majorBidi"/>
          <w:b/>
          <w:bCs/>
          <w:color w:val="auto"/>
          <w:kern w:val="2"/>
          <w:sz w:val="28"/>
          <w:szCs w:val="28"/>
          <w:highlight w:val="none"/>
          <w:lang w:val="en-US" w:eastAsia="zh-CN" w:bidi="ar-SA"/>
        </w:rPr>
        <w:t>落实政府采购政策相关证明文件</w:t>
      </w:r>
      <w:bookmarkEnd w:id="770"/>
    </w:p>
    <w:p w14:paraId="0076F407">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771" w:name="_Toc163492938"/>
      <w:bookmarkStart w:id="772" w:name="_Toc17038"/>
      <w:bookmarkStart w:id="773" w:name="_Toc8350"/>
      <w:r>
        <w:rPr>
          <w:rFonts w:hint="eastAsia" w:ascii="宋体" w:hAnsi="宋体" w:eastAsia="宋体" w:cs="宋体"/>
          <w:b/>
          <w:bCs/>
          <w:color w:val="auto"/>
          <w:kern w:val="2"/>
          <w:sz w:val="24"/>
          <w:szCs w:val="24"/>
          <w:highlight w:val="none"/>
          <w:lang w:val="en-US" w:eastAsia="zh-CN" w:bidi="ar-SA"/>
        </w:rPr>
        <w:t>（一）节能环保产品清单及证明材料</w:t>
      </w:r>
      <w:r>
        <w:rPr>
          <w:rFonts w:hint="eastAsia" w:ascii="宋体" w:hAnsi="宋体" w:eastAsia="宋体" w:cs="宋体"/>
          <w:b w:val="0"/>
          <w:bCs w:val="0"/>
          <w:color w:val="auto"/>
          <w:kern w:val="2"/>
          <w:sz w:val="24"/>
          <w:szCs w:val="24"/>
          <w:highlight w:val="none"/>
          <w:lang w:val="en-US" w:eastAsia="zh-CN" w:bidi="ar-SA"/>
        </w:rPr>
        <w:t>【如适用】</w:t>
      </w:r>
      <w:bookmarkEnd w:id="771"/>
      <w:bookmarkEnd w:id="772"/>
      <w:bookmarkEnd w:id="773"/>
    </w:p>
    <w:p w14:paraId="129366EF">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51FADA0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节能产品</w:t>
      </w:r>
    </w:p>
    <w:tbl>
      <w:tblPr>
        <w:tblStyle w:val="29"/>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214BE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9BA53A1">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33C66ABB">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0A6767B6">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31DEE91E">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5BB11F42">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146CD78D">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52ABF9B6">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单价</w:t>
            </w:r>
          </w:p>
          <w:p w14:paraId="022A35EE">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47F9C89C">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总价</w:t>
            </w:r>
          </w:p>
          <w:p w14:paraId="13E39665">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5EF1CA54">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属强制采购或优先采购</w:t>
            </w:r>
          </w:p>
        </w:tc>
      </w:tr>
      <w:tr w14:paraId="2E90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ADB00D2">
            <w:pPr>
              <w:pStyle w:val="48"/>
              <w:pageBreakBefore w:val="0"/>
              <w:numPr>
                <w:ilvl w:val="0"/>
                <w:numId w:val="4"/>
              </w:numPr>
              <w:kinsoku/>
              <w:overflowPunct/>
              <w:bidi w:val="0"/>
              <w:spacing w:beforeAutospacing="0" w:afterAutospacing="0" w:line="560" w:lineRule="exact"/>
              <w:ind w:left="0" w:leftChars="0" w:right="0"/>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3FEE94B">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10BB06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C5A592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35E1910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648ECA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264C2E6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25FE785">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464D763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37C9C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2FEF61DD">
            <w:pPr>
              <w:pStyle w:val="48"/>
              <w:pageBreakBefore w:val="0"/>
              <w:numPr>
                <w:ilvl w:val="0"/>
                <w:numId w:val="4"/>
              </w:numPr>
              <w:kinsoku/>
              <w:overflowPunct/>
              <w:bidi w:val="0"/>
              <w:spacing w:beforeAutospacing="0" w:afterAutospacing="0" w:line="560" w:lineRule="exact"/>
              <w:ind w:left="0" w:leftChars="0" w:right="0"/>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0416B1F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2C36B51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50AC0C7C">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67CCBE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BBEE273">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0202F913">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965158B">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4778C7D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54DDF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48CCAB2">
            <w:pPr>
              <w:pStyle w:val="48"/>
              <w:pageBreakBefore w:val="0"/>
              <w:numPr>
                <w:ilvl w:val="0"/>
                <w:numId w:val="4"/>
              </w:numPr>
              <w:kinsoku/>
              <w:overflowPunct/>
              <w:bidi w:val="0"/>
              <w:spacing w:beforeAutospacing="0" w:afterAutospacing="0" w:line="560" w:lineRule="exact"/>
              <w:ind w:left="0" w:leftChars="0" w:right="0"/>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25CCB97">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20FBEE7F">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2FABF0F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641EE4F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34758BE8">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4A50362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3CD950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51E5F4F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bl>
    <w:p w14:paraId="0BF4E52B">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37B13C23">
      <w:pPr>
        <w:pageBreakBefore w:val="0"/>
        <w:kinsoku/>
        <w:overflowPunct/>
        <w:bidi w:val="0"/>
        <w:spacing w:beforeAutospacing="0" w:afterAutospacing="0" w:line="560" w:lineRule="exact"/>
        <w:ind w:left="0" w:leftChars="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环保产品</w:t>
      </w:r>
    </w:p>
    <w:tbl>
      <w:tblPr>
        <w:tblStyle w:val="29"/>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75A5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E1C37F0">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61FD081C">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29856322">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制造商</w:t>
            </w:r>
          </w:p>
          <w:p w14:paraId="43D7ECA8">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3DA2F666">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4C041C3A">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5EC682A5">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5112D1F1">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单价</w:t>
            </w:r>
          </w:p>
          <w:p w14:paraId="0270B2E8">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52D01C53">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总价</w:t>
            </w:r>
          </w:p>
          <w:p w14:paraId="461D4258">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r>
      <w:tr w14:paraId="3C064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67FEDD7F">
            <w:pPr>
              <w:pStyle w:val="48"/>
              <w:pageBreakBefore w:val="0"/>
              <w:numPr>
                <w:ilvl w:val="0"/>
                <w:numId w:val="5"/>
              </w:numPr>
              <w:kinsoku/>
              <w:overflowPunct/>
              <w:bidi w:val="0"/>
              <w:spacing w:beforeAutospacing="0" w:afterAutospacing="0" w:line="560" w:lineRule="exact"/>
              <w:ind w:left="0" w:leftChars="0" w:right="0"/>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5E411FC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7F21DE2B">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C5EDF0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D72516A">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16E3E6D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8F18718">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4FAA2A4">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507C4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CEE92A2">
            <w:pPr>
              <w:pStyle w:val="48"/>
              <w:pageBreakBefore w:val="0"/>
              <w:numPr>
                <w:ilvl w:val="0"/>
                <w:numId w:val="5"/>
              </w:numPr>
              <w:kinsoku/>
              <w:overflowPunct/>
              <w:bidi w:val="0"/>
              <w:spacing w:beforeAutospacing="0" w:afterAutospacing="0" w:line="560" w:lineRule="exact"/>
              <w:ind w:left="0" w:leftChars="0" w:right="0"/>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37004DF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07819FE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DD8FC9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FB45CE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5552F00C">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0679DB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241F95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57577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FF9C542">
            <w:pPr>
              <w:pStyle w:val="48"/>
              <w:pageBreakBefore w:val="0"/>
              <w:numPr>
                <w:ilvl w:val="0"/>
                <w:numId w:val="5"/>
              </w:numPr>
              <w:kinsoku/>
              <w:overflowPunct/>
              <w:bidi w:val="0"/>
              <w:spacing w:beforeAutospacing="0" w:afterAutospacing="0" w:line="560" w:lineRule="exact"/>
              <w:ind w:left="0" w:leftChars="0" w:right="0"/>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256190D9">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329185C8">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278FA6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6DC7567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7EAC5B3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78F02ED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61916AC5">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bl>
    <w:p w14:paraId="04CE5F65">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4FDC8CEF">
      <w:pPr>
        <w:pageBreakBefore w:val="0"/>
        <w:kinsoku/>
        <w:overflowPunct/>
        <w:bidi w:val="0"/>
        <w:spacing w:beforeAutospacing="0" w:afterAutospacing="0" w:line="560" w:lineRule="exact"/>
        <w:ind w:left="0" w:leftChars="0" w:right="0"/>
        <w:rPr>
          <w:rFonts w:ascii="Arial" w:hAnsi="Arial" w:cs="Arial"/>
          <w:b/>
          <w:color w:val="auto"/>
          <w:sz w:val="21"/>
          <w:szCs w:val="21"/>
          <w:highlight w:val="none"/>
        </w:rPr>
      </w:pPr>
      <w:r>
        <w:rPr>
          <w:rFonts w:hint="eastAsia" w:ascii="Arial" w:hAnsi="Arial" w:cs="Arial"/>
          <w:b/>
          <w:color w:val="auto"/>
          <w:sz w:val="21"/>
          <w:szCs w:val="21"/>
          <w:highlight w:val="none"/>
        </w:rPr>
        <w:t>特别说明：投标人应将所投产品中节能、环保产品分别列入上表中，并按本招标文件</w:t>
      </w:r>
      <w:r>
        <w:rPr>
          <w:rFonts w:hint="eastAsia" w:ascii="Arial" w:hAnsi="Arial" w:cs="Arial"/>
          <w:b/>
          <w:color w:val="auto"/>
          <w:sz w:val="21"/>
          <w:szCs w:val="21"/>
          <w:highlight w:val="none"/>
          <w:lang w:val="en-US" w:eastAsia="zh-CN"/>
        </w:rPr>
        <w:t>“</w:t>
      </w:r>
      <w:r>
        <w:rPr>
          <w:rFonts w:hint="eastAsia" w:ascii="Arial" w:hAnsi="Arial" w:cs="Arial"/>
          <w:b/>
          <w:color w:val="auto"/>
          <w:sz w:val="21"/>
          <w:szCs w:val="21"/>
          <w:highlight w:val="none"/>
        </w:rPr>
        <w:t>第二章</w:t>
      </w:r>
      <w:r>
        <w:rPr>
          <w:rFonts w:hint="eastAsia" w:ascii="Arial" w:hAnsi="Arial" w:cs="Arial"/>
          <w:b/>
          <w:color w:val="auto"/>
          <w:sz w:val="21"/>
          <w:szCs w:val="21"/>
          <w:highlight w:val="none"/>
          <w:lang w:val="en-US" w:eastAsia="zh-CN"/>
        </w:rPr>
        <w:t>投标人须知”</w:t>
      </w:r>
      <w:r>
        <w:rPr>
          <w:rFonts w:hint="eastAsia" w:ascii="Arial" w:hAnsi="Arial" w:cs="Arial"/>
          <w:b/>
          <w:color w:val="auto"/>
          <w:sz w:val="21"/>
          <w:szCs w:val="21"/>
          <w:highlight w:val="none"/>
        </w:rPr>
        <w:t>提供相关证明材料，未填写本表或未提供有效认证证书</w:t>
      </w:r>
      <w:r>
        <w:rPr>
          <w:rFonts w:ascii="Arial" w:hAnsi="Arial" w:cs="Arial"/>
          <w:b/>
          <w:color w:val="auto"/>
          <w:sz w:val="21"/>
          <w:szCs w:val="21"/>
          <w:highlight w:val="none"/>
        </w:rPr>
        <w:t>的</w:t>
      </w:r>
      <w:r>
        <w:rPr>
          <w:rFonts w:hint="eastAsia" w:ascii="Arial" w:hAnsi="Arial" w:cs="Arial"/>
          <w:b/>
          <w:color w:val="auto"/>
          <w:sz w:val="21"/>
          <w:szCs w:val="21"/>
          <w:highlight w:val="none"/>
        </w:rPr>
        <w:t>不给予</w:t>
      </w:r>
      <w:r>
        <w:rPr>
          <w:rFonts w:ascii="Arial" w:hAnsi="Arial" w:cs="Arial"/>
          <w:b/>
          <w:color w:val="auto"/>
          <w:sz w:val="21"/>
          <w:szCs w:val="21"/>
          <w:highlight w:val="none"/>
        </w:rPr>
        <w:t>价格扣除</w:t>
      </w:r>
      <w:r>
        <w:rPr>
          <w:rFonts w:hint="eastAsia" w:ascii="Arial" w:hAnsi="Arial" w:cs="Arial"/>
          <w:b/>
          <w:color w:val="auto"/>
          <w:sz w:val="21"/>
          <w:szCs w:val="21"/>
          <w:highlight w:val="none"/>
        </w:rPr>
        <w:t>。</w:t>
      </w:r>
    </w:p>
    <w:p w14:paraId="4AE49928">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054561CD">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31A4D567">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日期：</w:t>
      </w:r>
    </w:p>
    <w:p w14:paraId="0A67E61C">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70617D68">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br w:type="page"/>
      </w:r>
    </w:p>
    <w:p w14:paraId="2A9F81A4">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theme="minorBidi"/>
          <w:b/>
          <w:bCs/>
          <w:color w:val="auto"/>
          <w:kern w:val="2"/>
          <w:sz w:val="24"/>
          <w:szCs w:val="24"/>
          <w:highlight w:val="none"/>
          <w:lang w:val="en-US" w:eastAsia="zh-CN" w:bidi="ar-SA"/>
        </w:rPr>
      </w:pPr>
      <w:bookmarkStart w:id="774" w:name="_Toc24277"/>
      <w:bookmarkStart w:id="775" w:name="_Toc29603"/>
      <w:bookmarkStart w:id="776" w:name="_Toc163492939"/>
      <w:r>
        <w:rPr>
          <w:rFonts w:hint="eastAsia" w:ascii="宋体" w:hAnsi="宋体" w:eastAsia="宋体" w:cstheme="minorBidi"/>
          <w:b/>
          <w:bCs/>
          <w:color w:val="auto"/>
          <w:kern w:val="2"/>
          <w:sz w:val="24"/>
          <w:szCs w:val="24"/>
          <w:highlight w:val="none"/>
          <w:lang w:val="en-US" w:eastAsia="zh-CN" w:bidi="ar-SA"/>
        </w:rPr>
        <w:t>（二）中小企业声明函</w:t>
      </w:r>
      <w:r>
        <w:rPr>
          <w:rFonts w:hint="eastAsia" w:ascii="宋体" w:hAnsi="宋体" w:eastAsia="宋体" w:cstheme="minorBidi"/>
          <w:b w:val="0"/>
          <w:b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color w:val="auto"/>
          <w:kern w:val="2"/>
          <w:sz w:val="24"/>
          <w:szCs w:val="24"/>
          <w:highlight w:val="none"/>
          <w:lang w:val="en-US" w:eastAsia="zh-CN" w:bidi="ar-SA"/>
        </w:rPr>
        <w:t>】</w:t>
      </w:r>
      <w:bookmarkEnd w:id="774"/>
      <w:bookmarkEnd w:id="775"/>
      <w:bookmarkEnd w:id="776"/>
    </w:p>
    <w:p w14:paraId="16CFCD4A">
      <w:pPr>
        <w:pStyle w:val="38"/>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hanging="420" w:firstLineChars="0"/>
        <w:jc w:val="center"/>
        <w:textAlignment w:val="auto"/>
        <w:rPr>
          <w:rFonts w:hint="eastAsia"/>
          <w:b/>
          <w:bCs/>
          <w:color w:val="auto"/>
          <w:sz w:val="32"/>
          <w:szCs w:val="32"/>
          <w:highlight w:val="none"/>
        </w:rPr>
      </w:pPr>
    </w:p>
    <w:p w14:paraId="0D7CD940">
      <w:pPr>
        <w:pStyle w:val="38"/>
        <w:pageBreakBefore w:val="0"/>
        <w:numPr>
          <w:ilvl w:val="0"/>
          <w:numId w:val="0"/>
        </w:numPr>
        <w:kinsoku/>
        <w:overflowPunct/>
        <w:bidi w:val="0"/>
        <w:spacing w:beforeAutospacing="0" w:afterAutospacing="0" w:line="560" w:lineRule="exact"/>
        <w:ind w:left="0" w:leftChars="0" w:right="0" w:hanging="420" w:firstLineChars="0"/>
        <w:jc w:val="center"/>
        <w:rPr>
          <w:b/>
          <w:bCs/>
          <w:color w:val="auto"/>
          <w:sz w:val="32"/>
          <w:szCs w:val="32"/>
          <w:highlight w:val="none"/>
        </w:rPr>
      </w:pPr>
      <w:r>
        <w:rPr>
          <w:rFonts w:hint="eastAsia"/>
          <w:b/>
          <w:bCs/>
          <w:color w:val="auto"/>
          <w:sz w:val="32"/>
          <w:szCs w:val="32"/>
          <w:highlight w:val="none"/>
        </w:rPr>
        <w:t>中小企业声明函</w:t>
      </w:r>
    </w:p>
    <w:p w14:paraId="5688740A">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本公司（联合体）郑重声明，根据《政府采购促进中小企业发展管理办法》（财库﹝2020﹞46 号）的规定，本公司（联合体）参加</w:t>
      </w:r>
      <w:r>
        <w:rPr>
          <w:rFonts w:hint="eastAsia" w:cs="宋体"/>
          <w:color w:val="auto"/>
          <w:spacing w:val="6"/>
          <w:szCs w:val="24"/>
          <w:highlight w:val="none"/>
          <w:u w:val="single"/>
        </w:rPr>
        <w:t xml:space="preserve"> （单位名称）</w:t>
      </w:r>
      <w:r>
        <w:rPr>
          <w:rFonts w:hint="eastAsia" w:cs="宋体"/>
          <w:color w:val="auto"/>
          <w:spacing w:val="6"/>
          <w:szCs w:val="24"/>
          <w:highlight w:val="none"/>
        </w:rPr>
        <w:t xml:space="preserve"> 的</w:t>
      </w:r>
      <w:r>
        <w:rPr>
          <w:rFonts w:hint="eastAsia" w:cs="宋体"/>
          <w:color w:val="auto"/>
          <w:spacing w:val="6"/>
          <w:szCs w:val="24"/>
          <w:highlight w:val="none"/>
          <w:u w:val="single"/>
        </w:rPr>
        <w:t xml:space="preserve"> （项目名称） </w:t>
      </w:r>
      <w:r>
        <w:rPr>
          <w:rFonts w:hint="eastAsia" w:cs="宋体"/>
          <w:color w:val="auto"/>
          <w:spacing w:val="6"/>
          <w:szCs w:val="24"/>
          <w:highlight w:val="none"/>
        </w:rPr>
        <w:t>采购活动，服务全部由符合政策要求的中小企业承接。相关企业（含联合体中的中小企业、签订分包意向协议的中小企业）的具体情况如下：</w:t>
      </w:r>
    </w:p>
    <w:p w14:paraId="57A088DF">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 xml:space="preserve">1. </w:t>
      </w:r>
      <w:r>
        <w:rPr>
          <w:rFonts w:hint="eastAsia" w:cs="宋体"/>
          <w:color w:val="auto"/>
          <w:spacing w:val="6"/>
          <w:szCs w:val="24"/>
          <w:highlight w:val="none"/>
          <w:u w:val="single"/>
        </w:rPr>
        <w:t xml:space="preserve">（标的名称）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 </w:t>
      </w:r>
      <w:r>
        <w:rPr>
          <w:rFonts w:hint="eastAsia" w:cs="宋体"/>
          <w:color w:val="auto"/>
          <w:spacing w:val="6"/>
          <w:szCs w:val="24"/>
          <w:highlight w:val="none"/>
        </w:rPr>
        <w:t>；承接企业为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（中型企业、小型企业、微型企业）</w:t>
      </w:r>
      <w:r>
        <w:rPr>
          <w:rFonts w:hint="eastAsia" w:cs="宋体"/>
          <w:color w:val="auto"/>
          <w:spacing w:val="6"/>
          <w:szCs w:val="24"/>
          <w:highlight w:val="none"/>
        </w:rPr>
        <w:t>；</w:t>
      </w:r>
    </w:p>
    <w:p w14:paraId="222AFB4D">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2.</w:t>
      </w:r>
      <w:r>
        <w:rPr>
          <w:rFonts w:hint="eastAsia" w:cs="宋体"/>
          <w:color w:val="auto"/>
          <w:spacing w:val="6"/>
          <w:szCs w:val="24"/>
          <w:highlight w:val="none"/>
          <w:u w:val="single"/>
        </w:rPr>
        <w:t xml:space="preserve"> （标的名称）</w:t>
      </w:r>
      <w:r>
        <w:rPr>
          <w:rFonts w:hint="eastAsia" w:cs="宋体"/>
          <w:color w:val="auto"/>
          <w:spacing w:val="6"/>
          <w:szCs w:val="24"/>
          <w:highlight w:val="none"/>
        </w:rPr>
        <w:t xml:space="preserve"> ，属于</w:t>
      </w:r>
      <w:r>
        <w:rPr>
          <w:rFonts w:hint="eastAsia" w:cs="宋体"/>
          <w:color w:val="auto"/>
          <w:spacing w:val="6"/>
          <w:szCs w:val="24"/>
          <w:highlight w:val="none"/>
          <w:u w:val="single"/>
        </w:rPr>
        <w:t xml:space="preserve"> （采购文件中明确的所属行业） </w:t>
      </w:r>
      <w:r>
        <w:rPr>
          <w:rFonts w:hint="eastAsia" w:cs="宋体"/>
          <w:color w:val="auto"/>
          <w:spacing w:val="6"/>
          <w:szCs w:val="24"/>
          <w:highlight w:val="none"/>
        </w:rPr>
        <w:t>；承接企业为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（中型企业、小型企业、微型企业）</w:t>
      </w:r>
      <w:r>
        <w:rPr>
          <w:rFonts w:hint="eastAsia" w:cs="宋体"/>
          <w:color w:val="auto"/>
          <w:spacing w:val="6"/>
          <w:szCs w:val="24"/>
          <w:highlight w:val="none"/>
        </w:rPr>
        <w:t>；</w:t>
      </w:r>
    </w:p>
    <w:p w14:paraId="39DCDC52">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w:t>
      </w:r>
    </w:p>
    <w:p w14:paraId="708F1D10">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以上企业，不属于大企业的分支机构，不存在控股股东为大企业的情形，也不存在与大企业的负责人为同一人的情形。</w:t>
      </w:r>
    </w:p>
    <w:p w14:paraId="02D6F1D3">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本企业对上述声明内容的真实性负责。如有虚假，将依法承担相应责任。</w:t>
      </w:r>
    </w:p>
    <w:p w14:paraId="1ADB2C8D">
      <w:pPr>
        <w:pageBreakBefore w:val="0"/>
        <w:kinsoku/>
        <w:overflowPunct/>
        <w:bidi w:val="0"/>
        <w:spacing w:beforeAutospacing="0" w:afterAutospacing="0" w:line="560" w:lineRule="exact"/>
        <w:ind w:left="0" w:leftChars="0" w:right="0" w:firstLine="504" w:firstLineChars="200"/>
        <w:rPr>
          <w:rFonts w:cs="宋体"/>
          <w:color w:val="auto"/>
          <w:spacing w:val="6"/>
          <w:szCs w:val="24"/>
          <w:highlight w:val="none"/>
        </w:rPr>
      </w:pPr>
    </w:p>
    <w:p w14:paraId="5A6D844B">
      <w:pPr>
        <w:pageBreakBefore w:val="0"/>
        <w:kinsoku/>
        <w:overflowPunct/>
        <w:bidi w:val="0"/>
        <w:spacing w:beforeAutospacing="0" w:afterAutospacing="0" w:line="560" w:lineRule="exact"/>
        <w:ind w:left="0" w:leftChars="0" w:right="0" w:firstLine="4788" w:firstLineChars="1900"/>
        <w:rPr>
          <w:rFonts w:cs="宋体"/>
          <w:color w:val="auto"/>
          <w:spacing w:val="6"/>
          <w:szCs w:val="24"/>
          <w:highlight w:val="none"/>
        </w:rPr>
      </w:pPr>
    </w:p>
    <w:p w14:paraId="165AEE2D">
      <w:pPr>
        <w:pageBreakBefore w:val="0"/>
        <w:kinsoku/>
        <w:overflowPunct/>
        <w:bidi w:val="0"/>
        <w:spacing w:beforeAutospacing="0" w:afterAutospacing="0" w:line="560" w:lineRule="exact"/>
        <w:ind w:left="0" w:leftChars="0" w:right="0" w:firstLine="4284" w:firstLineChars="1700"/>
        <w:rPr>
          <w:rFonts w:cs="宋体"/>
          <w:color w:val="auto"/>
          <w:spacing w:val="6"/>
          <w:szCs w:val="24"/>
          <w:highlight w:val="none"/>
        </w:rPr>
      </w:pPr>
      <w:r>
        <w:rPr>
          <w:rFonts w:hint="eastAsia" w:cs="宋体"/>
          <w:color w:val="auto"/>
          <w:spacing w:val="6"/>
          <w:szCs w:val="24"/>
          <w:highlight w:val="none"/>
          <w:lang w:val="en-US" w:eastAsia="zh-CN"/>
        </w:rPr>
        <w:t>投标人</w:t>
      </w:r>
      <w:r>
        <w:rPr>
          <w:rFonts w:hint="eastAsia" w:cs="宋体"/>
          <w:color w:val="auto"/>
          <w:spacing w:val="6"/>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宋体"/>
          <w:color w:val="auto"/>
          <w:spacing w:val="6"/>
          <w:szCs w:val="24"/>
          <w:highlight w:val="none"/>
        </w:rPr>
        <w:t>：</w:t>
      </w:r>
    </w:p>
    <w:p w14:paraId="5183E380">
      <w:pPr>
        <w:pageBreakBefore w:val="0"/>
        <w:kinsoku/>
        <w:overflowPunct/>
        <w:bidi w:val="0"/>
        <w:spacing w:beforeAutospacing="0" w:afterAutospacing="0" w:line="560" w:lineRule="exact"/>
        <w:ind w:left="0" w:leftChars="0" w:right="0" w:firstLine="4284" w:firstLineChars="1700"/>
        <w:rPr>
          <w:rFonts w:hint="default" w:eastAsia="宋体" w:cs="宋体"/>
          <w:color w:val="auto"/>
          <w:spacing w:val="6"/>
          <w:szCs w:val="24"/>
          <w:highlight w:val="none"/>
          <w:lang w:val="en-US" w:eastAsia="zh-CN"/>
        </w:rPr>
      </w:pPr>
      <w:r>
        <w:rPr>
          <w:rFonts w:hint="eastAsia" w:cs="宋体"/>
          <w:color w:val="auto"/>
          <w:spacing w:val="6"/>
          <w:szCs w:val="24"/>
          <w:highlight w:val="none"/>
        </w:rPr>
        <w:t>日期：</w:t>
      </w:r>
      <w:r>
        <w:rPr>
          <w:rFonts w:hint="eastAsia" w:cs="宋体"/>
          <w:color w:val="auto"/>
          <w:spacing w:val="6"/>
          <w:szCs w:val="24"/>
          <w:highlight w:val="none"/>
          <w:lang w:val="en-US" w:eastAsia="zh-CN"/>
        </w:rPr>
        <w:t xml:space="preserve">   年  月  日</w:t>
      </w:r>
    </w:p>
    <w:p w14:paraId="7BA8C73B">
      <w:pPr>
        <w:pageBreakBefore w:val="0"/>
        <w:kinsoku/>
        <w:overflowPunct/>
        <w:bidi w:val="0"/>
        <w:spacing w:beforeAutospacing="0" w:afterAutospacing="0" w:line="560" w:lineRule="exact"/>
        <w:ind w:left="0" w:leftChars="0" w:right="0" w:firstLine="504" w:firstLineChars="200"/>
        <w:rPr>
          <w:rFonts w:cs="宋体"/>
          <w:color w:val="auto"/>
          <w:spacing w:val="6"/>
          <w:szCs w:val="24"/>
          <w:highlight w:val="none"/>
        </w:rPr>
      </w:pPr>
    </w:p>
    <w:p w14:paraId="748B4DD4">
      <w:pPr>
        <w:pageBreakBefore w:val="0"/>
        <w:kinsoku/>
        <w:overflowPunct/>
        <w:bidi w:val="0"/>
        <w:spacing w:beforeAutospacing="0" w:afterAutospacing="0" w:line="560" w:lineRule="exact"/>
        <w:ind w:left="0" w:leftChars="0" w:right="0"/>
        <w:rPr>
          <w:rFonts w:hint="default" w:cs="宋体"/>
          <w:b/>
          <w:bCs/>
          <w:color w:val="auto"/>
          <w:spacing w:val="6"/>
          <w:sz w:val="21"/>
          <w:szCs w:val="21"/>
          <w:highlight w:val="none"/>
          <w:lang w:val="en-US" w:eastAsia="zh-CN"/>
        </w:rPr>
      </w:pPr>
      <w:r>
        <w:rPr>
          <w:rFonts w:hint="eastAsia" w:cs="宋体"/>
          <w:b/>
          <w:bCs/>
          <w:color w:val="auto"/>
          <w:spacing w:val="6"/>
          <w:sz w:val="21"/>
          <w:szCs w:val="21"/>
          <w:highlight w:val="none"/>
        </w:rPr>
        <w:t>说明：</w:t>
      </w:r>
      <w:r>
        <w:rPr>
          <w:rFonts w:hint="eastAsia" w:cs="宋体"/>
          <w:b/>
          <w:bCs/>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126DF3AF">
      <w:pPr>
        <w:pageBreakBefore w:val="0"/>
        <w:kinsoku/>
        <w:overflowPunct/>
        <w:bidi w:val="0"/>
        <w:spacing w:beforeAutospacing="0" w:afterAutospacing="0" w:line="560" w:lineRule="exact"/>
        <w:ind w:left="0" w:leftChars="0" w:right="0" w:firstLine="668" w:firstLineChars="300"/>
        <w:rPr>
          <w:rFonts w:cs="宋体"/>
          <w:color w:val="auto"/>
          <w:spacing w:val="6"/>
          <w:sz w:val="21"/>
          <w:szCs w:val="21"/>
          <w:highlight w:val="none"/>
        </w:rPr>
      </w:pPr>
      <w:r>
        <w:rPr>
          <w:rFonts w:hint="eastAsia" w:cs="宋体"/>
          <w:b/>
          <w:bCs/>
          <w:color w:val="auto"/>
          <w:spacing w:val="6"/>
          <w:sz w:val="21"/>
          <w:szCs w:val="21"/>
          <w:highlight w:val="none"/>
          <w:lang w:val="en-US" w:eastAsia="zh-CN"/>
        </w:rPr>
        <w:t>2.</w:t>
      </w:r>
      <w:r>
        <w:rPr>
          <w:rFonts w:hint="eastAsia" w:cs="宋体"/>
          <w:color w:val="auto"/>
          <w:spacing w:val="6"/>
          <w:sz w:val="21"/>
          <w:szCs w:val="21"/>
          <w:highlight w:val="none"/>
        </w:rPr>
        <w:t>从业人员、营业收入、资产总额填报上一年度数据，无上一年度数据的新成立企业可不填报。</w:t>
      </w:r>
    </w:p>
    <w:p w14:paraId="13E0A52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7EA8D88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3EF0BAE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3EAEDF6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5190A2D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default"/>
          <w:b/>
          <w:bCs/>
          <w:color w:val="auto"/>
          <w:highlight w:val="none"/>
          <w:lang w:val="en-US" w:eastAsia="zh-CN"/>
        </w:rPr>
      </w:pPr>
      <w:r>
        <w:rPr>
          <w:rFonts w:hint="eastAsia"/>
          <w:b/>
          <w:bCs/>
          <w:color w:val="auto"/>
          <w:highlight w:val="none"/>
          <w:lang w:val="en-US" w:eastAsia="zh-CN"/>
        </w:rPr>
        <w:t xml:space="preserve">附件1 </w:t>
      </w:r>
    </w:p>
    <w:p w14:paraId="5E2CB0B5">
      <w:pPr>
        <w:keepNext w:val="0"/>
        <w:keepLines w:val="0"/>
        <w:pageBreakBefore w:val="0"/>
        <w:widowControl/>
        <w:suppressLineNumbers w:val="0"/>
        <w:kinsoku/>
        <w:overflowPunct/>
        <w:bidi w:val="0"/>
        <w:spacing w:beforeAutospacing="0" w:afterAutospacing="0" w:line="560" w:lineRule="exact"/>
        <w:ind w:left="0" w:leftChars="0" w:right="0" w:firstLine="562" w:firstLineChars="200"/>
        <w:jc w:val="left"/>
        <w:rPr>
          <w:rStyle w:val="32"/>
          <w:rFonts w:hint="eastAsia" w:ascii="宋体" w:hAnsi="宋体" w:eastAsia="宋体" w:cs="宋体"/>
          <w:color w:val="auto"/>
          <w:kern w:val="0"/>
          <w:sz w:val="28"/>
          <w:szCs w:val="28"/>
          <w:highlight w:val="none"/>
          <w:lang w:val="en-US" w:eastAsia="zh-CN" w:bidi="ar"/>
        </w:rPr>
      </w:pPr>
    </w:p>
    <w:p w14:paraId="62EF0AA4">
      <w:pPr>
        <w:keepNext w:val="0"/>
        <w:keepLines w:val="0"/>
        <w:pageBreakBefore w:val="0"/>
        <w:widowControl/>
        <w:suppressLineNumbers w:val="0"/>
        <w:kinsoku/>
        <w:overflowPunct/>
        <w:bidi w:val="0"/>
        <w:spacing w:beforeAutospacing="0" w:afterAutospacing="0" w:line="560" w:lineRule="exact"/>
        <w:ind w:left="0" w:leftChars="0" w:right="0" w:firstLine="482" w:firstLineChars="200"/>
        <w:jc w:val="left"/>
        <w:rPr>
          <w:rStyle w:val="32"/>
          <w:rFonts w:hint="eastAsia" w:ascii="宋体" w:hAnsi="宋体" w:eastAsia="宋体" w:cs="宋体"/>
          <w:color w:val="auto"/>
          <w:kern w:val="0"/>
          <w:sz w:val="28"/>
          <w:szCs w:val="28"/>
          <w:highlight w:val="none"/>
          <w:lang w:val="en-US" w:eastAsia="zh-CN" w:bidi="ar"/>
        </w:rPr>
      </w:pPr>
      <w:r>
        <w:rPr>
          <w:rStyle w:val="32"/>
          <w:rFonts w:hint="eastAsia" w:ascii="宋体" w:hAnsi="宋体" w:eastAsia="宋体" w:cs="宋体"/>
          <w:color w:val="auto"/>
          <w:kern w:val="0"/>
          <w:sz w:val="24"/>
          <w:szCs w:val="24"/>
          <w:highlight w:val="none"/>
          <w:lang w:val="en-US" w:eastAsia="zh-CN" w:bidi="ar"/>
        </w:rPr>
        <w:t>（一）关于</w:t>
      </w:r>
      <w:r>
        <w:rPr>
          <w:rStyle w:val="32"/>
          <w:rFonts w:hint="eastAsia" w:cs="宋体"/>
          <w:color w:val="auto"/>
          <w:kern w:val="0"/>
          <w:sz w:val="24"/>
          <w:szCs w:val="24"/>
          <w:highlight w:val="none"/>
          <w:lang w:val="en-US" w:eastAsia="zh-CN" w:bidi="ar"/>
        </w:rPr>
        <w:t>“</w:t>
      </w:r>
      <w:r>
        <w:rPr>
          <w:rStyle w:val="32"/>
          <w:rFonts w:hint="eastAsia" w:ascii="宋体" w:hAnsi="宋体" w:eastAsia="宋体" w:cs="宋体"/>
          <w:color w:val="auto"/>
          <w:kern w:val="0"/>
          <w:sz w:val="24"/>
          <w:szCs w:val="24"/>
          <w:highlight w:val="none"/>
          <w:lang w:val="en-US" w:eastAsia="zh-CN" w:bidi="ar"/>
        </w:rPr>
        <w:t>中小企业声明函</w:t>
      </w:r>
      <w:r>
        <w:rPr>
          <w:rStyle w:val="32"/>
          <w:rFonts w:hint="eastAsia" w:cs="宋体"/>
          <w:color w:val="auto"/>
          <w:kern w:val="0"/>
          <w:sz w:val="24"/>
          <w:szCs w:val="24"/>
          <w:highlight w:val="none"/>
          <w:lang w:val="en-US" w:eastAsia="zh-CN" w:bidi="ar"/>
        </w:rPr>
        <w:t>”</w:t>
      </w:r>
      <w:r>
        <w:rPr>
          <w:rStyle w:val="32"/>
          <w:rFonts w:hint="eastAsia" w:ascii="宋体" w:hAnsi="宋体" w:eastAsia="宋体" w:cs="宋体"/>
          <w:color w:val="auto"/>
          <w:kern w:val="0"/>
          <w:sz w:val="24"/>
          <w:szCs w:val="24"/>
          <w:highlight w:val="none"/>
          <w:lang w:val="en-US" w:eastAsia="zh-CN" w:bidi="ar"/>
        </w:rPr>
        <w:t>的填写要求</w:t>
      </w:r>
    </w:p>
    <w:p w14:paraId="6BC4DFB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具体填写要求如下：</w:t>
      </w:r>
    </w:p>
    <w:p w14:paraId="414BDEE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1.“单位名称”应填写采购人名称。</w:t>
      </w:r>
    </w:p>
    <w:p w14:paraId="3C11145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02B61C1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29C8232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634D661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3941B3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3C9C37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5.“企业名称”应填写投标（响应）的货物制造商/服务承接商/工程承建商（根据项目属性确定）。</w:t>
      </w:r>
    </w:p>
    <w:p w14:paraId="1A04AFA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67D0083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47482C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417BBF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3DD53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7BA9439A">
      <w:pPr>
        <w:keepNext w:val="0"/>
        <w:keepLines w:val="0"/>
        <w:pageBreakBefore w:val="0"/>
        <w:widowControl/>
        <w:suppressLineNumbers w:val="0"/>
        <w:kinsoku/>
        <w:overflowPunct/>
        <w:bidi w:val="0"/>
        <w:spacing w:beforeAutospacing="0" w:afterAutospacing="0" w:line="560" w:lineRule="exact"/>
        <w:ind w:left="0" w:leftChars="0" w:right="0" w:firstLine="482" w:firstLineChars="200"/>
        <w:jc w:val="left"/>
        <w:rPr>
          <w:rStyle w:val="32"/>
          <w:rFonts w:hint="eastAsia" w:ascii="宋体" w:hAnsi="宋体" w:eastAsia="宋体" w:cs="宋体"/>
          <w:color w:val="auto"/>
          <w:kern w:val="0"/>
          <w:sz w:val="24"/>
          <w:szCs w:val="24"/>
          <w:highlight w:val="none"/>
          <w:lang w:val="en-US" w:eastAsia="zh-CN" w:bidi="ar"/>
        </w:rPr>
      </w:pPr>
      <w:r>
        <w:rPr>
          <w:rStyle w:val="32"/>
          <w:rFonts w:hint="eastAsia" w:ascii="宋体" w:hAnsi="宋体" w:eastAsia="宋体" w:cs="宋体"/>
          <w:color w:val="auto"/>
          <w:kern w:val="0"/>
          <w:sz w:val="24"/>
          <w:szCs w:val="24"/>
          <w:highlight w:val="none"/>
          <w:lang w:val="en-US" w:eastAsia="zh-CN" w:bidi="ar"/>
        </w:rPr>
        <w:t>（二）关于“中小企业声明函”的提交要求</w:t>
      </w:r>
    </w:p>
    <w:p w14:paraId="5F29A0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1.投标（响应）供应商对</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w:t>
      </w:r>
    </w:p>
    <w:p w14:paraId="49FFD3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15483C2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3.如供应商提供的</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E224C04">
      <w:pPr>
        <w:pageBreakBefore w:val="0"/>
        <w:kinsoku/>
        <w:overflowPunct/>
        <w:bidi w:val="0"/>
        <w:spacing w:beforeAutospacing="0" w:afterAutospacing="0" w:line="560" w:lineRule="exact"/>
        <w:ind w:left="0" w:leftChars="0" w:right="0"/>
        <w:rPr>
          <w:rFonts w:cs="宋体"/>
          <w:color w:val="auto"/>
          <w:spacing w:val="6"/>
          <w:sz w:val="21"/>
          <w:szCs w:val="21"/>
          <w:highlight w:val="none"/>
        </w:rPr>
      </w:pPr>
    </w:p>
    <w:p w14:paraId="65334532">
      <w:pPr>
        <w:pStyle w:val="13"/>
        <w:rPr>
          <w:rFonts w:cs="宋体"/>
          <w:color w:val="auto"/>
          <w:spacing w:val="6"/>
          <w:sz w:val="21"/>
          <w:szCs w:val="21"/>
          <w:highlight w:val="none"/>
        </w:rPr>
      </w:pPr>
    </w:p>
    <w:p w14:paraId="25199F61">
      <w:pPr>
        <w:rPr>
          <w:rFonts w:cs="宋体"/>
          <w:color w:val="auto"/>
          <w:spacing w:val="6"/>
          <w:sz w:val="21"/>
          <w:szCs w:val="21"/>
          <w:highlight w:val="none"/>
        </w:rPr>
      </w:pPr>
    </w:p>
    <w:p w14:paraId="66F6BF10">
      <w:pPr>
        <w:pStyle w:val="13"/>
        <w:rPr>
          <w:rFonts w:cs="宋体"/>
          <w:color w:val="auto"/>
          <w:spacing w:val="6"/>
          <w:sz w:val="21"/>
          <w:szCs w:val="21"/>
          <w:highlight w:val="none"/>
        </w:rPr>
      </w:pPr>
    </w:p>
    <w:p w14:paraId="36998557">
      <w:pPr>
        <w:rPr>
          <w:rFonts w:cs="宋体"/>
          <w:color w:val="auto"/>
          <w:spacing w:val="6"/>
          <w:sz w:val="21"/>
          <w:szCs w:val="21"/>
          <w:highlight w:val="none"/>
        </w:rPr>
      </w:pPr>
    </w:p>
    <w:p w14:paraId="642DC20E">
      <w:pPr>
        <w:pStyle w:val="13"/>
        <w:rPr>
          <w:rFonts w:cs="宋体"/>
          <w:color w:val="auto"/>
          <w:spacing w:val="6"/>
          <w:sz w:val="21"/>
          <w:szCs w:val="21"/>
          <w:highlight w:val="none"/>
        </w:rPr>
      </w:pPr>
    </w:p>
    <w:p w14:paraId="42053123">
      <w:pPr>
        <w:rPr>
          <w:rFonts w:cs="宋体"/>
          <w:color w:val="auto"/>
          <w:spacing w:val="6"/>
          <w:sz w:val="21"/>
          <w:szCs w:val="21"/>
          <w:highlight w:val="none"/>
        </w:rPr>
      </w:pPr>
    </w:p>
    <w:p w14:paraId="79DACF71">
      <w:pPr>
        <w:pStyle w:val="13"/>
      </w:pPr>
    </w:p>
    <w:p w14:paraId="6B42F924">
      <w:pPr>
        <w:pageBreakBefore w:val="0"/>
        <w:kinsoku/>
        <w:overflowPunct/>
        <w:bidi w:val="0"/>
        <w:spacing w:beforeAutospacing="0" w:afterAutospacing="0" w:line="560" w:lineRule="exact"/>
        <w:ind w:left="0" w:leftChars="0" w:right="0"/>
        <w:rPr>
          <w:rFonts w:cs="宋体"/>
          <w:color w:val="auto"/>
          <w:spacing w:val="6"/>
          <w:sz w:val="21"/>
          <w:szCs w:val="21"/>
          <w:highlight w:val="none"/>
        </w:rPr>
      </w:pPr>
    </w:p>
    <w:p w14:paraId="511B2BB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eastAsia="宋体"/>
          <w:b/>
          <w:bCs/>
          <w:color w:val="auto"/>
          <w:highlight w:val="none"/>
          <w:lang w:val="en-US" w:eastAsia="zh-CN"/>
        </w:rPr>
      </w:pPr>
      <w:r>
        <w:rPr>
          <w:rFonts w:hint="eastAsia"/>
          <w:b/>
          <w:bCs/>
          <w:color w:val="auto"/>
          <w:highlight w:val="none"/>
          <w:lang w:val="en-US" w:eastAsia="zh-CN"/>
        </w:rPr>
        <w:t>附件2：</w:t>
      </w:r>
    </w:p>
    <w:p w14:paraId="639A9CC2">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关于印发中小企业划型标准规定的通知</w:t>
      </w:r>
    </w:p>
    <w:p w14:paraId="2592204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工信部联企业〔2011〕300号</w:t>
      </w:r>
    </w:p>
    <w:p w14:paraId="0E959BE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Style w:val="32"/>
          <w:rFonts w:hint="eastAsia" w:ascii="宋体" w:hAnsi="宋体" w:eastAsia="宋体" w:cs="宋体"/>
          <w:b w:val="0"/>
          <w:color w:val="auto"/>
          <w:sz w:val="24"/>
          <w:szCs w:val="24"/>
          <w:highlight w:val="none"/>
        </w:rPr>
      </w:pPr>
    </w:p>
    <w:p w14:paraId="289C59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各省、自治区、直辖市人民政府，国务院各部委、各直属机构及有关单位：</w:t>
      </w:r>
    </w:p>
    <w:p w14:paraId="11AACCD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9C3063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right"/>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工业和信息化部　国家统计局</w:t>
      </w:r>
    </w:p>
    <w:p w14:paraId="5C55A29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right"/>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国家发展和改革委员会　财政部</w:t>
      </w:r>
    </w:p>
    <w:p w14:paraId="6F52758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right"/>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二○一一年六月十八日</w:t>
      </w:r>
    </w:p>
    <w:p w14:paraId="75F0B3C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xml:space="preserve"> </w:t>
      </w:r>
    </w:p>
    <w:p w14:paraId="3E2FDB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Style w:val="32"/>
          <w:rFonts w:hint="eastAsia" w:ascii="宋体" w:hAnsi="宋体" w:eastAsia="宋体" w:cs="宋体"/>
          <w:b/>
          <w:bCs w:val="0"/>
          <w:color w:val="auto"/>
          <w:sz w:val="28"/>
          <w:szCs w:val="28"/>
          <w:highlight w:val="none"/>
        </w:rPr>
      </w:pPr>
      <w:r>
        <w:rPr>
          <w:rStyle w:val="32"/>
          <w:rFonts w:hint="eastAsia" w:ascii="宋体" w:hAnsi="宋体" w:eastAsia="宋体" w:cs="宋体"/>
          <w:b/>
          <w:bCs w:val="0"/>
          <w:color w:val="auto"/>
          <w:sz w:val="28"/>
          <w:szCs w:val="28"/>
          <w:highlight w:val="none"/>
        </w:rPr>
        <w:t>中小企业划型标准规定</w:t>
      </w:r>
    </w:p>
    <w:p w14:paraId="7440C46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一、根据《中华人民共和国中小企业促进法》和《国务院关于进一步促进中小企业发展的若干意见》(国发〔2009〕36号)，制定本规定。</w:t>
      </w:r>
    </w:p>
    <w:p w14:paraId="507AD26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二、中小企业划分为中型、小型、微型三种类型，具体标准根据企业从业人员、营业收入、资产总额等指标，结合行业特点制定。</w:t>
      </w:r>
    </w:p>
    <w:p w14:paraId="58A3961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AE9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四、各行业划型标准为：</w:t>
      </w:r>
    </w:p>
    <w:p w14:paraId="6B4E2D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79E2F5A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A582A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21D138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7EB3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FEB118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514A6D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EFCEC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4D3E4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46272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7CBAA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10AAA9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EC394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1121D1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AB871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08813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509B953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五、企业类型的划分以统计部门的统计数据为依据。</w:t>
      </w:r>
    </w:p>
    <w:p w14:paraId="77228C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六、本规定适用于在中华人民共和国境内依法设立的各类所有制和各种组织形式的企业。个体工商户和本规定以外的行业，参照本规定进行划型。</w:t>
      </w:r>
    </w:p>
    <w:p w14:paraId="5F4BB8E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450AEC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八、本规定由工业和信息化部、国家统计局会同有关部门根据《国民经济行业分类》修订情况和企业发展变化情况适时修订。</w:t>
      </w:r>
    </w:p>
    <w:p w14:paraId="69D789A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九、本规定由工业和信息化部、国家统计局会同有关部门负责解释。</w:t>
      </w:r>
    </w:p>
    <w:p w14:paraId="4299A03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十、本规定自发布之日起执行，原国家经贸委、原国家计委、财政部和国家统计局2003年颁布的《中小企业标准暂行规定》同时废止。</w:t>
      </w:r>
    </w:p>
    <w:p w14:paraId="5BCE9D64">
      <w:pPr>
        <w:pageBreakBefore w:val="0"/>
        <w:kinsoku/>
        <w:overflowPunct/>
        <w:bidi w:val="0"/>
        <w:spacing w:beforeAutospacing="0" w:afterAutospacing="0" w:line="560" w:lineRule="exact"/>
        <w:ind w:left="0" w:leftChars="0" w:right="0"/>
        <w:rPr>
          <w:rFonts w:cs="宋体"/>
          <w:color w:val="auto"/>
          <w:spacing w:val="6"/>
          <w:sz w:val="21"/>
          <w:szCs w:val="21"/>
          <w:highlight w:val="none"/>
        </w:rPr>
      </w:pPr>
      <w:r>
        <w:rPr>
          <w:rFonts w:cs="宋体"/>
          <w:color w:val="auto"/>
          <w:spacing w:val="6"/>
          <w:sz w:val="21"/>
          <w:szCs w:val="21"/>
          <w:highlight w:val="none"/>
        </w:rPr>
        <w:br w:type="page"/>
      </w:r>
    </w:p>
    <w:p w14:paraId="6BF97866">
      <w:pPr>
        <w:pageBreakBefore w:val="0"/>
        <w:kinsoku/>
        <w:overflowPunct/>
        <w:bidi w:val="0"/>
        <w:spacing w:beforeAutospacing="0" w:afterAutospacing="0" w:line="560" w:lineRule="exact"/>
        <w:ind w:left="0" w:leftChars="0" w:right="0"/>
        <w:rPr>
          <w:rFonts w:cs="宋体"/>
          <w:color w:val="auto"/>
          <w:spacing w:val="6"/>
          <w:sz w:val="21"/>
          <w:szCs w:val="21"/>
          <w:highlight w:val="none"/>
        </w:rPr>
      </w:pPr>
      <w:bookmarkStart w:id="777" w:name="_Toc163492940"/>
    </w:p>
    <w:p w14:paraId="07DD596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eastAsia="宋体"/>
          <w:b/>
          <w:bCs/>
          <w:color w:val="auto"/>
          <w:highlight w:val="none"/>
          <w:lang w:val="en-US" w:eastAsia="zh-CN"/>
        </w:rPr>
      </w:pPr>
      <w:r>
        <w:rPr>
          <w:rFonts w:hint="eastAsia"/>
          <w:b/>
          <w:bCs/>
          <w:color w:val="auto"/>
          <w:highlight w:val="none"/>
          <w:lang w:val="en-US" w:eastAsia="zh-CN"/>
        </w:rPr>
        <w:t>附件3：</w:t>
      </w:r>
    </w:p>
    <w:p w14:paraId="754A877D">
      <w:pPr>
        <w:pageBreakBefore w:val="0"/>
        <w:kinsoku/>
        <w:overflowPunct/>
        <w:bidi w:val="0"/>
        <w:spacing w:beforeAutospacing="0" w:afterAutospacing="0" w:line="560" w:lineRule="exact"/>
        <w:ind w:left="0" w:leftChars="0" w:right="0"/>
        <w:rPr>
          <w:rFonts w:hint="eastAsia" w:cs="宋体"/>
          <w:color w:val="auto"/>
          <w:spacing w:val="6"/>
          <w:sz w:val="21"/>
          <w:szCs w:val="21"/>
          <w:highlight w:val="none"/>
        </w:rPr>
      </w:pPr>
    </w:p>
    <w:p w14:paraId="36D4DB1B">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关于印发《金融业企业划型标准规定》的通知</w:t>
      </w:r>
    </w:p>
    <w:p w14:paraId="46F847F3">
      <w:pPr>
        <w:pageBreakBefore w:val="0"/>
        <w:kinsoku/>
        <w:overflowPunct/>
        <w:bidi w:val="0"/>
        <w:spacing w:beforeAutospacing="0" w:afterAutospacing="0" w:line="560" w:lineRule="exact"/>
        <w:ind w:left="0" w:leftChars="0" w:right="0"/>
        <w:jc w:val="center"/>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银发〔2015〕309号</w:t>
      </w:r>
    </w:p>
    <w:p w14:paraId="6EBA1AE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12B6BFC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53F6A9E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p>
    <w:p w14:paraId="5AE5F47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附件：金融业企业划型标准规定</w:t>
      </w:r>
    </w:p>
    <w:p w14:paraId="575D4BF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Fonts w:hint="eastAsia" w:cs="宋体"/>
          <w:color w:val="auto"/>
          <w:spacing w:val="6"/>
          <w:sz w:val="24"/>
          <w:szCs w:val="24"/>
          <w:highlight w:val="none"/>
        </w:rPr>
        <w:t>                                      </w:t>
      </w:r>
      <w:r>
        <w:rPr>
          <w:rStyle w:val="32"/>
          <w:rFonts w:hint="eastAsia" w:ascii="宋体" w:hAnsi="宋体" w:eastAsia="宋体" w:cs="宋体"/>
          <w:b w:val="0"/>
          <w:bCs w:val="0"/>
          <w:color w:val="auto"/>
          <w:sz w:val="24"/>
          <w:szCs w:val="24"/>
          <w:highlight w:val="none"/>
        </w:rPr>
        <w:t>       </w:t>
      </w:r>
      <w:r>
        <w:rPr>
          <w:rStyle w:val="32"/>
          <w:rFonts w:hint="eastAsia" w:cs="宋体"/>
          <w:b w:val="0"/>
          <w:bCs w:val="0"/>
          <w:color w:val="auto"/>
          <w:sz w:val="24"/>
          <w:szCs w:val="24"/>
          <w:highlight w:val="none"/>
          <w:lang w:val="en-US" w:eastAsia="zh-CN"/>
        </w:rPr>
        <w:t xml:space="preserve">                            </w:t>
      </w:r>
      <w:r>
        <w:rPr>
          <w:rStyle w:val="32"/>
          <w:rFonts w:hint="eastAsia" w:ascii="宋体" w:hAnsi="宋体" w:eastAsia="宋体" w:cs="宋体"/>
          <w:b w:val="0"/>
          <w:bCs w:val="0"/>
          <w:color w:val="auto"/>
          <w:sz w:val="24"/>
          <w:szCs w:val="24"/>
          <w:highlight w:val="none"/>
        </w:rPr>
        <w:t>中国人民银行</w:t>
      </w:r>
    </w:p>
    <w:p w14:paraId="0E162F0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0" w:firstLineChars="10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中国银行业监督管理委员会</w:t>
      </w:r>
    </w:p>
    <w:p w14:paraId="644A82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0" w:firstLineChars="10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中国证券监督管理委员会</w:t>
      </w:r>
    </w:p>
    <w:p w14:paraId="13427FE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0" w:firstLineChars="10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中国保险监督管理委员会</w:t>
      </w:r>
    </w:p>
    <w:p w14:paraId="189E390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160" w:firstLineChars="9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中华人民共和国国家统计局</w:t>
      </w:r>
    </w:p>
    <w:p w14:paraId="10A8E63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cs="宋体"/>
          <w:color w:val="auto"/>
          <w:spacing w:val="6"/>
          <w:sz w:val="21"/>
          <w:szCs w:val="21"/>
          <w:highlight w:val="none"/>
          <w:lang w:val="en-US" w:eastAsia="zh-CN"/>
        </w:rPr>
      </w:pPr>
      <w:r>
        <w:rPr>
          <w:rStyle w:val="32"/>
          <w:rFonts w:hint="eastAsia" w:ascii="宋体" w:hAnsi="宋体" w:eastAsia="宋体" w:cs="宋体"/>
          <w:b w:val="0"/>
          <w:bCs w:val="0"/>
          <w:color w:val="auto"/>
          <w:sz w:val="24"/>
          <w:szCs w:val="24"/>
          <w:highlight w:val="none"/>
        </w:rPr>
        <w:t>                                                     </w:t>
      </w:r>
      <w:r>
        <w:rPr>
          <w:rStyle w:val="32"/>
          <w:rFonts w:hint="eastAsia" w:cs="宋体"/>
          <w:b w:val="0"/>
          <w:bCs w:val="0"/>
          <w:color w:val="auto"/>
          <w:sz w:val="24"/>
          <w:szCs w:val="24"/>
          <w:highlight w:val="none"/>
          <w:lang w:val="en-US" w:eastAsia="zh-CN"/>
        </w:rPr>
        <w:t xml:space="preserve">     </w:t>
      </w:r>
      <w:r>
        <w:rPr>
          <w:rStyle w:val="32"/>
          <w:rFonts w:hint="eastAsia" w:ascii="宋体" w:hAnsi="宋体" w:eastAsia="宋体" w:cs="宋体"/>
          <w:b w:val="0"/>
          <w:bCs w:val="0"/>
          <w:color w:val="auto"/>
          <w:sz w:val="24"/>
          <w:szCs w:val="24"/>
          <w:highlight w:val="none"/>
        </w:rPr>
        <w:t> 2015年9月28日</w:t>
      </w:r>
    </w:p>
    <w:p w14:paraId="422FF70F">
      <w:pPr>
        <w:pageBreakBefore w:val="0"/>
        <w:kinsoku/>
        <w:overflowPunct/>
        <w:bidi w:val="0"/>
        <w:spacing w:beforeAutospacing="0" w:afterAutospacing="0" w:line="560" w:lineRule="exact"/>
        <w:ind w:left="0" w:leftChars="0" w:right="0"/>
        <w:rPr>
          <w:rFonts w:hint="eastAsia" w:cs="宋体"/>
          <w:color w:val="auto"/>
          <w:spacing w:val="6"/>
          <w:sz w:val="21"/>
          <w:szCs w:val="21"/>
          <w:highlight w:val="none"/>
        </w:rPr>
      </w:pPr>
      <w:r>
        <w:rPr>
          <w:rFonts w:hint="eastAsia" w:cs="宋体"/>
          <w:color w:val="auto"/>
          <w:spacing w:val="6"/>
          <w:sz w:val="21"/>
          <w:szCs w:val="21"/>
          <w:highlight w:val="none"/>
          <w:lang w:val="en-US" w:eastAsia="zh-CN"/>
        </w:rPr>
        <w:t>附件</w:t>
      </w:r>
      <w:r>
        <w:rPr>
          <w:rFonts w:hint="eastAsia" w:cs="宋体"/>
          <w:color w:val="auto"/>
          <w:spacing w:val="6"/>
          <w:sz w:val="21"/>
          <w:szCs w:val="21"/>
          <w:highlight w:val="none"/>
        </w:rPr>
        <w:t>              </w:t>
      </w:r>
    </w:p>
    <w:p w14:paraId="3E48D324">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金融业企业划型标准规定</w:t>
      </w:r>
    </w:p>
    <w:p w14:paraId="5AB18E4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D87CEE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二、适用范围。本规定适用于从事《国民经济行业分类》（GB/T4754-2011）中J门类（金融业）活动的企业。</w:t>
      </w:r>
    </w:p>
    <w:p w14:paraId="405839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99C178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7793BE6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五、指标标准值。依据指标标准值，将各类金融业企业划分为大、中、小、微四个规模类型，中型企业标准上限及以上的为大型企业。</w:t>
      </w:r>
    </w:p>
    <w:p w14:paraId="520E443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3C947BA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6D9795B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76FAEF4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09CAA27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1C3C005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158B91F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78FD5B1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2"/>
          <w:rFonts w:hint="eastAsia" w:cs="宋体"/>
          <w:b w:val="0"/>
          <w:bCs w:val="0"/>
          <w:color w:val="auto"/>
          <w:sz w:val="24"/>
          <w:szCs w:val="24"/>
          <w:highlight w:val="none"/>
          <w:lang w:eastAsia="zh-CN"/>
        </w:rPr>
        <w:t>。</w:t>
      </w:r>
    </w:p>
    <w:p w14:paraId="064C9A6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2"/>
          <w:rFonts w:hint="eastAsia" w:cs="宋体"/>
          <w:b w:val="0"/>
          <w:bCs w:val="0"/>
          <w:color w:val="auto"/>
          <w:sz w:val="24"/>
          <w:szCs w:val="24"/>
          <w:highlight w:val="none"/>
          <w:lang w:eastAsia="zh-CN"/>
        </w:rPr>
        <w:t>，</w:t>
      </w:r>
      <w:r>
        <w:rPr>
          <w:rStyle w:val="32"/>
          <w:rFonts w:hint="eastAsia" w:ascii="宋体" w:hAnsi="宋体" w:eastAsia="宋体" w:cs="宋体"/>
          <w:b w:val="0"/>
          <w:bCs w:val="0"/>
          <w:color w:val="auto"/>
          <w:sz w:val="24"/>
          <w:szCs w:val="24"/>
          <w:highlight w:val="none"/>
        </w:rPr>
        <w:t>方便政府部门和社会各界查询使用。</w:t>
      </w:r>
    </w:p>
    <w:p w14:paraId="2C50E64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七、标准值的评估和调整。金融业企业划型标准工作组每五年对划型标准值受经济发展与通货膨胀等因素的影响程度进行评估和调整。</w:t>
      </w:r>
    </w:p>
    <w:p w14:paraId="350BE40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2"/>
          <w:rFonts w:hint="eastAsia" w:cs="宋体"/>
          <w:b w:val="0"/>
          <w:bCs w:val="0"/>
          <w:color w:val="auto"/>
          <w:sz w:val="24"/>
          <w:szCs w:val="24"/>
          <w:highlight w:val="none"/>
          <w:lang w:eastAsia="zh-CN"/>
        </w:rPr>
        <w:t>。</w:t>
      </w:r>
    </w:p>
    <w:p w14:paraId="61D82EC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九、融资担保公司参照本规定中“除贷款公司、小额贷款公司、典当行以外的其他金融机构”标准划型</w:t>
      </w:r>
      <w:r>
        <w:rPr>
          <w:rStyle w:val="32"/>
          <w:rFonts w:hint="eastAsia" w:cs="宋体"/>
          <w:b w:val="0"/>
          <w:bCs w:val="0"/>
          <w:color w:val="auto"/>
          <w:sz w:val="24"/>
          <w:szCs w:val="24"/>
          <w:highlight w:val="none"/>
          <w:lang w:eastAsia="zh-CN"/>
        </w:rPr>
        <w:t>。</w:t>
      </w:r>
    </w:p>
    <w:p w14:paraId="63FF348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十、本规定由人民银行会同银监会、证监会、保监会和统计局负责解释。</w:t>
      </w:r>
    </w:p>
    <w:p w14:paraId="0114765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十一、本规定自发布之日起实施</w:t>
      </w:r>
      <w:r>
        <w:rPr>
          <w:rStyle w:val="32"/>
          <w:rFonts w:hint="eastAsia" w:cs="宋体"/>
          <w:b w:val="0"/>
          <w:bCs w:val="0"/>
          <w:color w:val="auto"/>
          <w:sz w:val="24"/>
          <w:szCs w:val="24"/>
          <w:highlight w:val="none"/>
          <w:lang w:eastAsia="zh-CN"/>
        </w:rPr>
        <w:t>。</w:t>
      </w:r>
    </w:p>
    <w:p w14:paraId="74D817B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p>
    <w:p w14:paraId="4033EFE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附:金融业企业划型标准</w:t>
      </w:r>
    </w:p>
    <w:p w14:paraId="4CB94869">
      <w:pPr>
        <w:pageBreakBefore w:val="0"/>
        <w:kinsoku/>
        <w:overflowPunct/>
        <w:bidi w:val="0"/>
        <w:spacing w:beforeAutospacing="0" w:afterAutospacing="0" w:line="560" w:lineRule="exact"/>
        <w:ind w:left="0" w:leftChars="0" w:right="0"/>
        <w:rPr>
          <w:rFonts w:cs="宋体"/>
          <w:color w:val="auto"/>
          <w:spacing w:val="6"/>
          <w:sz w:val="21"/>
          <w:szCs w:val="21"/>
          <w:highlight w:val="none"/>
        </w:rPr>
      </w:pPr>
    </w:p>
    <w:p w14:paraId="018058A8">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5023B69E">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5F7D4B83">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20B74F82">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020C8028">
      <w:pPr>
        <w:pStyle w:val="13"/>
        <w:rPr>
          <w:rFonts w:hint="eastAsia" w:cs="宋体"/>
          <w:color w:val="auto"/>
          <w:spacing w:val="6"/>
          <w:sz w:val="24"/>
          <w:szCs w:val="24"/>
          <w:highlight w:val="none"/>
          <w:lang w:val="en-US" w:eastAsia="zh-CN"/>
        </w:rPr>
      </w:pPr>
    </w:p>
    <w:p w14:paraId="08AFB792">
      <w:pPr>
        <w:rPr>
          <w:rFonts w:hint="eastAsia" w:cs="宋体"/>
          <w:color w:val="auto"/>
          <w:spacing w:val="6"/>
          <w:sz w:val="24"/>
          <w:szCs w:val="24"/>
          <w:highlight w:val="none"/>
          <w:lang w:val="en-US" w:eastAsia="zh-CN"/>
        </w:rPr>
      </w:pPr>
    </w:p>
    <w:p w14:paraId="51821CDD">
      <w:pPr>
        <w:pStyle w:val="13"/>
        <w:rPr>
          <w:rFonts w:hint="eastAsia" w:cs="宋体"/>
          <w:color w:val="auto"/>
          <w:spacing w:val="6"/>
          <w:sz w:val="24"/>
          <w:szCs w:val="24"/>
          <w:highlight w:val="none"/>
          <w:lang w:val="en-US" w:eastAsia="zh-CN"/>
        </w:rPr>
      </w:pPr>
    </w:p>
    <w:p w14:paraId="7929C537">
      <w:pPr>
        <w:rPr>
          <w:rFonts w:hint="eastAsia" w:cs="宋体"/>
          <w:color w:val="auto"/>
          <w:spacing w:val="6"/>
          <w:sz w:val="24"/>
          <w:szCs w:val="24"/>
          <w:highlight w:val="none"/>
          <w:lang w:val="en-US" w:eastAsia="zh-CN"/>
        </w:rPr>
      </w:pPr>
    </w:p>
    <w:p w14:paraId="737D4DEB">
      <w:pPr>
        <w:pStyle w:val="13"/>
        <w:rPr>
          <w:rFonts w:hint="eastAsia" w:cs="宋体"/>
          <w:color w:val="auto"/>
          <w:spacing w:val="6"/>
          <w:sz w:val="24"/>
          <w:szCs w:val="24"/>
          <w:highlight w:val="none"/>
          <w:lang w:val="en-US" w:eastAsia="zh-CN"/>
        </w:rPr>
      </w:pPr>
    </w:p>
    <w:p w14:paraId="6A7FED6D">
      <w:pPr>
        <w:rPr>
          <w:rFonts w:hint="eastAsia"/>
          <w:lang w:val="en-US" w:eastAsia="zh-CN"/>
        </w:rPr>
      </w:pPr>
    </w:p>
    <w:p w14:paraId="568CB75F">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46228B00">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70123D58">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r>
        <w:rPr>
          <w:rFonts w:hint="eastAsia" w:cs="宋体"/>
          <w:color w:val="auto"/>
          <w:spacing w:val="6"/>
          <w:sz w:val="24"/>
          <w:szCs w:val="24"/>
          <w:highlight w:val="none"/>
          <w:lang w:val="en-US" w:eastAsia="zh-CN"/>
        </w:rPr>
        <w:t>附</w:t>
      </w:r>
    </w:p>
    <w:p w14:paraId="7EB97DB1">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w:t>
      </w:r>
    </w:p>
    <w:tbl>
      <w:tblPr>
        <w:tblStyle w:val="30"/>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1168"/>
        <w:gridCol w:w="1817"/>
        <w:gridCol w:w="1143"/>
        <w:gridCol w:w="3251"/>
      </w:tblGrid>
      <w:tr w14:paraId="26CBC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25F9841A">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行业</w:t>
            </w:r>
          </w:p>
        </w:tc>
        <w:tc>
          <w:tcPr>
            <w:tcW w:w="1817" w:type="dxa"/>
            <w:vAlign w:val="center"/>
          </w:tcPr>
          <w:p w14:paraId="3B4008BC">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类别</w:t>
            </w:r>
          </w:p>
        </w:tc>
        <w:tc>
          <w:tcPr>
            <w:tcW w:w="1143" w:type="dxa"/>
            <w:vAlign w:val="center"/>
          </w:tcPr>
          <w:p w14:paraId="199F0882">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类型</w:t>
            </w:r>
          </w:p>
        </w:tc>
        <w:tc>
          <w:tcPr>
            <w:tcW w:w="3251" w:type="dxa"/>
            <w:vAlign w:val="center"/>
          </w:tcPr>
          <w:p w14:paraId="715E5C3B">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资产总额</w:t>
            </w:r>
          </w:p>
        </w:tc>
      </w:tr>
      <w:tr w14:paraId="471A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1233504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货币金融服务</w:t>
            </w:r>
          </w:p>
        </w:tc>
        <w:tc>
          <w:tcPr>
            <w:tcW w:w="1168" w:type="dxa"/>
            <w:vMerge w:val="restart"/>
            <w:vAlign w:val="center"/>
          </w:tcPr>
          <w:p w14:paraId="4350DE8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货币银行服务</w:t>
            </w:r>
          </w:p>
        </w:tc>
        <w:tc>
          <w:tcPr>
            <w:tcW w:w="1817" w:type="dxa"/>
            <w:vMerge w:val="restart"/>
            <w:vAlign w:val="center"/>
          </w:tcPr>
          <w:p w14:paraId="6D5CDA8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银行业存款类金融机构</w:t>
            </w:r>
          </w:p>
        </w:tc>
        <w:tc>
          <w:tcPr>
            <w:tcW w:w="1143" w:type="dxa"/>
            <w:vAlign w:val="center"/>
          </w:tcPr>
          <w:p w14:paraId="18DA8CED">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中型</w:t>
            </w:r>
          </w:p>
        </w:tc>
        <w:tc>
          <w:tcPr>
            <w:tcW w:w="3251" w:type="dxa"/>
            <w:vAlign w:val="center"/>
          </w:tcPr>
          <w:p w14:paraId="6553EDD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7DDCE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5D803A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5CFC2B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392AD96A">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vAlign w:val="center"/>
          </w:tcPr>
          <w:p w14:paraId="146F43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C955763">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738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44DEC4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47E3A4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43C1290">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vAlign w:val="center"/>
          </w:tcPr>
          <w:p w14:paraId="0A8569B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29C9E0F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rPr>
            </w:pPr>
            <w:r>
              <w:rPr>
                <w:rFonts w:hint="eastAsia" w:ascii="宋体" w:hAnsi="宋体" w:eastAsia="宋体" w:cs="宋体"/>
                <w:color w:val="auto"/>
                <w:spacing w:val="6"/>
                <w:sz w:val="21"/>
                <w:szCs w:val="21"/>
                <w:highlight w:val="none"/>
                <w:vertAlign w:val="baseline"/>
                <w:lang w:val="en-US" w:eastAsia="zh-CN"/>
              </w:rPr>
              <w:t>50亿元以下</w:t>
            </w:r>
          </w:p>
        </w:tc>
      </w:tr>
      <w:tr w14:paraId="1C1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2A12E1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56574B6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非货币银行服务</w:t>
            </w:r>
          </w:p>
        </w:tc>
        <w:tc>
          <w:tcPr>
            <w:tcW w:w="1817" w:type="dxa"/>
            <w:vMerge w:val="restart"/>
            <w:vAlign w:val="center"/>
          </w:tcPr>
          <w:p w14:paraId="7DD2F497">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46609FB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8F5BE5">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29DE0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0CFE49B">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EF9025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CC015F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0699B1D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56E78EC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0CA5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EE674B4">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17EDCC4">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DEB5E2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4E9D4A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00D701C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50亿元以下</w:t>
            </w:r>
          </w:p>
        </w:tc>
      </w:tr>
      <w:tr w14:paraId="4B534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D041F7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95688A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restart"/>
            <w:vAlign w:val="center"/>
          </w:tcPr>
          <w:p w14:paraId="2420EBE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05DE84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07BBC2E">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9E6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180FDC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078270CB">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0CBA769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EA1A43D">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220FC05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7A6B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C9F23C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693061F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41FB1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76913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03E9BD7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10E7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3A884F55">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资本市场服务</w:t>
            </w:r>
          </w:p>
        </w:tc>
        <w:tc>
          <w:tcPr>
            <w:tcW w:w="1817" w:type="dxa"/>
            <w:vMerge w:val="restart"/>
            <w:vAlign w:val="center"/>
          </w:tcPr>
          <w:p w14:paraId="6E78CF8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证券业金融机构</w:t>
            </w:r>
          </w:p>
        </w:tc>
        <w:tc>
          <w:tcPr>
            <w:tcW w:w="1143" w:type="dxa"/>
            <w:shd w:val="clear" w:color="auto" w:fill="auto"/>
            <w:vAlign w:val="center"/>
          </w:tcPr>
          <w:p w14:paraId="0414261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444928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100亿元（含）至1000亿元</w:t>
            </w:r>
          </w:p>
        </w:tc>
      </w:tr>
      <w:tr w14:paraId="0F1C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3B06C7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9421CA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4B5A7F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A9C4DF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10亿元（含）至100亿元</w:t>
            </w:r>
          </w:p>
        </w:tc>
      </w:tr>
      <w:tr w14:paraId="01E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65FECC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ADD78C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F7AF91">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43D0131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10亿元以下</w:t>
            </w:r>
          </w:p>
        </w:tc>
      </w:tr>
      <w:tr w14:paraId="3314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FAED34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保险业</w:t>
            </w:r>
          </w:p>
        </w:tc>
        <w:tc>
          <w:tcPr>
            <w:tcW w:w="1817" w:type="dxa"/>
            <w:vMerge w:val="restart"/>
            <w:vAlign w:val="center"/>
          </w:tcPr>
          <w:p w14:paraId="73A1B69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保险业金融机构</w:t>
            </w:r>
          </w:p>
        </w:tc>
        <w:tc>
          <w:tcPr>
            <w:tcW w:w="1143" w:type="dxa"/>
            <w:shd w:val="clear" w:color="auto" w:fill="auto"/>
            <w:vAlign w:val="center"/>
          </w:tcPr>
          <w:p w14:paraId="7046BDEC">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1B9BB4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400亿元（含）至5000亿元</w:t>
            </w:r>
          </w:p>
        </w:tc>
      </w:tr>
      <w:tr w14:paraId="386F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8C8613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2ACF5AB">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361981C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7F195A7E">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1336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7051FBA8">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1A95E01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DD1435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F4DBB0">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1B38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6A4EBA5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其他金融业</w:t>
            </w:r>
          </w:p>
        </w:tc>
        <w:tc>
          <w:tcPr>
            <w:tcW w:w="1168" w:type="dxa"/>
            <w:vMerge w:val="restart"/>
            <w:vAlign w:val="center"/>
          </w:tcPr>
          <w:p w14:paraId="741CF03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金融信托与管理服务</w:t>
            </w:r>
          </w:p>
        </w:tc>
        <w:tc>
          <w:tcPr>
            <w:tcW w:w="1817" w:type="dxa"/>
            <w:vMerge w:val="restart"/>
            <w:vAlign w:val="center"/>
          </w:tcPr>
          <w:p w14:paraId="70836B6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信托公司</w:t>
            </w:r>
          </w:p>
        </w:tc>
        <w:tc>
          <w:tcPr>
            <w:tcW w:w="1143" w:type="dxa"/>
            <w:shd w:val="clear" w:color="auto" w:fill="auto"/>
            <w:vAlign w:val="center"/>
          </w:tcPr>
          <w:p w14:paraId="03C999A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C96EED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400亿元（含）至1000亿元</w:t>
            </w:r>
          </w:p>
        </w:tc>
      </w:tr>
      <w:tr w14:paraId="394A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38E5D4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343FC2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EB960A0">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D76C17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E689FD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3E94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1E32AA3">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41AB74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15F254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60C098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33182E4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61CA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A3463A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65B7535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控股公司服务</w:t>
            </w:r>
          </w:p>
        </w:tc>
        <w:tc>
          <w:tcPr>
            <w:tcW w:w="1817" w:type="dxa"/>
            <w:vMerge w:val="restart"/>
            <w:vAlign w:val="center"/>
          </w:tcPr>
          <w:p w14:paraId="5AA3A788">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金融控股公司</w:t>
            </w:r>
          </w:p>
        </w:tc>
        <w:tc>
          <w:tcPr>
            <w:tcW w:w="1143" w:type="dxa"/>
            <w:shd w:val="clear" w:color="auto" w:fill="auto"/>
            <w:vAlign w:val="center"/>
          </w:tcPr>
          <w:p w14:paraId="6A34EBF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63D8FC">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61EE7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7F9BDD8">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774A559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58174A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3D84EB3">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434D1F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245B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88472C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DB4D28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B6EDD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72A904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FC344B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3F9E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046E9137">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10B1465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其他未包括的金融业</w:t>
            </w:r>
          </w:p>
        </w:tc>
        <w:tc>
          <w:tcPr>
            <w:tcW w:w="1817" w:type="dxa"/>
            <w:vMerge w:val="restart"/>
            <w:vAlign w:val="center"/>
          </w:tcPr>
          <w:p w14:paraId="3E665F4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0051027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6033F5D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4EB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04848A28">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68" w:type="dxa"/>
            <w:vMerge w:val="continue"/>
          </w:tcPr>
          <w:p w14:paraId="2F2E72F9">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817" w:type="dxa"/>
            <w:vMerge w:val="continue"/>
          </w:tcPr>
          <w:p w14:paraId="179DE2D0">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E62333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2916BB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6DDC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0F1E7A7B">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68" w:type="dxa"/>
            <w:vMerge w:val="continue"/>
          </w:tcPr>
          <w:p w14:paraId="08010151">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817" w:type="dxa"/>
            <w:vMerge w:val="continue"/>
          </w:tcPr>
          <w:p w14:paraId="71A393FF">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68714F1">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13FA3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bl>
    <w:p w14:paraId="76252C9C">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both"/>
        <w:textAlignment w:val="auto"/>
        <w:rPr>
          <w:rFonts w:hint="eastAsia" w:ascii="方正小标宋_GBK" w:hAnsi="方正小标宋_GBK" w:eastAsia="方正小标宋_GBK" w:cs="方正小标宋_GBK"/>
          <w:bCs/>
          <w:color w:val="auto"/>
          <w:sz w:val="36"/>
          <w:szCs w:val="36"/>
          <w:highlight w:val="none"/>
          <w:lang w:val="en-US" w:eastAsia="zh-CN"/>
        </w:rPr>
      </w:pPr>
      <w:r>
        <w:rPr>
          <w:rFonts w:cs="宋体"/>
          <w:color w:val="auto"/>
          <w:spacing w:val="6"/>
          <w:sz w:val="21"/>
          <w:szCs w:val="21"/>
          <w:highlight w:val="none"/>
        </w:rPr>
        <w:br w:type="page"/>
      </w:r>
    </w:p>
    <w:p w14:paraId="3D939C43">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方正小标宋_GBK" w:hAnsi="方正小标宋_GBK" w:eastAsia="方正小标宋_GBK" w:cs="方正小标宋_GBK"/>
          <w:bCs/>
          <w:color w:val="auto"/>
          <w:sz w:val="36"/>
          <w:szCs w:val="36"/>
          <w:highlight w:val="none"/>
          <w:lang w:val="en-US" w:eastAsia="zh-CN"/>
        </w:rPr>
      </w:pPr>
    </w:p>
    <w:p w14:paraId="0711552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778" w:name="_Toc30764"/>
      <w:bookmarkStart w:id="779" w:name="_Toc16227"/>
      <w:r>
        <w:rPr>
          <w:rFonts w:hint="eastAsia" w:ascii="宋体" w:hAnsi="宋体" w:eastAsia="宋体" w:cstheme="minorBidi"/>
          <w:b/>
          <w:bCs/>
          <w:color w:val="auto"/>
          <w:kern w:val="2"/>
          <w:sz w:val="24"/>
          <w:szCs w:val="24"/>
          <w:highlight w:val="none"/>
          <w:lang w:val="en-US" w:eastAsia="zh-CN" w:bidi="ar-SA"/>
        </w:rPr>
        <w:t>（三）监狱企业证明文件</w:t>
      </w:r>
      <w:r>
        <w:rPr>
          <w:rFonts w:hint="eastAsia" w:ascii="宋体" w:hAnsi="宋体" w:eastAsia="宋体" w:cstheme="minorBidi"/>
          <w:b w:val="0"/>
          <w:bCs w:val="0"/>
          <w:color w:val="auto"/>
          <w:kern w:val="2"/>
          <w:sz w:val="24"/>
          <w:szCs w:val="24"/>
          <w:highlight w:val="none"/>
          <w:lang w:val="en-US" w:eastAsia="zh-CN" w:bidi="ar-SA"/>
        </w:rPr>
        <w:t>【如适用】</w:t>
      </w:r>
      <w:bookmarkEnd w:id="777"/>
      <w:bookmarkEnd w:id="778"/>
      <w:bookmarkEnd w:id="779"/>
    </w:p>
    <w:p w14:paraId="744F56E2">
      <w:pPr>
        <w:pageBreakBefore w:val="0"/>
        <w:kinsoku/>
        <w:overflowPunct/>
        <w:bidi w:val="0"/>
        <w:spacing w:beforeAutospacing="0" w:afterAutospacing="0" w:line="560" w:lineRule="exact"/>
        <w:ind w:left="0" w:leftChars="0" w:right="0"/>
        <w:rPr>
          <w:rFonts w:cs="仿宋_GB2312"/>
          <w:b/>
          <w:color w:val="auto"/>
          <w:sz w:val="24"/>
          <w:szCs w:val="24"/>
          <w:highlight w:val="none"/>
        </w:rPr>
      </w:pPr>
    </w:p>
    <w:p w14:paraId="23D1BFCD">
      <w:pPr>
        <w:pageBreakBefore w:val="0"/>
        <w:kinsoku/>
        <w:overflowPunct/>
        <w:bidi w:val="0"/>
        <w:adjustRightInd w:val="0"/>
        <w:snapToGrid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color w:val="auto"/>
          <w:sz w:val="24"/>
          <w:szCs w:val="24"/>
          <w:highlight w:val="none"/>
          <w:lang w:val="en-US" w:eastAsia="zh-CN"/>
        </w:rPr>
        <w:t>如下</w:t>
      </w:r>
      <w:r>
        <w:rPr>
          <w:rFonts w:hint="eastAsia" w:ascii="宋体" w:hAnsi="宋体" w:eastAsia="宋体" w:cs="宋体"/>
          <w:color w:val="auto"/>
          <w:sz w:val="24"/>
          <w:szCs w:val="24"/>
          <w:highlight w:val="none"/>
        </w:rPr>
        <w:t>】。</w:t>
      </w:r>
    </w:p>
    <w:p w14:paraId="75238DB1">
      <w:pPr>
        <w:pStyle w:val="17"/>
        <w:pageBreakBefore w:val="0"/>
        <w:kinsoku/>
        <w:overflowPunct/>
        <w:bidi w:val="0"/>
        <w:spacing w:beforeAutospacing="0" w:afterAutospacing="0" w:line="560" w:lineRule="exact"/>
        <w:ind w:left="0" w:leftChars="0" w:right="0"/>
        <w:jc w:val="center"/>
        <w:rPr>
          <w:rFonts w:hint="eastAsia" w:ascii="宋体" w:hAnsi="宋体" w:eastAsia="宋体" w:cs="宋体"/>
          <w:b/>
          <w:bCs w:val="0"/>
          <w:color w:val="auto"/>
          <w:sz w:val="32"/>
          <w:szCs w:val="32"/>
          <w:highlight w:val="none"/>
        </w:rPr>
      </w:pPr>
    </w:p>
    <w:p w14:paraId="3EAA5E2A">
      <w:pPr>
        <w:pStyle w:val="17"/>
        <w:pageBreakBefore w:val="0"/>
        <w:kinsoku/>
        <w:overflowPunct/>
        <w:bidi w:val="0"/>
        <w:spacing w:beforeAutospacing="0" w:afterAutospacing="0" w:line="560" w:lineRule="exact"/>
        <w:ind w:left="0" w:leftChars="0" w:right="0"/>
        <w:jc w:val="center"/>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监狱企业证明函</w:t>
      </w:r>
    </w:p>
    <w:p w14:paraId="73EFA9C1">
      <w:pPr>
        <w:pageBreakBefore w:val="0"/>
        <w:kinsoku/>
        <w:overflowPunct/>
        <w:bidi w:val="0"/>
        <w:spacing w:beforeAutospacing="0" w:afterAutospacing="0" w:line="560" w:lineRule="exact"/>
        <w:ind w:left="0" w:leftChars="0" w:right="0"/>
        <w:rPr>
          <w:rFonts w:hint="eastAsia" w:ascii="仿宋_GB2312" w:hAnsi="仿宋_GB2312" w:eastAsia="仿宋_GB2312" w:cs="仿宋_GB2312"/>
          <w:color w:val="auto"/>
          <w:sz w:val="32"/>
          <w:szCs w:val="32"/>
          <w:highlight w:val="none"/>
        </w:rPr>
      </w:pPr>
    </w:p>
    <w:p w14:paraId="7E6FDB37">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本公司郑重声明，根据财政部、司法部《关于政府采购支持监狱企业发展有关问题的通知》（财库</w:t>
      </w:r>
      <w:r>
        <w:rPr>
          <w:rFonts w:hint="eastAsia" w:ascii="微软雅黑" w:hAnsi="微软雅黑" w:eastAsia="微软雅黑" w:cs="微软雅黑"/>
          <w:color w:val="auto"/>
          <w:spacing w:val="6"/>
          <w:szCs w:val="24"/>
          <w:highlight w:val="none"/>
          <w:lang w:eastAsia="zh-CN"/>
        </w:rPr>
        <w:t>〔</w:t>
      </w:r>
      <w:r>
        <w:rPr>
          <w:rFonts w:hint="eastAsia" w:cs="宋体"/>
          <w:color w:val="auto"/>
          <w:spacing w:val="6"/>
          <w:szCs w:val="24"/>
          <w:highlight w:val="none"/>
        </w:rPr>
        <w:t>2014</w:t>
      </w:r>
      <w:r>
        <w:rPr>
          <w:rFonts w:hint="eastAsia" w:ascii="微软雅黑" w:hAnsi="微软雅黑" w:eastAsia="微软雅黑" w:cs="微软雅黑"/>
          <w:color w:val="auto"/>
          <w:spacing w:val="6"/>
          <w:szCs w:val="24"/>
          <w:highlight w:val="none"/>
          <w:lang w:eastAsia="zh-CN"/>
        </w:rPr>
        <w:t>〕</w:t>
      </w:r>
      <w:r>
        <w:rPr>
          <w:rFonts w:hint="eastAsia" w:cs="宋体"/>
          <w:color w:val="auto"/>
          <w:spacing w:val="6"/>
          <w:szCs w:val="24"/>
          <w:highlight w:val="none"/>
        </w:rPr>
        <w:t>68号）的规定，本公司为监狱企业。</w:t>
      </w:r>
    </w:p>
    <w:p w14:paraId="3C2CE4C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p w14:paraId="25406F97">
      <w:pPr>
        <w:pageBreakBefore w:val="0"/>
        <w:kinsoku/>
        <w:overflowPunct/>
        <w:bidi w:val="0"/>
        <w:spacing w:beforeAutospacing="0" w:afterAutospacing="0" w:line="560" w:lineRule="exact"/>
        <w:ind w:left="0" w:leftChars="0" w:right="0" w:firstLine="4440" w:firstLineChars="1850"/>
        <w:rPr>
          <w:rFonts w:hint="eastAsia" w:ascii="宋体" w:hAnsi="宋体" w:eastAsia="宋体" w:cs="宋体"/>
          <w:color w:val="auto"/>
          <w:sz w:val="24"/>
          <w:szCs w:val="24"/>
          <w:highlight w:val="none"/>
        </w:rPr>
      </w:pPr>
    </w:p>
    <w:p w14:paraId="44FF352C">
      <w:pPr>
        <w:pageBreakBefore w:val="0"/>
        <w:kinsoku/>
        <w:overflowPunct/>
        <w:bidi w:val="0"/>
        <w:spacing w:beforeAutospacing="0" w:afterAutospacing="0" w:line="560" w:lineRule="exact"/>
        <w:ind w:left="0" w:leftChars="0" w:right="0" w:firstLine="4440" w:firstLineChars="1850"/>
        <w:rPr>
          <w:rFonts w:hint="eastAsia" w:ascii="宋体" w:hAnsi="宋体" w:eastAsia="宋体" w:cs="宋体"/>
          <w:color w:val="auto"/>
          <w:sz w:val="24"/>
          <w:szCs w:val="24"/>
          <w:highlight w:val="none"/>
        </w:rPr>
      </w:pPr>
    </w:p>
    <w:p w14:paraId="0841D36F">
      <w:pPr>
        <w:pageBreakBefore w:val="0"/>
        <w:kinsoku/>
        <w:overflowPunct/>
        <w:bidi w:val="0"/>
        <w:spacing w:beforeAutospacing="0" w:afterAutospacing="0" w:line="560" w:lineRule="exact"/>
        <w:ind w:left="0" w:leftChars="0" w:right="0" w:firstLine="4284" w:firstLineChars="17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val="en-US" w:eastAsia="zh-CN"/>
        </w:rPr>
        <w:t>投标人</w:t>
      </w:r>
      <w:r>
        <w:rPr>
          <w:rFonts w:hint="eastAsia" w:ascii="宋体" w:hAnsi="宋体" w:eastAsia="宋体" w:cs="宋体"/>
          <w:color w:val="auto"/>
          <w:spacing w:val="6"/>
          <w:sz w:val="24"/>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spacing w:val="6"/>
          <w:sz w:val="24"/>
          <w:szCs w:val="24"/>
          <w:highlight w:val="none"/>
        </w:rPr>
        <w:t>：</w:t>
      </w:r>
    </w:p>
    <w:p w14:paraId="3678CEA7">
      <w:pPr>
        <w:pageBreakBefore w:val="0"/>
        <w:kinsoku/>
        <w:overflowPunct/>
        <w:bidi w:val="0"/>
        <w:spacing w:beforeAutospacing="0" w:afterAutospacing="0" w:line="560" w:lineRule="exact"/>
        <w:ind w:left="0" w:leftChars="0" w:right="0" w:firstLine="4284" w:firstLineChars="17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75D11779">
      <w:pPr>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p>
    <w:p w14:paraId="7B8735C9">
      <w:pPr>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p>
    <w:p w14:paraId="32722C7E">
      <w:pPr>
        <w:pageBreakBefore w:val="0"/>
        <w:kinsoku/>
        <w:overflowPunct/>
        <w:bidi w:val="0"/>
        <w:spacing w:beforeAutospacing="0" w:afterAutospacing="0" w:line="560" w:lineRule="exact"/>
        <w:ind w:left="0" w:leftChars="0" w:right="0"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w:t>
      </w:r>
    </w:p>
    <w:p w14:paraId="20204BC0">
      <w:pPr>
        <w:pageBreakBefore w:val="0"/>
        <w:kinsoku/>
        <w:overflowPunct/>
        <w:bidi w:val="0"/>
        <w:spacing w:beforeAutospacing="0" w:afterAutospacing="0" w:line="560" w:lineRule="exact"/>
        <w:ind w:left="0" w:leftChars="0" w:right="0"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（含新疆生产建设兵团）（盖章）：  </w:t>
      </w:r>
    </w:p>
    <w:p w14:paraId="4A414B41">
      <w:pPr>
        <w:pageBreakBefore w:val="0"/>
        <w:kinsoku/>
        <w:overflowPunct/>
        <w:bidi w:val="0"/>
        <w:spacing w:beforeAutospacing="0" w:afterAutospacing="0" w:line="560" w:lineRule="exact"/>
        <w:ind w:left="0" w:leftChars="0" w:right="0" w:firstLine="4320" w:firstLineChars="18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28B0253">
      <w:pPr>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p>
    <w:p w14:paraId="4A20867A">
      <w:pPr>
        <w:pageBreakBefore w:val="0"/>
        <w:kinsoku/>
        <w:overflowPunct/>
        <w:bidi w:val="0"/>
        <w:spacing w:beforeAutospacing="0" w:afterAutospacing="0" w:line="560" w:lineRule="exact"/>
        <w:ind w:left="0" w:leftChars="0" w:right="0" w:firstLine="4000" w:firstLineChars="1250"/>
        <w:rPr>
          <w:rFonts w:hint="eastAsia" w:ascii="仿宋_GB2312" w:hAnsi="仿宋_GB2312" w:eastAsia="仿宋_GB2312" w:cs="仿宋_GB2312"/>
          <w:color w:val="auto"/>
          <w:sz w:val="32"/>
          <w:szCs w:val="32"/>
          <w:highlight w:val="none"/>
        </w:rPr>
      </w:pPr>
    </w:p>
    <w:p w14:paraId="206A9633">
      <w:pPr>
        <w:pageBreakBefore w:val="0"/>
        <w:kinsoku/>
        <w:overflowPunct/>
        <w:bidi w:val="0"/>
        <w:spacing w:beforeAutospacing="0" w:afterAutospacing="0" w:line="560" w:lineRule="exact"/>
        <w:ind w:left="0" w:leftChars="0" w:right="0"/>
        <w:rPr>
          <w:rFonts w:hint="eastAsia" w:ascii="仿宋_GB2312" w:hAnsi="仿宋_GB2312" w:eastAsia="仿宋_GB2312" w:cs="仿宋_GB2312"/>
          <w:color w:val="auto"/>
          <w:sz w:val="32"/>
          <w:szCs w:val="32"/>
          <w:highlight w:val="none"/>
        </w:rPr>
      </w:pPr>
    </w:p>
    <w:p w14:paraId="283F77FC">
      <w:pPr>
        <w:pageBreakBefore w:val="0"/>
        <w:widowControl/>
        <w:kinsoku/>
        <w:overflowPunct/>
        <w:bidi w:val="0"/>
        <w:spacing w:beforeAutospacing="0" w:afterAutospacing="0" w:line="560" w:lineRule="exact"/>
        <w:ind w:left="0" w:leftChars="0" w:right="0"/>
        <w:rPr>
          <w:rFonts w:ascii="Arial" w:hAnsi="Arial" w:cs="Arial"/>
          <w:color w:val="auto"/>
          <w:sz w:val="21"/>
          <w:szCs w:val="21"/>
          <w:highlight w:val="none"/>
        </w:rPr>
      </w:pPr>
    </w:p>
    <w:p w14:paraId="05E6EFA2">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textAlignment w:val="auto"/>
        <w:rPr>
          <w:rFonts w:hint="eastAsia" w:ascii="宋体" w:hAnsi="宋体" w:eastAsia="宋体" w:cstheme="minorBidi"/>
          <w:b/>
          <w:bCs/>
          <w:color w:val="auto"/>
          <w:kern w:val="2"/>
          <w:sz w:val="24"/>
          <w:szCs w:val="24"/>
          <w:highlight w:val="none"/>
          <w:lang w:val="en-US" w:eastAsia="zh-CN" w:bidi="ar-SA"/>
        </w:rPr>
      </w:pPr>
      <w:bookmarkStart w:id="780" w:name="_Toc13465"/>
      <w:bookmarkStart w:id="781" w:name="_Toc163492941"/>
      <w:bookmarkStart w:id="782" w:name="_Toc31652"/>
      <w:r>
        <w:rPr>
          <w:rFonts w:hint="eastAsia" w:ascii="宋体" w:hAnsi="宋体" w:eastAsia="宋体" w:cstheme="minorBidi"/>
          <w:b/>
          <w:bCs/>
          <w:color w:val="auto"/>
          <w:kern w:val="2"/>
          <w:sz w:val="24"/>
          <w:szCs w:val="24"/>
          <w:highlight w:val="none"/>
          <w:lang w:val="en-US" w:eastAsia="zh-CN" w:bidi="ar-SA"/>
        </w:rPr>
        <w:t>（四）残疾人福利性单位声明函</w:t>
      </w:r>
      <w:r>
        <w:rPr>
          <w:rFonts w:hint="eastAsia" w:ascii="宋体" w:hAnsi="宋体" w:eastAsia="宋体" w:cstheme="minorBidi"/>
          <w:b w:val="0"/>
          <w:bCs w:val="0"/>
          <w:color w:val="auto"/>
          <w:kern w:val="2"/>
          <w:sz w:val="24"/>
          <w:szCs w:val="24"/>
          <w:highlight w:val="none"/>
          <w:lang w:val="en-US" w:eastAsia="zh-CN" w:bidi="ar-SA"/>
        </w:rPr>
        <w:t>【如适用】</w:t>
      </w:r>
      <w:bookmarkEnd w:id="780"/>
      <w:bookmarkEnd w:id="781"/>
      <w:bookmarkEnd w:id="782"/>
    </w:p>
    <w:p w14:paraId="0EAC9468">
      <w:pPr>
        <w:pStyle w:val="38"/>
        <w:pageBreakBefore w:val="0"/>
        <w:numPr>
          <w:ilvl w:val="0"/>
          <w:numId w:val="0"/>
        </w:numPr>
        <w:kinsoku/>
        <w:overflowPunct/>
        <w:bidi w:val="0"/>
        <w:spacing w:beforeAutospacing="0" w:afterAutospacing="0" w:line="560" w:lineRule="exact"/>
        <w:ind w:left="0" w:leftChars="0" w:right="0" w:hanging="420" w:firstLineChars="0"/>
        <w:jc w:val="center"/>
        <w:rPr>
          <w:rFonts w:hint="eastAsia"/>
          <w:b/>
          <w:bCs/>
          <w:color w:val="auto"/>
          <w:sz w:val="32"/>
          <w:szCs w:val="32"/>
          <w:highlight w:val="none"/>
        </w:rPr>
      </w:pPr>
    </w:p>
    <w:p w14:paraId="091B47EA">
      <w:pPr>
        <w:pStyle w:val="38"/>
        <w:pageBreakBefore w:val="0"/>
        <w:numPr>
          <w:ilvl w:val="0"/>
          <w:numId w:val="0"/>
        </w:numPr>
        <w:kinsoku/>
        <w:overflowPunct/>
        <w:bidi w:val="0"/>
        <w:spacing w:beforeAutospacing="0" w:afterAutospacing="0" w:line="560" w:lineRule="exact"/>
        <w:ind w:left="0" w:leftChars="0" w:right="0" w:hanging="420" w:firstLineChars="0"/>
        <w:jc w:val="center"/>
        <w:rPr>
          <w:b/>
          <w:bCs/>
          <w:color w:val="auto"/>
          <w:sz w:val="32"/>
          <w:szCs w:val="32"/>
          <w:highlight w:val="none"/>
        </w:rPr>
      </w:pPr>
      <w:r>
        <w:rPr>
          <w:rFonts w:hint="eastAsia"/>
          <w:b/>
          <w:bCs/>
          <w:color w:val="auto"/>
          <w:sz w:val="32"/>
          <w:szCs w:val="32"/>
          <w:highlight w:val="none"/>
        </w:rPr>
        <w:t>残疾人福利性单位声明函</w:t>
      </w:r>
    </w:p>
    <w:p w14:paraId="28D13EE8">
      <w:pPr>
        <w:pageBreakBefore w:val="0"/>
        <w:kinsoku/>
        <w:wordWrap w:val="0"/>
        <w:overflowPunct/>
        <w:bidi w:val="0"/>
        <w:spacing w:beforeAutospacing="0" w:afterAutospacing="0" w:line="560" w:lineRule="exact"/>
        <w:ind w:left="0" w:leftChars="0" w:right="0" w:firstLine="480" w:firstLineChars="200"/>
        <w:rPr>
          <w:rFonts w:hint="eastAsia"/>
          <w:color w:val="auto"/>
          <w:szCs w:val="24"/>
          <w:highlight w:val="none"/>
        </w:rPr>
      </w:pPr>
    </w:p>
    <w:p w14:paraId="2B2B6A0A">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服务及</w:t>
      </w:r>
      <w:r>
        <w:rPr>
          <w:rFonts w:hint="eastAsia"/>
          <w:i w:val="0"/>
          <w:iCs w:val="0"/>
          <w:color w:val="auto"/>
          <w:szCs w:val="24"/>
          <w:highlight w:val="none"/>
        </w:rPr>
        <w:t>货物</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提供和</w:t>
      </w:r>
      <w:r>
        <w:rPr>
          <w:rFonts w:hint="eastAsia"/>
          <w:b/>
          <w:i w:val="0"/>
          <w:iCs w:val="0"/>
          <w:color w:val="auto"/>
          <w:szCs w:val="24"/>
          <w:highlight w:val="none"/>
        </w:rPr>
        <w:t>制造</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B0D31AB">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38F8FD5">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7FB12063">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w:t>
      </w:r>
    </w:p>
    <w:p w14:paraId="7B8F3287">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18EB7223">
      <w:pPr>
        <w:pageBreakBefore w:val="0"/>
        <w:kinsoku/>
        <w:wordWrap w:val="0"/>
        <w:overflowPunct/>
        <w:bidi w:val="0"/>
        <w:spacing w:beforeAutospacing="0" w:afterAutospacing="0" w:line="560" w:lineRule="exact"/>
        <w:ind w:left="607" w:leftChars="0" w:right="0" w:hanging="607" w:hangingChars="253"/>
        <w:rPr>
          <w:color w:val="auto"/>
          <w:szCs w:val="24"/>
          <w:highlight w:val="none"/>
        </w:rPr>
      </w:pPr>
      <w:r>
        <w:rPr>
          <w:rFonts w:hint="eastAsia"/>
          <w:color w:val="auto"/>
          <w:szCs w:val="24"/>
          <w:highlight w:val="none"/>
        </w:rPr>
        <w:t>本企业对上述声明内容的真实性负责。如有虚假，将依法承担相应责任。</w:t>
      </w:r>
    </w:p>
    <w:p w14:paraId="44C7A080">
      <w:pPr>
        <w:pageBreakBefore w:val="0"/>
        <w:kinsoku/>
        <w:wordWrap w:val="0"/>
        <w:overflowPunct/>
        <w:bidi w:val="0"/>
        <w:spacing w:beforeAutospacing="0" w:afterAutospacing="0" w:line="560" w:lineRule="exact"/>
        <w:ind w:left="1091" w:leftChars="0" w:right="0" w:hanging="1091" w:hangingChars="453"/>
        <w:rPr>
          <w:b/>
          <w:bCs/>
          <w:color w:val="auto"/>
          <w:szCs w:val="24"/>
          <w:highlight w:val="none"/>
        </w:rPr>
      </w:pPr>
    </w:p>
    <w:p w14:paraId="43523196">
      <w:pPr>
        <w:pageBreakBefore w:val="0"/>
        <w:kinsoku/>
        <w:wordWrap w:val="0"/>
        <w:overflowPunct/>
        <w:bidi w:val="0"/>
        <w:spacing w:beforeAutospacing="0" w:afterAutospacing="0" w:line="560" w:lineRule="exact"/>
        <w:ind w:left="1091" w:leftChars="0" w:right="0" w:hanging="1091" w:hangingChars="453"/>
        <w:rPr>
          <w:bCs/>
          <w:color w:val="auto"/>
          <w:szCs w:val="24"/>
          <w:highlight w:val="none"/>
        </w:rPr>
      </w:pPr>
      <w:r>
        <w:rPr>
          <w:rFonts w:hint="eastAsia"/>
          <w:b/>
          <w:bCs/>
          <w:color w:val="auto"/>
          <w:szCs w:val="24"/>
          <w:highlight w:val="none"/>
        </w:rPr>
        <w:t>说明：</w:t>
      </w:r>
      <w:r>
        <w:rPr>
          <w:rFonts w:hint="eastAsia"/>
          <w:bCs/>
          <w:color w:val="auto"/>
          <w:szCs w:val="24"/>
          <w:highlight w:val="none"/>
        </w:rPr>
        <w:t>1、</w:t>
      </w:r>
      <w:r>
        <w:rPr>
          <w:rFonts w:hint="eastAsia"/>
          <w:bCs/>
          <w:color w:val="auto"/>
          <w:szCs w:val="24"/>
          <w:highlight w:val="none"/>
          <w:lang w:val="en-US" w:eastAsia="zh-CN"/>
        </w:rPr>
        <w:t>服务及</w:t>
      </w:r>
      <w:r>
        <w:rPr>
          <w:rFonts w:hint="eastAsia"/>
          <w:bCs/>
          <w:color w:val="auto"/>
          <w:szCs w:val="21"/>
          <w:highlight w:val="none"/>
          <w:lang w:val="zh-CN"/>
        </w:rPr>
        <w:t>货物应当全部由符合政策要求的残疾人福利性单位</w:t>
      </w:r>
      <w:r>
        <w:rPr>
          <w:rFonts w:hint="eastAsia"/>
          <w:bCs/>
          <w:color w:val="auto"/>
          <w:szCs w:val="21"/>
          <w:highlight w:val="none"/>
          <w:lang w:val="en-US" w:eastAsia="zh-CN"/>
        </w:rPr>
        <w:t>提供及</w:t>
      </w:r>
      <w:r>
        <w:rPr>
          <w:rFonts w:hint="eastAsia"/>
          <w:bCs/>
          <w:color w:val="auto"/>
          <w:szCs w:val="21"/>
          <w:highlight w:val="none"/>
          <w:lang w:val="zh-CN"/>
        </w:rPr>
        <w:t>生产且使用该残疾人福利性单位商号或注册商标（与代理商或投标人无关）；应当严格按上述格式及内容进行填写（应当明确每个标的的生产企业类型及相关数据），否则导致的后果由投标人自行承担；</w:t>
      </w:r>
    </w:p>
    <w:p w14:paraId="2288B711">
      <w:pPr>
        <w:pageBreakBefore w:val="0"/>
        <w:kinsoku/>
        <w:wordWrap w:val="0"/>
        <w:overflowPunct/>
        <w:bidi w:val="0"/>
        <w:spacing w:beforeAutospacing="0" w:afterAutospacing="0" w:line="560" w:lineRule="exact"/>
        <w:ind w:left="1087" w:leftChars="0" w:right="0" w:hanging="1087" w:hangingChars="453"/>
        <w:rPr>
          <w:rFonts w:cs="Courier New"/>
          <w:color w:val="auto"/>
          <w:szCs w:val="21"/>
          <w:highlight w:val="none"/>
        </w:rPr>
      </w:pPr>
      <w:r>
        <w:rPr>
          <w:rFonts w:hint="eastAsia"/>
          <w:bCs/>
          <w:color w:val="auto"/>
          <w:szCs w:val="21"/>
          <w:highlight w:val="none"/>
          <w:lang w:val="zh-CN"/>
        </w:rPr>
        <w:t xml:space="preserve">      2、</w:t>
      </w:r>
      <w:r>
        <w:rPr>
          <w:rFonts w:hint="eastAsia" w:cs="Courier New"/>
          <w:color w:val="auto"/>
          <w:szCs w:val="21"/>
          <w:highlight w:val="none"/>
        </w:rPr>
        <w:t>以联合体形式参加的，应</w:t>
      </w:r>
      <w:r>
        <w:rPr>
          <w:rFonts w:hint="eastAsia"/>
          <w:bCs/>
          <w:color w:val="auto"/>
          <w:szCs w:val="21"/>
          <w:highlight w:val="none"/>
          <w:lang w:val="zh-CN"/>
        </w:rPr>
        <w:t>当</w:t>
      </w:r>
      <w:r>
        <w:rPr>
          <w:rFonts w:hint="eastAsia" w:cs="Courier New"/>
          <w:color w:val="auto"/>
          <w:szCs w:val="21"/>
          <w:highlight w:val="none"/>
        </w:rPr>
        <w:t>由联合体各方盖章。</w:t>
      </w:r>
    </w:p>
    <w:p w14:paraId="71983F83">
      <w:pPr>
        <w:pageBreakBefore w:val="0"/>
        <w:kinsoku/>
        <w:wordWrap w:val="0"/>
        <w:overflowPunct/>
        <w:bidi w:val="0"/>
        <w:spacing w:beforeAutospacing="0" w:afterAutospacing="0" w:line="560" w:lineRule="exact"/>
        <w:ind w:left="0" w:leftChars="0" w:right="0" w:firstLine="3316" w:firstLineChars="1382"/>
        <w:rPr>
          <w:bCs/>
          <w:color w:val="auto"/>
          <w:szCs w:val="21"/>
          <w:highlight w:val="none"/>
          <w:lang w:val="zh-CN"/>
        </w:rPr>
      </w:pPr>
      <w:r>
        <w:rPr>
          <w:rFonts w:hint="eastAsia"/>
          <w:bCs/>
          <w:color w:val="auto"/>
          <w:szCs w:val="21"/>
          <w:highlight w:val="none"/>
          <w:lang w:val="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bCs/>
          <w:color w:val="auto"/>
          <w:szCs w:val="21"/>
          <w:highlight w:val="none"/>
          <w:lang w:val="zh-CN"/>
        </w:rPr>
        <w:t>：</w:t>
      </w:r>
      <w:r>
        <w:rPr>
          <w:rFonts w:hint="eastAsia"/>
          <w:bCs/>
          <w:color w:val="auto"/>
          <w:szCs w:val="21"/>
          <w:highlight w:val="none"/>
          <w:u w:val="single"/>
          <w:lang w:val="zh-CN"/>
        </w:rPr>
        <w:t xml:space="preserve">              </w:t>
      </w:r>
    </w:p>
    <w:p w14:paraId="3A972AC9">
      <w:pPr>
        <w:pageBreakBefore w:val="0"/>
        <w:kinsoku/>
        <w:wordWrap w:val="0"/>
        <w:overflowPunct/>
        <w:bidi w:val="0"/>
        <w:spacing w:beforeAutospacing="0" w:afterAutospacing="0" w:line="560" w:lineRule="exact"/>
        <w:ind w:left="0" w:leftChars="0" w:right="0" w:firstLine="3316" w:firstLineChars="1382"/>
        <w:rPr>
          <w:color w:val="auto"/>
          <w:highlight w:val="none"/>
        </w:rPr>
      </w:pPr>
      <w:r>
        <w:rPr>
          <w:rFonts w:hint="eastAsia"/>
          <w:color w:val="auto"/>
          <w:szCs w:val="24"/>
          <w:highlight w:val="none"/>
        </w:rPr>
        <w:t>日</w:t>
      </w:r>
      <w:r>
        <w:rPr>
          <w:color w:val="auto"/>
          <w:szCs w:val="24"/>
          <w:highlight w:val="none"/>
        </w:rPr>
        <w:t xml:space="preserve">  </w:t>
      </w:r>
      <w:r>
        <w:rPr>
          <w:rFonts w:hint="eastAsia"/>
          <w:color w:val="auto"/>
          <w:szCs w:val="24"/>
          <w:highlight w:val="none"/>
        </w:rPr>
        <w:t>期：</w:t>
      </w:r>
      <w:r>
        <w:rPr>
          <w:bCs/>
          <w:color w:val="auto"/>
          <w:szCs w:val="24"/>
          <w:highlight w:val="none"/>
          <w:u w:val="single"/>
        </w:rPr>
        <w:t xml:space="preserve">                         </w:t>
      </w:r>
    </w:p>
    <w:p w14:paraId="6F5F8DCA">
      <w:pPr>
        <w:pageBreakBefore w:val="0"/>
        <w:kinsoku/>
        <w:overflowPunct/>
        <w:bidi w:val="0"/>
        <w:spacing w:beforeAutospacing="0" w:afterAutospacing="0" w:line="560" w:lineRule="exact"/>
        <w:ind w:left="0" w:leftChars="0" w:right="0" w:firstLine="281" w:firstLineChars="100"/>
        <w:rPr>
          <w:rFonts w:cs="仿宋_GB2312"/>
          <w:b/>
          <w:color w:val="auto"/>
          <w:sz w:val="28"/>
          <w:szCs w:val="28"/>
          <w:highlight w:val="none"/>
        </w:rPr>
      </w:pPr>
    </w:p>
    <w:p w14:paraId="7BDD1A80">
      <w:pPr>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6607964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32"/>
          <w:szCs w:val="32"/>
          <w:highlight w:val="none"/>
          <w:lang w:val="en-US" w:eastAsia="zh-CN" w:bidi="ar-SA"/>
        </w:rPr>
      </w:pPr>
    </w:p>
    <w:p w14:paraId="4B9EE2D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cstheme="majorBidi"/>
          <w:b/>
          <w:bCs/>
          <w:color w:val="auto"/>
          <w:kern w:val="2"/>
          <w:sz w:val="28"/>
          <w:szCs w:val="28"/>
          <w:highlight w:val="none"/>
          <w:lang w:val="en-US" w:eastAsia="zh-CN" w:bidi="ar-SA"/>
        </w:rPr>
      </w:pPr>
      <w:bookmarkStart w:id="783" w:name="_Toc24696"/>
      <w:r>
        <w:rPr>
          <w:rFonts w:hint="eastAsia" w:cstheme="majorBidi"/>
          <w:b/>
          <w:bCs/>
          <w:color w:val="auto"/>
          <w:kern w:val="2"/>
          <w:sz w:val="28"/>
          <w:szCs w:val="28"/>
          <w:highlight w:val="none"/>
          <w:lang w:val="en-US" w:eastAsia="zh-CN" w:bidi="ar-SA"/>
        </w:rPr>
        <w:t>五、不参与围标串标承诺书</w:t>
      </w:r>
      <w:bookmarkEnd w:id="783"/>
    </w:p>
    <w:p w14:paraId="70D7F20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32"/>
          <w:szCs w:val="32"/>
          <w:highlight w:val="none"/>
          <w:lang w:val="en-US" w:eastAsia="zh-CN" w:bidi="ar-SA"/>
        </w:rPr>
      </w:pPr>
    </w:p>
    <w:p w14:paraId="75FF23AC">
      <w:pPr>
        <w:pageBreakBefore w:val="0"/>
        <w:kinsoku/>
        <w:overflowPunct/>
        <w:bidi w:val="0"/>
        <w:spacing w:beforeAutospacing="0" w:afterAutospacing="0" w:line="560" w:lineRule="exact"/>
        <w:ind w:left="0" w:leftChars="0" w:right="0"/>
        <w:jc w:val="center"/>
        <w:rPr>
          <w:rFonts w:hint="eastAsia"/>
          <w:color w:val="auto"/>
          <w:highlight w:val="none"/>
          <w:lang w:val="en-US" w:eastAsia="zh-CN"/>
        </w:rPr>
      </w:pPr>
      <w:r>
        <w:rPr>
          <w:rFonts w:hint="eastAsia" w:cstheme="majorBidi"/>
          <w:b/>
          <w:bCs/>
          <w:color w:val="auto"/>
          <w:kern w:val="2"/>
          <w:sz w:val="32"/>
          <w:szCs w:val="32"/>
          <w:highlight w:val="none"/>
          <w:lang w:val="en-US" w:eastAsia="zh-CN" w:bidi="ar-SA"/>
        </w:rPr>
        <w:t>不参与围标串标承诺书</w:t>
      </w:r>
    </w:p>
    <w:p w14:paraId="6B233C07">
      <w:pPr>
        <w:pageBreakBefore w:val="0"/>
        <w:kinsoku/>
        <w:overflowPunct/>
        <w:bidi w:val="0"/>
        <w:spacing w:beforeAutospacing="0" w:afterAutospacing="0" w:line="560" w:lineRule="exact"/>
        <w:ind w:left="0" w:leftChars="0" w:right="0"/>
        <w:rPr>
          <w:rFonts w:hint="eastAsia"/>
          <w:color w:val="auto"/>
          <w:highlight w:val="none"/>
          <w:lang w:val="en-US" w:eastAsia="zh-CN"/>
        </w:rPr>
      </w:pPr>
      <w:r>
        <w:rPr>
          <w:rFonts w:hint="eastAsia"/>
          <w:color w:val="auto"/>
          <w:highlight w:val="none"/>
          <w:lang w:val="en-US" w:eastAsia="zh-CN"/>
        </w:rPr>
        <w:t>  </w:t>
      </w:r>
    </w:p>
    <w:p w14:paraId="1ACC5C3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本人作为经授权的投标人代表,清楚知晓我单位本项目投标活动,对以下事项作出承诺：</w:t>
      </w:r>
    </w:p>
    <w:p w14:paraId="398E608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p>
    <w:p w14:paraId="26BB11E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一、我单位和我本人遵循公开透明、公平竞争、公正和诚实信用的原则,依法依规参与本项目竞标。</w:t>
      </w:r>
    </w:p>
    <w:p w14:paraId="10BBFC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二、我单位和我本人在本项目政府采购投标活动中,未参与围标串标。</w:t>
      </w:r>
    </w:p>
    <w:p w14:paraId="1A7E347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三、我单位如被查实在本项目政府采购投标活动中存在围标串标的，递交投标文件行为作为实施串通投标违法行为的关键环节,由我单位及法定代表人承担相应的法律责任，接受相应行政处罚和失信惩戒。</w:t>
      </w:r>
    </w:p>
    <w:p w14:paraId="29E3C848">
      <w:pPr>
        <w:pStyle w:val="13"/>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39CB3E48">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p>
    <w:p w14:paraId="19648C53">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cs="宋体"/>
          <w:color w:val="auto"/>
          <w:kern w:val="0"/>
          <w:sz w:val="24"/>
          <w:szCs w:val="24"/>
          <w:highlight w:val="none"/>
          <w:lang w:val="en-US" w:eastAsia="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rPr>
        <w:t>：</w:t>
      </w:r>
    </w:p>
    <w:p w14:paraId="2CCE383A">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692B3277">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13DA43E0">
      <w:pPr>
        <w:pageBreakBefore w:val="0"/>
        <w:widowControl/>
        <w:kinsoku/>
        <w:overflowPunct/>
        <w:bidi w:val="0"/>
        <w:spacing w:beforeAutospacing="0" w:afterAutospacing="0" w:line="560" w:lineRule="exact"/>
        <w:ind w:left="0" w:leftChars="0" w:right="0" w:firstLine="630"/>
        <w:jc w:val="left"/>
        <w:rPr>
          <w:rFonts w:hint="eastAsia" w:ascii="宋体" w:hAnsi="宋体" w:eastAsia="宋体" w:cs="宋体"/>
          <w:color w:val="auto"/>
          <w:kern w:val="0"/>
          <w:sz w:val="24"/>
          <w:szCs w:val="24"/>
          <w:highlight w:val="none"/>
        </w:rPr>
      </w:pPr>
    </w:p>
    <w:p w14:paraId="7CD72A88">
      <w:pPr>
        <w:pStyle w:val="13"/>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6FC519D1">
      <w:pPr>
        <w:pStyle w:val="13"/>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7500053D">
      <w:pPr>
        <w:pStyle w:val="13"/>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5BF64493">
      <w:pPr>
        <w:pStyle w:val="13"/>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30C8D33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textAlignment w:val="auto"/>
        <w:rPr>
          <w:rFonts w:hint="eastAsia" w:eastAsia="宋体" w:asciiTheme="majorHAnsi" w:hAnsiTheme="majorHAnsi" w:cstheme="majorBidi"/>
          <w:b/>
          <w:bCs/>
          <w:color w:val="auto"/>
          <w:kern w:val="2"/>
          <w:sz w:val="28"/>
          <w:szCs w:val="28"/>
          <w:highlight w:val="none"/>
          <w:lang w:val="zh-CN" w:eastAsia="zh-CN" w:bidi="ar-SA"/>
        </w:rPr>
      </w:pPr>
      <w:bookmarkStart w:id="784" w:name="_Toc2869"/>
      <w:r>
        <w:rPr>
          <w:rFonts w:hint="eastAsia" w:cstheme="majorBidi"/>
          <w:b/>
          <w:bCs/>
          <w:color w:val="auto"/>
          <w:kern w:val="2"/>
          <w:sz w:val="28"/>
          <w:szCs w:val="28"/>
          <w:highlight w:val="none"/>
          <w:lang w:val="en-US" w:eastAsia="zh-CN" w:bidi="ar-SA"/>
        </w:rPr>
        <w:t>六</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其他资格证明文件</w:t>
      </w:r>
      <w:bookmarkEnd w:id="784"/>
    </w:p>
    <w:p w14:paraId="0C24F0AE">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s="Courier New"/>
          <w:color w:val="auto"/>
          <w:szCs w:val="24"/>
          <w:highlight w:val="none"/>
        </w:rPr>
        <w:t>投标人认为需提供的其它相关资格证明材料</w:t>
      </w:r>
    </w:p>
    <w:p w14:paraId="7C2C3E83">
      <w:pPr>
        <w:pStyle w:val="36"/>
        <w:pageBreakBefore w:val="0"/>
        <w:kinsoku/>
        <w:overflowPunct/>
        <w:bidi w:val="0"/>
        <w:spacing w:beforeAutospacing="0" w:afterAutospacing="0" w:line="560" w:lineRule="exact"/>
        <w:ind w:left="0" w:leftChars="0" w:right="0"/>
        <w:rPr>
          <w:rFonts w:hint="eastAsia"/>
          <w:color w:val="auto"/>
          <w:highlight w:val="none"/>
        </w:rPr>
      </w:pPr>
    </w:p>
    <w:p w14:paraId="58A36194">
      <w:pPr>
        <w:pStyle w:val="36"/>
        <w:pageBreakBefore w:val="0"/>
        <w:kinsoku/>
        <w:overflowPunct/>
        <w:bidi w:val="0"/>
        <w:spacing w:beforeAutospacing="0" w:afterAutospacing="0" w:line="560" w:lineRule="exact"/>
        <w:ind w:left="0" w:leftChars="0" w:right="0"/>
        <w:rPr>
          <w:rFonts w:hint="eastAsia"/>
          <w:color w:val="auto"/>
          <w:highlight w:val="none"/>
        </w:rPr>
      </w:pPr>
    </w:p>
    <w:p w14:paraId="3553B395">
      <w:pPr>
        <w:pStyle w:val="36"/>
        <w:pageBreakBefore w:val="0"/>
        <w:kinsoku/>
        <w:overflowPunct/>
        <w:bidi w:val="0"/>
        <w:spacing w:beforeAutospacing="0" w:afterAutospacing="0" w:line="560" w:lineRule="exact"/>
        <w:ind w:left="0" w:leftChars="0" w:right="0"/>
        <w:rPr>
          <w:rFonts w:hint="eastAsia"/>
          <w:color w:val="auto"/>
          <w:highlight w:val="none"/>
        </w:rPr>
      </w:pPr>
    </w:p>
    <w:p w14:paraId="49D404FC">
      <w:pPr>
        <w:pStyle w:val="36"/>
        <w:pageBreakBefore w:val="0"/>
        <w:kinsoku/>
        <w:overflowPunct/>
        <w:bidi w:val="0"/>
        <w:spacing w:beforeAutospacing="0" w:afterAutospacing="0" w:line="560" w:lineRule="exact"/>
        <w:ind w:left="0" w:leftChars="0" w:right="0"/>
        <w:rPr>
          <w:rFonts w:hint="eastAsia"/>
          <w:color w:val="auto"/>
          <w:highlight w:val="none"/>
        </w:rPr>
      </w:pPr>
    </w:p>
    <w:p w14:paraId="4B98E4B6">
      <w:pPr>
        <w:pStyle w:val="36"/>
        <w:pageBreakBefore w:val="0"/>
        <w:kinsoku/>
        <w:overflowPunct/>
        <w:bidi w:val="0"/>
        <w:spacing w:beforeAutospacing="0" w:afterAutospacing="0" w:line="560" w:lineRule="exact"/>
        <w:ind w:left="0" w:leftChars="0" w:right="0"/>
        <w:rPr>
          <w:rFonts w:hint="eastAsia"/>
          <w:color w:val="auto"/>
          <w:highlight w:val="none"/>
        </w:rPr>
      </w:pPr>
    </w:p>
    <w:p w14:paraId="737FEDD3">
      <w:pPr>
        <w:pStyle w:val="36"/>
        <w:pageBreakBefore w:val="0"/>
        <w:kinsoku/>
        <w:overflowPunct/>
        <w:bidi w:val="0"/>
        <w:spacing w:beforeAutospacing="0" w:afterAutospacing="0" w:line="560" w:lineRule="exact"/>
        <w:ind w:left="0" w:leftChars="0" w:right="0"/>
        <w:rPr>
          <w:rFonts w:hint="eastAsia"/>
          <w:color w:val="auto"/>
          <w:highlight w:val="none"/>
        </w:rPr>
      </w:pPr>
    </w:p>
    <w:p w14:paraId="1C876135">
      <w:pPr>
        <w:pStyle w:val="36"/>
        <w:pageBreakBefore w:val="0"/>
        <w:kinsoku/>
        <w:overflowPunct/>
        <w:bidi w:val="0"/>
        <w:spacing w:beforeAutospacing="0" w:afterAutospacing="0" w:line="560" w:lineRule="exact"/>
        <w:ind w:left="0" w:leftChars="0" w:right="0"/>
        <w:rPr>
          <w:rFonts w:hint="eastAsia"/>
          <w:color w:val="auto"/>
          <w:highlight w:val="none"/>
        </w:rPr>
      </w:pPr>
    </w:p>
    <w:p w14:paraId="7E85C842">
      <w:pPr>
        <w:pStyle w:val="36"/>
        <w:pageBreakBefore w:val="0"/>
        <w:kinsoku/>
        <w:overflowPunct/>
        <w:bidi w:val="0"/>
        <w:spacing w:beforeAutospacing="0" w:afterAutospacing="0" w:line="560" w:lineRule="exact"/>
        <w:ind w:left="0" w:leftChars="0" w:right="0"/>
        <w:rPr>
          <w:rFonts w:hint="eastAsia"/>
          <w:color w:val="auto"/>
          <w:highlight w:val="none"/>
        </w:rPr>
      </w:pPr>
    </w:p>
    <w:p w14:paraId="4CBE3B0D">
      <w:pPr>
        <w:pStyle w:val="36"/>
        <w:pageBreakBefore w:val="0"/>
        <w:kinsoku/>
        <w:overflowPunct/>
        <w:bidi w:val="0"/>
        <w:spacing w:beforeAutospacing="0" w:afterAutospacing="0" w:line="560" w:lineRule="exact"/>
        <w:ind w:left="0" w:leftChars="0" w:right="0"/>
        <w:rPr>
          <w:rFonts w:hint="eastAsia"/>
          <w:color w:val="auto"/>
          <w:highlight w:val="none"/>
        </w:rPr>
      </w:pPr>
    </w:p>
    <w:p w14:paraId="2E6E451F">
      <w:pPr>
        <w:pStyle w:val="36"/>
        <w:pageBreakBefore w:val="0"/>
        <w:kinsoku/>
        <w:overflowPunct/>
        <w:bidi w:val="0"/>
        <w:spacing w:beforeAutospacing="0" w:afterAutospacing="0" w:line="560" w:lineRule="exact"/>
        <w:ind w:left="0" w:leftChars="0" w:right="0"/>
        <w:rPr>
          <w:rFonts w:hint="eastAsia"/>
          <w:color w:val="auto"/>
          <w:highlight w:val="none"/>
        </w:rPr>
      </w:pPr>
    </w:p>
    <w:p w14:paraId="38DC2C55">
      <w:pPr>
        <w:pStyle w:val="36"/>
        <w:pageBreakBefore w:val="0"/>
        <w:kinsoku/>
        <w:overflowPunct/>
        <w:bidi w:val="0"/>
        <w:spacing w:beforeAutospacing="0" w:afterAutospacing="0" w:line="560" w:lineRule="exact"/>
        <w:ind w:left="0" w:leftChars="0" w:right="0"/>
        <w:rPr>
          <w:rFonts w:hint="eastAsia"/>
          <w:color w:val="auto"/>
          <w:highlight w:val="none"/>
        </w:rPr>
      </w:pPr>
    </w:p>
    <w:p w14:paraId="04DAFD3C">
      <w:pPr>
        <w:pStyle w:val="36"/>
        <w:pageBreakBefore w:val="0"/>
        <w:kinsoku/>
        <w:overflowPunct/>
        <w:bidi w:val="0"/>
        <w:spacing w:beforeAutospacing="0" w:afterAutospacing="0" w:line="560" w:lineRule="exact"/>
        <w:ind w:left="0" w:leftChars="0" w:right="0"/>
        <w:rPr>
          <w:rFonts w:hint="eastAsia"/>
          <w:color w:val="auto"/>
          <w:highlight w:val="none"/>
        </w:rPr>
      </w:pPr>
    </w:p>
    <w:p w14:paraId="51E24CDC">
      <w:pPr>
        <w:pStyle w:val="36"/>
        <w:pageBreakBefore w:val="0"/>
        <w:kinsoku/>
        <w:overflowPunct/>
        <w:bidi w:val="0"/>
        <w:spacing w:beforeAutospacing="0" w:afterAutospacing="0" w:line="560" w:lineRule="exact"/>
        <w:ind w:left="0" w:leftChars="0" w:right="0"/>
        <w:rPr>
          <w:rFonts w:hint="eastAsia"/>
          <w:color w:val="auto"/>
          <w:highlight w:val="none"/>
        </w:rPr>
      </w:pPr>
    </w:p>
    <w:p w14:paraId="1AC1942E">
      <w:pPr>
        <w:pStyle w:val="36"/>
        <w:pageBreakBefore w:val="0"/>
        <w:kinsoku/>
        <w:overflowPunct/>
        <w:bidi w:val="0"/>
        <w:spacing w:beforeAutospacing="0" w:afterAutospacing="0" w:line="560" w:lineRule="exact"/>
        <w:ind w:left="0" w:leftChars="0" w:right="0"/>
        <w:rPr>
          <w:rFonts w:hint="eastAsia"/>
          <w:color w:val="auto"/>
          <w:highlight w:val="none"/>
        </w:rPr>
      </w:pPr>
    </w:p>
    <w:p w14:paraId="4722E259">
      <w:pPr>
        <w:pStyle w:val="36"/>
        <w:pageBreakBefore w:val="0"/>
        <w:kinsoku/>
        <w:overflowPunct/>
        <w:bidi w:val="0"/>
        <w:spacing w:beforeAutospacing="0" w:afterAutospacing="0" w:line="560" w:lineRule="exact"/>
        <w:ind w:left="0" w:leftChars="0" w:right="0"/>
        <w:rPr>
          <w:rFonts w:hint="eastAsia"/>
          <w:color w:val="auto"/>
          <w:highlight w:val="none"/>
        </w:rPr>
      </w:pPr>
    </w:p>
    <w:p w14:paraId="07033BD3">
      <w:pPr>
        <w:pStyle w:val="36"/>
        <w:pageBreakBefore w:val="0"/>
        <w:kinsoku/>
        <w:overflowPunct/>
        <w:bidi w:val="0"/>
        <w:spacing w:beforeAutospacing="0" w:afterAutospacing="0" w:line="560" w:lineRule="exact"/>
        <w:ind w:left="0" w:leftChars="0" w:right="0"/>
        <w:rPr>
          <w:rFonts w:hint="eastAsia"/>
          <w:color w:val="auto"/>
          <w:highlight w:val="none"/>
        </w:rPr>
      </w:pPr>
    </w:p>
    <w:p w14:paraId="6E1D094D">
      <w:pPr>
        <w:pStyle w:val="36"/>
        <w:pageBreakBefore w:val="0"/>
        <w:kinsoku/>
        <w:overflowPunct/>
        <w:bidi w:val="0"/>
        <w:spacing w:beforeAutospacing="0" w:afterAutospacing="0" w:line="560" w:lineRule="exact"/>
        <w:ind w:left="0" w:leftChars="0" w:right="0"/>
        <w:rPr>
          <w:rFonts w:hint="eastAsia"/>
          <w:color w:val="auto"/>
          <w:highlight w:val="none"/>
        </w:rPr>
      </w:pPr>
    </w:p>
    <w:p w14:paraId="23B0DB54">
      <w:pPr>
        <w:pStyle w:val="36"/>
        <w:pageBreakBefore w:val="0"/>
        <w:kinsoku/>
        <w:overflowPunct/>
        <w:bidi w:val="0"/>
        <w:spacing w:beforeAutospacing="0" w:afterAutospacing="0" w:line="560" w:lineRule="exact"/>
        <w:ind w:left="0" w:leftChars="0" w:right="0"/>
        <w:rPr>
          <w:rFonts w:hint="eastAsia"/>
          <w:color w:val="auto"/>
          <w:highlight w:val="none"/>
        </w:rPr>
      </w:pPr>
    </w:p>
    <w:p w14:paraId="07159DF6">
      <w:pPr>
        <w:pStyle w:val="36"/>
        <w:pageBreakBefore w:val="0"/>
        <w:kinsoku/>
        <w:overflowPunct/>
        <w:bidi w:val="0"/>
        <w:spacing w:beforeAutospacing="0" w:afterAutospacing="0" w:line="560" w:lineRule="exact"/>
        <w:ind w:left="0" w:leftChars="0" w:right="0"/>
        <w:rPr>
          <w:rFonts w:hint="eastAsia"/>
          <w:color w:val="auto"/>
          <w:highlight w:val="none"/>
        </w:rPr>
      </w:pPr>
    </w:p>
    <w:p w14:paraId="44B3A5AA">
      <w:pPr>
        <w:pStyle w:val="36"/>
        <w:pageBreakBefore w:val="0"/>
        <w:kinsoku/>
        <w:overflowPunct/>
        <w:bidi w:val="0"/>
        <w:spacing w:beforeAutospacing="0" w:afterAutospacing="0" w:line="560" w:lineRule="exact"/>
        <w:ind w:left="0" w:leftChars="0" w:right="0"/>
        <w:rPr>
          <w:rFonts w:hint="eastAsia"/>
          <w:color w:val="auto"/>
          <w:highlight w:val="none"/>
        </w:rPr>
      </w:pPr>
    </w:p>
    <w:p w14:paraId="05BB178A">
      <w:pPr>
        <w:pStyle w:val="36"/>
        <w:pageBreakBefore w:val="0"/>
        <w:kinsoku/>
        <w:overflowPunct/>
        <w:bidi w:val="0"/>
        <w:spacing w:beforeAutospacing="0" w:afterAutospacing="0" w:line="560" w:lineRule="exact"/>
        <w:ind w:left="0" w:leftChars="0" w:right="0"/>
        <w:rPr>
          <w:rFonts w:hint="eastAsia"/>
          <w:color w:val="auto"/>
          <w:highlight w:val="none"/>
        </w:rPr>
      </w:pPr>
    </w:p>
    <w:p w14:paraId="0E7980AB">
      <w:pPr>
        <w:pStyle w:val="36"/>
        <w:pageBreakBefore w:val="0"/>
        <w:kinsoku/>
        <w:overflowPunct/>
        <w:bidi w:val="0"/>
        <w:spacing w:beforeAutospacing="0" w:afterAutospacing="0" w:line="560" w:lineRule="exact"/>
        <w:ind w:left="0" w:leftChars="0" w:right="0"/>
        <w:rPr>
          <w:rFonts w:hint="eastAsia"/>
          <w:color w:val="auto"/>
          <w:highlight w:val="none"/>
        </w:rPr>
      </w:pPr>
    </w:p>
    <w:p w14:paraId="202CB8C4">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73A003D2">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7773B439">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2E04646F">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jc w:val="center"/>
        <w:textAlignment w:val="auto"/>
        <w:rPr>
          <w:color w:val="auto"/>
          <w:sz w:val="21"/>
          <w:szCs w:val="24"/>
          <w:highlight w:val="none"/>
        </w:rPr>
      </w:pPr>
    </w:p>
    <w:p w14:paraId="71180696">
      <w:pPr>
        <w:pStyle w:val="3"/>
        <w:pageBreakBefore w:val="0"/>
        <w:widowControl w:val="0"/>
        <w:kinsoku/>
        <w:wordWrap/>
        <w:overflowPunct/>
        <w:topLinePunct w:val="0"/>
        <w:bidi w:val="0"/>
        <w:snapToGrid/>
        <w:spacing w:before="0" w:beforeAutospacing="0" w:after="0" w:afterAutospacing="0" w:line="1000" w:lineRule="exact"/>
        <w:ind w:left="0" w:leftChars="0" w:right="0"/>
        <w:jc w:val="center"/>
        <w:textAlignment w:val="auto"/>
        <w:rPr>
          <w:sz w:val="84"/>
          <w:szCs w:val="84"/>
        </w:rPr>
      </w:pPr>
      <w:bookmarkStart w:id="785" w:name="_Toc19075"/>
      <w:r>
        <w:rPr>
          <w:rFonts w:hint="eastAsia"/>
          <w:sz w:val="84"/>
          <w:szCs w:val="84"/>
        </w:rPr>
        <w:t>投 标 文 件</w:t>
      </w:r>
      <w:bookmarkEnd w:id="785"/>
    </w:p>
    <w:p w14:paraId="31C74C30">
      <w:pPr>
        <w:pStyle w:val="3"/>
        <w:pageBreakBefore w:val="0"/>
        <w:widowControl w:val="0"/>
        <w:kinsoku/>
        <w:wordWrap/>
        <w:overflowPunct/>
        <w:topLinePunct w:val="0"/>
        <w:bidi w:val="0"/>
        <w:snapToGrid/>
        <w:spacing w:before="0" w:beforeAutospacing="0" w:after="0" w:afterAutospacing="0" w:line="1000" w:lineRule="exact"/>
        <w:ind w:left="0" w:leftChars="0" w:right="0"/>
        <w:jc w:val="center"/>
        <w:textAlignment w:val="auto"/>
        <w:rPr>
          <w:rFonts w:hint="eastAsia"/>
          <w:sz w:val="56"/>
          <w:szCs w:val="56"/>
          <w:lang w:val="en-US" w:eastAsia="zh-CN"/>
        </w:rPr>
      </w:pPr>
      <w:bookmarkStart w:id="786" w:name="_Toc11387"/>
      <w:r>
        <w:rPr>
          <w:rFonts w:hint="eastAsia"/>
          <w:sz w:val="56"/>
          <w:szCs w:val="56"/>
          <w:lang w:val="en-US" w:eastAsia="zh-CN"/>
        </w:rPr>
        <w:t>报价文件</w:t>
      </w:r>
      <w:bookmarkEnd w:id="786"/>
    </w:p>
    <w:p w14:paraId="2C10D330">
      <w:pPr>
        <w:pageBreakBefore w:val="0"/>
        <w:kinsoku/>
        <w:overflowPunct/>
        <w:autoSpaceDE w:val="0"/>
        <w:autoSpaceDN w:val="0"/>
        <w:bidi w:val="0"/>
        <w:adjustRightInd w:val="0"/>
        <w:spacing w:beforeAutospacing="0" w:afterAutospacing="0" w:line="560" w:lineRule="exact"/>
        <w:ind w:left="0" w:leftChars="0" w:right="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01ADA03">
      <w:pPr>
        <w:pStyle w:val="3"/>
        <w:pageBreakBefore w:val="0"/>
        <w:kinsoku/>
        <w:overflowPunct/>
        <w:bidi w:val="0"/>
        <w:spacing w:before="0" w:beforeAutospacing="0" w:after="0" w:afterAutospacing="0" w:line="560" w:lineRule="exact"/>
        <w:ind w:left="0" w:leftChars="0" w:right="0"/>
        <w:rPr>
          <w:color w:val="auto"/>
          <w:sz w:val="21"/>
          <w:szCs w:val="21"/>
          <w:highlight w:val="none"/>
        </w:rPr>
      </w:pPr>
    </w:p>
    <w:p w14:paraId="4800F1E7">
      <w:pPr>
        <w:pageBreakBefore w:val="0"/>
        <w:kinsoku/>
        <w:overflowPunct/>
        <w:bidi w:val="0"/>
        <w:spacing w:beforeAutospacing="0" w:afterAutospacing="0" w:line="560" w:lineRule="exact"/>
        <w:ind w:left="0" w:leftChars="0" w:right="0"/>
        <w:rPr>
          <w:color w:val="auto"/>
          <w:sz w:val="21"/>
          <w:szCs w:val="21"/>
          <w:highlight w:val="none"/>
        </w:rPr>
      </w:pPr>
    </w:p>
    <w:p w14:paraId="4053884F">
      <w:pPr>
        <w:pageBreakBefore w:val="0"/>
        <w:kinsoku/>
        <w:overflowPunct/>
        <w:bidi w:val="0"/>
        <w:spacing w:beforeAutospacing="0" w:afterAutospacing="0" w:line="560" w:lineRule="exact"/>
        <w:ind w:left="0" w:leftChars="0" w:right="0"/>
        <w:rPr>
          <w:color w:val="auto"/>
          <w:highlight w:val="none"/>
        </w:rPr>
      </w:pPr>
    </w:p>
    <w:p w14:paraId="5EABB570">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4C687ECE">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6F475132">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173F70E">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01680F9">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3B6644C">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01F64B59">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1DC21250">
      <w:pPr>
        <w:pageBreakBefore w:val="0"/>
        <w:kinsoku/>
        <w:overflowPunct/>
        <w:bidi w:val="0"/>
        <w:spacing w:beforeAutospacing="0" w:afterAutospacing="0" w:line="560" w:lineRule="exact"/>
        <w:ind w:left="0" w:leftChars="0" w:right="0"/>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2B025C97">
      <w:pPr>
        <w:pageBreakBefore w:val="0"/>
        <w:kinsoku/>
        <w:overflowPunct/>
        <w:bidi w:val="0"/>
        <w:spacing w:beforeAutospacing="0" w:afterAutospacing="0" w:line="560" w:lineRule="exact"/>
        <w:ind w:left="0" w:leftChars="0" w:right="0"/>
        <w:rPr>
          <w:color w:val="auto"/>
          <w:highlight w:val="none"/>
          <w:lang w:val="zh-CN"/>
        </w:rPr>
      </w:pPr>
      <w:r>
        <w:rPr>
          <w:color w:val="auto"/>
          <w:highlight w:val="none"/>
          <w:lang w:val="zh-CN"/>
        </w:rPr>
        <w:br w:type="page"/>
      </w:r>
    </w:p>
    <w:p w14:paraId="5A6B7717">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cstheme="majorBidi"/>
          <w:b/>
          <w:bCs/>
          <w:color w:val="auto"/>
          <w:kern w:val="2"/>
          <w:sz w:val="32"/>
          <w:szCs w:val="32"/>
          <w:highlight w:val="none"/>
          <w:lang w:val="en-US" w:eastAsia="zh-CN" w:bidi="ar-SA"/>
        </w:rPr>
      </w:pPr>
    </w:p>
    <w:p w14:paraId="730DA0B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cstheme="majorBidi"/>
          <w:b/>
          <w:bCs/>
          <w:color w:val="auto"/>
          <w:kern w:val="2"/>
          <w:sz w:val="32"/>
          <w:szCs w:val="32"/>
          <w:highlight w:val="none"/>
          <w:lang w:val="en-US" w:eastAsia="zh-CN" w:bidi="ar-SA"/>
        </w:rPr>
      </w:pPr>
      <w:bookmarkStart w:id="787" w:name="_Toc28928"/>
      <w:r>
        <w:rPr>
          <w:rFonts w:hint="eastAsia" w:cstheme="majorBidi"/>
          <w:b/>
          <w:bCs/>
          <w:color w:val="auto"/>
          <w:kern w:val="2"/>
          <w:sz w:val="32"/>
          <w:szCs w:val="32"/>
          <w:highlight w:val="none"/>
          <w:lang w:val="en-US" w:eastAsia="zh-CN" w:bidi="ar-SA"/>
        </w:rPr>
        <w:t>一、开标一览表</w:t>
      </w:r>
      <w:bookmarkEnd w:id="787"/>
    </w:p>
    <w:p w14:paraId="2AB3D72A">
      <w:pPr>
        <w:pageBreakBefore w:val="0"/>
        <w:kinsoku/>
        <w:overflowPunct/>
        <w:bidi w:val="0"/>
        <w:spacing w:beforeAutospacing="0" w:afterAutospacing="0" w:line="560" w:lineRule="exact"/>
        <w:ind w:left="0" w:leftChars="0" w:right="0"/>
        <w:rPr>
          <w:rFonts w:cs="仿宋_GB2312"/>
          <w:color w:val="auto"/>
          <w:szCs w:val="24"/>
          <w:highlight w:val="none"/>
        </w:rPr>
      </w:pPr>
    </w:p>
    <w:p w14:paraId="33486E36">
      <w:pPr>
        <w:pageBreakBefore w:val="0"/>
        <w:kinsoku/>
        <w:overflowPunct/>
        <w:bidi w:val="0"/>
        <w:spacing w:beforeAutospacing="0" w:afterAutospacing="0" w:line="560" w:lineRule="exact"/>
        <w:ind w:left="0" w:leftChars="0" w:right="0"/>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p>
    <w:p w14:paraId="5940ECBC">
      <w:pPr>
        <w:pageBreakBefore w:val="0"/>
        <w:kinsoku/>
        <w:overflowPunct/>
        <w:bidi w:val="0"/>
        <w:spacing w:beforeAutospacing="0" w:afterAutospacing="0" w:line="560" w:lineRule="exact"/>
        <w:ind w:left="0" w:leftChars="0" w:right="0"/>
        <w:rPr>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29"/>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787"/>
        <w:gridCol w:w="1888"/>
        <w:gridCol w:w="1987"/>
        <w:gridCol w:w="2338"/>
      </w:tblGrid>
      <w:tr w14:paraId="16426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721" w:type="dxa"/>
            <w:vAlign w:val="center"/>
          </w:tcPr>
          <w:p w14:paraId="09266AC3">
            <w:pPr>
              <w:pageBreakBefore w:val="0"/>
              <w:widowControl/>
              <w:kinsoku/>
              <w:overflowPunct/>
              <w:autoSpaceDE w:val="0"/>
              <w:autoSpaceDN w:val="0"/>
              <w:bidi w:val="0"/>
              <w:spacing w:beforeAutospacing="0" w:afterAutospacing="0" w:line="560" w:lineRule="exact"/>
              <w:ind w:right="0" w:rightChars="0"/>
              <w:jc w:val="both"/>
              <w:textAlignment w:val="bottom"/>
              <w:rPr>
                <w:color w:val="auto"/>
                <w:sz w:val="24"/>
                <w:szCs w:val="24"/>
                <w:highlight w:val="none"/>
              </w:rPr>
            </w:pPr>
            <w:r>
              <w:rPr>
                <w:rFonts w:hint="eastAsia"/>
                <w:color w:val="auto"/>
                <w:sz w:val="24"/>
                <w:szCs w:val="24"/>
                <w:highlight w:val="none"/>
              </w:rPr>
              <w:t>序号</w:t>
            </w:r>
          </w:p>
        </w:tc>
        <w:tc>
          <w:tcPr>
            <w:tcW w:w="1787" w:type="dxa"/>
            <w:vAlign w:val="center"/>
          </w:tcPr>
          <w:p w14:paraId="6AC30526">
            <w:pPr>
              <w:pageBreakBefore w:val="0"/>
              <w:widowControl/>
              <w:kinsoku/>
              <w:overflowPunct/>
              <w:autoSpaceDE w:val="0"/>
              <w:autoSpaceDN w:val="0"/>
              <w:bidi w:val="0"/>
              <w:spacing w:beforeAutospacing="0" w:afterAutospacing="0" w:line="560" w:lineRule="exact"/>
              <w:ind w:right="0" w:rightChars="0" w:firstLine="240" w:firstLineChars="100"/>
              <w:jc w:val="both"/>
              <w:textAlignment w:val="bottom"/>
              <w:rPr>
                <w:color w:val="auto"/>
                <w:sz w:val="24"/>
                <w:szCs w:val="24"/>
                <w:highlight w:val="none"/>
              </w:rPr>
            </w:pPr>
            <w:r>
              <w:rPr>
                <w:rFonts w:hint="eastAsia"/>
                <w:color w:val="auto"/>
                <w:sz w:val="24"/>
                <w:szCs w:val="24"/>
                <w:highlight w:val="none"/>
              </w:rPr>
              <w:t>投标报价</w:t>
            </w:r>
          </w:p>
        </w:tc>
        <w:tc>
          <w:tcPr>
            <w:tcW w:w="1888" w:type="dxa"/>
            <w:vAlign w:val="center"/>
          </w:tcPr>
          <w:p w14:paraId="6EE31E45">
            <w:pPr>
              <w:pageBreakBefore w:val="0"/>
              <w:widowControl/>
              <w:kinsoku/>
              <w:overflowPunct/>
              <w:autoSpaceDE w:val="0"/>
              <w:autoSpaceDN w:val="0"/>
              <w:bidi w:val="0"/>
              <w:spacing w:beforeAutospacing="0" w:afterAutospacing="0" w:line="560" w:lineRule="exact"/>
              <w:ind w:left="0" w:leftChars="0" w:right="0" w:rightChars="0" w:firstLine="480" w:firstLineChars="200"/>
              <w:jc w:val="both"/>
              <w:textAlignment w:val="bottom"/>
              <w:rPr>
                <w:color w:val="auto"/>
                <w:sz w:val="24"/>
                <w:szCs w:val="24"/>
                <w:highlight w:val="none"/>
              </w:rPr>
            </w:pPr>
            <w:r>
              <w:rPr>
                <w:rFonts w:hint="eastAsia"/>
                <w:color w:val="auto"/>
                <w:sz w:val="24"/>
                <w:szCs w:val="24"/>
                <w:highlight w:val="none"/>
                <w:lang w:val="en-US" w:eastAsia="zh-CN"/>
              </w:rPr>
              <w:t>服务</w:t>
            </w:r>
            <w:r>
              <w:rPr>
                <w:rFonts w:hint="eastAsia"/>
                <w:color w:val="auto"/>
                <w:sz w:val="24"/>
                <w:szCs w:val="24"/>
                <w:highlight w:val="none"/>
              </w:rPr>
              <w:t>期限</w:t>
            </w:r>
          </w:p>
        </w:tc>
        <w:tc>
          <w:tcPr>
            <w:tcW w:w="1987" w:type="dxa"/>
            <w:vAlign w:val="center"/>
          </w:tcPr>
          <w:p w14:paraId="5CB27188">
            <w:pPr>
              <w:pageBreakBefore w:val="0"/>
              <w:widowControl/>
              <w:kinsoku/>
              <w:overflowPunct/>
              <w:autoSpaceDE w:val="0"/>
              <w:autoSpaceDN w:val="0"/>
              <w:bidi w:val="0"/>
              <w:spacing w:beforeAutospacing="0" w:afterAutospacing="0" w:line="560" w:lineRule="exact"/>
              <w:ind w:right="0" w:rightChars="0"/>
              <w:jc w:val="both"/>
              <w:textAlignment w:val="bottom"/>
              <w:rPr>
                <w:rFonts w:hint="default"/>
                <w:color w:val="auto"/>
                <w:sz w:val="24"/>
                <w:szCs w:val="24"/>
                <w:highlight w:val="none"/>
                <w:lang w:val="en-US" w:eastAsia="zh-CN"/>
              </w:rPr>
            </w:pPr>
            <w:r>
              <w:rPr>
                <w:rFonts w:hint="eastAsia"/>
                <w:color w:val="auto"/>
                <w:sz w:val="24"/>
                <w:szCs w:val="24"/>
                <w:highlight w:val="none"/>
                <w:lang w:val="en-US" w:eastAsia="zh-CN"/>
              </w:rPr>
              <w:t>投标保证金（元）</w:t>
            </w:r>
          </w:p>
        </w:tc>
        <w:tc>
          <w:tcPr>
            <w:tcW w:w="2338" w:type="dxa"/>
            <w:vAlign w:val="center"/>
          </w:tcPr>
          <w:p w14:paraId="4DFAFA24">
            <w:pPr>
              <w:pageBreakBefore w:val="0"/>
              <w:widowControl/>
              <w:kinsoku/>
              <w:overflowPunct/>
              <w:autoSpaceDE w:val="0"/>
              <w:autoSpaceDN w:val="0"/>
              <w:bidi w:val="0"/>
              <w:spacing w:beforeAutospacing="0" w:afterAutospacing="0" w:line="560" w:lineRule="exact"/>
              <w:ind w:left="0" w:leftChars="0" w:right="0" w:rightChars="0" w:firstLine="480" w:firstLineChars="200"/>
              <w:jc w:val="center"/>
              <w:textAlignment w:val="bottom"/>
              <w:rPr>
                <w:color w:val="auto"/>
                <w:sz w:val="24"/>
                <w:szCs w:val="24"/>
                <w:highlight w:val="none"/>
              </w:rPr>
            </w:pPr>
            <w:r>
              <w:rPr>
                <w:rFonts w:hint="eastAsia"/>
                <w:color w:val="auto"/>
                <w:sz w:val="24"/>
                <w:szCs w:val="24"/>
                <w:highlight w:val="none"/>
              </w:rPr>
              <w:t>备注（如有）</w:t>
            </w:r>
          </w:p>
        </w:tc>
      </w:tr>
      <w:tr w14:paraId="749B5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721" w:type="dxa"/>
            <w:vAlign w:val="center"/>
          </w:tcPr>
          <w:p w14:paraId="6E044C7C">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c>
          <w:tcPr>
            <w:tcW w:w="1787" w:type="dxa"/>
            <w:vAlign w:val="center"/>
          </w:tcPr>
          <w:p w14:paraId="3BACAB84">
            <w:pPr>
              <w:pageBreakBefore w:val="0"/>
              <w:widowControl/>
              <w:kinsoku/>
              <w:overflowPunct/>
              <w:autoSpaceDE w:val="0"/>
              <w:autoSpaceDN w:val="0"/>
              <w:bidi w:val="0"/>
              <w:spacing w:beforeAutospacing="0" w:afterAutospacing="0" w:line="560" w:lineRule="exact"/>
              <w:ind w:left="0" w:leftChars="0" w:right="0" w:rightChars="0" w:firstLine="480" w:firstLineChars="200"/>
              <w:jc w:val="both"/>
              <w:textAlignment w:val="bottom"/>
              <w:rPr>
                <w:rFonts w:hint="eastAsia"/>
                <w:color w:val="auto"/>
                <w:sz w:val="24"/>
                <w:szCs w:val="24"/>
                <w:highlight w:val="none"/>
                <w:lang w:val="en-US" w:eastAsia="zh-CN"/>
              </w:rPr>
            </w:pPr>
            <w:r>
              <w:rPr>
                <w:rFonts w:hint="eastAsia"/>
                <w:color w:val="auto"/>
                <w:sz w:val="24"/>
                <w:szCs w:val="24"/>
                <w:highlight w:val="none"/>
                <w:lang w:val="en-US" w:eastAsia="zh-CN"/>
              </w:rPr>
              <w:t>小写：</w:t>
            </w:r>
          </w:p>
          <w:p w14:paraId="3A9009E3">
            <w:pPr>
              <w:pageBreakBefore w:val="0"/>
              <w:kinsoku/>
              <w:overflowPunct/>
              <w:bidi w:val="0"/>
              <w:spacing w:beforeAutospacing="0" w:afterAutospacing="0" w:line="560" w:lineRule="exact"/>
              <w:ind w:left="0" w:leftChars="0" w:right="0" w:rightChars="0" w:firstLine="480" w:firstLineChars="200"/>
              <w:jc w:val="both"/>
              <w:rPr>
                <w:color w:val="auto"/>
                <w:sz w:val="24"/>
                <w:szCs w:val="24"/>
                <w:highlight w:val="none"/>
              </w:rPr>
            </w:pPr>
            <w:r>
              <w:rPr>
                <w:rFonts w:hint="eastAsia"/>
                <w:color w:val="auto"/>
                <w:sz w:val="24"/>
                <w:szCs w:val="24"/>
                <w:highlight w:val="none"/>
                <w:lang w:val="en-US" w:eastAsia="zh-CN"/>
              </w:rPr>
              <w:t>大写：</w:t>
            </w:r>
          </w:p>
        </w:tc>
        <w:tc>
          <w:tcPr>
            <w:tcW w:w="1888" w:type="dxa"/>
            <w:vAlign w:val="center"/>
          </w:tcPr>
          <w:p w14:paraId="615A34F1">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c>
          <w:tcPr>
            <w:tcW w:w="1987" w:type="dxa"/>
            <w:vAlign w:val="center"/>
          </w:tcPr>
          <w:p w14:paraId="60259EF0">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c>
          <w:tcPr>
            <w:tcW w:w="2338" w:type="dxa"/>
            <w:vAlign w:val="center"/>
          </w:tcPr>
          <w:p w14:paraId="4184A1E9">
            <w:pPr>
              <w:pageBreakBefore w:val="0"/>
              <w:kinsoku/>
              <w:overflowPunct/>
              <w:bidi w:val="0"/>
              <w:spacing w:beforeAutospacing="0" w:afterAutospacing="0" w:line="560" w:lineRule="exact"/>
              <w:ind w:left="0" w:leftChars="0" w:right="0" w:rightChars="0" w:firstLine="480" w:firstLineChars="200"/>
              <w:jc w:val="center"/>
              <w:rPr>
                <w:color w:val="auto"/>
                <w:sz w:val="24"/>
                <w:szCs w:val="24"/>
                <w:highlight w:val="none"/>
              </w:rPr>
            </w:pPr>
          </w:p>
        </w:tc>
      </w:tr>
    </w:tbl>
    <w:p w14:paraId="226A313B">
      <w:pPr>
        <w:pageBreakBefore w:val="0"/>
        <w:kinsoku/>
        <w:overflowPunct/>
        <w:bidi w:val="0"/>
        <w:spacing w:beforeAutospacing="0" w:afterAutospacing="0" w:line="560" w:lineRule="exact"/>
        <w:ind w:left="0" w:leftChars="0" w:right="0"/>
        <w:rPr>
          <w:rFonts w:ascii="Arial" w:hAnsi="Arial" w:cs="Arial"/>
          <w:color w:val="auto"/>
          <w:szCs w:val="21"/>
          <w:highlight w:val="none"/>
          <w:u w:val="single"/>
        </w:rPr>
      </w:pPr>
    </w:p>
    <w:p w14:paraId="0270EFB4">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6302F8A6">
      <w:pPr>
        <w:pageBreakBefore w:val="0"/>
        <w:kinsoku/>
        <w:overflowPunct/>
        <w:bidi w:val="0"/>
        <w:spacing w:beforeAutospacing="0" w:afterAutospacing="0" w:line="560" w:lineRule="exact"/>
        <w:ind w:left="0" w:leftChars="0" w:right="0"/>
        <w:rPr>
          <w:rFonts w:ascii="Arial" w:hAnsi="Arial" w:cs="Arial"/>
          <w:color w:val="auto"/>
          <w:szCs w:val="21"/>
          <w:highlight w:val="none"/>
          <w:u w:val="single"/>
        </w:rPr>
      </w:pPr>
      <w:r>
        <w:rPr>
          <w:rFonts w:ascii="Arial" w:hAnsi="Arial" w:cs="Arial"/>
          <w:color w:val="auto"/>
          <w:szCs w:val="21"/>
          <w:highlight w:val="none"/>
        </w:rPr>
        <w:t>日期：</w:t>
      </w:r>
    </w:p>
    <w:p w14:paraId="722CC087">
      <w:pPr>
        <w:pageBreakBefore w:val="0"/>
        <w:kinsoku/>
        <w:overflowPunct/>
        <w:bidi w:val="0"/>
        <w:spacing w:beforeAutospacing="0" w:afterAutospacing="0" w:line="560" w:lineRule="exact"/>
        <w:ind w:left="0" w:leftChars="0" w:right="0"/>
        <w:rPr>
          <w:rFonts w:cs="Arial"/>
          <w:color w:val="auto"/>
          <w:szCs w:val="24"/>
          <w:highlight w:val="none"/>
        </w:rPr>
      </w:pPr>
    </w:p>
    <w:p w14:paraId="21BB3A26">
      <w:pPr>
        <w:pStyle w:val="13"/>
        <w:pageBreakBefore w:val="0"/>
        <w:kinsoku/>
        <w:overflowPunct/>
        <w:bidi w:val="0"/>
        <w:spacing w:beforeAutospacing="0" w:after="0" w:afterAutospacing="0" w:line="560" w:lineRule="exact"/>
        <w:ind w:left="0" w:leftChars="0" w:right="0"/>
        <w:rPr>
          <w:rFonts w:cs="Arial"/>
          <w:color w:val="auto"/>
          <w:szCs w:val="24"/>
          <w:highlight w:val="none"/>
        </w:rPr>
      </w:pPr>
    </w:p>
    <w:p w14:paraId="4C551945">
      <w:pPr>
        <w:pStyle w:val="13"/>
        <w:pageBreakBefore w:val="0"/>
        <w:kinsoku/>
        <w:overflowPunct/>
        <w:bidi w:val="0"/>
        <w:spacing w:beforeAutospacing="0" w:after="0" w:afterAutospacing="0" w:line="560" w:lineRule="exact"/>
        <w:ind w:left="0" w:leftChars="0" w:right="0"/>
        <w:rPr>
          <w:rFonts w:cs="Arial"/>
          <w:color w:val="auto"/>
          <w:szCs w:val="24"/>
          <w:highlight w:val="none"/>
        </w:rPr>
      </w:pPr>
    </w:p>
    <w:p w14:paraId="09ACCEBB">
      <w:pPr>
        <w:pStyle w:val="13"/>
        <w:pageBreakBefore w:val="0"/>
        <w:kinsoku/>
        <w:overflowPunct/>
        <w:bidi w:val="0"/>
        <w:spacing w:beforeAutospacing="0" w:after="0" w:afterAutospacing="0" w:line="560" w:lineRule="exact"/>
        <w:ind w:left="0" w:leftChars="0" w:right="0"/>
        <w:rPr>
          <w:rFonts w:cs="Arial"/>
          <w:color w:val="auto"/>
          <w:szCs w:val="24"/>
          <w:highlight w:val="none"/>
        </w:rPr>
      </w:pPr>
    </w:p>
    <w:p w14:paraId="54CAC625">
      <w:pPr>
        <w:pStyle w:val="13"/>
        <w:pageBreakBefore w:val="0"/>
        <w:kinsoku/>
        <w:overflowPunct/>
        <w:bidi w:val="0"/>
        <w:spacing w:beforeAutospacing="0" w:after="0" w:afterAutospacing="0" w:line="560" w:lineRule="exact"/>
        <w:ind w:left="0" w:leftChars="0" w:right="0"/>
        <w:rPr>
          <w:rFonts w:cs="Arial"/>
          <w:color w:val="auto"/>
          <w:szCs w:val="24"/>
          <w:highlight w:val="none"/>
        </w:rPr>
      </w:pPr>
    </w:p>
    <w:p w14:paraId="5D119674">
      <w:pPr>
        <w:pageBreakBefore w:val="0"/>
        <w:kinsoku/>
        <w:overflowPunct/>
        <w:bidi w:val="0"/>
        <w:spacing w:beforeAutospacing="0" w:afterAutospacing="0" w:line="560" w:lineRule="exact"/>
        <w:ind w:left="0" w:leftChars="0" w:right="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7BF32AC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1.此表用于开标唱标之用。</w:t>
      </w:r>
    </w:p>
    <w:p w14:paraId="7C885789">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2.表中投标报价即为优惠后报价，并作为评审及定标依据。任何有选择或有条件的投标报价，或者表中某一包填写多个报价，均为无效报价。</w:t>
      </w:r>
    </w:p>
    <w:p w14:paraId="3B3B887F">
      <w:pPr>
        <w:pStyle w:val="13"/>
        <w:pageBreakBefore w:val="0"/>
        <w:kinsoku/>
        <w:overflowPunct/>
        <w:bidi w:val="0"/>
        <w:spacing w:beforeAutospacing="0" w:after="0" w:afterAutospacing="0" w:line="560" w:lineRule="exact"/>
        <w:ind w:left="0" w:leftChars="0" w:right="0" w:firstLine="420" w:firstLineChars="200"/>
        <w:rPr>
          <w:rFonts w:hint="eastAsia" w:ascii="宋体" w:hAnsi="宋体" w:eastAsia="宋体" w:cs="宋体"/>
          <w:color w:val="auto"/>
          <w:sz w:val="24"/>
          <w:szCs w:val="24"/>
          <w:highlight w:val="none"/>
        </w:rPr>
        <w:sectPr>
          <w:pgSz w:w="11905" w:h="16840"/>
          <w:pgMar w:top="1440" w:right="1797" w:bottom="1440" w:left="1797" w:header="851" w:footer="850" w:gutter="0"/>
          <w:pgBorders>
            <w:top w:val="none" w:sz="0" w:space="0"/>
            <w:left w:val="none" w:sz="0" w:space="0"/>
            <w:bottom w:val="none" w:sz="0" w:space="0"/>
            <w:right w:val="none" w:sz="0" w:space="0"/>
          </w:pgBorders>
          <w:pgNumType w:fmt="numberInDash"/>
          <w:cols w:space="720" w:num="1"/>
        </w:sect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.表中大写与小写不一致的，以大写为准。</w:t>
      </w:r>
    </w:p>
    <w:p w14:paraId="7B2B178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cstheme="majorBidi"/>
          <w:b/>
          <w:bCs/>
          <w:color w:val="auto"/>
          <w:kern w:val="2"/>
          <w:sz w:val="32"/>
          <w:szCs w:val="32"/>
          <w:highlight w:val="none"/>
          <w:lang w:val="en-US" w:eastAsia="zh-CN" w:bidi="ar-SA"/>
        </w:rPr>
      </w:pPr>
      <w:bookmarkStart w:id="788" w:name="_Toc17062"/>
      <w:r>
        <w:rPr>
          <w:rFonts w:hint="eastAsia" w:cstheme="majorBidi"/>
          <w:b/>
          <w:bCs/>
          <w:color w:val="auto"/>
          <w:kern w:val="2"/>
          <w:sz w:val="32"/>
          <w:szCs w:val="32"/>
          <w:highlight w:val="none"/>
          <w:lang w:val="en-US" w:eastAsia="zh-CN" w:bidi="ar-SA"/>
        </w:rPr>
        <w:t>二、分项报价表</w:t>
      </w:r>
      <w:bookmarkEnd w:id="788"/>
    </w:p>
    <w:p w14:paraId="25D833CC">
      <w:pPr>
        <w:pageBreakBefore w:val="0"/>
        <w:kinsoku/>
        <w:overflowPunct/>
        <w:bidi w:val="0"/>
        <w:spacing w:beforeAutospacing="0" w:afterAutospacing="0" w:line="560" w:lineRule="exact"/>
        <w:ind w:left="0" w:leftChars="0" w:right="0"/>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u w:val="single"/>
          <w:lang w:val="zh-CN"/>
        </w:rPr>
        <w:t xml:space="preserve">   </w:t>
      </w:r>
    </w:p>
    <w:p w14:paraId="6FFFD51E">
      <w:pPr>
        <w:pageBreakBefore w:val="0"/>
        <w:kinsoku/>
        <w:overflowPunct/>
        <w:bidi w:val="0"/>
        <w:spacing w:beforeAutospacing="0" w:afterAutospacing="0" w:line="560" w:lineRule="exact"/>
        <w:ind w:left="0" w:leftChars="0" w:right="0"/>
        <w:rPr>
          <w:rFonts w:hint="eastAsia"/>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29"/>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14:paraId="64BB0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0359B3E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720" w:type="dxa"/>
            <w:vAlign w:val="center"/>
          </w:tcPr>
          <w:p w14:paraId="088C5C1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p>
        </w:tc>
        <w:tc>
          <w:tcPr>
            <w:tcW w:w="1065" w:type="dxa"/>
            <w:vAlign w:val="center"/>
          </w:tcPr>
          <w:p w14:paraId="73E9587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w:t>
            </w:r>
          </w:p>
        </w:tc>
        <w:tc>
          <w:tcPr>
            <w:tcW w:w="1065" w:type="dxa"/>
            <w:vAlign w:val="center"/>
          </w:tcPr>
          <w:p w14:paraId="46AE39CD">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单价（元）</w:t>
            </w:r>
          </w:p>
        </w:tc>
        <w:tc>
          <w:tcPr>
            <w:tcW w:w="1066" w:type="dxa"/>
            <w:vAlign w:val="center"/>
          </w:tcPr>
          <w:p w14:paraId="39D5688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w:t>
            </w:r>
            <w:r>
              <w:rPr>
                <w:rFonts w:hint="eastAsia" w:ascii="宋体" w:hAnsi="宋体" w:eastAsia="宋体" w:cs="宋体"/>
                <w:color w:val="auto"/>
                <w:sz w:val="21"/>
                <w:szCs w:val="21"/>
                <w:highlight w:val="none"/>
              </w:rPr>
              <w:t>价</w:t>
            </w:r>
          </w:p>
        </w:tc>
        <w:tc>
          <w:tcPr>
            <w:tcW w:w="947" w:type="dxa"/>
            <w:vAlign w:val="center"/>
          </w:tcPr>
          <w:p w14:paraId="7A26779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467AA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A5FF6D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720" w:type="dxa"/>
            <w:vAlign w:val="center"/>
          </w:tcPr>
          <w:p w14:paraId="07A38CC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0D2CE28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47A98B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439055D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53350EE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10B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0E786E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720" w:type="dxa"/>
            <w:vAlign w:val="center"/>
          </w:tcPr>
          <w:p w14:paraId="19F1753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5FA2A257">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34862ED">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604070D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45B5286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0220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47A33D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3720" w:type="dxa"/>
            <w:vAlign w:val="center"/>
          </w:tcPr>
          <w:p w14:paraId="7605B56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2DB12A28">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17BFF74">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4B6F17D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1E8ED10E">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53CE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BB358B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3720" w:type="dxa"/>
            <w:vAlign w:val="center"/>
          </w:tcPr>
          <w:p w14:paraId="0B0031F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1A9AB90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20C40B8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7FDFD67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3C25936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1C61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0ED2AC16">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3720" w:type="dxa"/>
            <w:vAlign w:val="center"/>
          </w:tcPr>
          <w:p w14:paraId="2B6E991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4E951A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5D9FC8D6">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7745BDE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2F20BA2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4C0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69BF07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3720" w:type="dxa"/>
            <w:vAlign w:val="center"/>
          </w:tcPr>
          <w:p w14:paraId="63E7761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BA61A9A">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7DCA522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68A2799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33A904F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7BAB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68C2799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3720" w:type="dxa"/>
            <w:vAlign w:val="center"/>
          </w:tcPr>
          <w:p w14:paraId="7864625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2B4D906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A8DF27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54C5FBF7">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2690F47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7FCB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F06304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3720" w:type="dxa"/>
            <w:vAlign w:val="center"/>
          </w:tcPr>
          <w:p w14:paraId="7C3908A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62E8E8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F2704A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79394E0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5A8DCEE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D0BD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shd w:val="clear" w:color="auto" w:fill="auto"/>
            <w:vAlign w:val="center"/>
          </w:tcPr>
          <w:p w14:paraId="36B30C9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3720" w:type="dxa"/>
            <w:shd w:val="clear" w:color="auto" w:fill="auto"/>
            <w:vAlign w:val="center"/>
          </w:tcPr>
          <w:p w14:paraId="547CA85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1065" w:type="dxa"/>
            <w:vAlign w:val="center"/>
          </w:tcPr>
          <w:p w14:paraId="7B9DBE1E">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851C226">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3950545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14D910E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CABB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9727E8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3720" w:type="dxa"/>
            <w:vAlign w:val="center"/>
          </w:tcPr>
          <w:p w14:paraId="6E3D4C24">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其他费用</w:t>
            </w:r>
          </w:p>
        </w:tc>
        <w:tc>
          <w:tcPr>
            <w:tcW w:w="1065" w:type="dxa"/>
            <w:vAlign w:val="center"/>
          </w:tcPr>
          <w:p w14:paraId="34269FA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46717F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61629B6A">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7F337C5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09E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C355F28">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3720" w:type="dxa"/>
            <w:vAlign w:val="center"/>
          </w:tcPr>
          <w:p w14:paraId="5D4BF5AE">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65" w:type="dxa"/>
            <w:vAlign w:val="center"/>
          </w:tcPr>
          <w:p w14:paraId="3E6B6F3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02B6CE3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1502560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3911603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6F60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915" w:type="dxa"/>
            <w:gridSpan w:val="4"/>
            <w:vAlign w:val="center"/>
          </w:tcPr>
          <w:p w14:paraId="0EDD5DA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投标报价合计（元）</w:t>
            </w:r>
          </w:p>
        </w:tc>
        <w:tc>
          <w:tcPr>
            <w:tcW w:w="2013" w:type="dxa"/>
            <w:gridSpan w:val="2"/>
            <w:vAlign w:val="center"/>
          </w:tcPr>
          <w:p w14:paraId="0609C717">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62480CF8">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51101AF7">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投标人名称</w:t>
      </w:r>
      <w:r>
        <w:rPr>
          <w:rFonts w:hint="eastAsia" w:ascii="宋体" w:hAnsi="宋体" w:cs="宋体"/>
          <w:color w:val="auto"/>
          <w:kern w:val="0"/>
          <w:sz w:val="24"/>
          <w:highlight w:val="none"/>
          <w:lang w:val="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28F15BC4">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日期：</w:t>
      </w:r>
    </w:p>
    <w:p w14:paraId="19373AA9">
      <w:pPr>
        <w:pageBreakBefore w:val="0"/>
        <w:kinsoku/>
        <w:overflowPunct/>
        <w:bidi w:val="0"/>
        <w:spacing w:beforeAutospacing="0" w:afterAutospacing="0" w:line="560" w:lineRule="exact"/>
        <w:ind w:left="0" w:leftChars="0" w:right="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4681585F">
      <w:pPr>
        <w:pageBreakBefore w:val="0"/>
        <w:kinsoku/>
        <w:overflowPunct/>
        <w:bidi w:val="0"/>
        <w:spacing w:beforeAutospacing="0" w:afterAutospacing="0" w:line="560" w:lineRule="exact"/>
        <w:ind w:left="0" w:leftChars="0" w:right="0" w:firstLine="435"/>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lang w:val="en-US" w:eastAsia="zh-CN"/>
        </w:rPr>
        <w:t>按照本表填写的各项目的投标报价合计填写到</w:t>
      </w:r>
      <w:r>
        <w:rPr>
          <w:rFonts w:hint="eastAsia" w:ascii="宋体" w:hAnsi="宋体" w:eastAsia="宋体" w:cs="宋体"/>
          <w:color w:val="auto"/>
          <w:sz w:val="21"/>
          <w:szCs w:val="21"/>
          <w:highlight w:val="none"/>
          <w:lang w:val="en-US" w:eastAsia="zh-CN"/>
        </w:rPr>
        <w:t>“开标一览表”</w:t>
      </w:r>
      <w:r>
        <w:rPr>
          <w:rFonts w:hint="default" w:ascii="宋体" w:hAnsi="宋体" w:eastAsia="宋体" w:cs="宋体"/>
          <w:color w:val="auto"/>
          <w:sz w:val="21"/>
          <w:szCs w:val="21"/>
          <w:highlight w:val="none"/>
          <w:lang w:val="en-US" w:eastAsia="zh-CN"/>
        </w:rPr>
        <w:t>中对应的</w:t>
      </w:r>
      <w:r>
        <w:rPr>
          <w:rFonts w:hint="eastAsia"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投标报价</w:t>
      </w:r>
      <w:r>
        <w:rPr>
          <w:rFonts w:hint="eastAsia"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栏中。</w:t>
      </w:r>
    </w:p>
    <w:p w14:paraId="25B9431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.所列服务为对应本项目需求的全部服务内容。如有漏项或缺项，投标人承担全部责任。</w:t>
      </w:r>
      <w:r>
        <w:rPr>
          <w:rFonts w:hint="eastAsia" w:ascii="宋体" w:hAnsi="宋体" w:eastAsia="宋体" w:cs="宋体"/>
          <w:color w:val="auto"/>
          <w:sz w:val="24"/>
          <w:szCs w:val="24"/>
          <w:highlight w:val="none"/>
        </w:rPr>
        <w:br w:type="page"/>
      </w:r>
    </w:p>
    <w:p w14:paraId="4A59D45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2253C07">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1369E9F7">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7545DFD8">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6E9DF04D">
      <w:pPr>
        <w:pageBreakBefore w:val="0"/>
        <w:kinsoku/>
        <w:overflowPunct/>
        <w:autoSpaceDE w:val="0"/>
        <w:autoSpaceDN w:val="0"/>
        <w:bidi w:val="0"/>
        <w:adjustRightInd w:val="0"/>
        <w:spacing w:beforeAutospacing="0" w:afterAutospacing="0" w:line="560" w:lineRule="exact"/>
        <w:ind w:left="0" w:leftChars="0" w:right="0"/>
        <w:jc w:val="center"/>
        <w:rPr>
          <w:color w:val="auto"/>
          <w:sz w:val="21"/>
          <w:szCs w:val="24"/>
          <w:highlight w:val="none"/>
        </w:rPr>
      </w:pPr>
    </w:p>
    <w:p w14:paraId="4A09F0AA">
      <w:pPr>
        <w:pStyle w:val="3"/>
        <w:keepNext/>
        <w:keepLines/>
        <w:pageBreakBefore w:val="0"/>
        <w:widowControl w:val="0"/>
        <w:kinsoku/>
        <w:wordWrap/>
        <w:overflowPunct/>
        <w:topLinePunct w:val="0"/>
        <w:autoSpaceDE/>
        <w:autoSpaceDN/>
        <w:bidi w:val="0"/>
        <w:adjustRightInd/>
        <w:snapToGrid/>
        <w:spacing w:before="0" w:beforeAutospacing="0" w:after="0" w:afterAutospacing="0" w:line="1000" w:lineRule="exact"/>
        <w:ind w:left="0" w:leftChars="0" w:right="0"/>
        <w:jc w:val="center"/>
        <w:textAlignment w:val="auto"/>
        <w:rPr>
          <w:sz w:val="84"/>
          <w:szCs w:val="84"/>
        </w:rPr>
      </w:pPr>
      <w:bookmarkStart w:id="789" w:name="_Toc27080"/>
      <w:r>
        <w:rPr>
          <w:rFonts w:hint="eastAsia"/>
          <w:sz w:val="84"/>
          <w:szCs w:val="84"/>
        </w:rPr>
        <w:t>投 标 文 件</w:t>
      </w:r>
      <w:bookmarkEnd w:id="789"/>
    </w:p>
    <w:p w14:paraId="4E8ADE01">
      <w:pPr>
        <w:pStyle w:val="3"/>
        <w:keepNext/>
        <w:keepLines/>
        <w:pageBreakBefore w:val="0"/>
        <w:widowControl w:val="0"/>
        <w:kinsoku/>
        <w:wordWrap/>
        <w:overflowPunct/>
        <w:topLinePunct w:val="0"/>
        <w:autoSpaceDE/>
        <w:autoSpaceDN/>
        <w:bidi w:val="0"/>
        <w:adjustRightInd/>
        <w:snapToGrid/>
        <w:spacing w:before="0" w:beforeAutospacing="0" w:after="0" w:afterAutospacing="0" w:line="1000" w:lineRule="exact"/>
        <w:ind w:left="0" w:leftChars="0" w:right="0"/>
        <w:jc w:val="center"/>
        <w:textAlignment w:val="auto"/>
        <w:rPr>
          <w:rFonts w:hint="eastAsia"/>
          <w:sz w:val="56"/>
          <w:szCs w:val="56"/>
          <w:lang w:val="en-US" w:eastAsia="zh-CN"/>
        </w:rPr>
      </w:pPr>
      <w:bookmarkStart w:id="790" w:name="_Toc15320"/>
      <w:r>
        <w:rPr>
          <w:rFonts w:hint="eastAsia"/>
          <w:sz w:val="56"/>
          <w:szCs w:val="56"/>
          <w:lang w:val="en-US" w:eastAsia="zh-CN"/>
        </w:rPr>
        <w:t>商务技术文件</w:t>
      </w:r>
      <w:bookmarkEnd w:id="790"/>
    </w:p>
    <w:p w14:paraId="3BFF9900">
      <w:pPr>
        <w:pStyle w:val="3"/>
        <w:keepNext/>
        <w:keepLines/>
        <w:pageBreakBefore w:val="0"/>
        <w:widowControl w:val="0"/>
        <w:kinsoku/>
        <w:wordWrap/>
        <w:overflowPunct/>
        <w:topLinePunct w:val="0"/>
        <w:autoSpaceDE/>
        <w:autoSpaceDN/>
        <w:bidi w:val="0"/>
        <w:adjustRightInd/>
        <w:snapToGrid/>
        <w:spacing w:before="0" w:beforeAutospacing="0" w:after="0" w:afterAutospacing="0" w:line="1000" w:lineRule="exact"/>
        <w:ind w:left="0" w:leftChars="0" w:right="0"/>
        <w:textAlignment w:val="auto"/>
        <w:rPr>
          <w:color w:val="auto"/>
          <w:sz w:val="21"/>
          <w:szCs w:val="21"/>
          <w:highlight w:val="none"/>
        </w:rPr>
      </w:pPr>
    </w:p>
    <w:p w14:paraId="4EAF672A">
      <w:pPr>
        <w:pageBreakBefore w:val="0"/>
        <w:kinsoku/>
        <w:overflowPunct/>
        <w:bidi w:val="0"/>
        <w:spacing w:beforeAutospacing="0" w:afterAutospacing="0" w:line="560" w:lineRule="exact"/>
        <w:ind w:left="0" w:leftChars="0" w:right="0"/>
      </w:pPr>
    </w:p>
    <w:p w14:paraId="3304790D">
      <w:pPr>
        <w:pageBreakBefore w:val="0"/>
        <w:kinsoku/>
        <w:overflowPunct/>
        <w:bidi w:val="0"/>
        <w:spacing w:beforeAutospacing="0" w:afterAutospacing="0" w:line="560" w:lineRule="exact"/>
        <w:ind w:left="0" w:leftChars="0" w:right="0"/>
        <w:rPr>
          <w:color w:val="auto"/>
          <w:sz w:val="21"/>
          <w:szCs w:val="21"/>
          <w:highlight w:val="none"/>
        </w:rPr>
      </w:pPr>
    </w:p>
    <w:p w14:paraId="414CC1ED">
      <w:pPr>
        <w:pageBreakBefore w:val="0"/>
        <w:kinsoku/>
        <w:overflowPunct/>
        <w:bidi w:val="0"/>
        <w:spacing w:beforeAutospacing="0" w:afterAutospacing="0" w:line="560" w:lineRule="exact"/>
        <w:ind w:left="0" w:leftChars="0" w:right="0"/>
        <w:rPr>
          <w:color w:val="auto"/>
          <w:highlight w:val="none"/>
        </w:rPr>
      </w:pPr>
    </w:p>
    <w:p w14:paraId="789512AB">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4BE21783">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037029E5">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538909E">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D86FB53">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2BCF110">
      <w:pPr>
        <w:pageBreakBefore w:val="0"/>
        <w:kinsoku/>
        <w:overflowPunct/>
        <w:bidi w:val="0"/>
        <w:spacing w:beforeAutospacing="0" w:afterAutospacing="0" w:line="560" w:lineRule="exact"/>
        <w:ind w:left="0" w:leftChars="0" w:right="0"/>
        <w:rPr>
          <w:rFonts w:ascii="黑体" w:hAnsi="黑体" w:eastAsia="黑体"/>
          <w:color w:val="auto"/>
          <w:sz w:val="32"/>
          <w:szCs w:val="32"/>
          <w:highlight w:val="none"/>
        </w:rPr>
      </w:pPr>
    </w:p>
    <w:p w14:paraId="70A32CAD">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25D3DD60">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2F9296DD">
      <w:pPr>
        <w:pageBreakBefore w:val="0"/>
        <w:kinsoku/>
        <w:overflowPunct/>
        <w:bidi w:val="0"/>
        <w:spacing w:beforeAutospacing="0" w:afterAutospacing="0" w:line="560" w:lineRule="exact"/>
        <w:ind w:left="0" w:leftChars="0" w:right="0"/>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5C2AEB63">
      <w:pPr>
        <w:pageBreakBefore w:val="0"/>
        <w:kinsoku/>
        <w:overflowPunct/>
        <w:bidi w:val="0"/>
        <w:spacing w:beforeAutospacing="0" w:afterAutospacing="0" w:line="560" w:lineRule="exact"/>
        <w:ind w:left="0" w:leftChars="0" w:right="0"/>
        <w:rPr>
          <w:color w:val="auto"/>
          <w:highlight w:val="none"/>
          <w:lang w:val="zh-CN"/>
        </w:rPr>
      </w:pPr>
      <w:r>
        <w:rPr>
          <w:color w:val="auto"/>
          <w:highlight w:val="none"/>
          <w:lang w:val="zh-CN"/>
        </w:rPr>
        <w:br w:type="page"/>
      </w:r>
    </w:p>
    <w:p w14:paraId="374BEE8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791" w:name="_Toc140132831"/>
      <w:bookmarkStart w:id="792" w:name="_Toc109900327"/>
      <w:bookmarkStart w:id="793" w:name="_Toc109899908"/>
      <w:bookmarkStart w:id="794" w:name="_Toc23604"/>
      <w:bookmarkStart w:id="795" w:name="_Toc3577"/>
      <w:bookmarkStart w:id="796" w:name="_Toc155185921"/>
      <w:bookmarkStart w:id="797" w:name="_Toc109899489"/>
      <w:bookmarkStart w:id="798" w:name="_Toc25402"/>
      <w:r>
        <w:rPr>
          <w:rFonts w:hint="eastAsia" w:eastAsia="宋体" w:asciiTheme="majorHAnsi" w:hAnsiTheme="majorHAnsi" w:cstheme="majorBidi"/>
          <w:b/>
          <w:bCs/>
          <w:color w:val="auto"/>
          <w:kern w:val="2"/>
          <w:sz w:val="32"/>
          <w:szCs w:val="32"/>
          <w:highlight w:val="none"/>
          <w:lang w:val="en-US" w:eastAsia="zh-CN" w:bidi="ar-SA"/>
        </w:rPr>
        <w:t>一、投标函</w:t>
      </w:r>
      <w:bookmarkEnd w:id="791"/>
      <w:bookmarkEnd w:id="792"/>
      <w:bookmarkEnd w:id="793"/>
      <w:bookmarkEnd w:id="794"/>
      <w:bookmarkEnd w:id="795"/>
      <w:bookmarkEnd w:id="796"/>
      <w:bookmarkEnd w:id="797"/>
      <w:bookmarkEnd w:id="798"/>
    </w:p>
    <w:p w14:paraId="0ABD9EA3">
      <w:pPr>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致：（采购人）</w:t>
      </w:r>
    </w:p>
    <w:p w14:paraId="35C4266A">
      <w:pPr>
        <w:pageBreakBefore w:val="0"/>
        <w:kinsoku/>
        <w:overflowPunct/>
        <w:bidi w:val="0"/>
        <w:spacing w:beforeAutospacing="0" w:afterAutospacing="0" w:line="560" w:lineRule="exact"/>
        <w:ind w:left="0" w:leftChars="0" w:right="0" w:firstLine="480" w:firstLineChars="200"/>
        <w:rPr>
          <w:rFonts w:cs="仿宋_GB2312"/>
          <w:b/>
          <w:bCs/>
          <w:color w:val="auto"/>
          <w:szCs w:val="24"/>
          <w:highlight w:val="none"/>
        </w:rPr>
      </w:pPr>
      <w:r>
        <w:rPr>
          <w:rFonts w:hint="eastAsia" w:cs="仿宋_GB2312"/>
          <w:color w:val="auto"/>
          <w:szCs w:val="24"/>
          <w:highlight w:val="none"/>
        </w:rPr>
        <w:t>根据贵方</w:t>
      </w:r>
      <w:r>
        <w:rPr>
          <w:rFonts w:hint="eastAsia" w:cs="仿宋_GB2312"/>
          <w:color w:val="auto"/>
          <w:szCs w:val="24"/>
          <w:highlight w:val="none"/>
          <w:u w:val="single"/>
        </w:rPr>
        <w:t>（项目名称）（项目编号</w:t>
      </w:r>
      <w:r>
        <w:rPr>
          <w:rFonts w:hint="eastAsia" w:cs="仿宋_GB2312"/>
          <w:color w:val="auto"/>
          <w:szCs w:val="24"/>
          <w:highlight w:val="none"/>
          <w:u w:val="single"/>
          <w:lang w:val="en-US" w:eastAsia="zh-CN"/>
        </w:rPr>
        <w:t>/包号</w:t>
      </w:r>
      <w:r>
        <w:rPr>
          <w:rFonts w:hint="eastAsia" w:cs="仿宋_GB2312"/>
          <w:color w:val="auto"/>
          <w:szCs w:val="24"/>
          <w:highlight w:val="none"/>
          <w:u w:val="single"/>
        </w:rPr>
        <w:t>）</w:t>
      </w:r>
      <w:r>
        <w:rPr>
          <w:rFonts w:hint="eastAsia" w:cs="仿宋_GB2312"/>
          <w:color w:val="auto"/>
          <w:szCs w:val="24"/>
          <w:highlight w:val="none"/>
          <w:lang w:val="en-US" w:eastAsia="zh-CN"/>
        </w:rPr>
        <w:t>项目</w:t>
      </w:r>
      <w:r>
        <w:rPr>
          <w:rFonts w:hint="eastAsia" w:cs="仿宋_GB2312"/>
          <w:color w:val="auto"/>
          <w:szCs w:val="24"/>
          <w:highlight w:val="none"/>
        </w:rPr>
        <w:t>的</w:t>
      </w:r>
      <w:r>
        <w:rPr>
          <w:rFonts w:hint="eastAsia" w:cs="仿宋_GB2312"/>
          <w:color w:val="auto"/>
          <w:szCs w:val="24"/>
          <w:highlight w:val="none"/>
          <w:lang w:val="en-US" w:eastAsia="zh-CN"/>
        </w:rPr>
        <w:t>招标公告</w:t>
      </w:r>
      <w:r>
        <w:rPr>
          <w:rFonts w:hint="eastAsia" w:cs="仿宋_GB2312"/>
          <w:color w:val="auto"/>
          <w:szCs w:val="24"/>
          <w:highlight w:val="none"/>
        </w:rPr>
        <w:t>，签字代表</w:t>
      </w:r>
      <w:r>
        <w:rPr>
          <w:rFonts w:hint="eastAsia" w:cs="仿宋_GB2312"/>
          <w:color w:val="auto"/>
          <w:szCs w:val="24"/>
          <w:highlight w:val="none"/>
          <w:u w:val="single"/>
        </w:rPr>
        <w:t>（姓名、职务）</w:t>
      </w:r>
      <w:r>
        <w:rPr>
          <w:rFonts w:hint="eastAsia" w:cs="仿宋_GB2312"/>
          <w:color w:val="auto"/>
          <w:szCs w:val="24"/>
          <w:highlight w:val="none"/>
        </w:rPr>
        <w:t>经正式授权并代表投标人</w:t>
      </w:r>
      <w:r>
        <w:rPr>
          <w:rFonts w:hint="eastAsia" w:cs="仿宋_GB2312"/>
          <w:color w:val="auto"/>
          <w:szCs w:val="24"/>
          <w:highlight w:val="none"/>
          <w:u w:val="single"/>
        </w:rPr>
        <w:t>（投标人名称、地址）</w:t>
      </w:r>
      <w:r>
        <w:rPr>
          <w:rFonts w:hint="eastAsia" w:cs="仿宋_GB2312"/>
          <w:color w:val="auto"/>
          <w:szCs w:val="24"/>
          <w:highlight w:val="none"/>
        </w:rPr>
        <w:t>提交下述文件</w:t>
      </w:r>
      <w:r>
        <w:rPr>
          <w:rFonts w:hint="eastAsia" w:cs="仿宋_GB2312"/>
          <w:b/>
          <w:bCs/>
          <w:color w:val="auto"/>
          <w:szCs w:val="24"/>
          <w:highlight w:val="none"/>
        </w:rPr>
        <w:t>：</w:t>
      </w:r>
    </w:p>
    <w:p w14:paraId="21BBF032">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hint="eastAsia" w:cs="Arial"/>
          <w:color w:val="auto"/>
          <w:szCs w:val="24"/>
          <w:highlight w:val="none"/>
        </w:rPr>
        <w:t>资格</w:t>
      </w:r>
      <w:r>
        <w:rPr>
          <w:rFonts w:hint="eastAsia" w:cs="Arial"/>
          <w:color w:val="auto"/>
          <w:szCs w:val="24"/>
          <w:highlight w:val="none"/>
          <w:lang w:val="en-US" w:eastAsia="zh-CN"/>
        </w:rPr>
        <w:t>证明</w:t>
      </w:r>
      <w:r>
        <w:rPr>
          <w:rFonts w:hint="eastAsia" w:cs="Arial"/>
          <w:color w:val="auto"/>
          <w:szCs w:val="24"/>
          <w:highlight w:val="none"/>
        </w:rPr>
        <w:t>文件</w:t>
      </w:r>
      <w:r>
        <w:rPr>
          <w:rFonts w:cs="Arial"/>
          <w:color w:val="auto"/>
          <w:szCs w:val="24"/>
          <w:highlight w:val="none"/>
        </w:rPr>
        <w:t>；</w:t>
      </w:r>
    </w:p>
    <w:p w14:paraId="0A0EA079">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投标报价</w:t>
      </w:r>
      <w:r>
        <w:rPr>
          <w:rFonts w:cs="Arial"/>
          <w:color w:val="auto"/>
          <w:szCs w:val="24"/>
          <w:highlight w:val="none"/>
        </w:rPr>
        <w:t>文件</w:t>
      </w:r>
      <w:r>
        <w:rPr>
          <w:rFonts w:hint="eastAsia" w:cs="Arial"/>
          <w:color w:val="auto"/>
          <w:szCs w:val="24"/>
          <w:highlight w:val="none"/>
        </w:rPr>
        <w:t>；</w:t>
      </w:r>
    </w:p>
    <w:p w14:paraId="7C008F28">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lang w:val="en-US" w:eastAsia="zh-CN"/>
        </w:rPr>
        <w:t>商务技术</w:t>
      </w:r>
      <w:r>
        <w:rPr>
          <w:rFonts w:hint="eastAsia" w:cs="Arial"/>
          <w:color w:val="auto"/>
          <w:szCs w:val="24"/>
          <w:highlight w:val="none"/>
        </w:rPr>
        <w:t>文件</w:t>
      </w:r>
      <w:r>
        <w:rPr>
          <w:rFonts w:cs="Arial"/>
          <w:color w:val="auto"/>
          <w:szCs w:val="24"/>
          <w:highlight w:val="none"/>
        </w:rPr>
        <w:t>。</w:t>
      </w:r>
    </w:p>
    <w:p w14:paraId="2038C573">
      <w:pPr>
        <w:pageBreakBefore w:val="0"/>
        <w:kinsoku/>
        <w:overflowPunct/>
        <w:bidi w:val="0"/>
        <w:spacing w:beforeAutospacing="0" w:afterAutospacing="0" w:line="560" w:lineRule="exact"/>
        <w:ind w:left="0" w:leftChars="0" w:right="0" w:firstLine="480" w:firstLineChars="200"/>
        <w:rPr>
          <w:rFonts w:cs="Arial"/>
          <w:color w:val="auto"/>
          <w:szCs w:val="24"/>
          <w:highlight w:val="none"/>
        </w:rPr>
      </w:pPr>
      <w:r>
        <w:rPr>
          <w:rFonts w:cs="Arial"/>
          <w:color w:val="auto"/>
          <w:szCs w:val="24"/>
          <w:highlight w:val="none"/>
        </w:rPr>
        <w:t>根据此函，签字代表宣布同意如下：</w:t>
      </w:r>
    </w:p>
    <w:p w14:paraId="7021F257">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cs="Arial"/>
          <w:color w:val="auto"/>
          <w:szCs w:val="24"/>
          <w:highlight w:val="none"/>
        </w:rPr>
        <w:t>所附投标价格表中规定的应提交和交付的服务和</w:t>
      </w:r>
      <w:r>
        <w:rPr>
          <w:rFonts w:hint="eastAsia" w:cs="Arial"/>
          <w:color w:val="auto"/>
          <w:szCs w:val="24"/>
          <w:highlight w:val="none"/>
          <w:lang w:val="en-US" w:eastAsia="zh-CN"/>
        </w:rPr>
        <w:t>相关</w:t>
      </w:r>
      <w:r>
        <w:rPr>
          <w:rFonts w:hint="eastAsia" w:cs="Arial"/>
          <w:color w:val="auto"/>
          <w:szCs w:val="24"/>
          <w:highlight w:val="none"/>
        </w:rPr>
        <w:t>货物（如有）</w:t>
      </w:r>
      <w:r>
        <w:rPr>
          <w:rFonts w:cs="Arial"/>
          <w:color w:val="auto"/>
          <w:szCs w:val="24"/>
          <w:highlight w:val="none"/>
        </w:rPr>
        <w:t>的</w:t>
      </w:r>
      <w:r>
        <w:rPr>
          <w:rFonts w:hint="eastAsia" w:cs="Arial"/>
          <w:color w:val="auto"/>
          <w:szCs w:val="24"/>
          <w:highlight w:val="none"/>
        </w:rPr>
        <w:t>投标报价</w:t>
      </w:r>
      <w:r>
        <w:rPr>
          <w:rFonts w:cs="Arial"/>
          <w:color w:val="auto"/>
          <w:szCs w:val="24"/>
          <w:highlight w:val="none"/>
        </w:rPr>
        <w:t>为</w:t>
      </w:r>
      <w:r>
        <w:rPr>
          <w:rFonts w:hint="eastAsia" w:cs="Arial"/>
          <w:color w:val="auto"/>
          <w:szCs w:val="24"/>
          <w:highlight w:val="none"/>
        </w:rPr>
        <w:t xml:space="preserve"> </w:t>
      </w:r>
      <w:r>
        <w:rPr>
          <w:rFonts w:hint="eastAsia" w:cs="Arial"/>
          <w:color w:val="auto"/>
          <w:szCs w:val="24"/>
          <w:highlight w:val="none"/>
          <w:u w:val="single"/>
        </w:rPr>
        <w:t xml:space="preserve">                  </w:t>
      </w:r>
      <w:r>
        <w:rPr>
          <w:rFonts w:cs="Arial"/>
          <w:color w:val="auto"/>
          <w:szCs w:val="24"/>
          <w:highlight w:val="none"/>
        </w:rPr>
        <w:t>。</w:t>
      </w:r>
    </w:p>
    <w:p w14:paraId="3FF1B405">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我方</w:t>
      </w:r>
      <w:r>
        <w:rPr>
          <w:rFonts w:cs="Arial"/>
          <w:color w:val="auto"/>
          <w:szCs w:val="24"/>
          <w:highlight w:val="none"/>
        </w:rPr>
        <w:t>将按招标文件的规定履行合同责任和义务。</w:t>
      </w:r>
    </w:p>
    <w:p w14:paraId="464D767C">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rPr>
        <w:t>我方</w:t>
      </w:r>
      <w:r>
        <w:rPr>
          <w:rFonts w:cs="Arial"/>
          <w:color w:val="auto"/>
          <w:szCs w:val="24"/>
          <w:highlight w:val="none"/>
        </w:rPr>
        <w:t>已详细审查全部招标文件，包括</w:t>
      </w:r>
      <w:r>
        <w:rPr>
          <w:rFonts w:cs="Arial"/>
          <w:i w:val="0"/>
          <w:iCs w:val="0"/>
          <w:color w:val="auto"/>
          <w:szCs w:val="24"/>
          <w:highlight w:val="none"/>
        </w:rPr>
        <w:t>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70CAE828">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投标有效期为自提交投标文件的截止之日起</w:t>
      </w:r>
      <w:r>
        <w:rPr>
          <w:rFonts w:hint="eastAsia" w:cs="Arial"/>
          <w:i w:val="0"/>
          <w:iCs w:val="0"/>
          <w:color w:val="auto"/>
          <w:szCs w:val="24"/>
          <w:highlight w:val="none"/>
          <w:u w:val="single"/>
        </w:rPr>
        <w:t xml:space="preserve"> （由投标人填写）</w:t>
      </w:r>
      <w:r>
        <w:rPr>
          <w:rFonts w:cs="Arial"/>
          <w:i w:val="0"/>
          <w:iCs w:val="0"/>
          <w:color w:val="auto"/>
          <w:szCs w:val="24"/>
          <w:highlight w:val="none"/>
        </w:rPr>
        <w:t>个日历天。</w:t>
      </w:r>
    </w:p>
    <w:p w14:paraId="52EDF2A7">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招标</w:t>
      </w:r>
      <w:r>
        <w:rPr>
          <w:rFonts w:hint="eastAsia" w:cs="Arial"/>
          <w:i w:val="0"/>
          <w:iCs w:val="0"/>
          <w:color w:val="auto"/>
          <w:szCs w:val="24"/>
          <w:highlight w:val="none"/>
        </w:rPr>
        <w:t>文件</w:t>
      </w:r>
      <w:r>
        <w:rPr>
          <w:rFonts w:cs="Arial"/>
          <w:i w:val="0"/>
          <w:iCs w:val="0"/>
          <w:color w:val="auto"/>
          <w:szCs w:val="24"/>
          <w:highlight w:val="none"/>
        </w:rPr>
        <w:t>要求的与投标有关的一切数据或资料，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完全理解贵方不一定接受最低价的投标。</w:t>
      </w:r>
    </w:p>
    <w:p w14:paraId="3CF5A666">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本项目如由中标人支付采购代理服务费，我方同意按投标人须知前附表中规定向采购代理机构支付采购代理服务费。</w:t>
      </w:r>
    </w:p>
    <w:p w14:paraId="6A150207">
      <w:pPr>
        <w:pageBreakBefore w:val="0"/>
        <w:numPr>
          <w:ilvl w:val="0"/>
          <w:numId w:val="0"/>
        </w:numPr>
        <w:kinsoku/>
        <w:overflowPunct/>
        <w:bidi w:val="0"/>
        <w:snapToGrid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40AFB77A">
      <w:pPr>
        <w:pageBreakBefore w:val="0"/>
        <w:kinsoku/>
        <w:overflowPunct/>
        <w:bidi w:val="0"/>
        <w:snapToGrid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409D2F71">
      <w:pPr>
        <w:pageBreakBefore w:val="0"/>
        <w:kinsoku/>
        <w:overflowPunct/>
        <w:bidi w:val="0"/>
        <w:snapToGrid w:val="0"/>
        <w:spacing w:beforeAutospacing="0" w:afterAutospacing="0" w:line="560" w:lineRule="exact"/>
        <w:ind w:left="0" w:leftChars="0" w:right="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0B2F52C6">
      <w:pPr>
        <w:pageBreakBefore w:val="0"/>
        <w:kinsoku/>
        <w:overflowPunct/>
        <w:bidi w:val="0"/>
        <w:snapToGrid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3BE8BBB8">
      <w:pPr>
        <w:pageBreakBefore w:val="0"/>
        <w:kinsoku/>
        <w:overflowPunct/>
        <w:bidi w:val="0"/>
        <w:snapToGrid w:val="0"/>
        <w:spacing w:beforeAutospacing="0" w:afterAutospacing="0" w:line="560" w:lineRule="exact"/>
        <w:ind w:left="0" w:leftChars="0" w:right="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1103F8A2">
      <w:pPr>
        <w:pageBreakBefore w:val="0"/>
        <w:kinsoku/>
        <w:overflowPunct/>
        <w:bidi w:val="0"/>
        <w:snapToGrid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73BE978C">
      <w:pPr>
        <w:pageBreakBefore w:val="0"/>
        <w:kinsoku/>
        <w:overflowPunct/>
        <w:bidi w:val="0"/>
        <w:snapToGrid w:val="0"/>
        <w:spacing w:beforeAutospacing="0" w:afterAutospacing="0" w:line="560" w:lineRule="exact"/>
        <w:ind w:left="0" w:leftChars="0" w:right="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4FC84088">
      <w:pPr>
        <w:pageBreakBefore w:val="0"/>
        <w:kinsoku/>
        <w:overflowPunct/>
        <w:bidi w:val="0"/>
        <w:spacing w:beforeAutospacing="0" w:afterAutospacing="0" w:line="560" w:lineRule="exact"/>
        <w:ind w:left="0" w:leftChars="0" w:right="0" w:firstLine="480" w:firstLineChars="200"/>
        <w:rPr>
          <w:color w:val="auto"/>
          <w:szCs w:val="24"/>
          <w:highlight w:val="none"/>
        </w:rPr>
      </w:pPr>
      <w:r>
        <w:rPr>
          <w:rFonts w:hint="eastAsia"/>
          <w:color w:val="auto"/>
          <w:szCs w:val="24"/>
          <w:highlight w:val="none"/>
        </w:rPr>
        <w:t>（备注：以上</w:t>
      </w:r>
      <w:r>
        <w:rPr>
          <w:color w:val="auto"/>
          <w:szCs w:val="24"/>
          <w:highlight w:val="none"/>
        </w:rPr>
        <w:t>3</w:t>
      </w:r>
      <w:r>
        <w:rPr>
          <w:rFonts w:hint="eastAsia"/>
          <w:color w:val="auto"/>
          <w:szCs w:val="24"/>
          <w:highlight w:val="none"/>
        </w:rPr>
        <w:t>项声明，必须如实选择，选中项用</w:t>
      </w:r>
      <w:r>
        <w:rPr>
          <w:rFonts w:hint="eastAsia"/>
          <w:color w:val="auto"/>
          <w:szCs w:val="24"/>
          <w:highlight w:val="none"/>
          <w:lang w:eastAsia="zh-CN"/>
        </w:rPr>
        <w:t>☑</w:t>
      </w:r>
      <w:r>
        <w:rPr>
          <w:rFonts w:hint="eastAsia"/>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19A44DC4">
      <w:pPr>
        <w:pageBreakBefore w:val="0"/>
        <w:kinsoku/>
        <w:overflowPunct/>
        <w:bidi w:val="0"/>
        <w:snapToGrid w:val="0"/>
        <w:spacing w:beforeAutospacing="0" w:afterAutospacing="0" w:line="560" w:lineRule="exact"/>
        <w:ind w:left="0" w:leftChars="0" w:right="0" w:firstLine="480" w:firstLineChars="200"/>
        <w:rPr>
          <w:color w:val="auto"/>
          <w:szCs w:val="24"/>
          <w:highlight w:val="none"/>
        </w:rPr>
      </w:pPr>
      <w:r>
        <w:rPr>
          <w:rFonts w:hint="eastAsia"/>
          <w:color w:val="auto"/>
          <w:szCs w:val="24"/>
          <w:highlight w:val="none"/>
        </w:rPr>
        <w:t>4）我方在本投标文件中所提供的全部资料均真实有效，我方承诺对其真实性负责并承担相应后果。</w:t>
      </w:r>
    </w:p>
    <w:p w14:paraId="5FB2607B">
      <w:pPr>
        <w:pageBreakBefore w:val="0"/>
        <w:kinsoku/>
        <w:overflowPunct/>
        <w:bidi w:val="0"/>
        <w:snapToGrid w:val="0"/>
        <w:spacing w:beforeAutospacing="0" w:afterAutospacing="0" w:line="560" w:lineRule="exact"/>
        <w:ind w:left="0" w:leftChars="0" w:right="0" w:firstLine="480" w:firstLineChars="200"/>
        <w:rPr>
          <w:color w:val="auto"/>
          <w:szCs w:val="24"/>
          <w:highlight w:val="none"/>
        </w:rPr>
      </w:pPr>
      <w:r>
        <w:rPr>
          <w:rFonts w:hint="eastAsia"/>
          <w:color w:val="auto"/>
          <w:szCs w:val="24"/>
          <w:highlight w:val="none"/>
        </w:rPr>
        <w:t>5）</w:t>
      </w:r>
      <w:bookmarkStart w:id="799" w:name="_Hlk161604053"/>
      <w:r>
        <w:rPr>
          <w:rFonts w:hint="eastAsia"/>
          <w:color w:val="auto"/>
          <w:szCs w:val="24"/>
          <w:highlight w:val="none"/>
        </w:rPr>
        <w:t>我方承诺本《投标函》的签章对本投标文件全部内容具有约束力并承担法律责任。</w:t>
      </w:r>
      <w:bookmarkEnd w:id="799"/>
    </w:p>
    <w:p w14:paraId="2A195747">
      <w:pPr>
        <w:pageBreakBefore w:val="0"/>
        <w:kinsoku/>
        <w:overflowPunct/>
        <w:bidi w:val="0"/>
        <w:spacing w:beforeAutospacing="0" w:afterAutospacing="0" w:line="560" w:lineRule="exact"/>
        <w:ind w:left="0" w:leftChars="0" w:right="0"/>
        <w:rPr>
          <w:rFonts w:cs="Arial"/>
          <w:color w:val="auto"/>
          <w:szCs w:val="24"/>
          <w:highlight w:val="none"/>
        </w:rPr>
      </w:pPr>
    </w:p>
    <w:p w14:paraId="3F664789">
      <w:pPr>
        <w:pageBreakBefore w:val="0"/>
        <w:kinsoku/>
        <w:overflowPunct/>
        <w:bidi w:val="0"/>
        <w:spacing w:beforeAutospacing="0" w:afterAutospacing="0" w:line="560" w:lineRule="exact"/>
        <w:ind w:left="0" w:leftChars="0" w:right="0"/>
        <w:rPr>
          <w:rFonts w:cs="Arial"/>
          <w:color w:val="auto"/>
          <w:szCs w:val="24"/>
          <w:highlight w:val="none"/>
        </w:rPr>
      </w:pPr>
    </w:p>
    <w:p w14:paraId="6C365FF0">
      <w:pPr>
        <w:pageBreakBefore w:val="0"/>
        <w:kinsoku/>
        <w:overflowPunct/>
        <w:bidi w:val="0"/>
        <w:spacing w:beforeAutospacing="0" w:afterAutospacing="0" w:line="560" w:lineRule="exact"/>
        <w:ind w:left="0" w:leftChars="0" w:right="0"/>
        <w:rPr>
          <w:rFonts w:cs="Arial"/>
          <w:color w:val="auto"/>
          <w:szCs w:val="24"/>
          <w:highlight w:val="none"/>
        </w:rPr>
      </w:pPr>
    </w:p>
    <w:p w14:paraId="2DB608AC">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 xml:space="preserve">投 </w:t>
      </w:r>
      <w:r>
        <w:rPr>
          <w:rFonts w:cs="宋体"/>
          <w:color w:val="auto"/>
          <w:highlight w:val="none"/>
        </w:rPr>
        <w:t xml:space="preserve">   </w:t>
      </w:r>
      <w:r>
        <w:rPr>
          <w:rFonts w:hint="eastAsia" w:cs="宋体"/>
          <w:color w:val="auto"/>
          <w:highlight w:val="none"/>
        </w:rPr>
        <w:t xml:space="preserve">标 </w:t>
      </w:r>
      <w:r>
        <w:rPr>
          <w:rFonts w:cs="宋体"/>
          <w:color w:val="auto"/>
          <w:highlight w:val="none"/>
        </w:rPr>
        <w:t xml:space="preserve">   </w:t>
      </w:r>
      <w:r>
        <w:rPr>
          <w:rFonts w:hint="eastAsia" w:cs="宋体"/>
          <w:color w:val="auto"/>
          <w:highlight w:val="none"/>
        </w:rPr>
        <w:t>人</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4CCC9D16">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通  讯  地  址：</w:t>
      </w:r>
    </w:p>
    <w:p w14:paraId="268281DA">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 xml:space="preserve">传       </w:t>
      </w:r>
      <w:r>
        <w:rPr>
          <w:rFonts w:cs="宋体"/>
          <w:color w:val="auto"/>
          <w:highlight w:val="none"/>
        </w:rPr>
        <w:t xml:space="preserve">   </w:t>
      </w:r>
      <w:r>
        <w:rPr>
          <w:rFonts w:hint="eastAsia" w:cs="宋体"/>
          <w:color w:val="auto"/>
          <w:highlight w:val="none"/>
        </w:rPr>
        <w:t>真：</w:t>
      </w:r>
    </w:p>
    <w:p w14:paraId="0A396883">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电          话：</w:t>
      </w:r>
    </w:p>
    <w:p w14:paraId="21203E4D">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 xml:space="preserve">授 </w:t>
      </w:r>
      <w:r>
        <w:rPr>
          <w:rFonts w:cs="宋体"/>
          <w:color w:val="auto"/>
          <w:highlight w:val="none"/>
        </w:rPr>
        <w:t xml:space="preserve"> </w:t>
      </w:r>
      <w:r>
        <w:rPr>
          <w:rFonts w:hint="eastAsia" w:cs="宋体"/>
          <w:color w:val="auto"/>
          <w:highlight w:val="none"/>
        </w:rPr>
        <w:t xml:space="preserve">权 </w:t>
      </w:r>
      <w:r>
        <w:rPr>
          <w:rFonts w:cs="宋体"/>
          <w:color w:val="auto"/>
          <w:highlight w:val="none"/>
        </w:rPr>
        <w:t xml:space="preserve"> </w:t>
      </w:r>
      <w:r>
        <w:rPr>
          <w:rFonts w:hint="eastAsia" w:cs="宋体"/>
          <w:color w:val="auto"/>
          <w:highlight w:val="none"/>
        </w:rPr>
        <w:t xml:space="preserve">代 </w:t>
      </w:r>
      <w:r>
        <w:rPr>
          <w:rFonts w:cs="宋体"/>
          <w:color w:val="auto"/>
          <w:highlight w:val="none"/>
        </w:rPr>
        <w:t xml:space="preserve"> </w:t>
      </w:r>
      <w:r>
        <w:rPr>
          <w:rFonts w:hint="eastAsia" w:cs="宋体"/>
          <w:color w:val="auto"/>
          <w:highlight w:val="none"/>
        </w:rPr>
        <w:t>表：</w:t>
      </w:r>
    </w:p>
    <w:p w14:paraId="63C92097">
      <w:pPr>
        <w:pageBreakBefore w:val="0"/>
        <w:kinsoku/>
        <w:overflowPunct/>
        <w:bidi w:val="0"/>
        <w:spacing w:beforeAutospacing="0" w:afterAutospacing="0" w:line="560" w:lineRule="exact"/>
        <w:ind w:left="0" w:leftChars="0" w:right="0" w:firstLine="480" w:firstLineChars="200"/>
        <w:rPr>
          <w:rFonts w:cs="Arial"/>
          <w:color w:val="auto"/>
          <w:szCs w:val="24"/>
          <w:highlight w:val="none"/>
        </w:rPr>
      </w:pPr>
      <w:r>
        <w:rPr>
          <w:rFonts w:hint="eastAsia" w:cs="宋体"/>
          <w:color w:val="auto"/>
          <w:highlight w:val="none"/>
        </w:rPr>
        <w:t xml:space="preserve">日     </w:t>
      </w:r>
      <w:r>
        <w:rPr>
          <w:rFonts w:cs="宋体"/>
          <w:color w:val="auto"/>
          <w:highlight w:val="none"/>
        </w:rPr>
        <w:t xml:space="preserve">  </w:t>
      </w:r>
      <w:r>
        <w:rPr>
          <w:rFonts w:hint="eastAsia" w:cs="宋体"/>
          <w:color w:val="auto"/>
          <w:highlight w:val="none"/>
        </w:rPr>
        <w:t xml:space="preserve">    期：</w:t>
      </w:r>
    </w:p>
    <w:p w14:paraId="6674502E">
      <w:pPr>
        <w:pageBreakBefore w:val="0"/>
        <w:kinsoku/>
        <w:overflowPunct/>
        <w:bidi w:val="0"/>
        <w:spacing w:beforeAutospacing="0" w:afterAutospacing="0" w:line="560" w:lineRule="exact"/>
        <w:ind w:left="0" w:leftChars="0" w:right="0"/>
        <w:rPr>
          <w:rFonts w:cs="Arial"/>
          <w:color w:val="auto"/>
          <w:szCs w:val="24"/>
          <w:highlight w:val="none"/>
          <w:u w:val="single"/>
        </w:rPr>
      </w:pPr>
    </w:p>
    <w:p w14:paraId="478BFBB8">
      <w:pPr>
        <w:pageBreakBefore w:val="0"/>
        <w:kinsoku/>
        <w:overflowPunct/>
        <w:bidi w:val="0"/>
        <w:spacing w:beforeAutospacing="0" w:afterAutospacing="0" w:line="560" w:lineRule="exact"/>
        <w:ind w:left="0" w:leftChars="0" w:right="0"/>
        <w:rPr>
          <w:rFonts w:cs="Arial"/>
          <w:color w:val="auto"/>
          <w:szCs w:val="24"/>
          <w:highlight w:val="none"/>
          <w:u w:val="single"/>
        </w:rPr>
      </w:pPr>
      <w:r>
        <w:rPr>
          <w:rFonts w:cs="Arial"/>
          <w:color w:val="auto"/>
          <w:szCs w:val="24"/>
          <w:highlight w:val="none"/>
          <w:u w:val="single"/>
        </w:rPr>
        <w:br w:type="page"/>
      </w:r>
    </w:p>
    <w:p w14:paraId="24B4BD65">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0" w:name="_Toc12459"/>
      <w:bookmarkStart w:id="801" w:name="_Toc155185924"/>
      <w:r>
        <w:rPr>
          <w:rFonts w:hint="eastAsia" w:cstheme="majorBidi"/>
          <w:b/>
          <w:bCs/>
          <w:color w:val="auto"/>
          <w:kern w:val="2"/>
          <w:sz w:val="32"/>
          <w:szCs w:val="32"/>
          <w:highlight w:val="none"/>
          <w:lang w:val="en-US" w:eastAsia="zh-CN" w:bidi="ar-SA"/>
        </w:rPr>
        <w:t>二</w:t>
      </w:r>
      <w:r>
        <w:rPr>
          <w:rFonts w:hint="eastAsia" w:eastAsia="宋体" w:asciiTheme="majorHAnsi" w:hAnsiTheme="majorHAnsi" w:cstheme="majorBidi"/>
          <w:b/>
          <w:bCs/>
          <w:color w:val="auto"/>
          <w:kern w:val="2"/>
          <w:sz w:val="32"/>
          <w:szCs w:val="32"/>
          <w:highlight w:val="none"/>
          <w:lang w:val="en-US" w:eastAsia="zh-CN" w:bidi="ar-SA"/>
        </w:rPr>
        <w:t>、法定代表人（单位负责人）身份证明</w:t>
      </w:r>
      <w:bookmarkEnd w:id="800"/>
      <w:bookmarkEnd w:id="801"/>
    </w:p>
    <w:p w14:paraId="46CF1AA3">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致：（采购人或采购代理机构） </w:t>
      </w:r>
    </w:p>
    <w:p w14:paraId="3DE52D6F">
      <w:pPr>
        <w:pageBreakBefore w:val="0"/>
        <w:kinsoku/>
        <w:overflowPunct/>
        <w:bidi w:val="0"/>
        <w:spacing w:beforeAutospacing="0" w:afterAutospacing="0" w:line="560" w:lineRule="exact"/>
        <w:ind w:left="0" w:leftChars="0" w:right="0" w:firstLine="960" w:firstLineChars="400"/>
        <w:rPr>
          <w:rFonts w:hint="eastAsia" w:cs="仿宋_GB2312"/>
          <w:color w:val="auto"/>
          <w:szCs w:val="24"/>
          <w:highlight w:val="none"/>
        </w:rPr>
      </w:pPr>
      <w:r>
        <w:rPr>
          <w:rFonts w:hint="eastAsia" w:cs="仿宋_GB2312"/>
          <w:color w:val="auto"/>
          <w:szCs w:val="24"/>
          <w:highlight w:val="none"/>
          <w:lang w:val="en-US" w:eastAsia="zh-CN"/>
        </w:rPr>
        <w:t xml:space="preserve">兹证明， </w:t>
      </w:r>
    </w:p>
    <w:p w14:paraId="1D36B9E0">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姓名：____性别：____年龄：____职务：____ </w:t>
      </w:r>
    </w:p>
    <w:p w14:paraId="38746EB6">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系 </w:t>
      </w:r>
      <w:r>
        <w:rPr>
          <w:rFonts w:hint="eastAsia" w:cs="仿宋_GB2312"/>
          <w:color w:val="auto"/>
          <w:szCs w:val="24"/>
          <w:highlight w:val="none"/>
          <w:u w:val="single"/>
          <w:lang w:val="en-US" w:eastAsia="zh-CN"/>
        </w:rPr>
        <w:t xml:space="preserve">            </w:t>
      </w:r>
      <w:r>
        <w:rPr>
          <w:rFonts w:hint="eastAsia" w:cs="仿宋_GB2312"/>
          <w:color w:val="auto"/>
          <w:szCs w:val="24"/>
          <w:highlight w:val="none"/>
          <w:lang w:val="en-US" w:eastAsia="zh-CN"/>
        </w:rPr>
        <w:t xml:space="preserve">（投标人名称）的法定代表人（单位负责人）。 </w:t>
      </w:r>
    </w:p>
    <w:p w14:paraId="3B002BC6">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附：法定代表人（单位负责人）身份证、护照等身份证明文件电子件： </w:t>
      </w:r>
    </w:p>
    <w:p w14:paraId="60A8C36F">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p>
    <w:p w14:paraId="473563CD">
      <w:pPr>
        <w:pageBreakBefore w:val="0"/>
        <w:kinsoku/>
        <w:overflowPunct/>
        <w:bidi w:val="0"/>
        <w:spacing w:beforeAutospacing="0" w:afterAutospacing="0" w:line="560" w:lineRule="exact"/>
        <w:ind w:left="0" w:leftChars="0" w:right="0"/>
        <w:rPr>
          <w:rFonts w:cs="Arial"/>
          <w:color w:val="auto"/>
          <w:sz w:val="21"/>
          <w:szCs w:val="21"/>
          <w:highlight w:val="none"/>
        </w:rPr>
      </w:pPr>
    </w:p>
    <w:tbl>
      <w:tblPr>
        <w:tblStyle w:val="29"/>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2D4F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4B7B7E19">
            <w:pPr>
              <w:pageBreakBefore w:val="0"/>
              <w:kinsoku/>
              <w:overflowPunct/>
              <w:bidi w:val="0"/>
              <w:spacing w:beforeAutospacing="0" w:afterAutospacing="0" w:line="560" w:lineRule="exact"/>
              <w:ind w:left="0" w:leftChars="0" w:right="0"/>
              <w:rPr>
                <w:rFonts w:cs="Arial"/>
                <w:color w:val="auto"/>
                <w:highlight w:val="none"/>
              </w:rPr>
            </w:pPr>
          </w:p>
        </w:tc>
      </w:tr>
    </w:tbl>
    <w:p w14:paraId="76B5C725">
      <w:pPr>
        <w:pageBreakBefore w:val="0"/>
        <w:kinsoku/>
        <w:overflowPunct/>
        <w:bidi w:val="0"/>
        <w:spacing w:beforeAutospacing="0" w:afterAutospacing="0" w:line="560" w:lineRule="exact"/>
        <w:ind w:left="0" w:leftChars="0" w:right="0" w:firstLine="840" w:firstLineChars="350"/>
        <w:jc w:val="center"/>
        <w:rPr>
          <w:rFonts w:cs="Arial"/>
          <w:color w:val="auto"/>
          <w:highlight w:val="none"/>
        </w:rPr>
      </w:pPr>
    </w:p>
    <w:p w14:paraId="4AD74708">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DejaVuSans" w:hAnsi="DejaVuSans" w:eastAsia="DejaVuSans" w:cs="DejaVuSans"/>
          <w:color w:val="auto"/>
          <w:kern w:val="0"/>
          <w:sz w:val="24"/>
          <w:szCs w:val="24"/>
          <w:highlight w:val="none"/>
          <w:lang w:val="en-US" w:eastAsia="zh-CN" w:bidi="ar"/>
        </w:rPr>
        <w:t xml:space="preserve">________________ </w:t>
      </w:r>
    </w:p>
    <w:p w14:paraId="364A1245">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 </w:t>
      </w:r>
    </w:p>
    <w:p w14:paraId="10B3C29F">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7239FE13">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日</w:t>
      </w:r>
    </w:p>
    <w:p w14:paraId="6948CD78">
      <w:pPr>
        <w:pageBreakBefore w:val="0"/>
        <w:kinsoku/>
        <w:overflowPunct/>
        <w:bidi w:val="0"/>
        <w:spacing w:beforeAutospacing="0" w:afterAutospacing="0" w:line="560" w:lineRule="exact"/>
        <w:ind w:left="0" w:leftChars="0" w:right="0"/>
        <w:rPr>
          <w:b/>
          <w:color w:val="auto"/>
          <w:sz w:val="28"/>
          <w:szCs w:val="28"/>
          <w:highlight w:val="none"/>
        </w:rPr>
      </w:pPr>
    </w:p>
    <w:p w14:paraId="04FDD702">
      <w:pPr>
        <w:pageBreakBefore w:val="0"/>
        <w:kinsoku/>
        <w:overflowPunct/>
        <w:bidi w:val="0"/>
        <w:spacing w:beforeAutospacing="0" w:afterAutospacing="0" w:line="560" w:lineRule="exact"/>
        <w:ind w:left="0" w:leftChars="0" w:right="0"/>
        <w:rPr>
          <w:b/>
          <w:color w:val="auto"/>
          <w:sz w:val="28"/>
          <w:szCs w:val="28"/>
          <w:highlight w:val="none"/>
        </w:rPr>
      </w:pPr>
      <w:r>
        <w:rPr>
          <w:b/>
          <w:color w:val="auto"/>
          <w:sz w:val="28"/>
          <w:szCs w:val="28"/>
          <w:highlight w:val="none"/>
        </w:rPr>
        <w:br w:type="page"/>
      </w:r>
    </w:p>
    <w:p w14:paraId="0EEE8A2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2" w:name="_Toc155185925"/>
      <w:bookmarkStart w:id="803" w:name="_Toc26391"/>
      <w:r>
        <w:rPr>
          <w:rFonts w:hint="eastAsia" w:cstheme="majorBidi"/>
          <w:b/>
          <w:bCs/>
          <w:color w:val="auto"/>
          <w:kern w:val="2"/>
          <w:sz w:val="32"/>
          <w:szCs w:val="32"/>
          <w:highlight w:val="none"/>
          <w:lang w:val="en-US" w:eastAsia="zh-CN" w:bidi="ar-SA"/>
        </w:rPr>
        <w:t>三</w:t>
      </w:r>
      <w:r>
        <w:rPr>
          <w:rFonts w:hint="eastAsia" w:eastAsia="宋体" w:asciiTheme="majorHAnsi" w:hAnsiTheme="majorHAnsi" w:cstheme="majorBidi"/>
          <w:b/>
          <w:bCs/>
          <w:color w:val="auto"/>
          <w:kern w:val="2"/>
          <w:sz w:val="32"/>
          <w:szCs w:val="32"/>
          <w:highlight w:val="none"/>
          <w:lang w:val="en-US" w:eastAsia="zh-CN" w:bidi="ar-SA"/>
        </w:rPr>
        <w:t>、授权委托书</w:t>
      </w:r>
      <w:bookmarkEnd w:id="802"/>
      <w:bookmarkEnd w:id="803"/>
    </w:p>
    <w:p w14:paraId="593F068D">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本人</w:t>
      </w:r>
      <w:r>
        <w:rPr>
          <w:rFonts w:cs="仿宋_GB2312"/>
          <w:color w:val="auto"/>
          <w:szCs w:val="24"/>
          <w:highlight w:val="none"/>
          <w:u w:val="single"/>
        </w:rPr>
        <w:t xml:space="preserve">     </w:t>
      </w:r>
      <w:r>
        <w:rPr>
          <w:rFonts w:hint="eastAsia" w:cs="仿宋_GB2312"/>
          <w:color w:val="auto"/>
          <w:szCs w:val="24"/>
          <w:highlight w:val="none"/>
          <w:u w:val="none"/>
        </w:rPr>
        <w:t>（姓名）</w:t>
      </w:r>
      <w:r>
        <w:rPr>
          <w:rFonts w:hint="eastAsia" w:cs="仿宋_GB2312"/>
          <w:color w:val="auto"/>
          <w:szCs w:val="24"/>
          <w:highlight w:val="none"/>
        </w:rPr>
        <w:t>系</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u w:val="none"/>
        </w:rPr>
        <w:t>（投标人名称）</w:t>
      </w:r>
      <w:r>
        <w:rPr>
          <w:rFonts w:hint="eastAsia" w:cs="仿宋_GB2312"/>
          <w:color w:val="auto"/>
          <w:szCs w:val="24"/>
          <w:highlight w:val="none"/>
        </w:rPr>
        <w:t>的法定代表人</w:t>
      </w:r>
      <w:r>
        <w:rPr>
          <w:rFonts w:hint="eastAsia"/>
          <w:color w:val="auto"/>
          <w:highlight w:val="none"/>
        </w:rPr>
        <w:t>（</w:t>
      </w:r>
      <w:r>
        <w:rPr>
          <w:rFonts w:hint="eastAsia"/>
          <w:color w:val="auto"/>
          <w:highlight w:val="none"/>
          <w:lang w:val="en-US" w:eastAsia="zh-CN"/>
        </w:rPr>
        <w:t>单位</w:t>
      </w:r>
      <w:r>
        <w:rPr>
          <w:rFonts w:hint="eastAsia"/>
          <w:color w:val="auto"/>
          <w:highlight w:val="none"/>
        </w:rPr>
        <w:t>负责人）</w:t>
      </w:r>
      <w:r>
        <w:rPr>
          <w:rFonts w:hint="eastAsia" w:cs="仿宋_GB2312"/>
          <w:color w:val="auto"/>
          <w:szCs w:val="24"/>
          <w:highlight w:val="none"/>
        </w:rPr>
        <w:t>，现委托</w:t>
      </w:r>
      <w:r>
        <w:rPr>
          <w:rFonts w:hint="eastAsia" w:cs="仿宋_GB2312"/>
          <w:color w:val="auto"/>
          <w:szCs w:val="24"/>
          <w:highlight w:val="none"/>
          <w:u w:val="single"/>
        </w:rPr>
        <w:t xml:space="preserve">     </w:t>
      </w:r>
      <w:r>
        <w:rPr>
          <w:rFonts w:hint="eastAsia" w:cs="仿宋_GB2312"/>
          <w:color w:val="auto"/>
          <w:szCs w:val="24"/>
          <w:highlight w:val="none"/>
        </w:rPr>
        <w:t>（姓名）为我方代理人。代理人根据授权，以我方名义签署、澄清</w:t>
      </w:r>
      <w:r>
        <w:rPr>
          <w:rFonts w:hint="eastAsia" w:cs="仿宋_GB2312"/>
          <w:color w:val="auto"/>
          <w:szCs w:val="24"/>
          <w:highlight w:val="none"/>
          <w:lang w:val="en-US" w:eastAsia="zh-CN"/>
        </w:rPr>
        <w:t>确认</w:t>
      </w:r>
      <w:r>
        <w:rPr>
          <w:rFonts w:hint="eastAsia" w:cs="仿宋_GB2312"/>
          <w:color w:val="auto"/>
          <w:szCs w:val="24"/>
          <w:highlight w:val="none"/>
        </w:rPr>
        <w:t>、说明、补正、递交、撤回、修改</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rPr>
        <w:t>（项目名称）投标文件、签订合同和处理有关事宜，其法律后果由我方承担。</w:t>
      </w:r>
    </w:p>
    <w:p w14:paraId="56B80D1C">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rPr>
        <w:t>委托期限：</w:t>
      </w:r>
      <w:r>
        <w:rPr>
          <w:rFonts w:hint="eastAsia" w:cs="仿宋_GB2312"/>
          <w:color w:val="auto"/>
          <w:szCs w:val="24"/>
          <w:highlight w:val="none"/>
          <w:lang w:val="en-US" w:eastAsia="zh-CN"/>
        </w:rPr>
        <w:t>自本授权委托书签署之日起至投标有效期届满之日止。</w:t>
      </w:r>
    </w:p>
    <w:p w14:paraId="0A605ABE">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代理人无转委托权。</w:t>
      </w:r>
    </w:p>
    <w:p w14:paraId="03C5EAD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s="仿宋_GB2312"/>
          <w:color w:val="auto"/>
          <w:szCs w:val="24"/>
          <w:highlight w:val="none"/>
        </w:rPr>
      </w:pPr>
    </w:p>
    <w:p w14:paraId="2733329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DejaVuSans" w:hAnsi="DejaVuSans" w:eastAsia="DejaVuSans" w:cs="DejaVuSans"/>
          <w:color w:val="auto"/>
          <w:kern w:val="0"/>
          <w:sz w:val="24"/>
          <w:szCs w:val="24"/>
          <w:highlight w:val="none"/>
          <w:lang w:val="en-US" w:eastAsia="zh-CN" w:bidi="ar"/>
        </w:rPr>
        <w:t xml:space="preserve">________________ </w:t>
      </w:r>
    </w:p>
    <w:p w14:paraId="4CD5B2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p>
    <w:p w14:paraId="77AA3C3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委托代理人（签字或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r>
        <w:rPr>
          <w:rFonts w:hint="eastAsia" w:ascii="DejaVuSans" w:hAnsi="DejaVuSans" w:eastAsia="DejaVuSans" w:cs="DejaVuSans"/>
          <w:color w:val="auto"/>
          <w:kern w:val="0"/>
          <w:sz w:val="24"/>
          <w:szCs w:val="24"/>
          <w:highlight w:val="none"/>
          <w:lang w:val="en-US" w:eastAsia="zh-CN" w:bidi="ar"/>
        </w:rPr>
        <w:t xml:space="preserve">   联系电话：</w:t>
      </w:r>
      <w:r>
        <w:rPr>
          <w:rFonts w:hint="eastAsia" w:ascii="DejaVuSans" w:hAnsi="DejaVuSans" w:eastAsia="DejaVuSans" w:cs="DejaVuSans"/>
          <w:color w:val="auto"/>
          <w:kern w:val="0"/>
          <w:sz w:val="24"/>
          <w:szCs w:val="24"/>
          <w:highlight w:val="none"/>
          <w:u w:val="single"/>
          <w:lang w:val="en-US" w:eastAsia="zh-CN" w:bidi="ar"/>
        </w:rPr>
        <w:t xml:space="preserve">               </w:t>
      </w:r>
      <w:r>
        <w:rPr>
          <w:rFonts w:hint="default" w:ascii="DejaVuSans" w:hAnsi="DejaVuSans" w:eastAsia="DejaVuSans" w:cs="DejaVuSans"/>
          <w:color w:val="auto"/>
          <w:kern w:val="0"/>
          <w:sz w:val="24"/>
          <w:szCs w:val="24"/>
          <w:highlight w:val="none"/>
          <w:lang w:val="en-US" w:eastAsia="zh-CN" w:bidi="ar"/>
        </w:rPr>
        <w:t xml:space="preserve"> </w:t>
      </w:r>
    </w:p>
    <w:p w14:paraId="4FD66B4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 xml:space="preserve">日 </w:t>
      </w:r>
    </w:p>
    <w:p w14:paraId="0D7E21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s="仿宋_GB2312"/>
          <w:color w:val="auto"/>
          <w:szCs w:val="24"/>
          <w:highlight w:val="none"/>
          <w:lang w:val="en-US" w:eastAsia="zh-CN"/>
        </w:rPr>
      </w:pPr>
    </w:p>
    <w:p w14:paraId="7CE346A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 xml:space="preserve">附：法定代表人及委托代理人身份证明文件电子件： </w:t>
      </w:r>
    </w:p>
    <w:tbl>
      <w:tblPr>
        <w:tblStyle w:val="29"/>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6A57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66EBC6FA">
            <w:pPr>
              <w:pageBreakBefore w:val="0"/>
              <w:kinsoku/>
              <w:overflowPunct/>
              <w:bidi w:val="0"/>
              <w:spacing w:beforeAutospacing="0" w:afterAutospacing="0" w:line="560" w:lineRule="exact"/>
              <w:ind w:left="0" w:leftChars="0" w:right="0"/>
              <w:rPr>
                <w:rFonts w:cs="Arial"/>
                <w:color w:val="auto"/>
                <w:highlight w:val="none"/>
              </w:rPr>
            </w:pPr>
          </w:p>
        </w:tc>
      </w:tr>
    </w:tbl>
    <w:p w14:paraId="003FC2D7">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说明： </w:t>
      </w:r>
    </w:p>
    <w:p w14:paraId="6A6FAC65">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1.若投标人为事业单位或其他组织或分支机构，则法定代表人（单位负责人）处的签署人可为单位负责人。 </w:t>
      </w:r>
    </w:p>
    <w:p w14:paraId="7579C425">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default" w:cs="仿宋_GB2312"/>
          <w:color w:val="auto"/>
          <w:szCs w:val="24"/>
          <w:highlight w:val="none"/>
          <w:lang w:val="en-US" w:eastAsia="zh-CN"/>
        </w:rPr>
        <w:t>2.</w:t>
      </w:r>
      <w:r>
        <w:rPr>
          <w:rFonts w:hint="eastAsia" w:cs="仿宋_GB2312"/>
          <w:color w:val="auto"/>
          <w:szCs w:val="24"/>
          <w:highlight w:val="none"/>
          <w:lang w:val="en-US" w:eastAsia="zh-CN"/>
        </w:rPr>
        <w:t xml:space="preserve">若投标文件中签字之处均为法定代表人（单位负责人）本人签署，则可不提供本《授权委托书》，但须提供《法定代表人（单位负责人）身份证明》。 </w:t>
      </w:r>
    </w:p>
    <w:p w14:paraId="7D81952A">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default" w:cs="仿宋_GB2312"/>
          <w:color w:val="auto"/>
          <w:szCs w:val="24"/>
          <w:highlight w:val="none"/>
          <w:lang w:val="en-US" w:eastAsia="zh-CN"/>
        </w:rPr>
        <w:t>3.</w:t>
      </w:r>
      <w:r>
        <w:rPr>
          <w:rFonts w:hint="eastAsia" w:cs="仿宋_GB2312"/>
          <w:color w:val="auto"/>
          <w:szCs w:val="24"/>
          <w:highlight w:val="none"/>
          <w:lang w:val="en-US" w:eastAsia="zh-CN"/>
        </w:rPr>
        <w:t xml:space="preserve">投标人为自然人的情形，可不提供本《授权委托书》。 </w:t>
      </w:r>
    </w:p>
    <w:p w14:paraId="16E91B57">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default" w:cs="仿宋_GB2312"/>
          <w:color w:val="auto"/>
          <w:szCs w:val="24"/>
          <w:highlight w:val="none"/>
          <w:lang w:val="en-US" w:eastAsia="zh-CN"/>
        </w:rPr>
        <w:t>4.</w:t>
      </w:r>
      <w:r>
        <w:rPr>
          <w:rFonts w:hint="eastAsia" w:cs="仿宋_GB2312"/>
          <w:color w:val="auto"/>
          <w:szCs w:val="24"/>
          <w:highlight w:val="none"/>
          <w:lang w:val="en-US" w:eastAsia="zh-CN"/>
        </w:rPr>
        <w:t>投标人应随本《授权委托书》同时提供法定代表人（单位负责人）及委托代理人的有效的身份证、护照等身份证明文件电子件。提供身份证的，应同时提供身份证</w:t>
      </w:r>
      <w:r>
        <w:rPr>
          <w:rFonts w:hint="eastAsia" w:cs="仿宋_GB2312"/>
          <w:b/>
          <w:bCs/>
          <w:color w:val="auto"/>
          <w:szCs w:val="24"/>
          <w:highlight w:val="none"/>
          <w:lang w:val="en-US" w:eastAsia="zh-CN"/>
        </w:rPr>
        <w:t>双面</w:t>
      </w:r>
      <w:r>
        <w:rPr>
          <w:rFonts w:hint="eastAsia" w:cs="仿宋_GB2312"/>
          <w:color w:val="auto"/>
          <w:szCs w:val="24"/>
          <w:highlight w:val="none"/>
          <w:lang w:val="en-US" w:eastAsia="zh-CN"/>
        </w:rPr>
        <w:t>电子件。</w:t>
      </w:r>
    </w:p>
    <w:p w14:paraId="0B2EBA16">
      <w:pPr>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117D25C9">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4" w:name="_Toc163492928"/>
      <w:bookmarkStart w:id="805" w:name="_Toc155185934"/>
      <w:bookmarkStart w:id="806" w:name="_Toc27408"/>
      <w:r>
        <w:rPr>
          <w:rFonts w:hint="eastAsia" w:cstheme="majorBidi"/>
          <w:b/>
          <w:bCs/>
          <w:color w:val="auto"/>
          <w:kern w:val="2"/>
          <w:sz w:val="32"/>
          <w:szCs w:val="32"/>
          <w:highlight w:val="none"/>
          <w:lang w:val="en-US" w:eastAsia="zh-CN" w:bidi="ar-SA"/>
        </w:rPr>
        <w:t>四</w:t>
      </w:r>
      <w:r>
        <w:rPr>
          <w:rFonts w:hint="eastAsia" w:eastAsia="宋体" w:asciiTheme="majorHAnsi" w:hAnsiTheme="majorHAnsi" w:cstheme="majorBidi"/>
          <w:b/>
          <w:bCs/>
          <w:color w:val="auto"/>
          <w:kern w:val="2"/>
          <w:sz w:val="32"/>
          <w:szCs w:val="32"/>
          <w:highlight w:val="none"/>
          <w:lang w:val="en-US" w:eastAsia="zh-CN" w:bidi="ar-SA"/>
        </w:rPr>
        <w:t>、</w:t>
      </w:r>
      <w:bookmarkEnd w:id="804"/>
      <w:bookmarkEnd w:id="805"/>
      <w:r>
        <w:rPr>
          <w:rFonts w:hint="eastAsia" w:eastAsia="宋体" w:asciiTheme="majorHAnsi" w:hAnsiTheme="majorHAnsi" w:cstheme="majorBidi"/>
          <w:b/>
          <w:bCs/>
          <w:color w:val="auto"/>
          <w:kern w:val="2"/>
          <w:sz w:val="32"/>
          <w:szCs w:val="32"/>
          <w:highlight w:val="none"/>
          <w:lang w:val="zh-CN" w:eastAsia="zh-CN" w:bidi="ar-SA"/>
        </w:rPr>
        <w:t>政府采购</w:t>
      </w:r>
      <w:r>
        <w:rPr>
          <w:rFonts w:hint="eastAsia" w:cstheme="majorBidi"/>
          <w:b/>
          <w:bCs/>
          <w:color w:val="auto"/>
          <w:kern w:val="2"/>
          <w:sz w:val="32"/>
          <w:szCs w:val="32"/>
          <w:highlight w:val="none"/>
          <w:lang w:val="en-US" w:eastAsia="zh-CN" w:bidi="ar-SA"/>
        </w:rPr>
        <w:t>投标人</w:t>
      </w:r>
      <w:r>
        <w:rPr>
          <w:rFonts w:hint="eastAsia" w:eastAsia="宋体" w:asciiTheme="majorHAnsi" w:hAnsiTheme="majorHAnsi" w:cstheme="majorBidi"/>
          <w:b/>
          <w:bCs/>
          <w:color w:val="auto"/>
          <w:kern w:val="2"/>
          <w:sz w:val="32"/>
          <w:szCs w:val="32"/>
          <w:highlight w:val="none"/>
          <w:lang w:val="zh-CN" w:eastAsia="zh-CN" w:bidi="ar-SA"/>
        </w:rPr>
        <w:t>廉洁自律承诺书</w:t>
      </w:r>
      <w:bookmarkEnd w:id="806"/>
    </w:p>
    <w:p w14:paraId="2AB445CF">
      <w:pPr>
        <w:pStyle w:val="13"/>
        <w:pageBreakBefore w:val="0"/>
        <w:kinsoku/>
        <w:overflowPunct/>
        <w:bidi w:val="0"/>
        <w:spacing w:beforeAutospacing="0" w:after="0" w:afterAutospacing="0" w:line="560" w:lineRule="exact"/>
        <w:ind w:left="0" w:leftChars="0" w:right="0"/>
        <w:rPr>
          <w:color w:val="auto"/>
          <w:highlight w:val="none"/>
        </w:rPr>
      </w:pPr>
    </w:p>
    <w:p w14:paraId="2CE177B4">
      <w:pPr>
        <w:pageBreakBefore w:val="0"/>
        <w:kinsoku/>
        <w:overflowPunct/>
        <w:bidi w:val="0"/>
        <w:snapToGrid w:val="0"/>
        <w:spacing w:beforeAutospacing="0" w:afterAutospacing="0" w:line="560" w:lineRule="exact"/>
        <w:ind w:left="0" w:leftChars="0" w:right="0"/>
        <w:rPr>
          <w:rFonts w:ascii="宋体" w:hAnsi="宋体" w:cs="宋体"/>
          <w:color w:val="auto"/>
          <w:kern w:val="0"/>
          <w:sz w:val="24"/>
          <w:szCs w:val="24"/>
          <w:highlight w:val="none"/>
        </w:rPr>
      </w:pPr>
      <w:r>
        <w:rPr>
          <w:rFonts w:hint="eastAsia" w:ascii="宋体" w:hAnsi="宋体" w:cs="宋体"/>
          <w:color w:val="auto"/>
          <w:sz w:val="24"/>
          <w:szCs w:val="24"/>
          <w:highlight w:val="none"/>
        </w:rPr>
        <w:t>（采购人）、（采购代理机构）</w:t>
      </w:r>
      <w:r>
        <w:rPr>
          <w:rFonts w:hint="eastAsia" w:ascii="宋体" w:hAnsi="宋体" w:cs="宋体"/>
          <w:color w:val="auto"/>
          <w:kern w:val="0"/>
          <w:sz w:val="24"/>
          <w:szCs w:val="24"/>
          <w:highlight w:val="none"/>
          <w:lang w:val="zh-CN"/>
        </w:rPr>
        <w:t>：</w:t>
      </w:r>
    </w:p>
    <w:p w14:paraId="2139BFB4">
      <w:pPr>
        <w:pageBreakBefore w:val="0"/>
        <w:kinsoku/>
        <w:overflowPunct/>
        <w:autoSpaceDE w:val="0"/>
        <w:autoSpaceDN w:val="0"/>
        <w:bidi w:val="0"/>
        <w:spacing w:beforeAutospacing="0" w:afterAutospacing="0" w:line="560" w:lineRule="exact"/>
        <w:ind w:left="0" w:leftChars="0" w:right="0" w:firstLine="480" w:firstLineChars="2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我单位响应你</w:t>
      </w:r>
      <w:r>
        <w:rPr>
          <w:rFonts w:hint="eastAsia" w:ascii="宋体" w:hAnsi="宋体" w:cs="宋体"/>
          <w:color w:val="auto"/>
          <w:sz w:val="24"/>
          <w:szCs w:val="24"/>
          <w:highlight w:val="none"/>
        </w:rPr>
        <w:t>单位</w:t>
      </w:r>
      <w:r>
        <w:rPr>
          <w:rFonts w:hint="eastAsia" w:ascii="宋体" w:hAnsi="宋体" w:cs="宋体"/>
          <w:color w:val="auto"/>
          <w:kern w:val="0"/>
          <w:sz w:val="24"/>
          <w:szCs w:val="24"/>
          <w:highlight w:val="none"/>
          <w:lang w:val="zh-CN"/>
        </w:rPr>
        <w:t>项目招标要求参加投标。在这次投标过程中和中标后，我们将严格遵守国家法律法规要求，并郑重承诺：</w:t>
      </w:r>
    </w:p>
    <w:p w14:paraId="2B87D13C">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一、不向项目有关人员及部门赠送礼金礼物、有价证券、回扣以及中介费、介绍费、咨询费等好处费； </w:t>
      </w:r>
    </w:p>
    <w:p w14:paraId="063D62B4">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二、不为项目有关人员及部门报销应由你方单位或个人支付的费用； </w:t>
      </w:r>
    </w:p>
    <w:p w14:paraId="5ADDE615">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三、不向项目有关人员及部门提供有可能影响公正的宴请和健身娱乐等活动；</w:t>
      </w:r>
    </w:p>
    <w:p w14:paraId="6B70337F">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四、不为项目有关人员及部门出国（境）、旅游等提供方便；</w:t>
      </w:r>
    </w:p>
    <w:p w14:paraId="6421E616">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五、不为项目有关人员个人装修住房、婚丧嫁娶、配偶子女工作安排等提供好处；</w:t>
      </w:r>
    </w:p>
    <w:p w14:paraId="663761CE">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六、严格遵守《中华人民共和国政府采购法》</w:t>
      </w:r>
      <w:r>
        <w:rPr>
          <w:rFonts w:hint="eastAsia"/>
          <w:color w:val="auto"/>
          <w:highlight w:val="none"/>
        </w:rPr>
        <w:t>《中华人民共和国政府采购法</w:t>
      </w:r>
      <w:r>
        <w:rPr>
          <w:rFonts w:hint="eastAsia"/>
          <w:color w:val="auto"/>
          <w:highlight w:val="none"/>
          <w:lang w:val="en-US" w:eastAsia="zh-CN"/>
        </w:rPr>
        <w:t>实施条例</w:t>
      </w:r>
      <w:r>
        <w:rPr>
          <w:rFonts w:hint="eastAsia"/>
          <w:color w:val="auto"/>
          <w:highlight w:val="none"/>
        </w:rPr>
        <w:t>》</w:t>
      </w:r>
      <w:r>
        <w:rPr>
          <w:rFonts w:hint="eastAsia" w:ascii="宋体" w:hAnsi="宋体" w:cs="宋体"/>
          <w:color w:val="auto"/>
          <w:kern w:val="0"/>
          <w:sz w:val="24"/>
          <w:szCs w:val="24"/>
          <w:highlight w:val="none"/>
          <w:lang w:val="zh-CN"/>
        </w:rPr>
        <w:t xml:space="preserve">《中华人民共和国民法典》等法律法规，诚实守信，合法经营，坚决抵制各种违法违纪行为。 </w:t>
      </w:r>
    </w:p>
    <w:p w14:paraId="5C8FD2B8">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如违反上述承诺，你单位有权立即取消我单位投标、中标或在建项目的建设资格，有权拒绝我单位在一定时期内进入你单位进行项目建设或其他经营活动，并通报</w:t>
      </w:r>
      <w:r>
        <w:rPr>
          <w:rFonts w:hint="eastAsia" w:cs="宋体"/>
          <w:color w:val="auto"/>
          <w:kern w:val="0"/>
          <w:sz w:val="24"/>
          <w:szCs w:val="24"/>
          <w:highlight w:val="none"/>
          <w:lang w:val="en-US" w:eastAsia="zh-CN"/>
        </w:rPr>
        <w:t>兵团</w:t>
      </w:r>
      <w:r>
        <w:rPr>
          <w:rFonts w:hint="eastAsia" w:ascii="宋体" w:hAnsi="宋体" w:cs="宋体"/>
          <w:color w:val="auto"/>
          <w:kern w:val="0"/>
          <w:sz w:val="24"/>
          <w:szCs w:val="24"/>
          <w:highlight w:val="none"/>
          <w:lang w:val="zh-CN"/>
        </w:rPr>
        <w:t>财政局。由此引起的相应损失均由我单位承担。</w:t>
      </w:r>
    </w:p>
    <w:p w14:paraId="5E22ECB4">
      <w:pPr>
        <w:pageBreakBefore w:val="0"/>
        <w:kinsoku/>
        <w:overflowPunct/>
        <w:autoSpaceDE w:val="0"/>
        <w:autoSpaceDN w:val="0"/>
        <w:bidi w:val="0"/>
        <w:spacing w:beforeAutospacing="0" w:afterAutospacing="0" w:line="560" w:lineRule="exact"/>
        <w:ind w:left="0" w:leftChars="0" w:right="0"/>
        <w:jc w:val="left"/>
        <w:rPr>
          <w:rFonts w:ascii="宋体" w:hAnsi="宋体" w:cs="宋体"/>
          <w:color w:val="auto"/>
          <w:kern w:val="0"/>
          <w:sz w:val="24"/>
          <w:szCs w:val="24"/>
          <w:highlight w:val="none"/>
          <w:lang w:val="zh-CN"/>
        </w:rPr>
      </w:pPr>
    </w:p>
    <w:p w14:paraId="0914ACDE">
      <w:pPr>
        <w:pageBreakBefore w:val="0"/>
        <w:kinsoku/>
        <w:overflowPunct/>
        <w:autoSpaceDE w:val="0"/>
        <w:autoSpaceDN w:val="0"/>
        <w:bidi w:val="0"/>
        <w:spacing w:beforeAutospacing="0" w:afterAutospacing="0" w:line="560" w:lineRule="exact"/>
        <w:ind w:left="0" w:leftChars="0" w:right="0"/>
        <w:jc w:val="left"/>
        <w:rPr>
          <w:rFonts w:ascii="宋体" w:hAnsi="宋体" w:cs="宋体"/>
          <w:color w:val="auto"/>
          <w:kern w:val="0"/>
          <w:sz w:val="24"/>
          <w:szCs w:val="24"/>
          <w:highlight w:val="none"/>
          <w:lang w:val="zh-CN"/>
        </w:rPr>
      </w:pPr>
    </w:p>
    <w:p w14:paraId="02E01AF0">
      <w:pPr>
        <w:pageBreakBefore w:val="0"/>
        <w:kinsoku/>
        <w:overflowPunct/>
        <w:autoSpaceDE w:val="0"/>
        <w:autoSpaceDN w:val="0"/>
        <w:bidi w:val="0"/>
        <w:spacing w:beforeAutospacing="0" w:afterAutospacing="0" w:line="560" w:lineRule="exact"/>
        <w:ind w:left="0" w:leftChars="0" w:right="0"/>
        <w:jc w:val="left"/>
        <w:rPr>
          <w:rFonts w:ascii="宋体" w:hAnsi="宋体" w:cs="宋体"/>
          <w:color w:val="auto"/>
          <w:kern w:val="0"/>
          <w:sz w:val="24"/>
          <w:szCs w:val="24"/>
          <w:highlight w:val="none"/>
          <w:lang w:val="zh-CN"/>
        </w:rPr>
      </w:pPr>
    </w:p>
    <w:p w14:paraId="3EA46769">
      <w:pPr>
        <w:pageBreakBefore w:val="0"/>
        <w:kinsoku/>
        <w:overflowPunct/>
        <w:autoSpaceDE w:val="0"/>
        <w:autoSpaceDN w:val="0"/>
        <w:bidi w:val="0"/>
        <w:spacing w:beforeAutospacing="0" w:afterAutospacing="0" w:line="560" w:lineRule="exact"/>
        <w:ind w:left="0" w:leftChars="0" w:right="0" w:firstLine="4560" w:firstLineChars="19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cs="宋体"/>
          <w:color w:val="auto"/>
          <w:kern w:val="0"/>
          <w:sz w:val="24"/>
          <w:szCs w:val="24"/>
          <w:highlight w:val="none"/>
          <w:lang w:val="zh-CN"/>
        </w:rPr>
        <w:t xml:space="preserve">：                                                                                                                                                                                                               </w:t>
      </w:r>
    </w:p>
    <w:p w14:paraId="0FD8A2DC">
      <w:pPr>
        <w:pageBreakBefore w:val="0"/>
        <w:kinsoku/>
        <w:overflowPunct/>
        <w:bidi w:val="0"/>
        <w:spacing w:beforeAutospacing="0" w:afterAutospacing="0" w:line="560" w:lineRule="exact"/>
        <w:ind w:left="0" w:leftChars="0" w:right="0"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18FDCDE0">
      <w:pPr>
        <w:pStyle w:val="13"/>
        <w:pageBreakBefore w:val="0"/>
        <w:kinsoku/>
        <w:overflowPunct/>
        <w:bidi w:val="0"/>
        <w:spacing w:beforeAutospacing="0" w:after="0" w:afterAutospacing="0" w:line="560" w:lineRule="exact"/>
        <w:ind w:left="0" w:leftChars="0" w:right="0"/>
        <w:rPr>
          <w:rFonts w:hint="eastAsia" w:eastAsia="宋体" w:asciiTheme="majorHAnsi" w:hAnsiTheme="majorHAnsi" w:cstheme="majorBidi"/>
          <w:b/>
          <w:bCs/>
          <w:color w:val="auto"/>
          <w:kern w:val="2"/>
          <w:sz w:val="24"/>
          <w:szCs w:val="24"/>
          <w:highlight w:val="none"/>
          <w:lang w:val="en-US" w:eastAsia="zh-CN" w:bidi="ar-SA"/>
        </w:rPr>
      </w:pPr>
    </w:p>
    <w:p w14:paraId="74E8B7C7">
      <w:pPr>
        <w:pStyle w:val="3"/>
        <w:pageBreakBefore w:val="0"/>
        <w:kinsoku/>
        <w:overflowPunct/>
        <w:bidi w:val="0"/>
        <w:spacing w:before="0" w:beforeAutospacing="0" w:after="0" w:afterAutospacing="0" w:line="560" w:lineRule="exact"/>
        <w:ind w:left="0" w:leftChars="0" w:right="0"/>
        <w:jc w:val="center"/>
        <w:rPr>
          <w:rFonts w:hint="default"/>
          <w:lang w:val="en-US" w:eastAsia="zh-CN"/>
        </w:rPr>
      </w:pPr>
      <w:bookmarkStart w:id="807" w:name="_Toc24923"/>
      <w:r>
        <w:rPr>
          <w:rFonts w:hint="eastAsia"/>
          <w:lang w:val="en-US" w:eastAsia="zh-CN"/>
        </w:rPr>
        <w:t>五、</w:t>
      </w:r>
      <w:r>
        <w:rPr>
          <w:rFonts w:hint="eastAsia"/>
          <w:lang w:val="zh-CN" w:eastAsia="zh-CN"/>
        </w:rPr>
        <w:t>实质性响应一览表【</w:t>
      </w:r>
      <w:r>
        <w:rPr>
          <w:rFonts w:hint="eastAsia"/>
          <w:lang w:val="en-US" w:eastAsia="zh-CN"/>
        </w:rPr>
        <w:t>本表须与第五章的一致】</w:t>
      </w:r>
      <w:bookmarkEnd w:id="807"/>
    </w:p>
    <w:p w14:paraId="3FC7E450">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3B3C031E">
      <w:pPr>
        <w:pStyle w:val="23"/>
        <w:pageBreakBefore w:val="0"/>
        <w:kinsoku/>
        <w:overflowPunct/>
        <w:bidi w:val="0"/>
        <w:spacing w:beforeAutospacing="0" w:afterAutospacing="0" w:line="560" w:lineRule="exact"/>
        <w:ind w:left="0" w:leftChars="0" w:right="0"/>
        <w:rPr>
          <w:rFonts w:hint="eastAsia" w:ascii="宋体" w:hAnsi="宋体" w:cs="宋体"/>
          <w:color w:val="auto"/>
          <w:highlight w:val="none"/>
        </w:rPr>
      </w:pPr>
    </w:p>
    <w:tbl>
      <w:tblPr>
        <w:tblStyle w:val="29"/>
        <w:tblW w:w="5396" w:type="pct"/>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
        <w:gridCol w:w="1978"/>
        <w:gridCol w:w="4229"/>
        <w:gridCol w:w="1860"/>
        <w:gridCol w:w="726"/>
      </w:tblGrid>
      <w:tr w14:paraId="2EF50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20" w:type="pct"/>
            <w:vMerge w:val="restart"/>
            <w:noWrap w:val="0"/>
            <w:vAlign w:val="center"/>
          </w:tcPr>
          <w:p w14:paraId="101C805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374" w:type="pct"/>
            <w:gridSpan w:val="2"/>
            <w:noWrap w:val="0"/>
            <w:vAlign w:val="center"/>
          </w:tcPr>
          <w:p w14:paraId="02D6053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招标</w:t>
            </w:r>
            <w:r>
              <w:rPr>
                <w:rFonts w:hint="eastAsia" w:ascii="宋体" w:hAnsi="宋体" w:cs="宋体"/>
                <w:color w:val="auto"/>
                <w:sz w:val="24"/>
                <w:highlight w:val="none"/>
              </w:rPr>
              <w:t>文件要求的实质性响应内容</w:t>
            </w:r>
          </w:p>
        </w:tc>
        <w:tc>
          <w:tcPr>
            <w:tcW w:w="1011" w:type="pct"/>
            <w:vMerge w:val="restart"/>
            <w:noWrap w:val="0"/>
            <w:vAlign w:val="center"/>
          </w:tcPr>
          <w:p w14:paraId="56144F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投标文件响应</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具体内容</w:t>
            </w:r>
          </w:p>
        </w:tc>
        <w:tc>
          <w:tcPr>
            <w:tcW w:w="394" w:type="pct"/>
            <w:vMerge w:val="restart"/>
            <w:noWrap w:val="0"/>
            <w:vAlign w:val="center"/>
          </w:tcPr>
          <w:p w14:paraId="3D4BAC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8FB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20" w:type="pct"/>
            <w:vMerge w:val="continue"/>
            <w:noWrap w:val="0"/>
            <w:vAlign w:val="center"/>
          </w:tcPr>
          <w:p w14:paraId="6135354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color w:val="auto"/>
                <w:highlight w:val="none"/>
              </w:rPr>
            </w:pPr>
          </w:p>
        </w:tc>
        <w:tc>
          <w:tcPr>
            <w:tcW w:w="1075" w:type="pct"/>
            <w:noWrap w:val="0"/>
            <w:vAlign w:val="center"/>
          </w:tcPr>
          <w:p w14:paraId="6B0E164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cs="宋体"/>
                <w:color w:val="auto"/>
                <w:sz w:val="24"/>
                <w:highlight w:val="none"/>
                <w:lang w:val="en-US" w:eastAsia="zh-CN"/>
              </w:rPr>
              <w:t>实质性要求</w:t>
            </w:r>
          </w:p>
        </w:tc>
        <w:tc>
          <w:tcPr>
            <w:tcW w:w="2298" w:type="pct"/>
            <w:noWrap w:val="0"/>
            <w:vAlign w:val="center"/>
          </w:tcPr>
          <w:p w14:paraId="3466A6A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cs="宋体"/>
                <w:color w:val="auto"/>
                <w:sz w:val="24"/>
                <w:highlight w:val="none"/>
                <w:lang w:val="en-US" w:eastAsia="zh-CN"/>
              </w:rPr>
              <w:t>招标文件中的规定</w:t>
            </w:r>
          </w:p>
        </w:tc>
        <w:tc>
          <w:tcPr>
            <w:tcW w:w="1011" w:type="pct"/>
            <w:vMerge w:val="continue"/>
            <w:noWrap w:val="0"/>
            <w:vAlign w:val="center"/>
          </w:tcPr>
          <w:p w14:paraId="230A57B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p>
        </w:tc>
        <w:tc>
          <w:tcPr>
            <w:tcW w:w="394" w:type="pct"/>
            <w:vMerge w:val="continue"/>
            <w:noWrap w:val="0"/>
            <w:vAlign w:val="center"/>
          </w:tcPr>
          <w:p w14:paraId="1401563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p>
        </w:tc>
      </w:tr>
      <w:tr w14:paraId="0FCF1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trPr>
        <w:tc>
          <w:tcPr>
            <w:tcW w:w="220" w:type="pct"/>
            <w:noWrap w:val="0"/>
            <w:vAlign w:val="center"/>
          </w:tcPr>
          <w:p w14:paraId="5D4136A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75" w:type="pct"/>
            <w:shd w:val="clear" w:color="auto" w:fill="auto"/>
            <w:noWrap w:val="0"/>
            <w:vAlign w:val="center"/>
          </w:tcPr>
          <w:p w14:paraId="11E3D90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2298" w:type="pct"/>
            <w:shd w:val="clear" w:color="auto" w:fill="auto"/>
            <w:noWrap w:val="0"/>
            <w:vAlign w:val="center"/>
          </w:tcPr>
          <w:p w14:paraId="2D62742B">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1E4B729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2ED2EBD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29B14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220" w:type="pct"/>
            <w:noWrap w:val="0"/>
            <w:vAlign w:val="center"/>
          </w:tcPr>
          <w:p w14:paraId="708A3B9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75" w:type="pct"/>
            <w:shd w:val="clear" w:color="auto" w:fill="auto"/>
            <w:noWrap w:val="0"/>
            <w:vAlign w:val="center"/>
          </w:tcPr>
          <w:p w14:paraId="7DC773B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2298" w:type="pct"/>
            <w:shd w:val="clear" w:color="auto" w:fill="auto"/>
            <w:noWrap w:val="0"/>
            <w:vAlign w:val="center"/>
          </w:tcPr>
          <w:p w14:paraId="011D967C">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58F62CE4">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194CC2D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547B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trPr>
        <w:tc>
          <w:tcPr>
            <w:tcW w:w="220" w:type="pct"/>
            <w:shd w:val="clear" w:color="auto" w:fill="auto"/>
            <w:noWrap w:val="0"/>
            <w:vAlign w:val="center"/>
          </w:tcPr>
          <w:p w14:paraId="6A2DB15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75" w:type="pct"/>
            <w:shd w:val="clear" w:color="auto" w:fill="auto"/>
            <w:noWrap w:val="0"/>
            <w:vAlign w:val="center"/>
          </w:tcPr>
          <w:p w14:paraId="46BFE239">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2298" w:type="pct"/>
            <w:shd w:val="clear" w:color="auto" w:fill="auto"/>
            <w:noWrap w:val="0"/>
            <w:vAlign w:val="center"/>
          </w:tcPr>
          <w:p w14:paraId="486ABA85">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1011" w:type="pct"/>
            <w:noWrap w:val="0"/>
            <w:vAlign w:val="center"/>
          </w:tcPr>
          <w:p w14:paraId="59491DC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1511A2D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5B874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12289F6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75" w:type="pct"/>
            <w:shd w:val="clear" w:color="auto" w:fill="auto"/>
            <w:noWrap w:val="0"/>
            <w:vAlign w:val="center"/>
          </w:tcPr>
          <w:p w14:paraId="1D3E0310">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2298" w:type="pct"/>
            <w:shd w:val="clear" w:color="auto" w:fill="auto"/>
            <w:noWrap w:val="0"/>
            <w:vAlign w:val="center"/>
          </w:tcPr>
          <w:p w14:paraId="281089E1">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1011" w:type="pct"/>
            <w:noWrap w:val="0"/>
            <w:vAlign w:val="center"/>
          </w:tcPr>
          <w:p w14:paraId="6CCA3E7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0A8FC1E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70A77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1" w:hRule="atLeast"/>
        </w:trPr>
        <w:tc>
          <w:tcPr>
            <w:tcW w:w="220" w:type="pct"/>
            <w:shd w:val="clear" w:color="auto" w:fill="auto"/>
            <w:noWrap w:val="0"/>
            <w:vAlign w:val="center"/>
          </w:tcPr>
          <w:p w14:paraId="36B59CD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075" w:type="pct"/>
            <w:noWrap w:val="0"/>
            <w:vAlign w:val="center"/>
          </w:tcPr>
          <w:p w14:paraId="43A0BEF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310F1D1A">
            <w:pPr>
              <w:pStyle w:val="81"/>
              <w:keepNext w:val="0"/>
              <w:keepLines w:val="0"/>
              <w:pageBreakBefore w:val="0"/>
              <w:widowControl w:val="0"/>
              <w:shd w:val="clear" w:color="auto" w:fill="FFFFFF"/>
              <w:kinsoku/>
              <w:wordWrap/>
              <w:overflowPunct/>
              <w:topLinePunct w:val="0"/>
              <w:bidi w:val="0"/>
              <w:adjustRightInd/>
              <w:snapToGrid/>
              <w:spacing w:beforeAutospacing="0" w:afterAutospacing="0" w:line="560" w:lineRule="exact"/>
              <w:ind w:left="0" w:leftChars="0" w:right="0" w:firstLine="0" w:firstLineChars="0"/>
              <w:textAlignment w:val="auto"/>
              <w:rPr>
                <w:rFonts w:hint="eastAsia" w:ascii="宋体" w:hAnsi="宋体" w:eastAsia="宋体" w:cs="宋体"/>
                <w:color w:val="auto"/>
                <w:kern w:val="0"/>
                <w:sz w:val="24"/>
                <w:szCs w:val="24"/>
                <w:highlight w:val="none"/>
                <w:lang w:val="en-US" w:eastAsia="zh-CN" w:bidi="ar-SA"/>
              </w:rPr>
            </w:pPr>
          </w:p>
        </w:tc>
        <w:tc>
          <w:tcPr>
            <w:tcW w:w="1011" w:type="pct"/>
            <w:noWrap w:val="0"/>
            <w:vAlign w:val="center"/>
          </w:tcPr>
          <w:p w14:paraId="492A3FE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7AFD0B5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366B3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0C145DE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1075" w:type="pct"/>
            <w:noWrap w:val="0"/>
            <w:vAlign w:val="center"/>
          </w:tcPr>
          <w:p w14:paraId="24DF7F3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5482D5F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24D82CE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190A3A2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2E09A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2F26FC6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1075" w:type="pct"/>
            <w:noWrap w:val="0"/>
            <w:vAlign w:val="center"/>
          </w:tcPr>
          <w:p w14:paraId="7BD1DFF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0998D7BE">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p>
        </w:tc>
        <w:tc>
          <w:tcPr>
            <w:tcW w:w="1011" w:type="pct"/>
            <w:noWrap w:val="0"/>
            <w:vAlign w:val="center"/>
          </w:tcPr>
          <w:p w14:paraId="4CB9861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015D30C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5EA1B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220" w:type="pct"/>
            <w:noWrap w:val="0"/>
            <w:vAlign w:val="center"/>
          </w:tcPr>
          <w:p w14:paraId="4ED2BCC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lang w:val="en-US" w:eastAsia="zh-CN"/>
              </w:rPr>
            </w:pPr>
          </w:p>
        </w:tc>
        <w:tc>
          <w:tcPr>
            <w:tcW w:w="1075" w:type="pct"/>
            <w:shd w:val="clear" w:color="auto" w:fill="auto"/>
            <w:noWrap w:val="0"/>
            <w:vAlign w:val="center"/>
          </w:tcPr>
          <w:p w14:paraId="28BAA9A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6246E5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eastAsia="zh-CN"/>
              </w:rPr>
            </w:pPr>
          </w:p>
        </w:tc>
        <w:tc>
          <w:tcPr>
            <w:tcW w:w="1011" w:type="pct"/>
            <w:noWrap w:val="0"/>
            <w:vAlign w:val="center"/>
          </w:tcPr>
          <w:p w14:paraId="1853010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796ECCF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bl>
    <w:p w14:paraId="1BAA11FC">
      <w:pPr>
        <w:pageBreakBefore w:val="0"/>
        <w:kinsoku/>
        <w:overflowPunct/>
        <w:bidi w:val="0"/>
        <w:spacing w:beforeAutospacing="0" w:afterAutospacing="0" w:line="560" w:lineRule="exact"/>
        <w:ind w:left="0" w:leftChars="0" w:right="0"/>
        <w:rPr>
          <w:rFonts w:hint="eastAsia" w:eastAsia="宋体" w:asciiTheme="majorHAnsi" w:hAnsiTheme="majorHAnsi" w:cstheme="majorBidi"/>
          <w:b/>
          <w:bCs/>
          <w:color w:val="auto"/>
          <w:kern w:val="2"/>
          <w:sz w:val="28"/>
          <w:szCs w:val="28"/>
          <w:highlight w:val="none"/>
          <w:lang w:val="en-US" w:eastAsia="zh-CN" w:bidi="ar-SA"/>
        </w:rPr>
      </w:pPr>
      <w:r>
        <w:rPr>
          <w:rFonts w:hint="eastAsia" w:eastAsia="宋体" w:asciiTheme="majorHAnsi" w:hAnsiTheme="majorHAnsi" w:cstheme="majorBidi"/>
          <w:b/>
          <w:bCs/>
          <w:color w:val="auto"/>
          <w:kern w:val="2"/>
          <w:sz w:val="28"/>
          <w:szCs w:val="28"/>
          <w:highlight w:val="none"/>
          <w:lang w:val="en-US" w:eastAsia="zh-CN" w:bidi="ar-SA"/>
        </w:rPr>
        <w:br w:type="page"/>
      </w:r>
    </w:p>
    <w:p w14:paraId="626EF50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8" w:name="_Toc20481"/>
      <w:r>
        <w:rPr>
          <w:rFonts w:hint="eastAsia" w:cstheme="majorBidi"/>
          <w:b/>
          <w:bCs/>
          <w:color w:val="auto"/>
          <w:kern w:val="2"/>
          <w:sz w:val="32"/>
          <w:szCs w:val="32"/>
          <w:highlight w:val="none"/>
          <w:lang w:val="en-US" w:eastAsia="zh-CN" w:bidi="ar-SA"/>
        </w:rPr>
        <w:t>六</w:t>
      </w:r>
      <w:r>
        <w:rPr>
          <w:rFonts w:hint="eastAsia" w:eastAsia="宋体" w:asciiTheme="majorHAnsi" w:hAnsiTheme="majorHAnsi" w:cstheme="majorBidi"/>
          <w:b/>
          <w:bCs/>
          <w:color w:val="auto"/>
          <w:kern w:val="2"/>
          <w:sz w:val="32"/>
          <w:szCs w:val="32"/>
          <w:highlight w:val="none"/>
          <w:lang w:val="en-US" w:eastAsia="zh-CN" w:bidi="ar-SA"/>
        </w:rPr>
        <w:t>、商务响应偏离表</w:t>
      </w:r>
      <w:bookmarkEnd w:id="808"/>
    </w:p>
    <w:p w14:paraId="1D186498">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 xml:space="preserve">项目名称：                                         </w:t>
      </w:r>
    </w:p>
    <w:p w14:paraId="49D93B14">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29"/>
        <w:tblW w:w="503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2394"/>
        <w:gridCol w:w="1720"/>
        <w:gridCol w:w="1871"/>
        <w:gridCol w:w="1871"/>
      </w:tblGrid>
      <w:tr w14:paraId="3312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20" w:type="pct"/>
            <w:vAlign w:val="center"/>
          </w:tcPr>
          <w:p w14:paraId="61EA105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395" w:type="pct"/>
            <w:vAlign w:val="center"/>
          </w:tcPr>
          <w:p w14:paraId="49200A2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招标文件的商务条款</w:t>
            </w:r>
          </w:p>
        </w:tc>
        <w:tc>
          <w:tcPr>
            <w:tcW w:w="1002" w:type="pct"/>
            <w:vAlign w:val="center"/>
          </w:tcPr>
          <w:p w14:paraId="2B47A59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投标文件的响应内容</w:t>
            </w:r>
          </w:p>
        </w:tc>
        <w:tc>
          <w:tcPr>
            <w:tcW w:w="1090" w:type="pct"/>
            <w:vAlign w:val="center"/>
          </w:tcPr>
          <w:p w14:paraId="0A22DBC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090" w:type="pct"/>
            <w:vAlign w:val="center"/>
          </w:tcPr>
          <w:p w14:paraId="030997F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说明及索引</w:t>
            </w:r>
          </w:p>
        </w:tc>
      </w:tr>
      <w:tr w14:paraId="2C90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F94D57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95" w:type="pct"/>
            <w:vAlign w:val="center"/>
          </w:tcPr>
          <w:p w14:paraId="4BC6C9A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5FBB365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0BE3ED7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响应/偏离</w:t>
            </w:r>
          </w:p>
        </w:tc>
        <w:tc>
          <w:tcPr>
            <w:tcW w:w="1090" w:type="pct"/>
            <w:vAlign w:val="center"/>
          </w:tcPr>
          <w:p w14:paraId="38155B6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C680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1A99A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95" w:type="pct"/>
            <w:vAlign w:val="center"/>
          </w:tcPr>
          <w:p w14:paraId="45C9EA1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78716E3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7FF2D0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4FD2DF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CF1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1DCD2E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95" w:type="pct"/>
            <w:vAlign w:val="center"/>
          </w:tcPr>
          <w:p w14:paraId="69CD64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0A18A48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4CBAA73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7E83BCC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5C0F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F30B68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4AADEA2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38D5F73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25853E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701964E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D3D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5F3EE0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4393079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25A3A5B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B49FF8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7AD8A6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93F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08504A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0B05BA2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6EE2FD7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3C3EE3D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0D0213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BC6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DE1BBE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2369E7C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1C2905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E4702A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65DCC15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86EA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A27D4B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15CE836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7852095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6B647A8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53ABE54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CD7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BECA69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1376A9A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021889C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AA6C38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326386E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463E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C03EC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03E9879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602D2FC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53E5BFE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3AA5DDE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B881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0B43B8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002C280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0042BF4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01256F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C7FF8A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2F1B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458511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5682E2D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76E9879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63343BA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F4D9BE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50A2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1" w:hRule="atLeast"/>
        </w:trPr>
        <w:tc>
          <w:tcPr>
            <w:tcW w:w="420" w:type="pct"/>
            <w:vAlign w:val="center"/>
          </w:tcPr>
          <w:p w14:paraId="5D23FA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582C285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324F91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C83C7A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3B6861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3B15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0" w:type="pct"/>
            <w:vAlign w:val="center"/>
          </w:tcPr>
          <w:p w14:paraId="06D2AB5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395" w:type="pct"/>
            <w:vAlign w:val="center"/>
          </w:tcPr>
          <w:p w14:paraId="6799470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460CD4A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6A23004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68EC7DE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307BC303">
      <w:pPr>
        <w:pageBreakBefore w:val="0"/>
        <w:kinsoku/>
        <w:overflowPunct/>
        <w:bidi w:val="0"/>
        <w:spacing w:beforeAutospacing="0" w:afterAutospacing="0" w:line="560" w:lineRule="exact"/>
        <w:ind w:right="0"/>
        <w:rPr>
          <w:rFonts w:cs="仿宋_GB2312"/>
          <w:color w:val="auto"/>
          <w:szCs w:val="24"/>
          <w:highlight w:val="none"/>
        </w:rPr>
      </w:pPr>
      <w:r>
        <w:rPr>
          <w:rFonts w:hint="eastAsia" w:cs="仿宋_GB2312"/>
          <w:color w:val="auto"/>
          <w:sz w:val="21"/>
          <w:szCs w:val="21"/>
          <w:highlight w:val="none"/>
        </w:rPr>
        <w:t>注：投标人应按照招标文件“第三章 采购需求”</w:t>
      </w:r>
      <w:r>
        <w:rPr>
          <w:rFonts w:hint="eastAsia" w:cs="仿宋_GB2312"/>
          <w:color w:val="auto"/>
          <w:sz w:val="21"/>
          <w:szCs w:val="21"/>
          <w:highlight w:val="none"/>
          <w:lang w:val="en-US" w:eastAsia="zh-CN"/>
        </w:rPr>
        <w:t>中的商务要求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“响应/偏离”应据实填写“响应”、“正偏离”或“负偏离”</w:t>
      </w:r>
      <w:r>
        <w:rPr>
          <w:rFonts w:hint="eastAsia" w:cs="仿宋_GB2312"/>
          <w:color w:val="auto"/>
          <w:sz w:val="21"/>
          <w:szCs w:val="21"/>
          <w:highlight w:val="none"/>
        </w:rPr>
        <w:t>。</w:t>
      </w:r>
    </w:p>
    <w:p w14:paraId="5CB06622">
      <w:pPr>
        <w:pageBreakBefore w:val="0"/>
        <w:kinsoku/>
        <w:overflowPunct/>
        <w:bidi w:val="0"/>
        <w:spacing w:beforeAutospacing="0" w:afterAutospacing="0" w:line="560" w:lineRule="exact"/>
        <w:ind w:right="0"/>
        <w:rPr>
          <w:rFonts w:cs="仿宋_GB2312"/>
          <w:color w:val="auto"/>
          <w:szCs w:val="24"/>
          <w:highlight w:val="none"/>
        </w:rPr>
      </w:pPr>
    </w:p>
    <w:p w14:paraId="2E8083B6">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77655944">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hint="eastAsia" w:cs="仿宋_GB2312"/>
          <w:color w:val="auto"/>
          <w:szCs w:val="24"/>
          <w:highlight w:val="none"/>
        </w:rPr>
        <w:t>日      期：</w:t>
      </w:r>
    </w:p>
    <w:p w14:paraId="598C43A6">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cs="仿宋_GB2312"/>
          <w:color w:val="auto"/>
          <w:szCs w:val="24"/>
          <w:highlight w:val="none"/>
        </w:rPr>
        <w:br w:type="page"/>
      </w:r>
    </w:p>
    <w:p w14:paraId="3BEF2EC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eastAsia="宋体" w:asciiTheme="majorHAnsi" w:hAnsiTheme="majorHAnsi" w:cstheme="majorBidi"/>
          <w:b/>
          <w:bCs/>
          <w:color w:val="auto"/>
          <w:kern w:val="2"/>
          <w:sz w:val="28"/>
          <w:szCs w:val="28"/>
          <w:highlight w:val="none"/>
          <w:lang w:val="en-US" w:eastAsia="zh-CN" w:bidi="ar-SA"/>
        </w:rPr>
      </w:pPr>
    </w:p>
    <w:p w14:paraId="287724F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9" w:name="_Toc18155"/>
      <w:r>
        <w:rPr>
          <w:rFonts w:hint="eastAsia" w:cstheme="majorBidi"/>
          <w:b/>
          <w:bCs/>
          <w:color w:val="auto"/>
          <w:kern w:val="2"/>
          <w:sz w:val="32"/>
          <w:szCs w:val="32"/>
          <w:highlight w:val="none"/>
          <w:lang w:val="en-US" w:eastAsia="zh-CN" w:bidi="ar-SA"/>
        </w:rPr>
        <w:t>七</w:t>
      </w:r>
      <w:r>
        <w:rPr>
          <w:rFonts w:hint="eastAsia" w:eastAsia="宋体" w:asciiTheme="majorHAnsi" w:hAnsiTheme="majorHAnsi" w:cstheme="majorBidi"/>
          <w:b/>
          <w:bCs/>
          <w:color w:val="auto"/>
          <w:kern w:val="2"/>
          <w:sz w:val="32"/>
          <w:szCs w:val="32"/>
          <w:highlight w:val="none"/>
          <w:lang w:val="en-US" w:eastAsia="zh-CN" w:bidi="ar-SA"/>
        </w:rPr>
        <w:t>、业绩证明文件</w:t>
      </w:r>
      <w:bookmarkEnd w:id="809"/>
    </w:p>
    <w:p w14:paraId="7DB08DA5">
      <w:pPr>
        <w:pageBreakBefore w:val="0"/>
        <w:kinsoku/>
        <w:overflowPunct/>
        <w:bidi w:val="0"/>
        <w:spacing w:beforeAutospacing="0" w:afterAutospacing="0" w:line="560" w:lineRule="exact"/>
        <w:ind w:left="0" w:leftChars="0" w:right="0"/>
        <w:rPr>
          <w:rFonts w:cs="仿宋_GB2312"/>
          <w:color w:val="auto"/>
          <w:szCs w:val="24"/>
          <w:highlight w:val="none"/>
        </w:rPr>
      </w:pPr>
      <w:r>
        <w:rPr>
          <w:rFonts w:cs="Arial"/>
          <w:bCs/>
          <w:color w:val="auto"/>
          <w:szCs w:val="21"/>
          <w:highlight w:val="none"/>
        </w:rPr>
        <w:fldChar w:fldCharType="begin"/>
      </w:r>
      <w:r>
        <w:rPr>
          <w:rFonts w:cs="Arial"/>
          <w:bCs/>
          <w:color w:val="auto"/>
          <w:szCs w:val="21"/>
          <w:highlight w:val="none"/>
        </w:rPr>
        <w:instrText xml:space="preserve"> LINK Word.Document.8 "D:\\音乐厅\\4通用设备\\招标文件\\音乐厅空调设备招标文件v1.0.doc" "OLE_LINK8" \r  \* MERGEFORMAT </w:instrText>
      </w:r>
      <w:r>
        <w:rPr>
          <w:rFonts w:cs="Arial"/>
          <w:bCs/>
          <w:color w:val="auto"/>
          <w:szCs w:val="21"/>
          <w:highlight w:val="none"/>
        </w:rPr>
        <w:fldChar w:fldCharType="separate"/>
      </w:r>
      <w:r>
        <w:rPr>
          <w:rFonts w:hint="eastAsia" w:cs="仿宋_GB2312"/>
          <w:color w:val="auto"/>
          <w:szCs w:val="24"/>
          <w:highlight w:val="none"/>
        </w:rPr>
        <w:t xml:space="preserve">项目名称：                                         </w:t>
      </w:r>
    </w:p>
    <w:p w14:paraId="4A687997">
      <w:pPr>
        <w:pageBreakBefore w:val="0"/>
        <w:kinsoku/>
        <w:overflowPunct/>
        <w:bidi w:val="0"/>
        <w:spacing w:beforeAutospacing="0" w:afterAutospacing="0" w:line="560" w:lineRule="exact"/>
        <w:ind w:left="0" w:leftChars="0" w:right="0"/>
        <w:rPr>
          <w:rFonts w:cs="Arial"/>
          <w:bCs/>
          <w:color w:val="auto"/>
          <w:szCs w:val="21"/>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r>
        <w:rPr>
          <w:rFonts w:cs="Arial"/>
          <w:bCs/>
          <w:color w:val="auto"/>
          <w:szCs w:val="21"/>
          <w:highlight w:val="none"/>
        </w:rPr>
        <w:fldChar w:fldCharType="end"/>
      </w:r>
    </w:p>
    <w:tbl>
      <w:tblPr>
        <w:tblStyle w:val="29"/>
        <w:tblW w:w="8988"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080"/>
        <w:gridCol w:w="1248"/>
        <w:gridCol w:w="1129"/>
        <w:gridCol w:w="1283"/>
        <w:gridCol w:w="1368"/>
        <w:gridCol w:w="960"/>
        <w:gridCol w:w="1176"/>
      </w:tblGrid>
      <w:tr w14:paraId="0BB30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37278D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0" w:name="_Hlk46779239"/>
            <w:r>
              <w:rPr>
                <w:rFonts w:hint="eastAsia" w:ascii="宋体" w:hAnsi="宋体" w:eastAsia="宋体" w:cs="宋体"/>
                <w:color w:val="auto"/>
                <w:sz w:val="21"/>
                <w:szCs w:val="21"/>
                <w:highlight w:val="none"/>
              </w:rPr>
              <w:t>序号</w:t>
            </w:r>
          </w:p>
        </w:tc>
        <w:tc>
          <w:tcPr>
            <w:tcW w:w="1080" w:type="dxa"/>
            <w:vAlign w:val="center"/>
          </w:tcPr>
          <w:p w14:paraId="5EA65C0E">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完成时间</w:t>
            </w:r>
          </w:p>
        </w:tc>
        <w:tc>
          <w:tcPr>
            <w:tcW w:w="1248" w:type="dxa"/>
            <w:vAlign w:val="center"/>
          </w:tcPr>
          <w:p w14:paraId="15F7119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1129" w:type="dxa"/>
            <w:vAlign w:val="center"/>
          </w:tcPr>
          <w:p w14:paraId="7F2B957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标的</w:t>
            </w:r>
            <w:r>
              <w:rPr>
                <w:rFonts w:hint="eastAsia" w:ascii="宋体" w:hAnsi="宋体" w:eastAsia="宋体" w:cs="宋体"/>
                <w:color w:val="auto"/>
                <w:sz w:val="21"/>
                <w:szCs w:val="21"/>
                <w:highlight w:val="none"/>
              </w:rPr>
              <w:t>内容</w:t>
            </w:r>
          </w:p>
        </w:tc>
        <w:tc>
          <w:tcPr>
            <w:tcW w:w="1283" w:type="dxa"/>
            <w:vAlign w:val="center"/>
          </w:tcPr>
          <w:p w14:paraId="56A877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名称</w:t>
            </w:r>
          </w:p>
        </w:tc>
        <w:tc>
          <w:tcPr>
            <w:tcW w:w="1368" w:type="dxa"/>
            <w:vAlign w:val="center"/>
          </w:tcPr>
          <w:p w14:paraId="55D436A5">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中标（成交）金额</w:t>
            </w:r>
          </w:p>
        </w:tc>
        <w:tc>
          <w:tcPr>
            <w:tcW w:w="960" w:type="dxa"/>
            <w:vAlign w:val="center"/>
          </w:tcPr>
          <w:p w14:paraId="0DD0D2D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1176" w:type="dxa"/>
            <w:vAlign w:val="center"/>
          </w:tcPr>
          <w:p w14:paraId="607D7E4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49BD0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61F1D14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80" w:type="dxa"/>
            <w:vAlign w:val="center"/>
          </w:tcPr>
          <w:p w14:paraId="25A72089">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6F3805E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7CB7C00C">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60DAC622">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5436BEC1">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4A8D26B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6799D8A5">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43671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0317484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80" w:type="dxa"/>
            <w:vAlign w:val="center"/>
          </w:tcPr>
          <w:p w14:paraId="3C7437EA">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753A8A2D">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02634890">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3563AED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4ED6DFCE">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3DDF15B1">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069D1E2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026F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6CB6EA9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80" w:type="dxa"/>
            <w:vAlign w:val="center"/>
          </w:tcPr>
          <w:p w14:paraId="5AFF132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40DFA46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192188BA">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58044B96">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10BAB04D">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38FE3D5D">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048AC4DE">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45C01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7D25913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vAlign w:val="center"/>
          </w:tcPr>
          <w:p w14:paraId="12629B5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278EE30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502FE2B6">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44F7BE6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463BDC1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5208210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7EC4162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6F11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1FCCAE3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vAlign w:val="center"/>
          </w:tcPr>
          <w:p w14:paraId="1728B66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5B701B3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0BFD565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5695575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6AF4F252">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0E461DD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5804A0BF">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68222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44" w:type="dxa"/>
            <w:vAlign w:val="center"/>
          </w:tcPr>
          <w:p w14:paraId="5EB02E4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80" w:type="dxa"/>
            <w:vAlign w:val="center"/>
          </w:tcPr>
          <w:p w14:paraId="30E7C832">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147B2F9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61B0E0D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6B918799">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1BCEEA1A">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4A3F6BEC">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459FE74C">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bookmarkEnd w:id="810"/>
    </w:tbl>
    <w:p w14:paraId="0D2F5038">
      <w:pPr>
        <w:pageBreakBefore w:val="0"/>
        <w:kinsoku/>
        <w:overflowPunct/>
        <w:bidi w:val="0"/>
        <w:spacing w:beforeAutospacing="0" w:afterAutospacing="0" w:line="560" w:lineRule="exact"/>
        <w:ind w:left="0" w:leftChars="0" w:right="0"/>
        <w:rPr>
          <w:rFonts w:hint="eastAsia" w:cs="仿宋_GB2312"/>
          <w:color w:val="auto"/>
          <w:szCs w:val="24"/>
          <w:highlight w:val="none"/>
        </w:rPr>
      </w:pPr>
    </w:p>
    <w:p w14:paraId="088168D4">
      <w:pPr>
        <w:pageBreakBefore w:val="0"/>
        <w:kinsoku/>
        <w:overflowPunct/>
        <w:bidi w:val="0"/>
        <w:spacing w:beforeAutospacing="0" w:afterAutospacing="0" w:line="560" w:lineRule="exact"/>
        <w:ind w:left="0" w:leftChars="0" w:right="0"/>
        <w:rPr>
          <w:rFonts w:cs="仿宋_GB2312"/>
          <w:color w:val="auto"/>
          <w:sz w:val="21"/>
          <w:szCs w:val="21"/>
          <w:highlight w:val="none"/>
        </w:rPr>
      </w:pPr>
      <w:r>
        <w:rPr>
          <w:rFonts w:hint="eastAsia" w:cs="仿宋_GB2312"/>
          <w:color w:val="auto"/>
          <w:sz w:val="21"/>
          <w:szCs w:val="21"/>
          <w:highlight w:val="none"/>
        </w:rPr>
        <w:t>注：投标人须按</w:t>
      </w:r>
      <w:r>
        <w:rPr>
          <w:rFonts w:hint="eastAsia" w:cs="仿宋_GB2312"/>
          <w:color w:val="auto"/>
          <w:sz w:val="21"/>
          <w:szCs w:val="21"/>
          <w:highlight w:val="none"/>
          <w:lang w:val="en-US" w:eastAsia="zh-CN"/>
        </w:rPr>
        <w:t>相关要求</w:t>
      </w:r>
      <w:r>
        <w:rPr>
          <w:rFonts w:hint="eastAsia" w:cs="仿宋_GB2312"/>
          <w:color w:val="auto"/>
          <w:sz w:val="21"/>
          <w:szCs w:val="21"/>
          <w:highlight w:val="none"/>
        </w:rPr>
        <w:t>提供相应的</w:t>
      </w:r>
      <w:r>
        <w:rPr>
          <w:rFonts w:hint="eastAsia" w:cs="仿宋_GB2312"/>
          <w:color w:val="auto"/>
          <w:sz w:val="21"/>
          <w:szCs w:val="21"/>
          <w:highlight w:val="none"/>
          <w:lang w:val="en-US" w:eastAsia="zh-CN"/>
        </w:rPr>
        <w:t>中标（成交）通知书、采购合同等</w:t>
      </w:r>
      <w:r>
        <w:rPr>
          <w:rFonts w:hint="eastAsia" w:cs="仿宋_GB2312"/>
          <w:color w:val="auto"/>
          <w:sz w:val="21"/>
          <w:szCs w:val="21"/>
          <w:highlight w:val="none"/>
        </w:rPr>
        <w:t>业绩证明资料。</w:t>
      </w:r>
    </w:p>
    <w:p w14:paraId="57D75AD1">
      <w:pPr>
        <w:pageBreakBefore w:val="0"/>
        <w:kinsoku/>
        <w:overflowPunct/>
        <w:bidi w:val="0"/>
        <w:spacing w:beforeAutospacing="0" w:afterAutospacing="0" w:line="560" w:lineRule="exact"/>
        <w:ind w:left="0" w:leftChars="0" w:right="0"/>
        <w:rPr>
          <w:rFonts w:cs="仿宋_GB2312"/>
          <w:color w:val="auto"/>
          <w:szCs w:val="24"/>
          <w:highlight w:val="none"/>
        </w:rPr>
      </w:pPr>
    </w:p>
    <w:p w14:paraId="5DB99613">
      <w:pPr>
        <w:pageBreakBefore w:val="0"/>
        <w:widowControl/>
        <w:kinsoku/>
        <w:overflowPunct/>
        <w:bidi w:val="0"/>
        <w:spacing w:beforeAutospacing="0" w:afterAutospacing="0" w:line="560" w:lineRule="exact"/>
        <w:ind w:left="0" w:leftChars="0" w:right="0"/>
        <w:rPr>
          <w:rFonts w:cs="Arial"/>
          <w:color w:val="auto"/>
          <w:szCs w:val="21"/>
          <w:highlight w:val="none"/>
        </w:rPr>
      </w:pPr>
    </w:p>
    <w:p w14:paraId="68FCBA1E">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360811C8">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hint="eastAsia" w:cs="仿宋_GB2312"/>
          <w:color w:val="auto"/>
          <w:szCs w:val="24"/>
          <w:highlight w:val="none"/>
        </w:rPr>
        <w:t>日      期：</w:t>
      </w:r>
    </w:p>
    <w:p w14:paraId="095105C8">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cs="仿宋_GB2312"/>
          <w:color w:val="auto"/>
          <w:szCs w:val="24"/>
          <w:highlight w:val="none"/>
        </w:rPr>
        <w:br w:type="page"/>
      </w:r>
    </w:p>
    <w:p w14:paraId="4E924C8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11" w:name="_Toc13134"/>
      <w:r>
        <w:rPr>
          <w:rFonts w:hint="eastAsia" w:cstheme="majorBidi"/>
          <w:b/>
          <w:bCs/>
          <w:color w:val="auto"/>
          <w:kern w:val="2"/>
          <w:sz w:val="32"/>
          <w:szCs w:val="32"/>
          <w:highlight w:val="none"/>
          <w:lang w:val="en-US" w:eastAsia="zh-CN" w:bidi="ar-SA"/>
        </w:rPr>
        <w:t>八</w:t>
      </w:r>
      <w:r>
        <w:rPr>
          <w:rFonts w:hint="eastAsia" w:eastAsia="宋体" w:asciiTheme="majorHAnsi" w:hAnsiTheme="majorHAnsi" w:cstheme="majorBidi"/>
          <w:b/>
          <w:bCs/>
          <w:color w:val="auto"/>
          <w:kern w:val="2"/>
          <w:sz w:val="32"/>
          <w:szCs w:val="32"/>
          <w:highlight w:val="none"/>
          <w:lang w:val="en-US" w:eastAsia="zh-CN" w:bidi="ar-SA"/>
        </w:rPr>
        <w:t>、拟派项目团队</w:t>
      </w:r>
      <w:bookmarkEnd w:id="811"/>
    </w:p>
    <w:tbl>
      <w:tblPr>
        <w:tblStyle w:val="29"/>
        <w:tblW w:w="9252" w:type="dxa"/>
        <w:tblInd w:w="-42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267"/>
        <w:gridCol w:w="1296"/>
        <w:gridCol w:w="1080"/>
        <w:gridCol w:w="804"/>
        <w:gridCol w:w="1860"/>
        <w:gridCol w:w="1356"/>
        <w:gridCol w:w="816"/>
      </w:tblGrid>
      <w:tr w14:paraId="377CE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6B0F782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267" w:type="dxa"/>
            <w:vAlign w:val="center"/>
          </w:tcPr>
          <w:p w14:paraId="1096055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团队成员</w:t>
            </w:r>
          </w:p>
          <w:p w14:paraId="09FA2F8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296" w:type="dxa"/>
            <w:tcBorders>
              <w:right w:val="single" w:color="auto" w:sz="4" w:space="0"/>
            </w:tcBorders>
            <w:vAlign w:val="center"/>
          </w:tcPr>
          <w:p w14:paraId="4D802FF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工作单位</w:t>
            </w:r>
          </w:p>
        </w:tc>
        <w:tc>
          <w:tcPr>
            <w:tcW w:w="1080" w:type="dxa"/>
            <w:tcBorders>
              <w:left w:val="single" w:color="auto" w:sz="4" w:space="0"/>
            </w:tcBorders>
            <w:vAlign w:val="center"/>
          </w:tcPr>
          <w:p w14:paraId="3116E3D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p>
        </w:tc>
        <w:tc>
          <w:tcPr>
            <w:tcW w:w="804" w:type="dxa"/>
            <w:tcBorders>
              <w:left w:val="single" w:color="auto" w:sz="4" w:space="0"/>
            </w:tcBorders>
            <w:vAlign w:val="center"/>
          </w:tcPr>
          <w:p w14:paraId="1115941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1860" w:type="dxa"/>
            <w:vAlign w:val="center"/>
          </w:tcPr>
          <w:p w14:paraId="0940B26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注册证书（岗位证书）名称及编号</w:t>
            </w:r>
          </w:p>
        </w:tc>
        <w:tc>
          <w:tcPr>
            <w:tcW w:w="1356" w:type="dxa"/>
            <w:vAlign w:val="center"/>
          </w:tcPr>
          <w:p w14:paraId="422D7D9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在团队中职务（岗位）</w:t>
            </w:r>
          </w:p>
        </w:tc>
        <w:tc>
          <w:tcPr>
            <w:tcW w:w="816" w:type="dxa"/>
            <w:vAlign w:val="center"/>
          </w:tcPr>
          <w:p w14:paraId="79229F1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自有/外聘</w:t>
            </w:r>
          </w:p>
        </w:tc>
      </w:tr>
      <w:tr w14:paraId="34A62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39BDB4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2" w:name="_Toc100090784"/>
            <w:bookmarkStart w:id="813" w:name="_Toc99533292"/>
            <w:r>
              <w:rPr>
                <w:rFonts w:hint="eastAsia" w:ascii="宋体" w:hAnsi="宋体" w:eastAsia="宋体" w:cs="宋体"/>
                <w:color w:val="auto"/>
                <w:sz w:val="21"/>
                <w:szCs w:val="21"/>
                <w:highlight w:val="none"/>
              </w:rPr>
              <w:t>1</w:t>
            </w:r>
            <w:bookmarkEnd w:id="812"/>
            <w:bookmarkEnd w:id="813"/>
          </w:p>
        </w:tc>
        <w:tc>
          <w:tcPr>
            <w:tcW w:w="1267" w:type="dxa"/>
            <w:vAlign w:val="center"/>
          </w:tcPr>
          <w:p w14:paraId="04D7260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73515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EF6F97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348344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7F355EC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11476DC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30F5864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9E49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7F12C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4" w:name="_Toc99533293"/>
            <w:bookmarkStart w:id="815" w:name="_Toc100090785"/>
            <w:r>
              <w:rPr>
                <w:rFonts w:hint="eastAsia" w:ascii="宋体" w:hAnsi="宋体" w:eastAsia="宋体" w:cs="宋体"/>
                <w:color w:val="auto"/>
                <w:sz w:val="21"/>
                <w:szCs w:val="21"/>
                <w:highlight w:val="none"/>
              </w:rPr>
              <w:t>2</w:t>
            </w:r>
            <w:bookmarkEnd w:id="814"/>
            <w:bookmarkEnd w:id="815"/>
          </w:p>
        </w:tc>
        <w:tc>
          <w:tcPr>
            <w:tcW w:w="1267" w:type="dxa"/>
            <w:vAlign w:val="center"/>
          </w:tcPr>
          <w:p w14:paraId="3AE14FF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06FFE82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A33E45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76ECD8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390E678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44B4146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3D8C0BF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F5E2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824241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6" w:name="_Toc99533294"/>
            <w:bookmarkStart w:id="817" w:name="_Toc100090786"/>
            <w:r>
              <w:rPr>
                <w:rFonts w:hint="eastAsia" w:ascii="宋体" w:hAnsi="宋体" w:eastAsia="宋体" w:cs="宋体"/>
                <w:color w:val="auto"/>
                <w:sz w:val="21"/>
                <w:szCs w:val="21"/>
                <w:highlight w:val="none"/>
              </w:rPr>
              <w:t>3</w:t>
            </w:r>
            <w:bookmarkEnd w:id="816"/>
            <w:bookmarkEnd w:id="817"/>
          </w:p>
        </w:tc>
        <w:tc>
          <w:tcPr>
            <w:tcW w:w="1267" w:type="dxa"/>
            <w:vAlign w:val="center"/>
          </w:tcPr>
          <w:p w14:paraId="19C124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E33B9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70C1038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57B47D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3F31D2C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3A9D9DD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0ED9D4F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72391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29A399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8" w:name="_Toc99533295"/>
            <w:bookmarkStart w:id="819" w:name="_Toc100090787"/>
            <w:r>
              <w:rPr>
                <w:rFonts w:hint="eastAsia" w:ascii="宋体" w:hAnsi="宋体" w:eastAsia="宋体" w:cs="宋体"/>
                <w:color w:val="auto"/>
                <w:sz w:val="21"/>
                <w:szCs w:val="21"/>
                <w:highlight w:val="none"/>
              </w:rPr>
              <w:t>4</w:t>
            </w:r>
            <w:bookmarkEnd w:id="818"/>
            <w:bookmarkEnd w:id="819"/>
          </w:p>
        </w:tc>
        <w:tc>
          <w:tcPr>
            <w:tcW w:w="1267" w:type="dxa"/>
            <w:vAlign w:val="center"/>
          </w:tcPr>
          <w:p w14:paraId="42DE0F6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CA0809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D63F4E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96384D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068007B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5A94DC7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01F1E6D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7CF6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1FE379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0" w:name="_Toc100090788"/>
            <w:bookmarkStart w:id="821" w:name="_Toc99533296"/>
            <w:r>
              <w:rPr>
                <w:rFonts w:hint="eastAsia" w:ascii="宋体" w:hAnsi="宋体" w:eastAsia="宋体" w:cs="宋体"/>
                <w:color w:val="auto"/>
                <w:sz w:val="21"/>
                <w:szCs w:val="21"/>
                <w:highlight w:val="none"/>
              </w:rPr>
              <w:t>5</w:t>
            </w:r>
            <w:bookmarkEnd w:id="820"/>
            <w:bookmarkEnd w:id="821"/>
          </w:p>
        </w:tc>
        <w:tc>
          <w:tcPr>
            <w:tcW w:w="1267" w:type="dxa"/>
            <w:vAlign w:val="center"/>
          </w:tcPr>
          <w:p w14:paraId="3241008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999E45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40094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7515376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12AB49C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1659A5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5FBE741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3F8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7DED61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2" w:name="_Toc100090789"/>
            <w:bookmarkStart w:id="823" w:name="_Toc99533297"/>
            <w:r>
              <w:rPr>
                <w:rFonts w:hint="eastAsia" w:ascii="宋体" w:hAnsi="宋体" w:eastAsia="宋体" w:cs="宋体"/>
                <w:color w:val="auto"/>
                <w:sz w:val="21"/>
                <w:szCs w:val="21"/>
                <w:highlight w:val="none"/>
              </w:rPr>
              <w:t>6</w:t>
            </w:r>
            <w:bookmarkEnd w:id="822"/>
            <w:bookmarkEnd w:id="823"/>
          </w:p>
        </w:tc>
        <w:tc>
          <w:tcPr>
            <w:tcW w:w="1267" w:type="dxa"/>
            <w:vAlign w:val="center"/>
          </w:tcPr>
          <w:p w14:paraId="40527E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6947C6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666B8A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5256EB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51ADEB6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1CED247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4EF8AB8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61CA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AA4734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4" w:name="_Toc99533298"/>
            <w:bookmarkStart w:id="825" w:name="_Toc100090790"/>
            <w:r>
              <w:rPr>
                <w:rFonts w:hint="eastAsia" w:ascii="宋体" w:hAnsi="宋体" w:eastAsia="宋体" w:cs="宋体"/>
                <w:color w:val="auto"/>
                <w:sz w:val="21"/>
                <w:szCs w:val="21"/>
                <w:highlight w:val="none"/>
              </w:rPr>
              <w:t>7</w:t>
            </w:r>
            <w:bookmarkEnd w:id="824"/>
            <w:bookmarkEnd w:id="825"/>
          </w:p>
        </w:tc>
        <w:tc>
          <w:tcPr>
            <w:tcW w:w="1267" w:type="dxa"/>
            <w:vAlign w:val="center"/>
          </w:tcPr>
          <w:p w14:paraId="3F3B684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8032A9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01AE57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1172C1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7E9B2A2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4A11C35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718DD53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E0A6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03F7F8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6" w:name="_Toc99533299"/>
            <w:bookmarkStart w:id="827" w:name="_Toc100090791"/>
            <w:r>
              <w:rPr>
                <w:rFonts w:hint="eastAsia" w:ascii="宋体" w:hAnsi="宋体" w:eastAsia="宋体" w:cs="宋体"/>
                <w:color w:val="auto"/>
                <w:sz w:val="21"/>
                <w:szCs w:val="21"/>
                <w:highlight w:val="none"/>
              </w:rPr>
              <w:t>8</w:t>
            </w:r>
            <w:bookmarkEnd w:id="826"/>
            <w:bookmarkEnd w:id="827"/>
          </w:p>
        </w:tc>
        <w:tc>
          <w:tcPr>
            <w:tcW w:w="1267" w:type="dxa"/>
            <w:vAlign w:val="center"/>
          </w:tcPr>
          <w:p w14:paraId="20BD29D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9D45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3548599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2842C96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292DF22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70F5859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247AF58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7D5B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F7A90D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8" w:name="_Toc99533300"/>
            <w:bookmarkStart w:id="829" w:name="_Toc100090792"/>
            <w:r>
              <w:rPr>
                <w:rFonts w:hint="eastAsia" w:ascii="宋体" w:hAnsi="宋体" w:eastAsia="宋体" w:cs="宋体"/>
                <w:color w:val="auto"/>
                <w:sz w:val="21"/>
                <w:szCs w:val="21"/>
                <w:highlight w:val="none"/>
              </w:rPr>
              <w:t>9</w:t>
            </w:r>
            <w:bookmarkEnd w:id="828"/>
            <w:bookmarkEnd w:id="829"/>
          </w:p>
        </w:tc>
        <w:tc>
          <w:tcPr>
            <w:tcW w:w="1267" w:type="dxa"/>
            <w:vAlign w:val="center"/>
          </w:tcPr>
          <w:p w14:paraId="6C5090E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2CD2AD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DD9EDD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56506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337B405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7D6C0C3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45D9955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F497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773" w:type="dxa"/>
            <w:vAlign w:val="center"/>
          </w:tcPr>
          <w:p w14:paraId="406250B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30" w:name="_Toc100090793"/>
            <w:bookmarkStart w:id="831" w:name="_Toc99533301"/>
            <w:r>
              <w:rPr>
                <w:rFonts w:hint="eastAsia" w:ascii="宋体" w:hAnsi="宋体" w:eastAsia="宋体" w:cs="宋体"/>
                <w:color w:val="auto"/>
                <w:sz w:val="21"/>
                <w:szCs w:val="21"/>
                <w:highlight w:val="none"/>
              </w:rPr>
              <w:t>10</w:t>
            </w:r>
            <w:bookmarkEnd w:id="830"/>
            <w:bookmarkEnd w:id="831"/>
          </w:p>
        </w:tc>
        <w:tc>
          <w:tcPr>
            <w:tcW w:w="1267" w:type="dxa"/>
            <w:vAlign w:val="center"/>
          </w:tcPr>
          <w:p w14:paraId="0D84E2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9F3631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93C690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C34049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7790D03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7B74B27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77E1C16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51ED7B0D">
      <w:pPr>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1358285E">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2" w:name="_Toc28083"/>
      <w:r>
        <w:rPr>
          <w:rFonts w:hint="eastAsia" w:cstheme="majorBidi"/>
          <w:b/>
          <w:bCs/>
          <w:color w:val="auto"/>
          <w:kern w:val="2"/>
          <w:sz w:val="32"/>
          <w:szCs w:val="32"/>
          <w:highlight w:val="none"/>
          <w:lang w:val="en-US" w:eastAsia="zh-CN" w:bidi="ar-SA"/>
        </w:rPr>
        <w:t>九</w:t>
      </w:r>
      <w:r>
        <w:rPr>
          <w:rFonts w:hint="eastAsia" w:eastAsia="宋体" w:asciiTheme="majorHAnsi" w:hAnsiTheme="majorHAnsi" w:cstheme="majorBidi"/>
          <w:b/>
          <w:bCs/>
          <w:color w:val="auto"/>
          <w:kern w:val="2"/>
          <w:sz w:val="32"/>
          <w:szCs w:val="32"/>
          <w:highlight w:val="none"/>
          <w:lang w:val="en-US" w:eastAsia="zh-CN" w:bidi="ar-SA"/>
        </w:rPr>
        <w:t>、技术响应偏离表</w:t>
      </w:r>
      <w:bookmarkEnd w:id="832"/>
    </w:p>
    <w:p w14:paraId="7EE50E6A">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 xml:space="preserve">项目名称：                                         </w:t>
      </w:r>
    </w:p>
    <w:p w14:paraId="3BECE8B1">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1976"/>
        <w:gridCol w:w="1758"/>
        <w:gridCol w:w="2157"/>
        <w:gridCol w:w="1935"/>
      </w:tblGrid>
      <w:tr w14:paraId="76446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0FCCCEA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59" w:type="pct"/>
            <w:vAlign w:val="center"/>
          </w:tcPr>
          <w:p w14:paraId="69669C7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招标文件技术</w:t>
            </w:r>
          </w:p>
          <w:p w14:paraId="71DD4B6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要求条款</w:t>
            </w:r>
          </w:p>
        </w:tc>
        <w:tc>
          <w:tcPr>
            <w:tcW w:w="1031" w:type="pct"/>
            <w:vAlign w:val="center"/>
          </w:tcPr>
          <w:p w14:paraId="0AB54F2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投标文件内容</w:t>
            </w:r>
          </w:p>
          <w:p w14:paraId="1F49E79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对应简述</w:t>
            </w:r>
          </w:p>
        </w:tc>
        <w:tc>
          <w:tcPr>
            <w:tcW w:w="1265" w:type="pct"/>
            <w:vAlign w:val="center"/>
          </w:tcPr>
          <w:p w14:paraId="3F1EB79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135" w:type="pct"/>
            <w:vAlign w:val="center"/>
          </w:tcPr>
          <w:p w14:paraId="3E3F1E7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证明资料</w:t>
            </w:r>
            <w:r>
              <w:rPr>
                <w:rFonts w:hint="eastAsia" w:ascii="宋体" w:hAnsi="宋体" w:eastAsia="宋体" w:cs="宋体"/>
                <w:color w:val="auto"/>
                <w:sz w:val="21"/>
                <w:szCs w:val="21"/>
                <w:highlight w:val="none"/>
              </w:rPr>
              <w:t>及索引</w:t>
            </w:r>
          </w:p>
        </w:tc>
      </w:tr>
      <w:tr w14:paraId="7F921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1390C6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59" w:type="pct"/>
            <w:vAlign w:val="center"/>
          </w:tcPr>
          <w:p w14:paraId="23DD644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246692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5C5A608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3F3AE22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6FF8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681E1A2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159" w:type="pct"/>
            <w:vAlign w:val="center"/>
          </w:tcPr>
          <w:p w14:paraId="1B1CC67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3CDA845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1753229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1786AA8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3466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CADFE1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7EAC22E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1261D84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21AB0CE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02205EF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47EF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2615990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4EFDD3F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6F3FE33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1DE7F1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7E461BB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4E5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21914A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01FAF6F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7C7F56A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611127F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0E4A26B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E8D3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30C5ED4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5C4DD0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26683DD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4D8C3BA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2E8B5F6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B100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0EE038E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1568BE6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73EB38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75F9A7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7B4E970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B466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7A9FD9C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3873E5B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4BFC552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6752E62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0D508B8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A2AA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5F4BFC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6389097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09F5DB1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59B50D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15BCCC4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61F6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1F51D1E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1204324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36FD0F5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6D3AA7E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449BE1F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7E84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07" w:type="pct"/>
            <w:vAlign w:val="center"/>
          </w:tcPr>
          <w:p w14:paraId="6ECE9C6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59" w:type="pct"/>
            <w:vAlign w:val="center"/>
          </w:tcPr>
          <w:p w14:paraId="69EDFD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0D19C04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16652C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35" w:type="pct"/>
            <w:vAlign w:val="center"/>
          </w:tcPr>
          <w:p w14:paraId="7E732B4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7A96DC4C">
      <w:pPr>
        <w:pageBreakBefore w:val="0"/>
        <w:kinsoku/>
        <w:overflowPunct/>
        <w:bidi w:val="0"/>
        <w:spacing w:beforeAutospacing="0" w:afterAutospacing="0" w:line="560" w:lineRule="exact"/>
        <w:ind w:left="0" w:leftChars="0" w:right="0" w:firstLine="420" w:firstLineChars="200"/>
        <w:rPr>
          <w:rFonts w:hint="eastAsia" w:cs="仿宋_GB2312"/>
          <w:color w:val="auto"/>
          <w:sz w:val="21"/>
          <w:szCs w:val="21"/>
          <w:highlight w:val="none"/>
        </w:rPr>
      </w:pPr>
    </w:p>
    <w:p w14:paraId="2F5D40B2">
      <w:pPr>
        <w:pageBreakBefore w:val="0"/>
        <w:kinsoku/>
        <w:overflowPunct/>
        <w:bidi w:val="0"/>
        <w:spacing w:beforeAutospacing="0" w:afterAutospacing="0" w:line="560" w:lineRule="exact"/>
        <w:ind w:left="0" w:leftChars="0" w:right="0" w:firstLine="420" w:firstLineChars="200"/>
        <w:rPr>
          <w:rFonts w:cs="仿宋_GB2312"/>
          <w:color w:val="auto"/>
          <w:sz w:val="21"/>
          <w:szCs w:val="21"/>
          <w:highlight w:val="none"/>
        </w:rPr>
      </w:pPr>
      <w:r>
        <w:rPr>
          <w:rFonts w:hint="eastAsia" w:cs="仿宋_GB2312"/>
          <w:color w:val="auto"/>
          <w:sz w:val="21"/>
          <w:szCs w:val="21"/>
          <w:highlight w:val="none"/>
        </w:rPr>
        <w:t>说明：投标人应按照招标文件“第三章 采购需求”</w:t>
      </w:r>
      <w:r>
        <w:rPr>
          <w:rFonts w:hint="eastAsia" w:cs="仿宋_GB2312"/>
          <w:color w:val="auto"/>
          <w:sz w:val="21"/>
          <w:szCs w:val="21"/>
          <w:highlight w:val="none"/>
          <w:lang w:val="en-US" w:eastAsia="zh-CN"/>
        </w:rPr>
        <w:t>中的技术要求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“响应/正偏离/负偏离”应据实填写“响应”、“正偏离”或“负偏离”</w:t>
      </w:r>
      <w:r>
        <w:rPr>
          <w:rFonts w:hint="eastAsia" w:cs="仿宋_GB2312"/>
          <w:color w:val="auto"/>
          <w:sz w:val="21"/>
          <w:szCs w:val="21"/>
          <w:highlight w:val="none"/>
        </w:rPr>
        <w:t>。</w:t>
      </w:r>
    </w:p>
    <w:p w14:paraId="7D87EEFE">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p>
    <w:p w14:paraId="53059121">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p>
    <w:p w14:paraId="27EF6D84">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hint="eastAsia" w:cs="仿宋_GB2312"/>
          <w:color w:val="auto"/>
          <w:szCs w:val="24"/>
          <w:highlight w:val="none"/>
        </w:rPr>
        <w:t>日      期：</w:t>
      </w:r>
    </w:p>
    <w:p w14:paraId="1685FB85">
      <w:pPr>
        <w:pageBreakBefore w:val="0"/>
        <w:kinsoku/>
        <w:overflowPunct/>
        <w:bidi w:val="0"/>
        <w:spacing w:beforeAutospacing="0" w:afterAutospacing="0" w:line="560" w:lineRule="exact"/>
        <w:ind w:left="0" w:leftChars="0" w:right="0" w:firstLine="420"/>
        <w:rPr>
          <w:rFonts w:cs="仿宋_GB2312"/>
          <w:color w:val="auto"/>
          <w:szCs w:val="24"/>
          <w:highlight w:val="none"/>
        </w:rPr>
      </w:pPr>
    </w:p>
    <w:p w14:paraId="3095974B">
      <w:pPr>
        <w:pageBreakBefore w:val="0"/>
        <w:kinsoku/>
        <w:overflowPunct/>
        <w:bidi w:val="0"/>
        <w:spacing w:beforeAutospacing="0" w:afterAutospacing="0" w:line="560" w:lineRule="exact"/>
        <w:ind w:left="0" w:leftChars="0" w:right="0" w:firstLine="420"/>
        <w:rPr>
          <w:rFonts w:cs="仿宋_GB2312"/>
          <w:color w:val="auto"/>
          <w:szCs w:val="24"/>
          <w:highlight w:val="none"/>
        </w:rPr>
      </w:pPr>
    </w:p>
    <w:p w14:paraId="5228E054">
      <w:pPr>
        <w:pageBreakBefore w:val="0"/>
        <w:kinsoku/>
        <w:overflowPunct/>
        <w:bidi w:val="0"/>
        <w:spacing w:beforeAutospacing="0" w:afterAutospacing="0" w:line="560" w:lineRule="exact"/>
        <w:ind w:left="0" w:leftChars="0" w:right="0" w:firstLine="420"/>
        <w:rPr>
          <w:rFonts w:hint="eastAsia" w:cs="仿宋_GB2312"/>
          <w:color w:val="auto"/>
          <w:szCs w:val="24"/>
          <w:highlight w:val="none"/>
          <w:lang w:val="en-US" w:eastAsia="zh-CN"/>
        </w:rPr>
      </w:pPr>
      <w:r>
        <w:rPr>
          <w:rFonts w:hint="eastAsia" w:cs="仿宋_GB2312"/>
          <w:color w:val="auto"/>
          <w:sz w:val="21"/>
          <w:szCs w:val="21"/>
          <w:highlight w:val="none"/>
          <w:lang w:val="en-US" w:eastAsia="zh-CN"/>
        </w:rPr>
        <w:t>备注：投标人在本表中须标注技术响应的实际数值或内容，照搬照抄采购文件内容、不注明实际响应内容者</w:t>
      </w:r>
      <w:r>
        <w:rPr>
          <w:rFonts w:hint="eastAsia" w:cs="仿宋_GB2312"/>
          <w:b/>
          <w:bCs/>
          <w:color w:val="auto"/>
          <w:sz w:val="21"/>
          <w:szCs w:val="21"/>
          <w:highlight w:val="none"/>
          <w:lang w:val="en-US" w:eastAsia="zh-CN"/>
        </w:rPr>
        <w:t>视为未响应</w:t>
      </w:r>
      <w:r>
        <w:rPr>
          <w:rFonts w:hint="eastAsia" w:cs="仿宋_GB2312"/>
          <w:color w:val="auto"/>
          <w:sz w:val="21"/>
          <w:szCs w:val="21"/>
          <w:highlight w:val="none"/>
          <w:lang w:val="en-US" w:eastAsia="zh-CN"/>
        </w:rPr>
        <w:t>。</w:t>
      </w:r>
    </w:p>
    <w:p w14:paraId="49A1A5E5">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cs="仿宋_GB2312"/>
          <w:color w:val="auto"/>
          <w:szCs w:val="24"/>
          <w:highlight w:val="none"/>
        </w:rPr>
        <w:br w:type="page"/>
      </w:r>
    </w:p>
    <w:p w14:paraId="600EA7EE">
      <w:pPr>
        <w:pStyle w:val="17"/>
        <w:pageBreakBefore w:val="0"/>
        <w:kinsoku/>
        <w:overflowPunct/>
        <w:bidi w:val="0"/>
        <w:spacing w:beforeAutospacing="0" w:afterAutospacing="0" w:line="560" w:lineRule="exact"/>
        <w:ind w:left="0" w:leftChars="0" w:right="0"/>
        <w:jc w:val="center"/>
        <w:rPr>
          <w:rFonts w:hint="eastAsia" w:ascii="方正小标宋_GBK" w:hAnsi="方正小标宋_GBK" w:eastAsia="方正小标宋_GBK" w:cs="方正小标宋_GBK"/>
          <w:bCs/>
          <w:color w:val="auto"/>
          <w:sz w:val="36"/>
          <w:szCs w:val="36"/>
          <w:highlight w:val="none"/>
          <w:lang w:val="en-US" w:eastAsia="zh-CN"/>
        </w:rPr>
      </w:pPr>
    </w:p>
    <w:p w14:paraId="06C98EB9">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3" w:name="_Toc9988"/>
      <w:r>
        <w:rPr>
          <w:rFonts w:hint="eastAsia" w:cstheme="majorBidi"/>
          <w:b/>
          <w:bCs/>
          <w:color w:val="auto"/>
          <w:kern w:val="2"/>
          <w:sz w:val="32"/>
          <w:szCs w:val="32"/>
          <w:highlight w:val="none"/>
          <w:lang w:val="en-US" w:eastAsia="zh-CN" w:bidi="ar-SA"/>
        </w:rPr>
        <w:t>十</w:t>
      </w:r>
      <w:r>
        <w:rPr>
          <w:rFonts w:hint="eastAsia" w:eastAsia="宋体" w:asciiTheme="majorHAnsi" w:hAnsiTheme="majorHAnsi" w:cstheme="majorBidi"/>
          <w:b/>
          <w:bCs/>
          <w:color w:val="auto"/>
          <w:kern w:val="2"/>
          <w:sz w:val="32"/>
          <w:szCs w:val="32"/>
          <w:highlight w:val="none"/>
          <w:lang w:val="en-US" w:eastAsia="zh-CN" w:bidi="ar-SA"/>
        </w:rPr>
        <w:t>、技术方案</w:t>
      </w:r>
      <w:bookmarkEnd w:id="833"/>
    </w:p>
    <w:p w14:paraId="7078B366">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rPr>
        <w:t>投标人应按照招标文件的要求，提供详细的服务方案，包括文字描述或图表显示。格式自拟。</w:t>
      </w:r>
    </w:p>
    <w:p w14:paraId="7EE77353">
      <w:pPr>
        <w:pStyle w:val="36"/>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01EB5657">
      <w:pPr>
        <w:pageBreakBefore w:val="0"/>
        <w:kinsoku/>
        <w:overflowPunct/>
        <w:bidi w:val="0"/>
        <w:spacing w:beforeAutospacing="0" w:afterAutospacing="0" w:line="560" w:lineRule="exact"/>
        <w:ind w:left="0" w:leftChars="0" w:right="0" w:firstLine="420"/>
        <w:rPr>
          <w:rFonts w:hint="eastAsia" w:cs="仿宋_GB2312"/>
          <w:color w:val="auto"/>
          <w:sz w:val="21"/>
          <w:szCs w:val="21"/>
          <w:highlight w:val="none"/>
          <w:lang w:val="en-US" w:eastAsia="zh-CN"/>
        </w:rPr>
      </w:pPr>
    </w:p>
    <w:p w14:paraId="3D75587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4" w:name="_Toc19458"/>
      <w:r>
        <w:rPr>
          <w:rFonts w:hint="eastAsia" w:eastAsia="宋体" w:asciiTheme="majorHAnsi" w:hAnsiTheme="majorHAnsi" w:cstheme="majorBidi"/>
          <w:b/>
          <w:bCs/>
          <w:color w:val="auto"/>
          <w:kern w:val="2"/>
          <w:sz w:val="32"/>
          <w:szCs w:val="32"/>
          <w:highlight w:val="none"/>
          <w:lang w:val="en-US" w:eastAsia="zh-CN" w:bidi="ar-SA"/>
        </w:rPr>
        <w:t>十</w:t>
      </w:r>
      <w:r>
        <w:rPr>
          <w:rFonts w:hint="eastAsia" w:cstheme="majorBidi"/>
          <w:b/>
          <w:bCs/>
          <w:color w:val="auto"/>
          <w:kern w:val="2"/>
          <w:sz w:val="32"/>
          <w:szCs w:val="32"/>
          <w:highlight w:val="none"/>
          <w:lang w:val="en-US" w:eastAsia="zh-CN" w:bidi="ar-SA"/>
        </w:rPr>
        <w:t>一</w:t>
      </w:r>
      <w:r>
        <w:rPr>
          <w:rFonts w:hint="eastAsia" w:eastAsia="宋体" w:asciiTheme="majorHAnsi" w:hAnsiTheme="majorHAnsi" w:cstheme="majorBidi"/>
          <w:b/>
          <w:bCs/>
          <w:color w:val="auto"/>
          <w:kern w:val="2"/>
          <w:sz w:val="32"/>
          <w:szCs w:val="32"/>
          <w:highlight w:val="none"/>
          <w:lang w:val="en-US" w:eastAsia="zh-CN" w:bidi="ar-SA"/>
        </w:rPr>
        <w:t>、其他文件</w:t>
      </w:r>
      <w:bookmarkEnd w:id="834"/>
    </w:p>
    <w:p w14:paraId="6EF40482">
      <w:pPr>
        <w:pStyle w:val="36"/>
        <w:pageBreakBefore w:val="0"/>
        <w:kinsoku/>
        <w:overflowPunct/>
        <w:bidi w:val="0"/>
        <w:spacing w:beforeAutospacing="0" w:afterAutospacing="0" w:line="560" w:lineRule="exact"/>
        <w:ind w:left="0" w:leftChars="0" w:right="0" w:firstLine="0" w:firstLineChars="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一）</w:t>
      </w:r>
      <w:r>
        <w:rPr>
          <w:rFonts w:hint="eastAsia"/>
          <w:b/>
          <w:bCs/>
          <w:color w:val="auto"/>
          <w:sz w:val="24"/>
          <w:szCs w:val="24"/>
          <w:highlight w:val="none"/>
        </w:rPr>
        <w:t>招标文件要求提供的其它商务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技术资料和证明材料；</w:t>
      </w:r>
    </w:p>
    <w:p w14:paraId="09B7BCDB">
      <w:pPr>
        <w:pStyle w:val="36"/>
        <w:pageBreakBefore w:val="0"/>
        <w:kinsoku/>
        <w:overflowPunct/>
        <w:bidi w:val="0"/>
        <w:spacing w:beforeAutospacing="0" w:afterAutospacing="0" w:line="560" w:lineRule="exact"/>
        <w:ind w:left="0" w:leftChars="0" w:right="0"/>
        <w:rPr>
          <w:rFonts w:hint="eastAsia"/>
          <w:color w:val="auto"/>
          <w:sz w:val="24"/>
          <w:szCs w:val="24"/>
          <w:highlight w:val="none"/>
          <w:lang w:val="en-US" w:eastAsia="zh-CN"/>
        </w:rPr>
      </w:pPr>
      <w:r>
        <w:rPr>
          <w:rFonts w:hint="eastAsia"/>
          <w:color w:val="auto"/>
          <w:sz w:val="24"/>
          <w:szCs w:val="24"/>
          <w:highlight w:val="none"/>
          <w:lang w:val="en-US" w:eastAsia="zh-CN"/>
        </w:rPr>
        <w:t>1.1供应商信息采集表</w:t>
      </w:r>
    </w:p>
    <w:tbl>
      <w:tblPr>
        <w:tblStyle w:val="30"/>
        <w:tblW w:w="0" w:type="auto"/>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2841"/>
        <w:gridCol w:w="2743"/>
      </w:tblGrid>
      <w:tr w14:paraId="2399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1DAB5D76">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供应商名称</w:t>
            </w:r>
          </w:p>
        </w:tc>
        <w:tc>
          <w:tcPr>
            <w:tcW w:w="2841" w:type="dxa"/>
            <w:vAlign w:val="center"/>
          </w:tcPr>
          <w:p w14:paraId="7E8BFF2C">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供应商实际控制人性别</w:t>
            </w:r>
          </w:p>
        </w:tc>
        <w:tc>
          <w:tcPr>
            <w:tcW w:w="2743" w:type="dxa"/>
            <w:vAlign w:val="center"/>
          </w:tcPr>
          <w:p w14:paraId="27FEC6CB">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外商投资类型</w:t>
            </w:r>
          </w:p>
        </w:tc>
      </w:tr>
      <w:tr w14:paraId="6C82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0EF63A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2C8A474B">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2F4800D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r w14:paraId="2A158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853804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15D28C08">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31FE53F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r w14:paraId="74D54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EF0ABBA">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15A0EA10">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4DD25543">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r w14:paraId="000F1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B6D0E2F">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7437EC5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769E8F28">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bl>
    <w:p w14:paraId="3318F9F0">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注：1.供应商如为联合体，则应填写联合体各成员信息。 </w:t>
      </w:r>
    </w:p>
    <w:p w14:paraId="53D1AE7E">
      <w:pPr>
        <w:keepNext w:val="0"/>
        <w:keepLines w:val="0"/>
        <w:pageBreakBefore w:val="0"/>
        <w:widowControl/>
        <w:suppressLineNumbers w:val="0"/>
        <w:kinsoku/>
        <w:overflowPunct/>
        <w:bidi w:val="0"/>
        <w:spacing w:beforeAutospacing="0" w:afterAutospacing="0" w:line="560" w:lineRule="exact"/>
        <w:ind w:left="0" w:leftChars="0" w:right="0" w:firstLine="420" w:firstLineChars="20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cs="宋体"/>
          <w:color w:val="auto"/>
          <w:kern w:val="0"/>
          <w:sz w:val="21"/>
          <w:szCs w:val="21"/>
          <w:highlight w:val="none"/>
          <w:lang w:val="en-US" w:eastAsia="zh-CN" w:bidi="ar"/>
        </w:rPr>
        <w:t>“供应商实际控制人性别”</w:t>
      </w:r>
      <w:r>
        <w:rPr>
          <w:rFonts w:hint="eastAsia" w:ascii="宋体" w:hAnsi="宋体" w:eastAsia="宋体" w:cs="宋体"/>
          <w:color w:val="auto"/>
          <w:kern w:val="0"/>
          <w:sz w:val="21"/>
          <w:szCs w:val="21"/>
          <w:highlight w:val="none"/>
          <w:lang w:val="en-US" w:eastAsia="zh-CN" w:bidi="ar"/>
        </w:rPr>
        <w:t>按供应商实际控制人性别划分请填写“男”或“女”，指拥有供应商 51%以上绝对所有权的性；绝对所有权拥有者可以是一个人，也可以是多人合计计算。</w:t>
      </w:r>
    </w:p>
    <w:p w14:paraId="6C85D95C">
      <w:pPr>
        <w:pStyle w:val="36"/>
        <w:pageBreakBefore w:val="0"/>
        <w:kinsoku/>
        <w:overflowPunct/>
        <w:bidi w:val="0"/>
        <w:spacing w:beforeAutospacing="0" w:afterAutospacing="0" w:line="560" w:lineRule="exact"/>
        <w:ind w:left="0" w:leftChars="0" w:right="0" w:firstLine="420" w:firstLineChars="200"/>
        <w:rPr>
          <w:rFonts w:hint="eastAsia"/>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3.</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外商投资类型</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请填写“外商单独投资”、“外商部分投资”或“内资”。</w:t>
      </w:r>
    </w:p>
    <w:p w14:paraId="74B37C36">
      <w:pPr>
        <w:pStyle w:val="36"/>
        <w:pageBreakBefore w:val="0"/>
        <w:kinsoku/>
        <w:overflowPunct/>
        <w:bidi w:val="0"/>
        <w:spacing w:beforeAutospacing="0" w:afterAutospacing="0" w:line="560" w:lineRule="exact"/>
        <w:ind w:left="0" w:leftChars="0" w:right="0"/>
        <w:rPr>
          <w:rFonts w:hint="eastAsia"/>
          <w:color w:val="auto"/>
          <w:sz w:val="28"/>
          <w:szCs w:val="28"/>
          <w:highlight w:val="none"/>
          <w:lang w:val="en-US" w:eastAsia="zh-CN"/>
        </w:rPr>
      </w:pPr>
    </w:p>
    <w:p w14:paraId="3CD7B018">
      <w:pPr>
        <w:pStyle w:val="36"/>
        <w:pageBreakBefore w:val="0"/>
        <w:kinsoku/>
        <w:overflowPunct/>
        <w:bidi w:val="0"/>
        <w:spacing w:beforeAutospacing="0" w:afterAutospacing="0" w:line="560" w:lineRule="exact"/>
        <w:ind w:left="0" w:leftChars="0" w:right="0"/>
        <w:rPr>
          <w:rFonts w:hint="eastAsia"/>
          <w:color w:val="auto"/>
          <w:sz w:val="24"/>
          <w:szCs w:val="24"/>
          <w:highlight w:val="none"/>
          <w:lang w:val="en-US" w:eastAsia="zh-CN"/>
        </w:rPr>
      </w:pPr>
      <w:r>
        <w:rPr>
          <w:rFonts w:hint="eastAsia"/>
          <w:color w:val="auto"/>
          <w:sz w:val="24"/>
          <w:szCs w:val="24"/>
          <w:highlight w:val="none"/>
          <w:lang w:val="en-US" w:eastAsia="zh-CN"/>
        </w:rPr>
        <w:t>1.2其它商务、技术资料和证明材料</w:t>
      </w:r>
    </w:p>
    <w:p w14:paraId="45C8EB48">
      <w:pPr>
        <w:pStyle w:val="36"/>
        <w:pageBreakBefore w:val="0"/>
        <w:kinsoku/>
        <w:overflowPunct/>
        <w:bidi w:val="0"/>
        <w:spacing w:beforeAutospacing="0" w:afterAutospacing="0" w:line="560" w:lineRule="exact"/>
        <w:ind w:left="0" w:leftChars="0" w:right="0" w:firstLine="0" w:firstLineChars="0"/>
        <w:rPr>
          <w:rFonts w:hint="eastAsia"/>
          <w:b/>
          <w:bCs/>
          <w:color w:val="auto"/>
          <w:sz w:val="24"/>
          <w:szCs w:val="24"/>
          <w:highlight w:val="none"/>
          <w:lang w:eastAsia="zh-CN"/>
        </w:rPr>
      </w:pPr>
    </w:p>
    <w:p w14:paraId="7DF13FE9">
      <w:pPr>
        <w:pStyle w:val="36"/>
        <w:pageBreakBefore w:val="0"/>
        <w:kinsoku/>
        <w:overflowPunct/>
        <w:bidi w:val="0"/>
        <w:spacing w:beforeAutospacing="0" w:afterAutospacing="0" w:line="560" w:lineRule="exact"/>
        <w:ind w:left="0" w:leftChars="0" w:right="0" w:firstLine="0" w:firstLineChars="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二）</w:t>
      </w:r>
      <w:r>
        <w:rPr>
          <w:rFonts w:hint="eastAsia"/>
          <w:b/>
          <w:bCs/>
          <w:color w:val="auto"/>
          <w:sz w:val="24"/>
          <w:szCs w:val="24"/>
          <w:highlight w:val="none"/>
        </w:rPr>
        <w:t>投标人认为需要提供的其它商务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技术资料和说明。</w:t>
      </w:r>
    </w:p>
    <w:p w14:paraId="6DA29BFF">
      <w:pPr>
        <w:pStyle w:val="36"/>
        <w:pageBreakBefore w:val="0"/>
        <w:kinsoku/>
        <w:overflowPunct/>
        <w:bidi w:val="0"/>
        <w:spacing w:beforeAutospacing="0" w:afterAutospacing="0" w:line="560" w:lineRule="exact"/>
        <w:ind w:left="0" w:leftChars="0" w:right="0"/>
        <w:rPr>
          <w:rFonts w:hint="eastAsia"/>
          <w:color w:val="auto"/>
          <w:highlight w:val="none"/>
        </w:rPr>
      </w:pPr>
    </w:p>
    <w:sectPr>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Arial Unicode MS">
    <w:altName w:val="Arial"/>
    <w:panose1 w:val="00000000000000000000"/>
    <w:charset w:val="00"/>
    <w:family w:val="auto"/>
    <w:pitch w:val="default"/>
    <w:sig w:usb0="00000000" w:usb1="00000000" w:usb2="00000000" w:usb3="00000000" w:csb0="00000000" w:csb1="00000000"/>
  </w:font>
  <w:font w:name="Helvetica">
    <w:altName w:val="Arial"/>
    <w:panose1 w:val="020B05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DejaVuSan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4A3D5">
    <w:pPr>
      <w:pStyle w:val="1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3298"/>
                            <w:showingPlcHdr/>
                          </w:sdtPr>
                          <w:sdtContent>
                            <w:p w14:paraId="7E255E9E">
                              <w:pPr>
                                <w:pStyle w:val="19"/>
                                <w:jc w:val="center"/>
                              </w:pPr>
                              <w:r>
                                <w:rPr>
                                  <w:rFonts w:hint="eastAsia"/>
                                  <w:lang w:eastAsia="zh-CN"/>
                                </w:rPr>
                                <w:t xml:space="preserve">     </w:t>
                              </w:r>
                            </w:p>
                          </w:sdtContent>
                        </w:sdt>
                        <w:p w14:paraId="0AFEACD2"/>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sdt>
                    <w:sdtPr>
                      <w:id w:val="147453298"/>
                      <w:showingPlcHdr/>
                    </w:sdtPr>
                    <w:sdtContent>
                      <w:p w14:paraId="7E255E9E">
                        <w:pPr>
                          <w:pStyle w:val="19"/>
                          <w:jc w:val="center"/>
                        </w:pPr>
                        <w:r>
                          <w:rPr>
                            <w:rFonts w:hint="eastAsia"/>
                            <w:lang w:eastAsia="zh-CN"/>
                          </w:rPr>
                          <w:t xml:space="preserve">     </w:t>
                        </w:r>
                      </w:p>
                    </w:sdtContent>
                  </w:sdt>
                  <w:p w14:paraId="0AFEACD2"/>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FFD85">
    <w:pPr>
      <w:pStyle w:val="1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1548"/>
                          </w:sdtPr>
                          <w:sdtContent>
                            <w:p w14:paraId="4AE1F8CD">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0EF235DF"/>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sdt>
                    <w:sdtPr>
                      <w:id w:val="147461548"/>
                    </w:sdtPr>
                    <w:sdtContent>
                      <w:p w14:paraId="4AE1F8CD">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0EF235DF"/>
                </w:txbxContent>
              </v:textbox>
            </v:shape>
          </w:pict>
        </mc:Fallback>
      </mc:AlternateContent>
    </w:r>
  </w:p>
  <w:p w14:paraId="23975237">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2D5C">
    <w:pPr>
      <w:pStyle w:val="19"/>
      <w:keepNext w:val="0"/>
      <w:keepLines w:val="0"/>
      <w:pageBreakBefore w:val="0"/>
      <w:widowControl w:val="0"/>
      <w:kinsoku/>
      <w:wordWrap/>
      <w:overflowPunct/>
      <w:topLinePunct w:val="0"/>
      <w:bidi w:val="0"/>
      <w:adjustRightInd/>
      <w:snapToGrid w:val="0"/>
      <w:textAlignment w:val="auto"/>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757FD">
                          <w:pPr>
                            <w:pStyle w:val="19"/>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13757FD">
                    <w:pPr>
                      <w:pStyle w:val="19"/>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1052">
    <w:pPr>
      <w:pStyle w:val="1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78428888"/>
                          </w:sdtPr>
                          <w:sdtContent>
                            <w:p w14:paraId="1087FA9B">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48A7938"/>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178428888"/>
                    </w:sdtPr>
                    <w:sdtContent>
                      <w:p w14:paraId="1087FA9B">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48A7938"/>
                </w:txbxContent>
              </v:textbox>
            </v:shape>
          </w:pict>
        </mc:Fallback>
      </mc:AlternateContent>
    </w:r>
  </w:p>
  <w:p w14:paraId="4005E617">
    <w:pPr>
      <w:pStyle w:val="1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1383F">
    <w:pPr>
      <w:pStyle w:val="2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1E85C">
    <w:pPr>
      <w:pStyle w:val="20"/>
      <w:keepNext w:val="0"/>
      <w:keepLines w:val="0"/>
      <w:pageBreakBefore w:val="0"/>
      <w:widowControl w:val="0"/>
      <w:kinsoku/>
      <w:wordWrap/>
      <w:overflowPunct/>
      <w:topLinePunct w:val="0"/>
      <w:bidi w:val="0"/>
      <w:adjustRightInd/>
      <w:snapToGrid w:val="0"/>
      <w:jc w:val="right"/>
      <w:textAlignment w:val="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57AC4">
    <w:pPr>
      <w:pStyle w:val="20"/>
      <w:jc w:val="right"/>
      <w:rPr>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3D0">
    <w:pPr>
      <w:pStyle w:val="20"/>
    </w:pPr>
    <w:r>
      <w:rPr>
        <w:rFonts w:hint="eastAsia"/>
        <w:sz w:val="24"/>
        <w:szCs w:val="24"/>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070575"/>
    <w:multiLevelType w:val="singleLevel"/>
    <w:tmpl w:val="9C070575"/>
    <w:lvl w:ilvl="0" w:tentative="0">
      <w:start w:val="1"/>
      <w:numFmt w:val="decimal"/>
      <w:pStyle w:val="7"/>
      <w:lvlText w:val="%1."/>
      <w:lvlJc w:val="left"/>
      <w:pPr>
        <w:tabs>
          <w:tab w:val="left" w:pos="780"/>
        </w:tabs>
        <w:ind w:left="780" w:hanging="360"/>
      </w:pPr>
    </w:lvl>
  </w:abstractNum>
  <w:abstractNum w:abstractNumId="1">
    <w:nsid w:val="1C761375"/>
    <w:multiLevelType w:val="multilevel"/>
    <w:tmpl w:val="1C761375"/>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47B6378"/>
    <w:multiLevelType w:val="multilevel"/>
    <w:tmpl w:val="447B6378"/>
    <w:lvl w:ilvl="0" w:tentative="0">
      <w:start w:val="1"/>
      <w:numFmt w:val="decimal"/>
      <w:pStyle w:val="38"/>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DC784B5"/>
    <w:multiLevelType w:val="singleLevel"/>
    <w:tmpl w:val="5DC784B5"/>
    <w:lvl w:ilvl="0" w:tentative="0">
      <w:start w:val="1"/>
      <w:numFmt w:val="decimal"/>
      <w:suff w:val="nothing"/>
      <w:lvlText w:val="%1、"/>
      <w:lvlJc w:val="left"/>
    </w:lvl>
  </w:abstractNum>
  <w:abstractNum w:abstractNumId="4">
    <w:nsid w:val="75504026"/>
    <w:multiLevelType w:val="multilevel"/>
    <w:tmpl w:val="75504026"/>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172A27"/>
    <w:rsid w:val="0000366A"/>
    <w:rsid w:val="00006F7F"/>
    <w:rsid w:val="00007003"/>
    <w:rsid w:val="000075B7"/>
    <w:rsid w:val="000237EA"/>
    <w:rsid w:val="00027CD2"/>
    <w:rsid w:val="00031E0C"/>
    <w:rsid w:val="00040832"/>
    <w:rsid w:val="00040D23"/>
    <w:rsid w:val="000439DA"/>
    <w:rsid w:val="00063604"/>
    <w:rsid w:val="0006370A"/>
    <w:rsid w:val="00066832"/>
    <w:rsid w:val="00067934"/>
    <w:rsid w:val="000720BF"/>
    <w:rsid w:val="0008641D"/>
    <w:rsid w:val="000B39A0"/>
    <w:rsid w:val="000C3E03"/>
    <w:rsid w:val="000C488D"/>
    <w:rsid w:val="000C52EC"/>
    <w:rsid w:val="000D0230"/>
    <w:rsid w:val="000D0AD3"/>
    <w:rsid w:val="000E45BD"/>
    <w:rsid w:val="000E4E33"/>
    <w:rsid w:val="000E67CF"/>
    <w:rsid w:val="000F20FD"/>
    <w:rsid w:val="000F39B0"/>
    <w:rsid w:val="001008D8"/>
    <w:rsid w:val="001022A4"/>
    <w:rsid w:val="00115EF7"/>
    <w:rsid w:val="0013642D"/>
    <w:rsid w:val="00146410"/>
    <w:rsid w:val="00150D67"/>
    <w:rsid w:val="00156600"/>
    <w:rsid w:val="00160E9C"/>
    <w:rsid w:val="00172190"/>
    <w:rsid w:val="00173480"/>
    <w:rsid w:val="00181988"/>
    <w:rsid w:val="00182557"/>
    <w:rsid w:val="0018304A"/>
    <w:rsid w:val="001904E9"/>
    <w:rsid w:val="001A77DE"/>
    <w:rsid w:val="001B36EC"/>
    <w:rsid w:val="001D7B23"/>
    <w:rsid w:val="001E2F56"/>
    <w:rsid w:val="002062E6"/>
    <w:rsid w:val="00207131"/>
    <w:rsid w:val="0022214D"/>
    <w:rsid w:val="00223585"/>
    <w:rsid w:val="002235CA"/>
    <w:rsid w:val="002317DB"/>
    <w:rsid w:val="00232245"/>
    <w:rsid w:val="0023265E"/>
    <w:rsid w:val="00235B5A"/>
    <w:rsid w:val="00251060"/>
    <w:rsid w:val="002514A3"/>
    <w:rsid w:val="00256B32"/>
    <w:rsid w:val="00256D01"/>
    <w:rsid w:val="002706F2"/>
    <w:rsid w:val="00271135"/>
    <w:rsid w:val="00285E30"/>
    <w:rsid w:val="002A1AEC"/>
    <w:rsid w:val="002A1BCB"/>
    <w:rsid w:val="002A5262"/>
    <w:rsid w:val="002A6484"/>
    <w:rsid w:val="002A79C6"/>
    <w:rsid w:val="002C06B9"/>
    <w:rsid w:val="002C0FDD"/>
    <w:rsid w:val="002C5E37"/>
    <w:rsid w:val="002D11F7"/>
    <w:rsid w:val="002D48C5"/>
    <w:rsid w:val="002E0B52"/>
    <w:rsid w:val="002E1CF4"/>
    <w:rsid w:val="002E5FED"/>
    <w:rsid w:val="002F0DA9"/>
    <w:rsid w:val="003113C1"/>
    <w:rsid w:val="00312C3A"/>
    <w:rsid w:val="0031353D"/>
    <w:rsid w:val="0032200D"/>
    <w:rsid w:val="00333B37"/>
    <w:rsid w:val="0034487B"/>
    <w:rsid w:val="00347CC6"/>
    <w:rsid w:val="00347D88"/>
    <w:rsid w:val="00350BCD"/>
    <w:rsid w:val="0035643C"/>
    <w:rsid w:val="00366226"/>
    <w:rsid w:val="003746B0"/>
    <w:rsid w:val="00374A6B"/>
    <w:rsid w:val="00383E1C"/>
    <w:rsid w:val="0039029A"/>
    <w:rsid w:val="00390D4A"/>
    <w:rsid w:val="0039222E"/>
    <w:rsid w:val="0039288A"/>
    <w:rsid w:val="00393395"/>
    <w:rsid w:val="0039372E"/>
    <w:rsid w:val="00394AF5"/>
    <w:rsid w:val="003A19A4"/>
    <w:rsid w:val="003A1A1B"/>
    <w:rsid w:val="003A4485"/>
    <w:rsid w:val="003A4878"/>
    <w:rsid w:val="003B4310"/>
    <w:rsid w:val="003B60A6"/>
    <w:rsid w:val="003C5883"/>
    <w:rsid w:val="003C7C49"/>
    <w:rsid w:val="003D3327"/>
    <w:rsid w:val="003D6656"/>
    <w:rsid w:val="003E057C"/>
    <w:rsid w:val="003E2B14"/>
    <w:rsid w:val="003E314B"/>
    <w:rsid w:val="003F5655"/>
    <w:rsid w:val="003F5BC6"/>
    <w:rsid w:val="004021C6"/>
    <w:rsid w:val="00406BEF"/>
    <w:rsid w:val="00410595"/>
    <w:rsid w:val="00420F7C"/>
    <w:rsid w:val="0043307A"/>
    <w:rsid w:val="00433514"/>
    <w:rsid w:val="00446BB3"/>
    <w:rsid w:val="0045353D"/>
    <w:rsid w:val="004771C7"/>
    <w:rsid w:val="00481C3A"/>
    <w:rsid w:val="004851CA"/>
    <w:rsid w:val="0048656E"/>
    <w:rsid w:val="00493221"/>
    <w:rsid w:val="004A302C"/>
    <w:rsid w:val="004B539D"/>
    <w:rsid w:val="004C1FA1"/>
    <w:rsid w:val="004C3DCC"/>
    <w:rsid w:val="004E0BF9"/>
    <w:rsid w:val="004E0CF9"/>
    <w:rsid w:val="004F3FDD"/>
    <w:rsid w:val="004F46AB"/>
    <w:rsid w:val="00501A4A"/>
    <w:rsid w:val="00501E05"/>
    <w:rsid w:val="005032B9"/>
    <w:rsid w:val="005100F2"/>
    <w:rsid w:val="00510300"/>
    <w:rsid w:val="00511D7B"/>
    <w:rsid w:val="00513AD5"/>
    <w:rsid w:val="00523D37"/>
    <w:rsid w:val="00524831"/>
    <w:rsid w:val="0052616B"/>
    <w:rsid w:val="00532F25"/>
    <w:rsid w:val="00541D90"/>
    <w:rsid w:val="00542258"/>
    <w:rsid w:val="0054547C"/>
    <w:rsid w:val="0054632A"/>
    <w:rsid w:val="00551EDC"/>
    <w:rsid w:val="005544D1"/>
    <w:rsid w:val="00554509"/>
    <w:rsid w:val="00561523"/>
    <w:rsid w:val="00561527"/>
    <w:rsid w:val="005714C6"/>
    <w:rsid w:val="00594E7A"/>
    <w:rsid w:val="005A146E"/>
    <w:rsid w:val="005A7208"/>
    <w:rsid w:val="005A7987"/>
    <w:rsid w:val="005B5936"/>
    <w:rsid w:val="005C0D20"/>
    <w:rsid w:val="005D050C"/>
    <w:rsid w:val="005F7A46"/>
    <w:rsid w:val="00611383"/>
    <w:rsid w:val="00620B1C"/>
    <w:rsid w:val="00626E33"/>
    <w:rsid w:val="006407ED"/>
    <w:rsid w:val="0064251F"/>
    <w:rsid w:val="00643F74"/>
    <w:rsid w:val="006503AE"/>
    <w:rsid w:val="00651EE4"/>
    <w:rsid w:val="00654524"/>
    <w:rsid w:val="00654BCF"/>
    <w:rsid w:val="0066052B"/>
    <w:rsid w:val="006630EF"/>
    <w:rsid w:val="0066446E"/>
    <w:rsid w:val="0066601A"/>
    <w:rsid w:val="006662AB"/>
    <w:rsid w:val="00674212"/>
    <w:rsid w:val="0067621A"/>
    <w:rsid w:val="006815D1"/>
    <w:rsid w:val="00687DD5"/>
    <w:rsid w:val="006923C3"/>
    <w:rsid w:val="006937E9"/>
    <w:rsid w:val="00693EF9"/>
    <w:rsid w:val="006947A5"/>
    <w:rsid w:val="006A1A11"/>
    <w:rsid w:val="006A2C75"/>
    <w:rsid w:val="006A4105"/>
    <w:rsid w:val="006B0C84"/>
    <w:rsid w:val="006B543B"/>
    <w:rsid w:val="006B7E54"/>
    <w:rsid w:val="006C0BD1"/>
    <w:rsid w:val="006C30C8"/>
    <w:rsid w:val="006C5139"/>
    <w:rsid w:val="006C69FC"/>
    <w:rsid w:val="006D069F"/>
    <w:rsid w:val="006D2C95"/>
    <w:rsid w:val="006D5F8F"/>
    <w:rsid w:val="006D6CEA"/>
    <w:rsid w:val="006E3B5C"/>
    <w:rsid w:val="006E3EB8"/>
    <w:rsid w:val="00707B1D"/>
    <w:rsid w:val="00710909"/>
    <w:rsid w:val="00716369"/>
    <w:rsid w:val="00723649"/>
    <w:rsid w:val="007265C3"/>
    <w:rsid w:val="00735F23"/>
    <w:rsid w:val="00740CEF"/>
    <w:rsid w:val="00742261"/>
    <w:rsid w:val="00752C5E"/>
    <w:rsid w:val="007531F9"/>
    <w:rsid w:val="00764378"/>
    <w:rsid w:val="0076591F"/>
    <w:rsid w:val="00766F0F"/>
    <w:rsid w:val="00773B9A"/>
    <w:rsid w:val="0077582F"/>
    <w:rsid w:val="007862C9"/>
    <w:rsid w:val="0079007B"/>
    <w:rsid w:val="007A0F22"/>
    <w:rsid w:val="007B5C1A"/>
    <w:rsid w:val="007C03A0"/>
    <w:rsid w:val="007C2BEF"/>
    <w:rsid w:val="007D3D77"/>
    <w:rsid w:val="007E157B"/>
    <w:rsid w:val="007E2EF7"/>
    <w:rsid w:val="007E4818"/>
    <w:rsid w:val="007E6A7E"/>
    <w:rsid w:val="007F33F3"/>
    <w:rsid w:val="007F6124"/>
    <w:rsid w:val="00801BDF"/>
    <w:rsid w:val="00802B86"/>
    <w:rsid w:val="0082514B"/>
    <w:rsid w:val="00830599"/>
    <w:rsid w:val="008334B0"/>
    <w:rsid w:val="0083496F"/>
    <w:rsid w:val="0083530F"/>
    <w:rsid w:val="00836468"/>
    <w:rsid w:val="00843492"/>
    <w:rsid w:val="00845F16"/>
    <w:rsid w:val="00852AF3"/>
    <w:rsid w:val="00856D2D"/>
    <w:rsid w:val="00856F2E"/>
    <w:rsid w:val="00867FFD"/>
    <w:rsid w:val="00871560"/>
    <w:rsid w:val="00872D54"/>
    <w:rsid w:val="00872F2D"/>
    <w:rsid w:val="0087585D"/>
    <w:rsid w:val="00880E22"/>
    <w:rsid w:val="00882B6F"/>
    <w:rsid w:val="008834AE"/>
    <w:rsid w:val="00885F4D"/>
    <w:rsid w:val="008962E2"/>
    <w:rsid w:val="008A74EF"/>
    <w:rsid w:val="008B0539"/>
    <w:rsid w:val="008B1C98"/>
    <w:rsid w:val="008B5ADF"/>
    <w:rsid w:val="008D0B3B"/>
    <w:rsid w:val="008D1450"/>
    <w:rsid w:val="008D2E66"/>
    <w:rsid w:val="008D56A5"/>
    <w:rsid w:val="008E1546"/>
    <w:rsid w:val="008E189F"/>
    <w:rsid w:val="008E24ED"/>
    <w:rsid w:val="008E40FE"/>
    <w:rsid w:val="008E57AC"/>
    <w:rsid w:val="008E6D3B"/>
    <w:rsid w:val="00906396"/>
    <w:rsid w:val="0090770A"/>
    <w:rsid w:val="00916E4D"/>
    <w:rsid w:val="00917A63"/>
    <w:rsid w:val="00923C36"/>
    <w:rsid w:val="00924B8E"/>
    <w:rsid w:val="00930024"/>
    <w:rsid w:val="009344DE"/>
    <w:rsid w:val="009357E5"/>
    <w:rsid w:val="00936087"/>
    <w:rsid w:val="00945D17"/>
    <w:rsid w:val="00965FBF"/>
    <w:rsid w:val="00973941"/>
    <w:rsid w:val="0097751F"/>
    <w:rsid w:val="00980255"/>
    <w:rsid w:val="009804FA"/>
    <w:rsid w:val="00985B78"/>
    <w:rsid w:val="0098649F"/>
    <w:rsid w:val="00993AFA"/>
    <w:rsid w:val="0099686E"/>
    <w:rsid w:val="00996DF2"/>
    <w:rsid w:val="009A41B0"/>
    <w:rsid w:val="009A4756"/>
    <w:rsid w:val="009A4C46"/>
    <w:rsid w:val="009A4DBF"/>
    <w:rsid w:val="009B3513"/>
    <w:rsid w:val="009B39EA"/>
    <w:rsid w:val="009D3FC3"/>
    <w:rsid w:val="009D433D"/>
    <w:rsid w:val="009D4484"/>
    <w:rsid w:val="009D5889"/>
    <w:rsid w:val="009D7755"/>
    <w:rsid w:val="009F1D20"/>
    <w:rsid w:val="00A00548"/>
    <w:rsid w:val="00A00713"/>
    <w:rsid w:val="00A00731"/>
    <w:rsid w:val="00A11A5C"/>
    <w:rsid w:val="00A22235"/>
    <w:rsid w:val="00A22F7B"/>
    <w:rsid w:val="00A23801"/>
    <w:rsid w:val="00A2554C"/>
    <w:rsid w:val="00A33652"/>
    <w:rsid w:val="00A3798C"/>
    <w:rsid w:val="00A42866"/>
    <w:rsid w:val="00A461C1"/>
    <w:rsid w:val="00A46B5C"/>
    <w:rsid w:val="00A50D6E"/>
    <w:rsid w:val="00A51DD8"/>
    <w:rsid w:val="00A647EA"/>
    <w:rsid w:val="00A736C6"/>
    <w:rsid w:val="00A82472"/>
    <w:rsid w:val="00A83F1F"/>
    <w:rsid w:val="00A8416F"/>
    <w:rsid w:val="00AA0223"/>
    <w:rsid w:val="00AB28B8"/>
    <w:rsid w:val="00AB3B77"/>
    <w:rsid w:val="00AC57B7"/>
    <w:rsid w:val="00AC73C5"/>
    <w:rsid w:val="00AC755C"/>
    <w:rsid w:val="00AD0E13"/>
    <w:rsid w:val="00AD5ABF"/>
    <w:rsid w:val="00AF45C5"/>
    <w:rsid w:val="00AF5667"/>
    <w:rsid w:val="00B05DD5"/>
    <w:rsid w:val="00B12477"/>
    <w:rsid w:val="00B13343"/>
    <w:rsid w:val="00B1354B"/>
    <w:rsid w:val="00B220B2"/>
    <w:rsid w:val="00B23942"/>
    <w:rsid w:val="00B32474"/>
    <w:rsid w:val="00B4327E"/>
    <w:rsid w:val="00B467A4"/>
    <w:rsid w:val="00B5286D"/>
    <w:rsid w:val="00B545BC"/>
    <w:rsid w:val="00B61032"/>
    <w:rsid w:val="00B61D2E"/>
    <w:rsid w:val="00B71854"/>
    <w:rsid w:val="00B71DA4"/>
    <w:rsid w:val="00B7235B"/>
    <w:rsid w:val="00B76348"/>
    <w:rsid w:val="00B81261"/>
    <w:rsid w:val="00B82556"/>
    <w:rsid w:val="00B87655"/>
    <w:rsid w:val="00B87801"/>
    <w:rsid w:val="00B92871"/>
    <w:rsid w:val="00B928DA"/>
    <w:rsid w:val="00BA5AC3"/>
    <w:rsid w:val="00BA630D"/>
    <w:rsid w:val="00BB06B4"/>
    <w:rsid w:val="00BB2551"/>
    <w:rsid w:val="00BB4892"/>
    <w:rsid w:val="00BB5E9B"/>
    <w:rsid w:val="00BC1A44"/>
    <w:rsid w:val="00BC5C37"/>
    <w:rsid w:val="00BC757B"/>
    <w:rsid w:val="00BC7ED2"/>
    <w:rsid w:val="00BD0190"/>
    <w:rsid w:val="00BE212E"/>
    <w:rsid w:val="00BE4AAB"/>
    <w:rsid w:val="00BE5086"/>
    <w:rsid w:val="00BF4971"/>
    <w:rsid w:val="00C07F40"/>
    <w:rsid w:val="00C12E85"/>
    <w:rsid w:val="00C16A79"/>
    <w:rsid w:val="00C20278"/>
    <w:rsid w:val="00C22791"/>
    <w:rsid w:val="00C236DC"/>
    <w:rsid w:val="00C31B7F"/>
    <w:rsid w:val="00C32F79"/>
    <w:rsid w:val="00C33FD2"/>
    <w:rsid w:val="00C35271"/>
    <w:rsid w:val="00C4036A"/>
    <w:rsid w:val="00C50E28"/>
    <w:rsid w:val="00C62934"/>
    <w:rsid w:val="00C64428"/>
    <w:rsid w:val="00C74D6F"/>
    <w:rsid w:val="00C842DE"/>
    <w:rsid w:val="00C902FB"/>
    <w:rsid w:val="00C965AE"/>
    <w:rsid w:val="00CA0AED"/>
    <w:rsid w:val="00CA66E6"/>
    <w:rsid w:val="00CC29DE"/>
    <w:rsid w:val="00CC3B64"/>
    <w:rsid w:val="00CD37C6"/>
    <w:rsid w:val="00CD3BA4"/>
    <w:rsid w:val="00CD41AA"/>
    <w:rsid w:val="00CD6943"/>
    <w:rsid w:val="00CE6C2F"/>
    <w:rsid w:val="00CE73CC"/>
    <w:rsid w:val="00CE7E9C"/>
    <w:rsid w:val="00CF2EF3"/>
    <w:rsid w:val="00CF3298"/>
    <w:rsid w:val="00D02F3B"/>
    <w:rsid w:val="00D0657B"/>
    <w:rsid w:val="00D129CB"/>
    <w:rsid w:val="00D16A04"/>
    <w:rsid w:val="00D27C17"/>
    <w:rsid w:val="00D41B89"/>
    <w:rsid w:val="00D47F27"/>
    <w:rsid w:val="00D5541F"/>
    <w:rsid w:val="00D57923"/>
    <w:rsid w:val="00D66387"/>
    <w:rsid w:val="00D741B6"/>
    <w:rsid w:val="00D74BD0"/>
    <w:rsid w:val="00D74FED"/>
    <w:rsid w:val="00D75A81"/>
    <w:rsid w:val="00D7761F"/>
    <w:rsid w:val="00D86806"/>
    <w:rsid w:val="00D86C35"/>
    <w:rsid w:val="00DB04FB"/>
    <w:rsid w:val="00DB6DFF"/>
    <w:rsid w:val="00DC003F"/>
    <w:rsid w:val="00DE72B3"/>
    <w:rsid w:val="00DF4668"/>
    <w:rsid w:val="00E00172"/>
    <w:rsid w:val="00E0533A"/>
    <w:rsid w:val="00E0701A"/>
    <w:rsid w:val="00E131D1"/>
    <w:rsid w:val="00E17AA0"/>
    <w:rsid w:val="00E2655B"/>
    <w:rsid w:val="00E311AB"/>
    <w:rsid w:val="00E358BF"/>
    <w:rsid w:val="00E36EC8"/>
    <w:rsid w:val="00E51146"/>
    <w:rsid w:val="00E512A9"/>
    <w:rsid w:val="00E54AF9"/>
    <w:rsid w:val="00E5624E"/>
    <w:rsid w:val="00E601D4"/>
    <w:rsid w:val="00E64C88"/>
    <w:rsid w:val="00E7179D"/>
    <w:rsid w:val="00E74832"/>
    <w:rsid w:val="00E81B04"/>
    <w:rsid w:val="00E820C5"/>
    <w:rsid w:val="00E87550"/>
    <w:rsid w:val="00E9413F"/>
    <w:rsid w:val="00E973D2"/>
    <w:rsid w:val="00EC7C64"/>
    <w:rsid w:val="00ED00D6"/>
    <w:rsid w:val="00EE26DC"/>
    <w:rsid w:val="00EE3FF1"/>
    <w:rsid w:val="00EE5816"/>
    <w:rsid w:val="00EF3D7E"/>
    <w:rsid w:val="00F03292"/>
    <w:rsid w:val="00F0565C"/>
    <w:rsid w:val="00F121AE"/>
    <w:rsid w:val="00F15852"/>
    <w:rsid w:val="00F23F4B"/>
    <w:rsid w:val="00F46C50"/>
    <w:rsid w:val="00F56CD7"/>
    <w:rsid w:val="00F60B61"/>
    <w:rsid w:val="00F66E89"/>
    <w:rsid w:val="00F67822"/>
    <w:rsid w:val="00F70621"/>
    <w:rsid w:val="00F74182"/>
    <w:rsid w:val="00F7607A"/>
    <w:rsid w:val="00F8517B"/>
    <w:rsid w:val="00F90250"/>
    <w:rsid w:val="00F91395"/>
    <w:rsid w:val="00F961D7"/>
    <w:rsid w:val="00F97A2B"/>
    <w:rsid w:val="00FA0CA3"/>
    <w:rsid w:val="00FA3BC5"/>
    <w:rsid w:val="00FA40FE"/>
    <w:rsid w:val="00FB08DC"/>
    <w:rsid w:val="00FB0D30"/>
    <w:rsid w:val="00FB1AE0"/>
    <w:rsid w:val="00FB34C2"/>
    <w:rsid w:val="00FB42F5"/>
    <w:rsid w:val="00FD76E1"/>
    <w:rsid w:val="00FE0970"/>
    <w:rsid w:val="00FF3F3A"/>
    <w:rsid w:val="00FF400F"/>
    <w:rsid w:val="01064C9A"/>
    <w:rsid w:val="013E61E2"/>
    <w:rsid w:val="014F4893"/>
    <w:rsid w:val="01541EA9"/>
    <w:rsid w:val="01580C56"/>
    <w:rsid w:val="01781929"/>
    <w:rsid w:val="01877B89"/>
    <w:rsid w:val="019E3125"/>
    <w:rsid w:val="01AA7D1B"/>
    <w:rsid w:val="01D0068D"/>
    <w:rsid w:val="01D775B9"/>
    <w:rsid w:val="02026E30"/>
    <w:rsid w:val="020B6A0C"/>
    <w:rsid w:val="02132174"/>
    <w:rsid w:val="02186A33"/>
    <w:rsid w:val="0224187C"/>
    <w:rsid w:val="023130F5"/>
    <w:rsid w:val="024737BC"/>
    <w:rsid w:val="024C2B81"/>
    <w:rsid w:val="028604AE"/>
    <w:rsid w:val="029D33DC"/>
    <w:rsid w:val="02A66735"/>
    <w:rsid w:val="02AD3196"/>
    <w:rsid w:val="02AE1145"/>
    <w:rsid w:val="02C44E0D"/>
    <w:rsid w:val="02DA63DE"/>
    <w:rsid w:val="02ED7EC0"/>
    <w:rsid w:val="03200295"/>
    <w:rsid w:val="032D619D"/>
    <w:rsid w:val="035E2B6B"/>
    <w:rsid w:val="0361440A"/>
    <w:rsid w:val="036D7252"/>
    <w:rsid w:val="03773C2D"/>
    <w:rsid w:val="03922815"/>
    <w:rsid w:val="03C350C4"/>
    <w:rsid w:val="03E2554B"/>
    <w:rsid w:val="03EA08A3"/>
    <w:rsid w:val="03F51722"/>
    <w:rsid w:val="03F62DA4"/>
    <w:rsid w:val="04066E90"/>
    <w:rsid w:val="045126D0"/>
    <w:rsid w:val="045D72C7"/>
    <w:rsid w:val="046C750A"/>
    <w:rsid w:val="047A5783"/>
    <w:rsid w:val="04820ADC"/>
    <w:rsid w:val="0487418D"/>
    <w:rsid w:val="04893C18"/>
    <w:rsid w:val="04B14F1D"/>
    <w:rsid w:val="04C17856"/>
    <w:rsid w:val="04F01EE9"/>
    <w:rsid w:val="04F574FF"/>
    <w:rsid w:val="04F72882"/>
    <w:rsid w:val="04FF212C"/>
    <w:rsid w:val="051A6523"/>
    <w:rsid w:val="05235E1B"/>
    <w:rsid w:val="052D0A47"/>
    <w:rsid w:val="052E656D"/>
    <w:rsid w:val="053E0EA6"/>
    <w:rsid w:val="053F247C"/>
    <w:rsid w:val="054E09BE"/>
    <w:rsid w:val="05595CE0"/>
    <w:rsid w:val="057C377D"/>
    <w:rsid w:val="05812B41"/>
    <w:rsid w:val="05AA653C"/>
    <w:rsid w:val="05C72C4A"/>
    <w:rsid w:val="05CB2336"/>
    <w:rsid w:val="05D15877"/>
    <w:rsid w:val="05D215EF"/>
    <w:rsid w:val="05D2339D"/>
    <w:rsid w:val="05D37841"/>
    <w:rsid w:val="05DB04A3"/>
    <w:rsid w:val="05E530D0"/>
    <w:rsid w:val="06127C3D"/>
    <w:rsid w:val="061A4B24"/>
    <w:rsid w:val="061F2A86"/>
    <w:rsid w:val="06231E4A"/>
    <w:rsid w:val="06253E14"/>
    <w:rsid w:val="062A142B"/>
    <w:rsid w:val="0633208D"/>
    <w:rsid w:val="06587D46"/>
    <w:rsid w:val="067032E2"/>
    <w:rsid w:val="067E3A29"/>
    <w:rsid w:val="06856661"/>
    <w:rsid w:val="069114AA"/>
    <w:rsid w:val="06AE7966"/>
    <w:rsid w:val="06B07B82"/>
    <w:rsid w:val="06DD649D"/>
    <w:rsid w:val="06EC66E0"/>
    <w:rsid w:val="06F04422"/>
    <w:rsid w:val="07020C1A"/>
    <w:rsid w:val="0709089A"/>
    <w:rsid w:val="071C5217"/>
    <w:rsid w:val="071D4AEC"/>
    <w:rsid w:val="07210A39"/>
    <w:rsid w:val="072242D3"/>
    <w:rsid w:val="072440CC"/>
    <w:rsid w:val="0737795B"/>
    <w:rsid w:val="073F4A62"/>
    <w:rsid w:val="07442078"/>
    <w:rsid w:val="076C53FA"/>
    <w:rsid w:val="076D22AC"/>
    <w:rsid w:val="0784404A"/>
    <w:rsid w:val="078608E3"/>
    <w:rsid w:val="07941252"/>
    <w:rsid w:val="07A25DD3"/>
    <w:rsid w:val="07A64AE1"/>
    <w:rsid w:val="07B55348"/>
    <w:rsid w:val="07EA70C4"/>
    <w:rsid w:val="07F0083A"/>
    <w:rsid w:val="085409E1"/>
    <w:rsid w:val="08687FE8"/>
    <w:rsid w:val="08935065"/>
    <w:rsid w:val="08997D8A"/>
    <w:rsid w:val="08A2799E"/>
    <w:rsid w:val="08A76D63"/>
    <w:rsid w:val="08AD2074"/>
    <w:rsid w:val="08BB45BC"/>
    <w:rsid w:val="08C6368D"/>
    <w:rsid w:val="08D306C7"/>
    <w:rsid w:val="08D538D0"/>
    <w:rsid w:val="08D77648"/>
    <w:rsid w:val="08E04023"/>
    <w:rsid w:val="08E81855"/>
    <w:rsid w:val="08EE4992"/>
    <w:rsid w:val="09077801"/>
    <w:rsid w:val="091C32AD"/>
    <w:rsid w:val="0920315E"/>
    <w:rsid w:val="09212671"/>
    <w:rsid w:val="0926010A"/>
    <w:rsid w:val="09664528"/>
    <w:rsid w:val="09970B85"/>
    <w:rsid w:val="09975029"/>
    <w:rsid w:val="09AC1C5B"/>
    <w:rsid w:val="09AD03A9"/>
    <w:rsid w:val="09BC05EC"/>
    <w:rsid w:val="09CE174C"/>
    <w:rsid w:val="09E613EC"/>
    <w:rsid w:val="09EA6F07"/>
    <w:rsid w:val="09F2341B"/>
    <w:rsid w:val="09F23B8C"/>
    <w:rsid w:val="09FE29B2"/>
    <w:rsid w:val="0A1C108A"/>
    <w:rsid w:val="0A2148F3"/>
    <w:rsid w:val="0A391C3C"/>
    <w:rsid w:val="0A3D172D"/>
    <w:rsid w:val="0A3E680D"/>
    <w:rsid w:val="0A831432"/>
    <w:rsid w:val="0A9B6453"/>
    <w:rsid w:val="0AAB338B"/>
    <w:rsid w:val="0AAF1EFF"/>
    <w:rsid w:val="0ABF0394"/>
    <w:rsid w:val="0AD84599"/>
    <w:rsid w:val="0B05734A"/>
    <w:rsid w:val="0B0E131B"/>
    <w:rsid w:val="0B115FB9"/>
    <w:rsid w:val="0B1A381C"/>
    <w:rsid w:val="0B352404"/>
    <w:rsid w:val="0B386398"/>
    <w:rsid w:val="0B536D2E"/>
    <w:rsid w:val="0B5C2086"/>
    <w:rsid w:val="0B6727D9"/>
    <w:rsid w:val="0B674587"/>
    <w:rsid w:val="0B6B4077"/>
    <w:rsid w:val="0B6E5916"/>
    <w:rsid w:val="0B745622"/>
    <w:rsid w:val="0B76679F"/>
    <w:rsid w:val="0B7F5D75"/>
    <w:rsid w:val="0BB24C22"/>
    <w:rsid w:val="0BC77F22"/>
    <w:rsid w:val="0BE45BD8"/>
    <w:rsid w:val="0BF202F5"/>
    <w:rsid w:val="0BFE313E"/>
    <w:rsid w:val="0C02649C"/>
    <w:rsid w:val="0C0A3890"/>
    <w:rsid w:val="0C1E6205"/>
    <w:rsid w:val="0C28640C"/>
    <w:rsid w:val="0C3C5A14"/>
    <w:rsid w:val="0C41302A"/>
    <w:rsid w:val="0C5A4DAC"/>
    <w:rsid w:val="0C874EE1"/>
    <w:rsid w:val="0C88488C"/>
    <w:rsid w:val="0C8A677F"/>
    <w:rsid w:val="0CC04897"/>
    <w:rsid w:val="0CD520F0"/>
    <w:rsid w:val="0CD67C16"/>
    <w:rsid w:val="0CD81BE1"/>
    <w:rsid w:val="0D0C53E6"/>
    <w:rsid w:val="0D1C7D1F"/>
    <w:rsid w:val="0D2210AE"/>
    <w:rsid w:val="0D2766C4"/>
    <w:rsid w:val="0D6B6E82"/>
    <w:rsid w:val="0D9D0734"/>
    <w:rsid w:val="0DA90E87"/>
    <w:rsid w:val="0DAF0B93"/>
    <w:rsid w:val="0DB241E0"/>
    <w:rsid w:val="0DB74AC1"/>
    <w:rsid w:val="0DBC505E"/>
    <w:rsid w:val="0DC14423"/>
    <w:rsid w:val="0DC83A03"/>
    <w:rsid w:val="0DCD1019"/>
    <w:rsid w:val="0DE10B00"/>
    <w:rsid w:val="0DEF71E2"/>
    <w:rsid w:val="0E0D58BA"/>
    <w:rsid w:val="0E0F1632"/>
    <w:rsid w:val="0E342E47"/>
    <w:rsid w:val="0E460DCC"/>
    <w:rsid w:val="0E464928"/>
    <w:rsid w:val="0E651252"/>
    <w:rsid w:val="0E653000"/>
    <w:rsid w:val="0E6D45AA"/>
    <w:rsid w:val="0E72396F"/>
    <w:rsid w:val="0E796AAB"/>
    <w:rsid w:val="0E7C0027"/>
    <w:rsid w:val="0E7F6315"/>
    <w:rsid w:val="0E9543D1"/>
    <w:rsid w:val="0EA33B28"/>
    <w:rsid w:val="0EB208AB"/>
    <w:rsid w:val="0EB36461"/>
    <w:rsid w:val="0EB45D35"/>
    <w:rsid w:val="0EBD75FE"/>
    <w:rsid w:val="0EC817E1"/>
    <w:rsid w:val="0ECA5559"/>
    <w:rsid w:val="0ED53B2A"/>
    <w:rsid w:val="0EF600FC"/>
    <w:rsid w:val="0F096081"/>
    <w:rsid w:val="0F1B5913"/>
    <w:rsid w:val="0F2442A2"/>
    <w:rsid w:val="0F3D21CF"/>
    <w:rsid w:val="0F4C0664"/>
    <w:rsid w:val="0F5A5835"/>
    <w:rsid w:val="0F9D4A1B"/>
    <w:rsid w:val="0FA638D0"/>
    <w:rsid w:val="0FAB538A"/>
    <w:rsid w:val="0FD33C3D"/>
    <w:rsid w:val="0FE8213B"/>
    <w:rsid w:val="0FF52AA9"/>
    <w:rsid w:val="10047D52"/>
    <w:rsid w:val="10150A56"/>
    <w:rsid w:val="10240C99"/>
    <w:rsid w:val="102723E9"/>
    <w:rsid w:val="102B64CB"/>
    <w:rsid w:val="107439CE"/>
    <w:rsid w:val="1090632E"/>
    <w:rsid w:val="109220A6"/>
    <w:rsid w:val="109B71AD"/>
    <w:rsid w:val="10A92DD3"/>
    <w:rsid w:val="10AF4A06"/>
    <w:rsid w:val="10BD54A5"/>
    <w:rsid w:val="10C35960"/>
    <w:rsid w:val="10C55FD8"/>
    <w:rsid w:val="10C85AC8"/>
    <w:rsid w:val="11036B00"/>
    <w:rsid w:val="11082369"/>
    <w:rsid w:val="11357D2A"/>
    <w:rsid w:val="113849FC"/>
    <w:rsid w:val="113A4C18"/>
    <w:rsid w:val="11457119"/>
    <w:rsid w:val="1147614B"/>
    <w:rsid w:val="116E48C1"/>
    <w:rsid w:val="11785740"/>
    <w:rsid w:val="11845E93"/>
    <w:rsid w:val="11867E5D"/>
    <w:rsid w:val="11A2456B"/>
    <w:rsid w:val="11AE5258"/>
    <w:rsid w:val="11B30526"/>
    <w:rsid w:val="11DA1F57"/>
    <w:rsid w:val="11DF30C9"/>
    <w:rsid w:val="11FA6155"/>
    <w:rsid w:val="12130FC5"/>
    <w:rsid w:val="12371157"/>
    <w:rsid w:val="12483364"/>
    <w:rsid w:val="127001C5"/>
    <w:rsid w:val="12771554"/>
    <w:rsid w:val="127759F8"/>
    <w:rsid w:val="127A0C92"/>
    <w:rsid w:val="127F48AC"/>
    <w:rsid w:val="129E4D32"/>
    <w:rsid w:val="12AD766B"/>
    <w:rsid w:val="12B91B6C"/>
    <w:rsid w:val="12BA7692"/>
    <w:rsid w:val="12BC165D"/>
    <w:rsid w:val="12CC5D44"/>
    <w:rsid w:val="12DE7825"/>
    <w:rsid w:val="12E3308D"/>
    <w:rsid w:val="12EF558E"/>
    <w:rsid w:val="13021765"/>
    <w:rsid w:val="13037AFF"/>
    <w:rsid w:val="13453400"/>
    <w:rsid w:val="13456351"/>
    <w:rsid w:val="134C0C32"/>
    <w:rsid w:val="137B79E1"/>
    <w:rsid w:val="137D0DEC"/>
    <w:rsid w:val="13833F28"/>
    <w:rsid w:val="13893C35"/>
    <w:rsid w:val="13A03104"/>
    <w:rsid w:val="13E62E35"/>
    <w:rsid w:val="14065285"/>
    <w:rsid w:val="143F42F3"/>
    <w:rsid w:val="144731A8"/>
    <w:rsid w:val="1457788F"/>
    <w:rsid w:val="14717C9A"/>
    <w:rsid w:val="147F2942"/>
    <w:rsid w:val="14AF7789"/>
    <w:rsid w:val="14BF5434"/>
    <w:rsid w:val="14D50D33"/>
    <w:rsid w:val="14EF1875"/>
    <w:rsid w:val="14F50E56"/>
    <w:rsid w:val="151E65FF"/>
    <w:rsid w:val="152030DE"/>
    <w:rsid w:val="1537321C"/>
    <w:rsid w:val="154020D1"/>
    <w:rsid w:val="15A840F3"/>
    <w:rsid w:val="15C9656A"/>
    <w:rsid w:val="15FB249C"/>
    <w:rsid w:val="15FF3D3A"/>
    <w:rsid w:val="1602382A"/>
    <w:rsid w:val="16443E43"/>
    <w:rsid w:val="16565924"/>
    <w:rsid w:val="16640041"/>
    <w:rsid w:val="16646293"/>
    <w:rsid w:val="16685D83"/>
    <w:rsid w:val="167C182F"/>
    <w:rsid w:val="167D1103"/>
    <w:rsid w:val="167D2FDD"/>
    <w:rsid w:val="168B406D"/>
    <w:rsid w:val="169052DA"/>
    <w:rsid w:val="16AE5760"/>
    <w:rsid w:val="16AE750E"/>
    <w:rsid w:val="16B40FC8"/>
    <w:rsid w:val="16BE3BF5"/>
    <w:rsid w:val="16C46D32"/>
    <w:rsid w:val="16D84122"/>
    <w:rsid w:val="16D94910"/>
    <w:rsid w:val="16E1737A"/>
    <w:rsid w:val="16E3540A"/>
    <w:rsid w:val="16E442B3"/>
    <w:rsid w:val="1711641B"/>
    <w:rsid w:val="1719707D"/>
    <w:rsid w:val="17215F32"/>
    <w:rsid w:val="172872C1"/>
    <w:rsid w:val="17457E73"/>
    <w:rsid w:val="174C1201"/>
    <w:rsid w:val="174F6F43"/>
    <w:rsid w:val="176821F4"/>
    <w:rsid w:val="17710C68"/>
    <w:rsid w:val="177C760C"/>
    <w:rsid w:val="177E1C86"/>
    <w:rsid w:val="179B7A92"/>
    <w:rsid w:val="17AD77C6"/>
    <w:rsid w:val="17C1773E"/>
    <w:rsid w:val="17CB7119"/>
    <w:rsid w:val="17D2722C"/>
    <w:rsid w:val="17FB49D5"/>
    <w:rsid w:val="18041ADC"/>
    <w:rsid w:val="182E6B59"/>
    <w:rsid w:val="185C04F2"/>
    <w:rsid w:val="187C5B16"/>
    <w:rsid w:val="189246B5"/>
    <w:rsid w:val="18A706B9"/>
    <w:rsid w:val="18C272A1"/>
    <w:rsid w:val="18CB43A7"/>
    <w:rsid w:val="18DA283C"/>
    <w:rsid w:val="18F733EE"/>
    <w:rsid w:val="18F90F15"/>
    <w:rsid w:val="19197809"/>
    <w:rsid w:val="192D6E10"/>
    <w:rsid w:val="1934019F"/>
    <w:rsid w:val="19373862"/>
    <w:rsid w:val="19520625"/>
    <w:rsid w:val="19526877"/>
    <w:rsid w:val="195E2798"/>
    <w:rsid w:val="19760FDF"/>
    <w:rsid w:val="19B412DF"/>
    <w:rsid w:val="19D2300F"/>
    <w:rsid w:val="19E35721"/>
    <w:rsid w:val="1A0214BE"/>
    <w:rsid w:val="1A0E5C74"/>
    <w:rsid w:val="1A197394"/>
    <w:rsid w:val="1A352420"/>
    <w:rsid w:val="1A512FD2"/>
    <w:rsid w:val="1A5D54D3"/>
    <w:rsid w:val="1A5F124B"/>
    <w:rsid w:val="1A6124EF"/>
    <w:rsid w:val="1A710493"/>
    <w:rsid w:val="1AB33908"/>
    <w:rsid w:val="1AB570BD"/>
    <w:rsid w:val="1ADA2FC8"/>
    <w:rsid w:val="1AE259D8"/>
    <w:rsid w:val="1AE35507"/>
    <w:rsid w:val="1AEB2ADF"/>
    <w:rsid w:val="1B3E3557"/>
    <w:rsid w:val="1B636B19"/>
    <w:rsid w:val="1B6805D3"/>
    <w:rsid w:val="1B7E1468"/>
    <w:rsid w:val="1B825739"/>
    <w:rsid w:val="1B83540D"/>
    <w:rsid w:val="1BA075C9"/>
    <w:rsid w:val="1BC17CE4"/>
    <w:rsid w:val="1BCC0B62"/>
    <w:rsid w:val="1BDD4B1E"/>
    <w:rsid w:val="1BE718C7"/>
    <w:rsid w:val="1C146065"/>
    <w:rsid w:val="1C4032FE"/>
    <w:rsid w:val="1C406E5A"/>
    <w:rsid w:val="1C495921"/>
    <w:rsid w:val="1C744D56"/>
    <w:rsid w:val="1C7A6810"/>
    <w:rsid w:val="1C7B7E93"/>
    <w:rsid w:val="1C9C6787"/>
    <w:rsid w:val="1CA05B4B"/>
    <w:rsid w:val="1CA90EA4"/>
    <w:rsid w:val="1CAA6093"/>
    <w:rsid w:val="1CD770EC"/>
    <w:rsid w:val="1CE43C8A"/>
    <w:rsid w:val="1D183933"/>
    <w:rsid w:val="1D1B3B0E"/>
    <w:rsid w:val="1D210A3A"/>
    <w:rsid w:val="1D214EDE"/>
    <w:rsid w:val="1D4A4435"/>
    <w:rsid w:val="1D524C10"/>
    <w:rsid w:val="1D61177E"/>
    <w:rsid w:val="1D7E7C3A"/>
    <w:rsid w:val="1D8D4321"/>
    <w:rsid w:val="1D9C27B6"/>
    <w:rsid w:val="1DAA4ED3"/>
    <w:rsid w:val="1DC53ABB"/>
    <w:rsid w:val="1DC835AB"/>
    <w:rsid w:val="1DE2466D"/>
    <w:rsid w:val="1E206F43"/>
    <w:rsid w:val="1E2F7187"/>
    <w:rsid w:val="1E340C41"/>
    <w:rsid w:val="1E401394"/>
    <w:rsid w:val="1E4E3AB1"/>
    <w:rsid w:val="1E51534F"/>
    <w:rsid w:val="1E5310C7"/>
    <w:rsid w:val="1E6908EA"/>
    <w:rsid w:val="1E766B63"/>
    <w:rsid w:val="1E9B2A6E"/>
    <w:rsid w:val="1EAC07D7"/>
    <w:rsid w:val="1EBA1146"/>
    <w:rsid w:val="1EC45B21"/>
    <w:rsid w:val="1EC73863"/>
    <w:rsid w:val="1ED63AA6"/>
    <w:rsid w:val="1EDF295B"/>
    <w:rsid w:val="1F046865"/>
    <w:rsid w:val="1F0A70F1"/>
    <w:rsid w:val="1F1D16D5"/>
    <w:rsid w:val="1F4536E0"/>
    <w:rsid w:val="1F525822"/>
    <w:rsid w:val="1F58270D"/>
    <w:rsid w:val="1F5D7D23"/>
    <w:rsid w:val="1F5F1CED"/>
    <w:rsid w:val="1F7237CF"/>
    <w:rsid w:val="1F770DE5"/>
    <w:rsid w:val="1F8D0609"/>
    <w:rsid w:val="1F9D6372"/>
    <w:rsid w:val="1FA96FA3"/>
    <w:rsid w:val="1FB82BC8"/>
    <w:rsid w:val="1FE16BA6"/>
    <w:rsid w:val="1FE31481"/>
    <w:rsid w:val="1FF468DA"/>
    <w:rsid w:val="200B6E05"/>
    <w:rsid w:val="200F101E"/>
    <w:rsid w:val="200F54C2"/>
    <w:rsid w:val="201B5C14"/>
    <w:rsid w:val="202D1DEC"/>
    <w:rsid w:val="2039253E"/>
    <w:rsid w:val="204607B7"/>
    <w:rsid w:val="204A02A8"/>
    <w:rsid w:val="204D7D98"/>
    <w:rsid w:val="20690166"/>
    <w:rsid w:val="207B2DC6"/>
    <w:rsid w:val="20803CC9"/>
    <w:rsid w:val="209239FD"/>
    <w:rsid w:val="20B47E17"/>
    <w:rsid w:val="20DA3F99"/>
    <w:rsid w:val="20E71F9A"/>
    <w:rsid w:val="20E97AC1"/>
    <w:rsid w:val="20EA2A65"/>
    <w:rsid w:val="20EF2BFD"/>
    <w:rsid w:val="210112AE"/>
    <w:rsid w:val="212F12B7"/>
    <w:rsid w:val="214E2A84"/>
    <w:rsid w:val="21817CF9"/>
    <w:rsid w:val="21884BA0"/>
    <w:rsid w:val="219519F6"/>
    <w:rsid w:val="2197576F"/>
    <w:rsid w:val="21A659B2"/>
    <w:rsid w:val="21B55BF5"/>
    <w:rsid w:val="21DE15EF"/>
    <w:rsid w:val="22105521"/>
    <w:rsid w:val="2217240B"/>
    <w:rsid w:val="222039B6"/>
    <w:rsid w:val="2228094B"/>
    <w:rsid w:val="222B5EB7"/>
    <w:rsid w:val="224A27E1"/>
    <w:rsid w:val="227635D6"/>
    <w:rsid w:val="22794E74"/>
    <w:rsid w:val="22AF6B26"/>
    <w:rsid w:val="22BB723B"/>
    <w:rsid w:val="22C87E24"/>
    <w:rsid w:val="22C95DFC"/>
    <w:rsid w:val="22EE06E2"/>
    <w:rsid w:val="22F84FC6"/>
    <w:rsid w:val="22FD3CF7"/>
    <w:rsid w:val="23250B58"/>
    <w:rsid w:val="23411E36"/>
    <w:rsid w:val="234D0B5D"/>
    <w:rsid w:val="235C6C70"/>
    <w:rsid w:val="23614286"/>
    <w:rsid w:val="23CC5B62"/>
    <w:rsid w:val="23CD510E"/>
    <w:rsid w:val="24170DE9"/>
    <w:rsid w:val="243472A5"/>
    <w:rsid w:val="243C084F"/>
    <w:rsid w:val="2440076D"/>
    <w:rsid w:val="2452597D"/>
    <w:rsid w:val="24A563F4"/>
    <w:rsid w:val="24B228BF"/>
    <w:rsid w:val="24C15199"/>
    <w:rsid w:val="24CE288D"/>
    <w:rsid w:val="24EF7670"/>
    <w:rsid w:val="24F46A34"/>
    <w:rsid w:val="25034EC9"/>
    <w:rsid w:val="251315B0"/>
    <w:rsid w:val="251946ED"/>
    <w:rsid w:val="25777D91"/>
    <w:rsid w:val="25781413"/>
    <w:rsid w:val="257858B7"/>
    <w:rsid w:val="258506D6"/>
    <w:rsid w:val="258B383C"/>
    <w:rsid w:val="259455FA"/>
    <w:rsid w:val="259719F3"/>
    <w:rsid w:val="25AB17E9"/>
    <w:rsid w:val="25AD5EB4"/>
    <w:rsid w:val="25B14925"/>
    <w:rsid w:val="25BF5294"/>
    <w:rsid w:val="25C2759F"/>
    <w:rsid w:val="25C63DCF"/>
    <w:rsid w:val="25C74149"/>
    <w:rsid w:val="25DC7BF4"/>
    <w:rsid w:val="25DE267C"/>
    <w:rsid w:val="25E46AA9"/>
    <w:rsid w:val="25E66CC5"/>
    <w:rsid w:val="25FA62CC"/>
    <w:rsid w:val="26143832"/>
    <w:rsid w:val="262275D1"/>
    <w:rsid w:val="263712CE"/>
    <w:rsid w:val="264B4D7A"/>
    <w:rsid w:val="264D6D44"/>
    <w:rsid w:val="26644EA7"/>
    <w:rsid w:val="266A3452"/>
    <w:rsid w:val="26977FBF"/>
    <w:rsid w:val="26AB75C6"/>
    <w:rsid w:val="26AF355A"/>
    <w:rsid w:val="26B50445"/>
    <w:rsid w:val="26DA55FB"/>
    <w:rsid w:val="26DC11F6"/>
    <w:rsid w:val="26E01966"/>
    <w:rsid w:val="26EC191F"/>
    <w:rsid w:val="26F251F5"/>
    <w:rsid w:val="270C62B7"/>
    <w:rsid w:val="271E5FEA"/>
    <w:rsid w:val="2729330D"/>
    <w:rsid w:val="272F7095"/>
    <w:rsid w:val="276B56D3"/>
    <w:rsid w:val="276E687B"/>
    <w:rsid w:val="27802801"/>
    <w:rsid w:val="278A123C"/>
    <w:rsid w:val="279F537D"/>
    <w:rsid w:val="27CB7F20"/>
    <w:rsid w:val="27D52B4D"/>
    <w:rsid w:val="27D843EB"/>
    <w:rsid w:val="27EE00B2"/>
    <w:rsid w:val="27FC457D"/>
    <w:rsid w:val="2802590C"/>
    <w:rsid w:val="280451E0"/>
    <w:rsid w:val="280E7BD2"/>
    <w:rsid w:val="28153891"/>
    <w:rsid w:val="28177609"/>
    <w:rsid w:val="281C077C"/>
    <w:rsid w:val="28245427"/>
    <w:rsid w:val="28247630"/>
    <w:rsid w:val="282615FA"/>
    <w:rsid w:val="283E4B96"/>
    <w:rsid w:val="28414686"/>
    <w:rsid w:val="2849353B"/>
    <w:rsid w:val="284D6B87"/>
    <w:rsid w:val="28550131"/>
    <w:rsid w:val="28612632"/>
    <w:rsid w:val="28757E8C"/>
    <w:rsid w:val="287E4F92"/>
    <w:rsid w:val="28887BBF"/>
    <w:rsid w:val="28AB1AFF"/>
    <w:rsid w:val="28CB21A2"/>
    <w:rsid w:val="28E62B38"/>
    <w:rsid w:val="28F96D0F"/>
    <w:rsid w:val="290B7A2E"/>
    <w:rsid w:val="292A6EC8"/>
    <w:rsid w:val="293B10D5"/>
    <w:rsid w:val="2944442E"/>
    <w:rsid w:val="294550C5"/>
    <w:rsid w:val="29493E9D"/>
    <w:rsid w:val="294F2293"/>
    <w:rsid w:val="29606D8E"/>
    <w:rsid w:val="2964062C"/>
    <w:rsid w:val="29787C34"/>
    <w:rsid w:val="29927747"/>
    <w:rsid w:val="29A749BD"/>
    <w:rsid w:val="29C9048F"/>
    <w:rsid w:val="29CB06AB"/>
    <w:rsid w:val="2A0108B7"/>
    <w:rsid w:val="2A04596B"/>
    <w:rsid w:val="2A0E67EA"/>
    <w:rsid w:val="2A133E00"/>
    <w:rsid w:val="2A1536D4"/>
    <w:rsid w:val="2A1A0CEB"/>
    <w:rsid w:val="2A202079"/>
    <w:rsid w:val="2A30050E"/>
    <w:rsid w:val="2A3B6D1B"/>
    <w:rsid w:val="2A411154"/>
    <w:rsid w:val="2A506E02"/>
    <w:rsid w:val="2A526D38"/>
    <w:rsid w:val="2A88659C"/>
    <w:rsid w:val="2A954815"/>
    <w:rsid w:val="2AD0584D"/>
    <w:rsid w:val="2AEE4B12"/>
    <w:rsid w:val="2AFE685E"/>
    <w:rsid w:val="2B027774"/>
    <w:rsid w:val="2B0D0850"/>
    <w:rsid w:val="2B116592"/>
    <w:rsid w:val="2B122D8D"/>
    <w:rsid w:val="2B193698"/>
    <w:rsid w:val="2B1C4F36"/>
    <w:rsid w:val="2B2160A9"/>
    <w:rsid w:val="2B3202B6"/>
    <w:rsid w:val="2B361B54"/>
    <w:rsid w:val="2B367DA6"/>
    <w:rsid w:val="2B400C25"/>
    <w:rsid w:val="2B4714A0"/>
    <w:rsid w:val="2B606BD1"/>
    <w:rsid w:val="2B6C5576"/>
    <w:rsid w:val="2B717030"/>
    <w:rsid w:val="2B74267D"/>
    <w:rsid w:val="2B93739B"/>
    <w:rsid w:val="2B994370"/>
    <w:rsid w:val="2BA50A88"/>
    <w:rsid w:val="2BB60EE7"/>
    <w:rsid w:val="2BC034DB"/>
    <w:rsid w:val="2BEF4305"/>
    <w:rsid w:val="2C077995"/>
    <w:rsid w:val="2C235EB7"/>
    <w:rsid w:val="2C2B5431"/>
    <w:rsid w:val="2C3C763E"/>
    <w:rsid w:val="2C610E53"/>
    <w:rsid w:val="2C646B95"/>
    <w:rsid w:val="2C6646BB"/>
    <w:rsid w:val="2C83526D"/>
    <w:rsid w:val="2C9A0B92"/>
    <w:rsid w:val="2C9F3729"/>
    <w:rsid w:val="2CB73169"/>
    <w:rsid w:val="2CE47D2A"/>
    <w:rsid w:val="2CED0939"/>
    <w:rsid w:val="2CED6B8B"/>
    <w:rsid w:val="2CF27CFD"/>
    <w:rsid w:val="2CFA3055"/>
    <w:rsid w:val="2D012636"/>
    <w:rsid w:val="2D016C6B"/>
    <w:rsid w:val="2D0B5263"/>
    <w:rsid w:val="2D0D2D89"/>
    <w:rsid w:val="2D2B1461"/>
    <w:rsid w:val="2D2D1B91"/>
    <w:rsid w:val="2D404F0C"/>
    <w:rsid w:val="2D5B3AF4"/>
    <w:rsid w:val="2D8D7A26"/>
    <w:rsid w:val="2DA2135E"/>
    <w:rsid w:val="2DA26454"/>
    <w:rsid w:val="2DB9081B"/>
    <w:rsid w:val="2DCB70CE"/>
    <w:rsid w:val="2DCE2518"/>
    <w:rsid w:val="2DD218DC"/>
    <w:rsid w:val="2DD43412"/>
    <w:rsid w:val="2DDB69E3"/>
    <w:rsid w:val="2DEF7457"/>
    <w:rsid w:val="2E045F3A"/>
    <w:rsid w:val="2E093AD9"/>
    <w:rsid w:val="2E2A34C6"/>
    <w:rsid w:val="2E426A62"/>
    <w:rsid w:val="2E602D1C"/>
    <w:rsid w:val="2E6C48D9"/>
    <w:rsid w:val="2E786928"/>
    <w:rsid w:val="2E8F4F19"/>
    <w:rsid w:val="2EA63495"/>
    <w:rsid w:val="2EB57234"/>
    <w:rsid w:val="2ED7364E"/>
    <w:rsid w:val="2EF35FAE"/>
    <w:rsid w:val="2EFA6A37"/>
    <w:rsid w:val="2F167CA6"/>
    <w:rsid w:val="2F1A353B"/>
    <w:rsid w:val="2F452CAE"/>
    <w:rsid w:val="2F4800A8"/>
    <w:rsid w:val="2F5D70AC"/>
    <w:rsid w:val="2F8310E0"/>
    <w:rsid w:val="2F8B61E7"/>
    <w:rsid w:val="2FA36C75"/>
    <w:rsid w:val="2FBE036A"/>
    <w:rsid w:val="302428C3"/>
    <w:rsid w:val="30297EDA"/>
    <w:rsid w:val="302C5C1C"/>
    <w:rsid w:val="303074BA"/>
    <w:rsid w:val="30405223"/>
    <w:rsid w:val="306929CC"/>
    <w:rsid w:val="306B405E"/>
    <w:rsid w:val="30832D34"/>
    <w:rsid w:val="30872E52"/>
    <w:rsid w:val="308C4B30"/>
    <w:rsid w:val="30A75681"/>
    <w:rsid w:val="30C714A1"/>
    <w:rsid w:val="30F41419"/>
    <w:rsid w:val="30FC114A"/>
    <w:rsid w:val="310D77FB"/>
    <w:rsid w:val="310E0E7D"/>
    <w:rsid w:val="31336B36"/>
    <w:rsid w:val="314A68DF"/>
    <w:rsid w:val="315620B8"/>
    <w:rsid w:val="317F1D7B"/>
    <w:rsid w:val="31841AC8"/>
    <w:rsid w:val="31A737AC"/>
    <w:rsid w:val="31A87524"/>
    <w:rsid w:val="31B00187"/>
    <w:rsid w:val="31CB6D6E"/>
    <w:rsid w:val="31D200FD"/>
    <w:rsid w:val="31E64732"/>
    <w:rsid w:val="31EA5447"/>
    <w:rsid w:val="32140715"/>
    <w:rsid w:val="32230959"/>
    <w:rsid w:val="324059AE"/>
    <w:rsid w:val="326351F9"/>
    <w:rsid w:val="327D078A"/>
    <w:rsid w:val="3284589B"/>
    <w:rsid w:val="32933D30"/>
    <w:rsid w:val="32B31CDC"/>
    <w:rsid w:val="32C75788"/>
    <w:rsid w:val="32CC2D9E"/>
    <w:rsid w:val="32CC7242"/>
    <w:rsid w:val="32E165BD"/>
    <w:rsid w:val="32FA3DAF"/>
    <w:rsid w:val="330E33B7"/>
    <w:rsid w:val="334F40FB"/>
    <w:rsid w:val="33641229"/>
    <w:rsid w:val="337B243F"/>
    <w:rsid w:val="338673F1"/>
    <w:rsid w:val="339D48A3"/>
    <w:rsid w:val="33BF2903"/>
    <w:rsid w:val="33CF6FEA"/>
    <w:rsid w:val="33EA3E24"/>
    <w:rsid w:val="33F64577"/>
    <w:rsid w:val="33FB1B8D"/>
    <w:rsid w:val="34056568"/>
    <w:rsid w:val="34525525"/>
    <w:rsid w:val="346040E6"/>
    <w:rsid w:val="3467363F"/>
    <w:rsid w:val="34945B3E"/>
    <w:rsid w:val="34A0589E"/>
    <w:rsid w:val="34A67F96"/>
    <w:rsid w:val="34B0508B"/>
    <w:rsid w:val="34B1049E"/>
    <w:rsid w:val="34DF440A"/>
    <w:rsid w:val="34E502E4"/>
    <w:rsid w:val="34F605A6"/>
    <w:rsid w:val="350031D3"/>
    <w:rsid w:val="350A581B"/>
    <w:rsid w:val="35200D3E"/>
    <w:rsid w:val="352275ED"/>
    <w:rsid w:val="352E7D40"/>
    <w:rsid w:val="35352E7D"/>
    <w:rsid w:val="35426A60"/>
    <w:rsid w:val="35571045"/>
    <w:rsid w:val="35586B6B"/>
    <w:rsid w:val="355A1520"/>
    <w:rsid w:val="355E7319"/>
    <w:rsid w:val="35690D78"/>
    <w:rsid w:val="35CE6E2D"/>
    <w:rsid w:val="35DB7EC8"/>
    <w:rsid w:val="35EE2046"/>
    <w:rsid w:val="35F41640"/>
    <w:rsid w:val="362A0508"/>
    <w:rsid w:val="364652E8"/>
    <w:rsid w:val="36603F29"/>
    <w:rsid w:val="36653C36"/>
    <w:rsid w:val="366A4DA8"/>
    <w:rsid w:val="36897924"/>
    <w:rsid w:val="369116D0"/>
    <w:rsid w:val="36941E25"/>
    <w:rsid w:val="3699568D"/>
    <w:rsid w:val="369F7E9A"/>
    <w:rsid w:val="36B67FED"/>
    <w:rsid w:val="36C46BAE"/>
    <w:rsid w:val="36CC15BF"/>
    <w:rsid w:val="36F13EFF"/>
    <w:rsid w:val="370E607B"/>
    <w:rsid w:val="37112969"/>
    <w:rsid w:val="37180CA8"/>
    <w:rsid w:val="372907BF"/>
    <w:rsid w:val="37294C63"/>
    <w:rsid w:val="373830F8"/>
    <w:rsid w:val="374D6BA3"/>
    <w:rsid w:val="375647D6"/>
    <w:rsid w:val="377A726D"/>
    <w:rsid w:val="377E4FAF"/>
    <w:rsid w:val="37893954"/>
    <w:rsid w:val="37971BCD"/>
    <w:rsid w:val="37A75B88"/>
    <w:rsid w:val="37D921E5"/>
    <w:rsid w:val="37F92887"/>
    <w:rsid w:val="37F976A1"/>
    <w:rsid w:val="37FC2378"/>
    <w:rsid w:val="380C2A2C"/>
    <w:rsid w:val="382947EF"/>
    <w:rsid w:val="38416501"/>
    <w:rsid w:val="384B3FA8"/>
    <w:rsid w:val="3854528C"/>
    <w:rsid w:val="38565141"/>
    <w:rsid w:val="38602906"/>
    <w:rsid w:val="389F176C"/>
    <w:rsid w:val="38A00F55"/>
    <w:rsid w:val="38B95B73"/>
    <w:rsid w:val="38C509BB"/>
    <w:rsid w:val="38CF183A"/>
    <w:rsid w:val="38E30E42"/>
    <w:rsid w:val="38EF5A38"/>
    <w:rsid w:val="39036257"/>
    <w:rsid w:val="390F1199"/>
    <w:rsid w:val="39367F12"/>
    <w:rsid w:val="394538AA"/>
    <w:rsid w:val="39495149"/>
    <w:rsid w:val="394D5E49"/>
    <w:rsid w:val="39553AED"/>
    <w:rsid w:val="3986014B"/>
    <w:rsid w:val="39993E51"/>
    <w:rsid w:val="39AD02F7"/>
    <w:rsid w:val="39B5458C"/>
    <w:rsid w:val="39B60304"/>
    <w:rsid w:val="39DA2245"/>
    <w:rsid w:val="39DA3FF3"/>
    <w:rsid w:val="39DF3CFF"/>
    <w:rsid w:val="39E81075"/>
    <w:rsid w:val="39F71049"/>
    <w:rsid w:val="3A013C75"/>
    <w:rsid w:val="3A12378C"/>
    <w:rsid w:val="3A2B6F44"/>
    <w:rsid w:val="3A322081"/>
    <w:rsid w:val="3A331955"/>
    <w:rsid w:val="3A361B71"/>
    <w:rsid w:val="3A456E52"/>
    <w:rsid w:val="3A463AB7"/>
    <w:rsid w:val="3A4A561C"/>
    <w:rsid w:val="3A4B6C9E"/>
    <w:rsid w:val="3A631110"/>
    <w:rsid w:val="3A7C32FC"/>
    <w:rsid w:val="3AC70A1B"/>
    <w:rsid w:val="3AD66EB0"/>
    <w:rsid w:val="3AEA64B7"/>
    <w:rsid w:val="3AF92B9E"/>
    <w:rsid w:val="3AFA0DF0"/>
    <w:rsid w:val="3B236ECD"/>
    <w:rsid w:val="3B337E5E"/>
    <w:rsid w:val="3B343BD6"/>
    <w:rsid w:val="3B3C653D"/>
    <w:rsid w:val="3B497682"/>
    <w:rsid w:val="3B49769C"/>
    <w:rsid w:val="3B53405D"/>
    <w:rsid w:val="3B691AD2"/>
    <w:rsid w:val="3B6E533A"/>
    <w:rsid w:val="3B7F30A4"/>
    <w:rsid w:val="3B8561E0"/>
    <w:rsid w:val="3B8B1A48"/>
    <w:rsid w:val="3B9A415A"/>
    <w:rsid w:val="3BA2244B"/>
    <w:rsid w:val="3BA22621"/>
    <w:rsid w:val="3BAB20EB"/>
    <w:rsid w:val="3BB07701"/>
    <w:rsid w:val="3BB2349B"/>
    <w:rsid w:val="3BB865B6"/>
    <w:rsid w:val="3BBF7944"/>
    <w:rsid w:val="3BC82C9D"/>
    <w:rsid w:val="3BD66A3C"/>
    <w:rsid w:val="3BEE1F9C"/>
    <w:rsid w:val="3C0D4B53"/>
    <w:rsid w:val="3C2105FF"/>
    <w:rsid w:val="3C372D23"/>
    <w:rsid w:val="3C447E49"/>
    <w:rsid w:val="3C4B380F"/>
    <w:rsid w:val="3C4F6F1A"/>
    <w:rsid w:val="3C511E12"/>
    <w:rsid w:val="3C5F2ED5"/>
    <w:rsid w:val="3C97441D"/>
    <w:rsid w:val="3CA408E8"/>
    <w:rsid w:val="3CA64660"/>
    <w:rsid w:val="3CBD0327"/>
    <w:rsid w:val="3CC14C1F"/>
    <w:rsid w:val="3CD0758C"/>
    <w:rsid w:val="3CDE6FFD"/>
    <w:rsid w:val="3CE55188"/>
    <w:rsid w:val="3CF56BC9"/>
    <w:rsid w:val="3D0A4BEF"/>
    <w:rsid w:val="3D1F37E4"/>
    <w:rsid w:val="3D211F38"/>
    <w:rsid w:val="3D235CB1"/>
    <w:rsid w:val="3D31113A"/>
    <w:rsid w:val="3D37175C"/>
    <w:rsid w:val="3D695DB9"/>
    <w:rsid w:val="3D762284"/>
    <w:rsid w:val="3D864BBD"/>
    <w:rsid w:val="3D995F73"/>
    <w:rsid w:val="3D9A66D5"/>
    <w:rsid w:val="3DDD67A7"/>
    <w:rsid w:val="3DE23DBE"/>
    <w:rsid w:val="3E1A70B4"/>
    <w:rsid w:val="3E330175"/>
    <w:rsid w:val="3E655E3A"/>
    <w:rsid w:val="3E66679D"/>
    <w:rsid w:val="3E667746"/>
    <w:rsid w:val="3E885B96"/>
    <w:rsid w:val="3E8E35FE"/>
    <w:rsid w:val="3EB43064"/>
    <w:rsid w:val="3EB92D70"/>
    <w:rsid w:val="3ECD4126"/>
    <w:rsid w:val="3EF1250A"/>
    <w:rsid w:val="3F0C66A8"/>
    <w:rsid w:val="3F163D1F"/>
    <w:rsid w:val="3F281CA4"/>
    <w:rsid w:val="3F2B709E"/>
    <w:rsid w:val="3F4500E9"/>
    <w:rsid w:val="3F450160"/>
    <w:rsid w:val="3F4C14EF"/>
    <w:rsid w:val="3F692622"/>
    <w:rsid w:val="3F7153F9"/>
    <w:rsid w:val="3F720A50"/>
    <w:rsid w:val="3F724CCD"/>
    <w:rsid w:val="3F917849"/>
    <w:rsid w:val="3F9B0612"/>
    <w:rsid w:val="3F9D1D4A"/>
    <w:rsid w:val="3FA241A2"/>
    <w:rsid w:val="3FAA4467"/>
    <w:rsid w:val="3FAC01DF"/>
    <w:rsid w:val="3FB4343D"/>
    <w:rsid w:val="3FD85478"/>
    <w:rsid w:val="40155D85"/>
    <w:rsid w:val="403A57EB"/>
    <w:rsid w:val="404B3E9C"/>
    <w:rsid w:val="4061546E"/>
    <w:rsid w:val="4079067E"/>
    <w:rsid w:val="4093139F"/>
    <w:rsid w:val="409343AF"/>
    <w:rsid w:val="409A0980"/>
    <w:rsid w:val="40AC655D"/>
    <w:rsid w:val="40D75730"/>
    <w:rsid w:val="40E63BC5"/>
    <w:rsid w:val="40FA4F7A"/>
    <w:rsid w:val="41362456"/>
    <w:rsid w:val="413C37E5"/>
    <w:rsid w:val="41487F61"/>
    <w:rsid w:val="414A5F02"/>
    <w:rsid w:val="415648A7"/>
    <w:rsid w:val="415A71E1"/>
    <w:rsid w:val="41630D72"/>
    <w:rsid w:val="41962EF5"/>
    <w:rsid w:val="419B675D"/>
    <w:rsid w:val="419F484B"/>
    <w:rsid w:val="41AA69A0"/>
    <w:rsid w:val="41B15F81"/>
    <w:rsid w:val="41C31810"/>
    <w:rsid w:val="41E225DE"/>
    <w:rsid w:val="41F8595E"/>
    <w:rsid w:val="420C600C"/>
    <w:rsid w:val="42100EF9"/>
    <w:rsid w:val="4214206C"/>
    <w:rsid w:val="421B164C"/>
    <w:rsid w:val="422246E7"/>
    <w:rsid w:val="422B5D33"/>
    <w:rsid w:val="42312D26"/>
    <w:rsid w:val="42454372"/>
    <w:rsid w:val="42573796"/>
    <w:rsid w:val="426E5C20"/>
    <w:rsid w:val="42786A9F"/>
    <w:rsid w:val="428B67D2"/>
    <w:rsid w:val="428E0070"/>
    <w:rsid w:val="42943344"/>
    <w:rsid w:val="42975177"/>
    <w:rsid w:val="42C615B8"/>
    <w:rsid w:val="42D77C69"/>
    <w:rsid w:val="42EB2B81"/>
    <w:rsid w:val="42FC322C"/>
    <w:rsid w:val="43046BE3"/>
    <w:rsid w:val="43171E14"/>
    <w:rsid w:val="4329542D"/>
    <w:rsid w:val="43484F88"/>
    <w:rsid w:val="435C1F1C"/>
    <w:rsid w:val="437216C9"/>
    <w:rsid w:val="4385588B"/>
    <w:rsid w:val="4387343D"/>
    <w:rsid w:val="43882D11"/>
    <w:rsid w:val="43884ABF"/>
    <w:rsid w:val="43911BC6"/>
    <w:rsid w:val="43972F54"/>
    <w:rsid w:val="439E42E3"/>
    <w:rsid w:val="43A124B3"/>
    <w:rsid w:val="43A538C3"/>
    <w:rsid w:val="43B87F7E"/>
    <w:rsid w:val="43BB4E95"/>
    <w:rsid w:val="43C55D14"/>
    <w:rsid w:val="43D85A47"/>
    <w:rsid w:val="43DE0B83"/>
    <w:rsid w:val="43E97C54"/>
    <w:rsid w:val="43F839F3"/>
    <w:rsid w:val="44022AC4"/>
    <w:rsid w:val="44044A8E"/>
    <w:rsid w:val="44236B1E"/>
    <w:rsid w:val="44244662"/>
    <w:rsid w:val="444158E6"/>
    <w:rsid w:val="44564BBE"/>
    <w:rsid w:val="44641089"/>
    <w:rsid w:val="446948F1"/>
    <w:rsid w:val="44C11AA6"/>
    <w:rsid w:val="44D04970"/>
    <w:rsid w:val="44D426B2"/>
    <w:rsid w:val="44E346A3"/>
    <w:rsid w:val="44E67CEF"/>
    <w:rsid w:val="44F3240C"/>
    <w:rsid w:val="45110AAC"/>
    <w:rsid w:val="45123CB8"/>
    <w:rsid w:val="451A208F"/>
    <w:rsid w:val="45350C77"/>
    <w:rsid w:val="45415D40"/>
    <w:rsid w:val="45435142"/>
    <w:rsid w:val="45451DF1"/>
    <w:rsid w:val="45490111"/>
    <w:rsid w:val="45570447"/>
    <w:rsid w:val="4565330A"/>
    <w:rsid w:val="45682DFA"/>
    <w:rsid w:val="45723C79"/>
    <w:rsid w:val="457378F7"/>
    <w:rsid w:val="45DB537A"/>
    <w:rsid w:val="45DE130F"/>
    <w:rsid w:val="45E00BE3"/>
    <w:rsid w:val="45EF3280"/>
    <w:rsid w:val="45F43872"/>
    <w:rsid w:val="460D5750"/>
    <w:rsid w:val="46113492"/>
    <w:rsid w:val="461B3AA5"/>
    <w:rsid w:val="462C5BD6"/>
    <w:rsid w:val="462E5DF2"/>
    <w:rsid w:val="46362EF9"/>
    <w:rsid w:val="464C0026"/>
    <w:rsid w:val="46590D6C"/>
    <w:rsid w:val="465E4A23"/>
    <w:rsid w:val="4672304E"/>
    <w:rsid w:val="46843C64"/>
    <w:rsid w:val="469F45FA"/>
    <w:rsid w:val="46A460B4"/>
    <w:rsid w:val="46AF05B5"/>
    <w:rsid w:val="46D30747"/>
    <w:rsid w:val="46E14C12"/>
    <w:rsid w:val="470D3C59"/>
    <w:rsid w:val="472B1462"/>
    <w:rsid w:val="473B0E1B"/>
    <w:rsid w:val="473F27FF"/>
    <w:rsid w:val="476017C6"/>
    <w:rsid w:val="476B0980"/>
    <w:rsid w:val="47745A86"/>
    <w:rsid w:val="477A0BC3"/>
    <w:rsid w:val="47811F51"/>
    <w:rsid w:val="47833F1C"/>
    <w:rsid w:val="478E2D76"/>
    <w:rsid w:val="47A65E5C"/>
    <w:rsid w:val="47AB6FCE"/>
    <w:rsid w:val="47B71E17"/>
    <w:rsid w:val="47E67FE2"/>
    <w:rsid w:val="47F0014A"/>
    <w:rsid w:val="481903DC"/>
    <w:rsid w:val="486C0E54"/>
    <w:rsid w:val="48740AF8"/>
    <w:rsid w:val="487B247F"/>
    <w:rsid w:val="48907EB9"/>
    <w:rsid w:val="48B56357"/>
    <w:rsid w:val="48B955C2"/>
    <w:rsid w:val="48B9571B"/>
    <w:rsid w:val="48BA396D"/>
    <w:rsid w:val="48E46C3C"/>
    <w:rsid w:val="48F30C2D"/>
    <w:rsid w:val="48F86243"/>
    <w:rsid w:val="490177EE"/>
    <w:rsid w:val="49025314"/>
    <w:rsid w:val="490270C2"/>
    <w:rsid w:val="490D6193"/>
    <w:rsid w:val="490E1F0B"/>
    <w:rsid w:val="492B090F"/>
    <w:rsid w:val="4932003B"/>
    <w:rsid w:val="49382AE4"/>
    <w:rsid w:val="49417BEA"/>
    <w:rsid w:val="4968786D"/>
    <w:rsid w:val="496F0BFB"/>
    <w:rsid w:val="49734B65"/>
    <w:rsid w:val="49843F7B"/>
    <w:rsid w:val="498E0956"/>
    <w:rsid w:val="49911DC2"/>
    <w:rsid w:val="499A718B"/>
    <w:rsid w:val="49B52386"/>
    <w:rsid w:val="49DF11B1"/>
    <w:rsid w:val="49EC3FFA"/>
    <w:rsid w:val="49F72751"/>
    <w:rsid w:val="4A1B668D"/>
    <w:rsid w:val="4A1E3C56"/>
    <w:rsid w:val="4A1E617D"/>
    <w:rsid w:val="4A280647"/>
    <w:rsid w:val="4A3B69AF"/>
    <w:rsid w:val="4A421E6C"/>
    <w:rsid w:val="4A730023"/>
    <w:rsid w:val="4A8833F8"/>
    <w:rsid w:val="4A8A619F"/>
    <w:rsid w:val="4AA2290B"/>
    <w:rsid w:val="4AD46AF0"/>
    <w:rsid w:val="4ADF76BB"/>
    <w:rsid w:val="4AE1272C"/>
    <w:rsid w:val="4B125FF6"/>
    <w:rsid w:val="4B2B2900"/>
    <w:rsid w:val="4B3F45FD"/>
    <w:rsid w:val="4B4614E8"/>
    <w:rsid w:val="4B6C4CC7"/>
    <w:rsid w:val="4B7D0C82"/>
    <w:rsid w:val="4B8057E5"/>
    <w:rsid w:val="4B8B339F"/>
    <w:rsid w:val="4B92472D"/>
    <w:rsid w:val="4BA97CC9"/>
    <w:rsid w:val="4BD016F9"/>
    <w:rsid w:val="4BF47196"/>
    <w:rsid w:val="4C0575F5"/>
    <w:rsid w:val="4C0D46FC"/>
    <w:rsid w:val="4C217CC8"/>
    <w:rsid w:val="4C2B503E"/>
    <w:rsid w:val="4C312198"/>
    <w:rsid w:val="4C3253A4"/>
    <w:rsid w:val="4C481290"/>
    <w:rsid w:val="4C5C4D3B"/>
    <w:rsid w:val="4C63273B"/>
    <w:rsid w:val="4C787DC7"/>
    <w:rsid w:val="4C8449BE"/>
    <w:rsid w:val="4C987D10"/>
    <w:rsid w:val="4CA94424"/>
    <w:rsid w:val="4CAA3CF8"/>
    <w:rsid w:val="4CBE77A4"/>
    <w:rsid w:val="4CD62D3F"/>
    <w:rsid w:val="4CE0771A"/>
    <w:rsid w:val="4CF051AC"/>
    <w:rsid w:val="4D0C050F"/>
    <w:rsid w:val="4D267823"/>
    <w:rsid w:val="4D275349"/>
    <w:rsid w:val="4D331F40"/>
    <w:rsid w:val="4D3B0DF4"/>
    <w:rsid w:val="4D720CBA"/>
    <w:rsid w:val="4D7F6F33"/>
    <w:rsid w:val="4D8409ED"/>
    <w:rsid w:val="4D9549A9"/>
    <w:rsid w:val="4D9D16E6"/>
    <w:rsid w:val="4DB017E2"/>
    <w:rsid w:val="4DB82445"/>
    <w:rsid w:val="4DC25072"/>
    <w:rsid w:val="4DC96400"/>
    <w:rsid w:val="4DE106CB"/>
    <w:rsid w:val="4DEB281B"/>
    <w:rsid w:val="4E10402F"/>
    <w:rsid w:val="4E121B55"/>
    <w:rsid w:val="4E2B2C17"/>
    <w:rsid w:val="4E505C68"/>
    <w:rsid w:val="4E573A0C"/>
    <w:rsid w:val="4E5C1022"/>
    <w:rsid w:val="4E760336"/>
    <w:rsid w:val="4E7C16C5"/>
    <w:rsid w:val="4EAC6FD6"/>
    <w:rsid w:val="4EB250E6"/>
    <w:rsid w:val="4EBE1CDD"/>
    <w:rsid w:val="4EC05A55"/>
    <w:rsid w:val="4ECA0682"/>
    <w:rsid w:val="4ECD0674"/>
    <w:rsid w:val="4EE47996"/>
    <w:rsid w:val="4EE74D90"/>
    <w:rsid w:val="4EEF633A"/>
    <w:rsid w:val="4EFB083B"/>
    <w:rsid w:val="4F1D6A04"/>
    <w:rsid w:val="4F2935FA"/>
    <w:rsid w:val="4F495A4B"/>
    <w:rsid w:val="4F587A3C"/>
    <w:rsid w:val="4F6C6BDA"/>
    <w:rsid w:val="4F7E394E"/>
    <w:rsid w:val="4F7F2029"/>
    <w:rsid w:val="4F870321"/>
    <w:rsid w:val="4F9071D6"/>
    <w:rsid w:val="4F9547EC"/>
    <w:rsid w:val="4FA85549"/>
    <w:rsid w:val="4FE6773D"/>
    <w:rsid w:val="4FF43AC5"/>
    <w:rsid w:val="4FF77255"/>
    <w:rsid w:val="4FFE4A87"/>
    <w:rsid w:val="50106568"/>
    <w:rsid w:val="501222E0"/>
    <w:rsid w:val="501F0559"/>
    <w:rsid w:val="5023629C"/>
    <w:rsid w:val="503A5393"/>
    <w:rsid w:val="503F29AA"/>
    <w:rsid w:val="5043249A"/>
    <w:rsid w:val="505521CD"/>
    <w:rsid w:val="50827466"/>
    <w:rsid w:val="50926F7D"/>
    <w:rsid w:val="50A078EC"/>
    <w:rsid w:val="50B44DBA"/>
    <w:rsid w:val="50B679A2"/>
    <w:rsid w:val="50D21A70"/>
    <w:rsid w:val="50D457E8"/>
    <w:rsid w:val="50D75B0C"/>
    <w:rsid w:val="50FB4B23"/>
    <w:rsid w:val="51163F32"/>
    <w:rsid w:val="51183927"/>
    <w:rsid w:val="51226553"/>
    <w:rsid w:val="514E7348"/>
    <w:rsid w:val="51516E38"/>
    <w:rsid w:val="519A433C"/>
    <w:rsid w:val="51AE366B"/>
    <w:rsid w:val="51D823BF"/>
    <w:rsid w:val="51DF0427"/>
    <w:rsid w:val="51E67581"/>
    <w:rsid w:val="51F83758"/>
    <w:rsid w:val="520B3E30"/>
    <w:rsid w:val="521A547C"/>
    <w:rsid w:val="521F6F37"/>
    <w:rsid w:val="5246001F"/>
    <w:rsid w:val="52972F71"/>
    <w:rsid w:val="52B0193D"/>
    <w:rsid w:val="52BC29D7"/>
    <w:rsid w:val="52C8312A"/>
    <w:rsid w:val="52DB5A27"/>
    <w:rsid w:val="52DD4E28"/>
    <w:rsid w:val="52DE4AD3"/>
    <w:rsid w:val="52E70521"/>
    <w:rsid w:val="52FB52AE"/>
    <w:rsid w:val="52FE08FA"/>
    <w:rsid w:val="53027446"/>
    <w:rsid w:val="531F04EC"/>
    <w:rsid w:val="532145E9"/>
    <w:rsid w:val="53220A8C"/>
    <w:rsid w:val="532E2213"/>
    <w:rsid w:val="532F6D06"/>
    <w:rsid w:val="533026AA"/>
    <w:rsid w:val="53487DC7"/>
    <w:rsid w:val="534C78B7"/>
    <w:rsid w:val="534D3630"/>
    <w:rsid w:val="53807561"/>
    <w:rsid w:val="5382152B"/>
    <w:rsid w:val="538708F0"/>
    <w:rsid w:val="538E7D0E"/>
    <w:rsid w:val="53A56FC8"/>
    <w:rsid w:val="53B4545D"/>
    <w:rsid w:val="53B8319F"/>
    <w:rsid w:val="53DF24DA"/>
    <w:rsid w:val="53F65A75"/>
    <w:rsid w:val="53FB308C"/>
    <w:rsid w:val="5416466D"/>
    <w:rsid w:val="541A1764"/>
    <w:rsid w:val="542F214A"/>
    <w:rsid w:val="54302D35"/>
    <w:rsid w:val="54316AAD"/>
    <w:rsid w:val="543640C4"/>
    <w:rsid w:val="543A3BB4"/>
    <w:rsid w:val="54640C31"/>
    <w:rsid w:val="54661645"/>
    <w:rsid w:val="547F3CBD"/>
    <w:rsid w:val="54AA0D3A"/>
    <w:rsid w:val="54AB6860"/>
    <w:rsid w:val="54BB2F47"/>
    <w:rsid w:val="54BE216E"/>
    <w:rsid w:val="54BF40B9"/>
    <w:rsid w:val="54D73AF9"/>
    <w:rsid w:val="54D933CD"/>
    <w:rsid w:val="54DF37FA"/>
    <w:rsid w:val="550D2661"/>
    <w:rsid w:val="550F3292"/>
    <w:rsid w:val="552A3C28"/>
    <w:rsid w:val="55563AD1"/>
    <w:rsid w:val="555D2250"/>
    <w:rsid w:val="558722C8"/>
    <w:rsid w:val="55A82D9F"/>
    <w:rsid w:val="55AC6D33"/>
    <w:rsid w:val="55AD03B6"/>
    <w:rsid w:val="55BD221A"/>
    <w:rsid w:val="55C027DF"/>
    <w:rsid w:val="55CE2806"/>
    <w:rsid w:val="55D63DB0"/>
    <w:rsid w:val="55DB3175"/>
    <w:rsid w:val="55EE4C56"/>
    <w:rsid w:val="55F61D5C"/>
    <w:rsid w:val="56051FA0"/>
    <w:rsid w:val="56222B52"/>
    <w:rsid w:val="562A1B91"/>
    <w:rsid w:val="562B40FC"/>
    <w:rsid w:val="562B5B9A"/>
    <w:rsid w:val="56331D5B"/>
    <w:rsid w:val="5637484F"/>
    <w:rsid w:val="5640122A"/>
    <w:rsid w:val="56570A4D"/>
    <w:rsid w:val="565E627F"/>
    <w:rsid w:val="568A7075"/>
    <w:rsid w:val="56AB7BA5"/>
    <w:rsid w:val="56AF3861"/>
    <w:rsid w:val="56B85264"/>
    <w:rsid w:val="56CA56C3"/>
    <w:rsid w:val="56CF0F2B"/>
    <w:rsid w:val="56DC53F6"/>
    <w:rsid w:val="56FC7846"/>
    <w:rsid w:val="571406EC"/>
    <w:rsid w:val="5714693E"/>
    <w:rsid w:val="573F67D1"/>
    <w:rsid w:val="575C2093"/>
    <w:rsid w:val="576D604E"/>
    <w:rsid w:val="57706229"/>
    <w:rsid w:val="578C2978"/>
    <w:rsid w:val="57BE4AFC"/>
    <w:rsid w:val="57C2639A"/>
    <w:rsid w:val="57CE11E3"/>
    <w:rsid w:val="57CF2865"/>
    <w:rsid w:val="57E07028"/>
    <w:rsid w:val="57E207EA"/>
    <w:rsid w:val="57EC78BB"/>
    <w:rsid w:val="57F549C2"/>
    <w:rsid w:val="580764A3"/>
    <w:rsid w:val="58260F8E"/>
    <w:rsid w:val="5827444F"/>
    <w:rsid w:val="582C5F09"/>
    <w:rsid w:val="586C6306"/>
    <w:rsid w:val="58737694"/>
    <w:rsid w:val="587F072F"/>
    <w:rsid w:val="58BA1767"/>
    <w:rsid w:val="59215342"/>
    <w:rsid w:val="5928001D"/>
    <w:rsid w:val="592941F7"/>
    <w:rsid w:val="592A3C50"/>
    <w:rsid w:val="594026BD"/>
    <w:rsid w:val="59460076"/>
    <w:rsid w:val="59515D8A"/>
    <w:rsid w:val="595C637A"/>
    <w:rsid w:val="5960477C"/>
    <w:rsid w:val="596B66F6"/>
    <w:rsid w:val="596C2A61"/>
    <w:rsid w:val="596F6178"/>
    <w:rsid w:val="597E2795"/>
    <w:rsid w:val="59A5674B"/>
    <w:rsid w:val="59AD4E28"/>
    <w:rsid w:val="59BD150F"/>
    <w:rsid w:val="59BE0DE3"/>
    <w:rsid w:val="59C53F20"/>
    <w:rsid w:val="59D535F0"/>
    <w:rsid w:val="5A0228E9"/>
    <w:rsid w:val="5A0E4489"/>
    <w:rsid w:val="5A146C55"/>
    <w:rsid w:val="5A151F73"/>
    <w:rsid w:val="5A184997"/>
    <w:rsid w:val="5A582FE6"/>
    <w:rsid w:val="5AA77AC9"/>
    <w:rsid w:val="5AA91A93"/>
    <w:rsid w:val="5ABE4B07"/>
    <w:rsid w:val="5AC266B1"/>
    <w:rsid w:val="5AEE74A6"/>
    <w:rsid w:val="5AFA409D"/>
    <w:rsid w:val="5AFA5E4B"/>
    <w:rsid w:val="5AFE3B8D"/>
    <w:rsid w:val="5B307ABF"/>
    <w:rsid w:val="5B321A89"/>
    <w:rsid w:val="5B32273E"/>
    <w:rsid w:val="5B353327"/>
    <w:rsid w:val="5B386973"/>
    <w:rsid w:val="5B4602DF"/>
    <w:rsid w:val="5B4A6DD2"/>
    <w:rsid w:val="5B57329D"/>
    <w:rsid w:val="5B6F6839"/>
    <w:rsid w:val="5B751975"/>
    <w:rsid w:val="5B765E19"/>
    <w:rsid w:val="5B8147BE"/>
    <w:rsid w:val="5B920779"/>
    <w:rsid w:val="5B977B3E"/>
    <w:rsid w:val="5BB74B2C"/>
    <w:rsid w:val="5BBB382C"/>
    <w:rsid w:val="5BCC1E57"/>
    <w:rsid w:val="5BD41E6E"/>
    <w:rsid w:val="5BEA2363"/>
    <w:rsid w:val="5BEA5EBF"/>
    <w:rsid w:val="5BF64864"/>
    <w:rsid w:val="5C2447D0"/>
    <w:rsid w:val="5C2C64D8"/>
    <w:rsid w:val="5C3A6E47"/>
    <w:rsid w:val="5C3B1922"/>
    <w:rsid w:val="5C537F09"/>
    <w:rsid w:val="5C5477DD"/>
    <w:rsid w:val="5C5E2B95"/>
    <w:rsid w:val="5C9A5B38"/>
    <w:rsid w:val="5C9C18B0"/>
    <w:rsid w:val="5CA17B70"/>
    <w:rsid w:val="5CA40764"/>
    <w:rsid w:val="5CAB5170"/>
    <w:rsid w:val="5CBD5382"/>
    <w:rsid w:val="5CD32DF8"/>
    <w:rsid w:val="5CE62B2B"/>
    <w:rsid w:val="5D0C07A2"/>
    <w:rsid w:val="5D290C69"/>
    <w:rsid w:val="5DA0717E"/>
    <w:rsid w:val="5DB42C29"/>
    <w:rsid w:val="5DBD1FCA"/>
    <w:rsid w:val="5DD15589"/>
    <w:rsid w:val="5DEF65CC"/>
    <w:rsid w:val="5E192A8C"/>
    <w:rsid w:val="5E1C432A"/>
    <w:rsid w:val="5E257683"/>
    <w:rsid w:val="5E282CCF"/>
    <w:rsid w:val="5E4D0988"/>
    <w:rsid w:val="5E510478"/>
    <w:rsid w:val="5E714676"/>
    <w:rsid w:val="5E8425FB"/>
    <w:rsid w:val="5E8C6F99"/>
    <w:rsid w:val="5E8E347A"/>
    <w:rsid w:val="5ECF75EF"/>
    <w:rsid w:val="5ED54C05"/>
    <w:rsid w:val="5EF2352E"/>
    <w:rsid w:val="5EF57055"/>
    <w:rsid w:val="5EF763C6"/>
    <w:rsid w:val="5F08322C"/>
    <w:rsid w:val="5F4E6765"/>
    <w:rsid w:val="5F5D7160"/>
    <w:rsid w:val="5F7206A6"/>
    <w:rsid w:val="5F7408C2"/>
    <w:rsid w:val="5F887EC9"/>
    <w:rsid w:val="5F893C41"/>
    <w:rsid w:val="5F8B79B9"/>
    <w:rsid w:val="5FB23198"/>
    <w:rsid w:val="5FD70E51"/>
    <w:rsid w:val="5FEF7F48"/>
    <w:rsid w:val="5FF217E7"/>
    <w:rsid w:val="5FF27A39"/>
    <w:rsid w:val="5FF76DFD"/>
    <w:rsid w:val="5FFE1F39"/>
    <w:rsid w:val="60060FEE"/>
    <w:rsid w:val="602A0F80"/>
    <w:rsid w:val="60462E90"/>
    <w:rsid w:val="60536729"/>
    <w:rsid w:val="608368E3"/>
    <w:rsid w:val="608F7035"/>
    <w:rsid w:val="60A30D33"/>
    <w:rsid w:val="60A96349"/>
    <w:rsid w:val="60C2740B"/>
    <w:rsid w:val="60D94755"/>
    <w:rsid w:val="60F021CA"/>
    <w:rsid w:val="611834CF"/>
    <w:rsid w:val="61530A39"/>
    <w:rsid w:val="6183303E"/>
    <w:rsid w:val="61923281"/>
    <w:rsid w:val="61AC3CD1"/>
    <w:rsid w:val="61B054B5"/>
    <w:rsid w:val="61FA4982"/>
    <w:rsid w:val="61FE695C"/>
    <w:rsid w:val="621912AD"/>
    <w:rsid w:val="621C6FEF"/>
    <w:rsid w:val="623076A4"/>
    <w:rsid w:val="62326812"/>
    <w:rsid w:val="62392C11"/>
    <w:rsid w:val="62571DD5"/>
    <w:rsid w:val="625B7377"/>
    <w:rsid w:val="6278019C"/>
    <w:rsid w:val="6285420B"/>
    <w:rsid w:val="628C1A7E"/>
    <w:rsid w:val="629B7F14"/>
    <w:rsid w:val="62A96AD4"/>
    <w:rsid w:val="62B2525D"/>
    <w:rsid w:val="62B66AFB"/>
    <w:rsid w:val="62C0797A"/>
    <w:rsid w:val="62FB09B2"/>
    <w:rsid w:val="62FE04A2"/>
    <w:rsid w:val="631D29EB"/>
    <w:rsid w:val="633C6169"/>
    <w:rsid w:val="63500CFE"/>
    <w:rsid w:val="637A3FCD"/>
    <w:rsid w:val="63822EAD"/>
    <w:rsid w:val="63B70D7D"/>
    <w:rsid w:val="63D23E09"/>
    <w:rsid w:val="63E234B7"/>
    <w:rsid w:val="63F773CC"/>
    <w:rsid w:val="64047D3A"/>
    <w:rsid w:val="64300F47"/>
    <w:rsid w:val="64483336"/>
    <w:rsid w:val="644F0FB6"/>
    <w:rsid w:val="645E38EF"/>
    <w:rsid w:val="646C600B"/>
    <w:rsid w:val="64942E6C"/>
    <w:rsid w:val="64AC6408"/>
    <w:rsid w:val="64AE53F9"/>
    <w:rsid w:val="64D63485"/>
    <w:rsid w:val="6500647B"/>
    <w:rsid w:val="65085608"/>
    <w:rsid w:val="65091AAC"/>
    <w:rsid w:val="65110961"/>
    <w:rsid w:val="6518767F"/>
    <w:rsid w:val="65237AC1"/>
    <w:rsid w:val="653603C7"/>
    <w:rsid w:val="65362175"/>
    <w:rsid w:val="656767D3"/>
    <w:rsid w:val="65801643"/>
    <w:rsid w:val="6598698C"/>
    <w:rsid w:val="65A13CC9"/>
    <w:rsid w:val="65E120E1"/>
    <w:rsid w:val="65F8567D"/>
    <w:rsid w:val="660D737A"/>
    <w:rsid w:val="661A38C3"/>
    <w:rsid w:val="661E2CB4"/>
    <w:rsid w:val="6632293D"/>
    <w:rsid w:val="664E603D"/>
    <w:rsid w:val="666F1DE3"/>
    <w:rsid w:val="66A870A3"/>
    <w:rsid w:val="66AD46B9"/>
    <w:rsid w:val="66C1550E"/>
    <w:rsid w:val="66C739CD"/>
    <w:rsid w:val="66CD4D5B"/>
    <w:rsid w:val="66D47E98"/>
    <w:rsid w:val="66DD6797"/>
    <w:rsid w:val="66F66060"/>
    <w:rsid w:val="66F67E0E"/>
    <w:rsid w:val="670818F0"/>
    <w:rsid w:val="671D183F"/>
    <w:rsid w:val="67293782"/>
    <w:rsid w:val="673646AF"/>
    <w:rsid w:val="67417CD8"/>
    <w:rsid w:val="675114E9"/>
    <w:rsid w:val="675863D3"/>
    <w:rsid w:val="679703E1"/>
    <w:rsid w:val="67A17496"/>
    <w:rsid w:val="67A965FC"/>
    <w:rsid w:val="67D839B8"/>
    <w:rsid w:val="68182006"/>
    <w:rsid w:val="681C1AF7"/>
    <w:rsid w:val="683926A8"/>
    <w:rsid w:val="685272C6"/>
    <w:rsid w:val="68537CAF"/>
    <w:rsid w:val="685F3791"/>
    <w:rsid w:val="68725BBA"/>
    <w:rsid w:val="68757459"/>
    <w:rsid w:val="687A4A6F"/>
    <w:rsid w:val="688C5099"/>
    <w:rsid w:val="68953657"/>
    <w:rsid w:val="68B735CD"/>
    <w:rsid w:val="68C1444C"/>
    <w:rsid w:val="68E51EE8"/>
    <w:rsid w:val="68EA5751"/>
    <w:rsid w:val="68F570FB"/>
    <w:rsid w:val="69227DA0"/>
    <w:rsid w:val="69456E2B"/>
    <w:rsid w:val="69531548"/>
    <w:rsid w:val="695B38CF"/>
    <w:rsid w:val="696F3EA8"/>
    <w:rsid w:val="69731BEA"/>
    <w:rsid w:val="69765236"/>
    <w:rsid w:val="69790883"/>
    <w:rsid w:val="697A2F79"/>
    <w:rsid w:val="69935DE8"/>
    <w:rsid w:val="69A47FF6"/>
    <w:rsid w:val="69A87C65"/>
    <w:rsid w:val="69EE301F"/>
    <w:rsid w:val="69FB1963"/>
    <w:rsid w:val="6A10568B"/>
    <w:rsid w:val="6A3F35DF"/>
    <w:rsid w:val="6A5D1F52"/>
    <w:rsid w:val="6A623437"/>
    <w:rsid w:val="6A7C062B"/>
    <w:rsid w:val="6A986315"/>
    <w:rsid w:val="6AA25BA0"/>
    <w:rsid w:val="6AA3205B"/>
    <w:rsid w:val="6AA67D9D"/>
    <w:rsid w:val="6AAB0F10"/>
    <w:rsid w:val="6AAD2EDA"/>
    <w:rsid w:val="6AB8548E"/>
    <w:rsid w:val="6ABC577D"/>
    <w:rsid w:val="6ACD70D8"/>
    <w:rsid w:val="6AE12B83"/>
    <w:rsid w:val="6AE42367"/>
    <w:rsid w:val="6AFE7291"/>
    <w:rsid w:val="6B054AC4"/>
    <w:rsid w:val="6B106FC5"/>
    <w:rsid w:val="6B225676"/>
    <w:rsid w:val="6B3A462E"/>
    <w:rsid w:val="6B422808"/>
    <w:rsid w:val="6B476E8A"/>
    <w:rsid w:val="6B4B5217"/>
    <w:rsid w:val="6B680BAF"/>
    <w:rsid w:val="6B8A1717"/>
    <w:rsid w:val="6B8C6F93"/>
    <w:rsid w:val="6BC56001"/>
    <w:rsid w:val="6BCC7390"/>
    <w:rsid w:val="6BD36970"/>
    <w:rsid w:val="6BD526E8"/>
    <w:rsid w:val="6BE82DF0"/>
    <w:rsid w:val="6C092392"/>
    <w:rsid w:val="6C17069E"/>
    <w:rsid w:val="6C2225DD"/>
    <w:rsid w:val="6C2830FF"/>
    <w:rsid w:val="6C427652"/>
    <w:rsid w:val="6C5850C7"/>
    <w:rsid w:val="6C6B0957"/>
    <w:rsid w:val="6C832144"/>
    <w:rsid w:val="6C89702F"/>
    <w:rsid w:val="6C9C18EB"/>
    <w:rsid w:val="6CCD7863"/>
    <w:rsid w:val="6CD504C6"/>
    <w:rsid w:val="6CD52274"/>
    <w:rsid w:val="6CDD364E"/>
    <w:rsid w:val="6CF46B9E"/>
    <w:rsid w:val="6CF92406"/>
    <w:rsid w:val="6CFC3CA5"/>
    <w:rsid w:val="6D147240"/>
    <w:rsid w:val="6D196605"/>
    <w:rsid w:val="6D21370B"/>
    <w:rsid w:val="6D3B18E0"/>
    <w:rsid w:val="6D3B18E9"/>
    <w:rsid w:val="6D417909"/>
    <w:rsid w:val="6D57537F"/>
    <w:rsid w:val="6D6C42DF"/>
    <w:rsid w:val="6D725D15"/>
    <w:rsid w:val="6D77332B"/>
    <w:rsid w:val="6D800432"/>
    <w:rsid w:val="6D940381"/>
    <w:rsid w:val="6D9C3AFC"/>
    <w:rsid w:val="6DAC1227"/>
    <w:rsid w:val="6DBB76BC"/>
    <w:rsid w:val="6DD469CF"/>
    <w:rsid w:val="6E22773B"/>
    <w:rsid w:val="6E2A4841"/>
    <w:rsid w:val="6E443B55"/>
    <w:rsid w:val="6E4E0530"/>
    <w:rsid w:val="6E5B2C4D"/>
    <w:rsid w:val="6E5F44EB"/>
    <w:rsid w:val="6E6164B5"/>
    <w:rsid w:val="6E6236E7"/>
    <w:rsid w:val="6E6935BC"/>
    <w:rsid w:val="6E91041D"/>
    <w:rsid w:val="6E9F4B86"/>
    <w:rsid w:val="6EB02F99"/>
    <w:rsid w:val="6EB8556A"/>
    <w:rsid w:val="6EBC36EB"/>
    <w:rsid w:val="6EDC5B3C"/>
    <w:rsid w:val="6EDE1649"/>
    <w:rsid w:val="6EEE586F"/>
    <w:rsid w:val="6F064E06"/>
    <w:rsid w:val="6F094457"/>
    <w:rsid w:val="6F155FCF"/>
    <w:rsid w:val="6F176B74"/>
    <w:rsid w:val="6F360C58"/>
    <w:rsid w:val="6F636421"/>
    <w:rsid w:val="6F6B5112"/>
    <w:rsid w:val="6F6E6EC3"/>
    <w:rsid w:val="6F7264A0"/>
    <w:rsid w:val="6F765F90"/>
    <w:rsid w:val="6F9401C4"/>
    <w:rsid w:val="6FB915A7"/>
    <w:rsid w:val="6FC14D32"/>
    <w:rsid w:val="6FCD1928"/>
    <w:rsid w:val="6FCE54FF"/>
    <w:rsid w:val="6FD902CD"/>
    <w:rsid w:val="6FDE58E3"/>
    <w:rsid w:val="6FE61F3E"/>
    <w:rsid w:val="6FF9428D"/>
    <w:rsid w:val="70161521"/>
    <w:rsid w:val="702F613F"/>
    <w:rsid w:val="703244E4"/>
    <w:rsid w:val="705636CC"/>
    <w:rsid w:val="70D31B19"/>
    <w:rsid w:val="70FD0CB3"/>
    <w:rsid w:val="71130376"/>
    <w:rsid w:val="711E0B5E"/>
    <w:rsid w:val="7128150C"/>
    <w:rsid w:val="712A5284"/>
    <w:rsid w:val="7130216F"/>
    <w:rsid w:val="713A4D9B"/>
    <w:rsid w:val="713C4FB8"/>
    <w:rsid w:val="71687AE4"/>
    <w:rsid w:val="718F158B"/>
    <w:rsid w:val="71A004FF"/>
    <w:rsid w:val="71C50B09"/>
    <w:rsid w:val="71C8684B"/>
    <w:rsid w:val="71DC40A5"/>
    <w:rsid w:val="71E03B95"/>
    <w:rsid w:val="71E116BB"/>
    <w:rsid w:val="71F615DC"/>
    <w:rsid w:val="71FE04BF"/>
    <w:rsid w:val="720F7FD6"/>
    <w:rsid w:val="72121874"/>
    <w:rsid w:val="7229553C"/>
    <w:rsid w:val="72323CC5"/>
    <w:rsid w:val="724B2077"/>
    <w:rsid w:val="72691DDC"/>
    <w:rsid w:val="726F4F19"/>
    <w:rsid w:val="726F7FB0"/>
    <w:rsid w:val="72A46970"/>
    <w:rsid w:val="72B50B7E"/>
    <w:rsid w:val="72C139C6"/>
    <w:rsid w:val="72C62D8B"/>
    <w:rsid w:val="72D07765"/>
    <w:rsid w:val="72D57833"/>
    <w:rsid w:val="72DC25AE"/>
    <w:rsid w:val="72FC49FE"/>
    <w:rsid w:val="732E0930"/>
    <w:rsid w:val="73335F46"/>
    <w:rsid w:val="73373C88"/>
    <w:rsid w:val="733E4E7F"/>
    <w:rsid w:val="7358775B"/>
    <w:rsid w:val="735C7C30"/>
    <w:rsid w:val="73634FBB"/>
    <w:rsid w:val="73661E78"/>
    <w:rsid w:val="73697BBA"/>
    <w:rsid w:val="73775E2C"/>
    <w:rsid w:val="738A025C"/>
    <w:rsid w:val="73B61051"/>
    <w:rsid w:val="73BB6668"/>
    <w:rsid w:val="73C365CB"/>
    <w:rsid w:val="73E95EE8"/>
    <w:rsid w:val="73EA4857"/>
    <w:rsid w:val="73F6144E"/>
    <w:rsid w:val="73F97190"/>
    <w:rsid w:val="74085625"/>
    <w:rsid w:val="74185868"/>
    <w:rsid w:val="742023C5"/>
    <w:rsid w:val="744C3764"/>
    <w:rsid w:val="74534AF2"/>
    <w:rsid w:val="74766D79"/>
    <w:rsid w:val="747E57F8"/>
    <w:rsid w:val="748D1686"/>
    <w:rsid w:val="74F040EF"/>
    <w:rsid w:val="751122B7"/>
    <w:rsid w:val="75157FF9"/>
    <w:rsid w:val="75360DBC"/>
    <w:rsid w:val="75387844"/>
    <w:rsid w:val="756920F3"/>
    <w:rsid w:val="756B5E6B"/>
    <w:rsid w:val="756D0E75"/>
    <w:rsid w:val="756D573F"/>
    <w:rsid w:val="75866801"/>
    <w:rsid w:val="758807CB"/>
    <w:rsid w:val="759233F8"/>
    <w:rsid w:val="759F78C3"/>
    <w:rsid w:val="75BA64AB"/>
    <w:rsid w:val="75E35A02"/>
    <w:rsid w:val="75EA3234"/>
    <w:rsid w:val="75F93477"/>
    <w:rsid w:val="762027B2"/>
    <w:rsid w:val="7630676D"/>
    <w:rsid w:val="76312C11"/>
    <w:rsid w:val="763224E5"/>
    <w:rsid w:val="76361FD5"/>
    <w:rsid w:val="76505878"/>
    <w:rsid w:val="76674885"/>
    <w:rsid w:val="767945B8"/>
    <w:rsid w:val="76794AF8"/>
    <w:rsid w:val="76850C08"/>
    <w:rsid w:val="76BB24DB"/>
    <w:rsid w:val="76C84BF7"/>
    <w:rsid w:val="76D11CFE"/>
    <w:rsid w:val="76D67314"/>
    <w:rsid w:val="76FC6DDC"/>
    <w:rsid w:val="772E2227"/>
    <w:rsid w:val="77302EC9"/>
    <w:rsid w:val="7731279D"/>
    <w:rsid w:val="77533CC6"/>
    <w:rsid w:val="775748F9"/>
    <w:rsid w:val="7760252B"/>
    <w:rsid w:val="776058DA"/>
    <w:rsid w:val="77626DFA"/>
    <w:rsid w:val="777032C5"/>
    <w:rsid w:val="777803CC"/>
    <w:rsid w:val="777D1E86"/>
    <w:rsid w:val="779276DF"/>
    <w:rsid w:val="77B70517"/>
    <w:rsid w:val="77E043E3"/>
    <w:rsid w:val="77F40160"/>
    <w:rsid w:val="78342545"/>
    <w:rsid w:val="78412EB3"/>
    <w:rsid w:val="785030F6"/>
    <w:rsid w:val="78550E5C"/>
    <w:rsid w:val="78632E2A"/>
    <w:rsid w:val="78654DF4"/>
    <w:rsid w:val="787B0173"/>
    <w:rsid w:val="787D0429"/>
    <w:rsid w:val="78B24F5D"/>
    <w:rsid w:val="78EF46BD"/>
    <w:rsid w:val="78F65A4C"/>
    <w:rsid w:val="790740FD"/>
    <w:rsid w:val="791660EE"/>
    <w:rsid w:val="791D122B"/>
    <w:rsid w:val="791F31F5"/>
    <w:rsid w:val="79265756"/>
    <w:rsid w:val="793F5645"/>
    <w:rsid w:val="794511BD"/>
    <w:rsid w:val="794A5D98"/>
    <w:rsid w:val="794C38BE"/>
    <w:rsid w:val="794E7636"/>
    <w:rsid w:val="79892D64"/>
    <w:rsid w:val="798E037A"/>
    <w:rsid w:val="79960FDD"/>
    <w:rsid w:val="79997202"/>
    <w:rsid w:val="799E680F"/>
    <w:rsid w:val="7A1B3962"/>
    <w:rsid w:val="7A2111EE"/>
    <w:rsid w:val="7A2568BC"/>
    <w:rsid w:val="7A2F56B9"/>
    <w:rsid w:val="7A6D48C0"/>
    <w:rsid w:val="7A7268AA"/>
    <w:rsid w:val="7A765096"/>
    <w:rsid w:val="7A974046"/>
    <w:rsid w:val="7AAD65DE"/>
    <w:rsid w:val="7AC53928"/>
    <w:rsid w:val="7AC878BC"/>
    <w:rsid w:val="7ACA7190"/>
    <w:rsid w:val="7AEF309B"/>
    <w:rsid w:val="7AFD2AA0"/>
    <w:rsid w:val="7AFD57B8"/>
    <w:rsid w:val="7AFF1FD8"/>
    <w:rsid w:val="7B007056"/>
    <w:rsid w:val="7B02692A"/>
    <w:rsid w:val="7B2368A0"/>
    <w:rsid w:val="7B627C76"/>
    <w:rsid w:val="7B705F89"/>
    <w:rsid w:val="7B735A7A"/>
    <w:rsid w:val="7B887EC5"/>
    <w:rsid w:val="7B914152"/>
    <w:rsid w:val="7BAE0860"/>
    <w:rsid w:val="7BB17EFC"/>
    <w:rsid w:val="7BC60184"/>
    <w:rsid w:val="7BD5403F"/>
    <w:rsid w:val="7BE349AD"/>
    <w:rsid w:val="7BE73A8B"/>
    <w:rsid w:val="7BEC3136"/>
    <w:rsid w:val="7BF471EA"/>
    <w:rsid w:val="7C011556"/>
    <w:rsid w:val="7C18217D"/>
    <w:rsid w:val="7C3C40BE"/>
    <w:rsid w:val="7C507B69"/>
    <w:rsid w:val="7C5238E1"/>
    <w:rsid w:val="7C596A1E"/>
    <w:rsid w:val="7C5E2286"/>
    <w:rsid w:val="7C701FB9"/>
    <w:rsid w:val="7C817D22"/>
    <w:rsid w:val="7CD24A22"/>
    <w:rsid w:val="7CEA1D6C"/>
    <w:rsid w:val="7CF95D03"/>
    <w:rsid w:val="7D0C3A90"/>
    <w:rsid w:val="7D0E5A5A"/>
    <w:rsid w:val="7D2D5D49"/>
    <w:rsid w:val="7D360B0D"/>
    <w:rsid w:val="7D406A1E"/>
    <w:rsid w:val="7D494CE4"/>
    <w:rsid w:val="7D5E1E12"/>
    <w:rsid w:val="7D637428"/>
    <w:rsid w:val="7D717D97"/>
    <w:rsid w:val="7D7653AD"/>
    <w:rsid w:val="7D823D52"/>
    <w:rsid w:val="7D851A94"/>
    <w:rsid w:val="7D8E1E41"/>
    <w:rsid w:val="7D9121E7"/>
    <w:rsid w:val="7D965A4F"/>
    <w:rsid w:val="7DBD122E"/>
    <w:rsid w:val="7DC73E5B"/>
    <w:rsid w:val="7DCB56F9"/>
    <w:rsid w:val="7DF34C50"/>
    <w:rsid w:val="7E0D00F2"/>
    <w:rsid w:val="7E105802"/>
    <w:rsid w:val="7E1A21DD"/>
    <w:rsid w:val="7E486D4A"/>
    <w:rsid w:val="7E5F22E5"/>
    <w:rsid w:val="7E7C7B82"/>
    <w:rsid w:val="7E960CC1"/>
    <w:rsid w:val="7EA136B3"/>
    <w:rsid w:val="7EA36676"/>
    <w:rsid w:val="7EAD12A3"/>
    <w:rsid w:val="7EB702F4"/>
    <w:rsid w:val="7ED625A7"/>
    <w:rsid w:val="7EDA196C"/>
    <w:rsid w:val="7EE56707"/>
    <w:rsid w:val="7EED715E"/>
    <w:rsid w:val="7EF42A2E"/>
    <w:rsid w:val="7EF46ED2"/>
    <w:rsid w:val="7EFD7F37"/>
    <w:rsid w:val="7F2271E4"/>
    <w:rsid w:val="7F2D7CEE"/>
    <w:rsid w:val="7F313C82"/>
    <w:rsid w:val="7F4A61E1"/>
    <w:rsid w:val="7F596D35"/>
    <w:rsid w:val="7F967F89"/>
    <w:rsid w:val="7F9935D5"/>
    <w:rsid w:val="7FA51F7A"/>
    <w:rsid w:val="7FB073FA"/>
    <w:rsid w:val="7FB328E9"/>
    <w:rsid w:val="7FD30895"/>
    <w:rsid w:val="7FDD1714"/>
    <w:rsid w:val="7FE231CE"/>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nhideWhenUsed="0" w:uiPriority="1"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37"/>
    <w:autoRedefine/>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41"/>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44"/>
    <w:autoRedefine/>
    <w:unhideWhenUsed/>
    <w:qFormat/>
    <w:uiPriority w:val="9"/>
    <w:pPr>
      <w:keepNext/>
      <w:keepLines/>
      <w:spacing w:before="260" w:after="260" w:line="416" w:lineRule="auto"/>
      <w:outlineLvl w:val="2"/>
    </w:pPr>
    <w:rPr>
      <w:b/>
      <w:bCs/>
      <w:sz w:val="30"/>
      <w:szCs w:val="32"/>
    </w:rPr>
  </w:style>
  <w:style w:type="paragraph" w:styleId="5">
    <w:name w:val="heading 4"/>
    <w:basedOn w:val="1"/>
    <w:next w:val="1"/>
    <w:link w:val="45"/>
    <w:autoRedefine/>
    <w:unhideWhenUsed/>
    <w:qFormat/>
    <w:uiPriority w:val="9"/>
    <w:pPr>
      <w:keepNext/>
      <w:keepLines/>
      <w:spacing w:before="280" w:after="290" w:line="376" w:lineRule="auto"/>
      <w:outlineLvl w:val="3"/>
    </w:pPr>
    <w:rPr>
      <w:rFonts w:asciiTheme="majorHAnsi" w:hAnsiTheme="majorHAnsi" w:cstheme="majorBidi"/>
      <w:b/>
      <w:bCs/>
      <w:sz w:val="28"/>
      <w:szCs w:val="28"/>
    </w:rPr>
  </w:style>
  <w:style w:type="paragraph" w:styleId="6">
    <w:name w:val="heading 5"/>
    <w:basedOn w:val="7"/>
    <w:next w:val="8"/>
    <w:autoRedefine/>
    <w:qFormat/>
    <w:uiPriority w:val="1"/>
    <w:pPr>
      <w:tabs>
        <w:tab w:val="left" w:pos="780"/>
      </w:tabs>
      <w:ind w:left="638" w:firstLine="561"/>
      <w:outlineLvl w:val="4"/>
    </w:pPr>
    <w:rPr>
      <w:rFonts w:ascii="仿宋" w:hAnsi="仿宋" w:eastAsia="仿宋" w:cs="仿宋"/>
      <w:b/>
      <w:bCs/>
      <w:kern w:val="0"/>
      <w:sz w:val="28"/>
      <w:szCs w:val="28"/>
      <w:lang w:val="zh-CN" w:bidi="zh-CN"/>
    </w:rPr>
  </w:style>
  <w:style w:type="character" w:default="1" w:styleId="31">
    <w:name w:val="Default Paragraph Font"/>
    <w:autoRedefine/>
    <w:semiHidden/>
    <w:unhideWhenUsed/>
    <w:qFormat/>
    <w:uiPriority w:val="1"/>
  </w:style>
  <w:style w:type="table" w:default="1" w:styleId="29">
    <w:name w:val="Normal Table"/>
    <w:autoRedefine/>
    <w:semiHidden/>
    <w:unhideWhenUsed/>
    <w:qFormat/>
    <w:uiPriority w:val="99"/>
    <w:tblPr>
      <w:tblCellMar>
        <w:top w:w="0" w:type="dxa"/>
        <w:left w:w="108" w:type="dxa"/>
        <w:bottom w:w="0" w:type="dxa"/>
        <w:right w:w="108" w:type="dxa"/>
      </w:tblCellMar>
    </w:tblPr>
  </w:style>
  <w:style w:type="paragraph" w:styleId="7">
    <w:name w:val="List Number 2"/>
    <w:basedOn w:val="1"/>
    <w:autoRedefine/>
    <w:semiHidden/>
    <w:unhideWhenUsed/>
    <w:qFormat/>
    <w:uiPriority w:val="99"/>
    <w:pPr>
      <w:numPr>
        <w:ilvl w:val="0"/>
        <w:numId w:val="1"/>
      </w:numPr>
    </w:pPr>
  </w:style>
  <w:style w:type="paragraph" w:styleId="8">
    <w:name w:val="Normal (Web)"/>
    <w:basedOn w:val="1"/>
    <w:autoRedefine/>
    <w:qFormat/>
    <w:uiPriority w:val="99"/>
    <w:pPr>
      <w:widowControl/>
      <w:spacing w:before="100" w:beforeAutospacing="1" w:after="100" w:afterAutospacing="1"/>
    </w:pPr>
    <w:rPr>
      <w:rFonts w:cs="宋体"/>
      <w:color w:val="000000"/>
      <w:kern w:val="0"/>
      <w:szCs w:val="24"/>
    </w:rPr>
  </w:style>
  <w:style w:type="paragraph" w:styleId="9">
    <w:name w:val="toc 7"/>
    <w:basedOn w:val="1"/>
    <w:next w:val="1"/>
    <w:autoRedefine/>
    <w:unhideWhenUsed/>
    <w:qFormat/>
    <w:uiPriority w:val="39"/>
    <w:pPr>
      <w:ind w:left="1440"/>
    </w:pPr>
    <w:rPr>
      <w:rFonts w:asciiTheme="minorHAnsi" w:eastAsiaTheme="minorHAnsi"/>
      <w:sz w:val="18"/>
      <w:szCs w:val="18"/>
    </w:rPr>
  </w:style>
  <w:style w:type="paragraph" w:styleId="10">
    <w:name w:val="Normal Indent"/>
    <w:basedOn w:val="1"/>
    <w:next w:val="1"/>
    <w:autoRedefine/>
    <w:unhideWhenUsed/>
    <w:qFormat/>
    <w:uiPriority w:val="0"/>
    <w:pPr>
      <w:ind w:firstLine="420" w:firstLineChars="200"/>
    </w:pPr>
    <w:rPr>
      <w:rFonts w:ascii="Calibri" w:hAnsi="Calibri"/>
      <w:szCs w:val="22"/>
    </w:rPr>
  </w:style>
  <w:style w:type="paragraph" w:styleId="11">
    <w:name w:val="List Bullet"/>
    <w:basedOn w:val="1"/>
    <w:autoRedefine/>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2">
    <w:name w:val="annotation text"/>
    <w:basedOn w:val="1"/>
    <w:link w:val="42"/>
    <w:autoRedefine/>
    <w:qFormat/>
    <w:uiPriority w:val="0"/>
    <w:pPr>
      <w:spacing w:line="240" w:lineRule="auto"/>
    </w:pPr>
    <w:rPr>
      <w:rFonts w:eastAsiaTheme="minorEastAsia"/>
      <w:sz w:val="21"/>
      <w:szCs w:val="24"/>
    </w:rPr>
  </w:style>
  <w:style w:type="paragraph" w:styleId="13">
    <w:name w:val="Body Text"/>
    <w:basedOn w:val="1"/>
    <w:next w:val="1"/>
    <w:link w:val="46"/>
    <w:autoRedefine/>
    <w:qFormat/>
    <w:uiPriority w:val="99"/>
    <w:pPr>
      <w:spacing w:after="120" w:line="240" w:lineRule="auto"/>
      <w:jc w:val="both"/>
    </w:pPr>
    <w:rPr>
      <w:rFonts w:eastAsiaTheme="minorEastAsia"/>
      <w:sz w:val="21"/>
      <w:szCs w:val="24"/>
    </w:rPr>
  </w:style>
  <w:style w:type="paragraph" w:styleId="14">
    <w:name w:val="Body Text Indent"/>
    <w:basedOn w:val="1"/>
    <w:autoRedefine/>
    <w:unhideWhenUsed/>
    <w:qFormat/>
    <w:uiPriority w:val="0"/>
    <w:pPr>
      <w:ind w:firstLine="630"/>
    </w:pPr>
    <w:rPr>
      <w:rFonts w:eastAsia="仿宋_GB2312"/>
      <w:kern w:val="0"/>
      <w:sz w:val="32"/>
      <w:szCs w:val="20"/>
    </w:rPr>
  </w:style>
  <w:style w:type="paragraph" w:styleId="15">
    <w:name w:val="toc 5"/>
    <w:basedOn w:val="1"/>
    <w:next w:val="1"/>
    <w:autoRedefine/>
    <w:unhideWhenUsed/>
    <w:qFormat/>
    <w:uiPriority w:val="39"/>
    <w:pPr>
      <w:ind w:left="960"/>
    </w:pPr>
    <w:rPr>
      <w:rFonts w:asciiTheme="minorHAnsi" w:eastAsiaTheme="minorHAnsi"/>
      <w:sz w:val="18"/>
      <w:szCs w:val="18"/>
    </w:rPr>
  </w:style>
  <w:style w:type="paragraph" w:styleId="16">
    <w:name w:val="toc 3"/>
    <w:basedOn w:val="1"/>
    <w:next w:val="1"/>
    <w:autoRedefine/>
    <w:unhideWhenUsed/>
    <w:qFormat/>
    <w:uiPriority w:val="39"/>
    <w:pPr>
      <w:ind w:left="480"/>
    </w:pPr>
    <w:rPr>
      <w:rFonts w:asciiTheme="minorHAnsi" w:eastAsiaTheme="minorHAnsi"/>
      <w:i/>
      <w:iCs/>
      <w:sz w:val="20"/>
      <w:szCs w:val="20"/>
    </w:rPr>
  </w:style>
  <w:style w:type="paragraph" w:styleId="17">
    <w:name w:val="Plain Text"/>
    <w:basedOn w:val="1"/>
    <w:autoRedefine/>
    <w:unhideWhenUsed/>
    <w:qFormat/>
    <w:uiPriority w:val="0"/>
    <w:rPr>
      <w:rFonts w:ascii="宋体" w:hAnsi="Courier New"/>
      <w:kern w:val="0"/>
      <w:sz w:val="20"/>
      <w:szCs w:val="20"/>
    </w:rPr>
  </w:style>
  <w:style w:type="paragraph" w:styleId="18">
    <w:name w:val="toc 8"/>
    <w:basedOn w:val="1"/>
    <w:next w:val="1"/>
    <w:autoRedefine/>
    <w:unhideWhenUsed/>
    <w:qFormat/>
    <w:uiPriority w:val="39"/>
    <w:pPr>
      <w:ind w:left="1680"/>
    </w:pPr>
    <w:rPr>
      <w:rFonts w:asciiTheme="minorHAnsi" w:eastAsiaTheme="minorHAnsi"/>
      <w:sz w:val="18"/>
      <w:szCs w:val="18"/>
    </w:rPr>
  </w:style>
  <w:style w:type="paragraph" w:styleId="19">
    <w:name w:val="footer"/>
    <w:basedOn w:val="1"/>
    <w:link w:val="40"/>
    <w:autoRedefine/>
    <w:unhideWhenUsed/>
    <w:qFormat/>
    <w:uiPriority w:val="99"/>
    <w:pPr>
      <w:tabs>
        <w:tab w:val="center" w:pos="4153"/>
        <w:tab w:val="right" w:pos="8306"/>
      </w:tabs>
      <w:snapToGrid w:val="0"/>
      <w:spacing w:line="240" w:lineRule="auto"/>
    </w:pPr>
    <w:rPr>
      <w:sz w:val="18"/>
      <w:szCs w:val="18"/>
    </w:rPr>
  </w:style>
  <w:style w:type="paragraph" w:styleId="20">
    <w:name w:val="header"/>
    <w:basedOn w:val="1"/>
    <w:link w:val="39"/>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21">
    <w:name w:val="toc 1"/>
    <w:basedOn w:val="1"/>
    <w:next w:val="1"/>
    <w:autoRedefine/>
    <w:unhideWhenUsed/>
    <w:qFormat/>
    <w:uiPriority w:val="39"/>
    <w:pPr>
      <w:spacing w:before="120" w:after="120"/>
    </w:pPr>
    <w:rPr>
      <w:rFonts w:asciiTheme="minorHAnsi" w:eastAsiaTheme="minorHAnsi"/>
      <w:b/>
      <w:bCs/>
      <w:caps/>
      <w:sz w:val="20"/>
      <w:szCs w:val="20"/>
    </w:rPr>
  </w:style>
  <w:style w:type="paragraph" w:styleId="22">
    <w:name w:val="toc 4"/>
    <w:basedOn w:val="1"/>
    <w:next w:val="1"/>
    <w:autoRedefine/>
    <w:unhideWhenUsed/>
    <w:qFormat/>
    <w:uiPriority w:val="39"/>
    <w:pPr>
      <w:ind w:left="720"/>
    </w:pPr>
    <w:rPr>
      <w:rFonts w:asciiTheme="minorHAnsi" w:eastAsiaTheme="minorHAnsi"/>
      <w:sz w:val="18"/>
      <w:szCs w:val="18"/>
    </w:rPr>
  </w:style>
  <w:style w:type="paragraph" w:styleId="23">
    <w:name w:val="footnote text"/>
    <w:basedOn w:val="1"/>
    <w:qFormat/>
    <w:uiPriority w:val="0"/>
    <w:pPr>
      <w:widowControl/>
      <w:jc w:val="left"/>
    </w:pPr>
    <w:rPr>
      <w:kern w:val="0"/>
      <w:sz w:val="20"/>
      <w:szCs w:val="20"/>
      <w:lang w:val="de-DE"/>
    </w:rPr>
  </w:style>
  <w:style w:type="paragraph" w:styleId="24">
    <w:name w:val="toc 6"/>
    <w:basedOn w:val="1"/>
    <w:next w:val="1"/>
    <w:autoRedefine/>
    <w:unhideWhenUsed/>
    <w:qFormat/>
    <w:uiPriority w:val="39"/>
    <w:pPr>
      <w:ind w:left="1200"/>
    </w:pPr>
    <w:rPr>
      <w:rFonts w:asciiTheme="minorHAnsi" w:eastAsiaTheme="minorHAnsi"/>
      <w:sz w:val="18"/>
      <w:szCs w:val="18"/>
    </w:rPr>
  </w:style>
  <w:style w:type="paragraph" w:styleId="25">
    <w:name w:val="toc 2"/>
    <w:basedOn w:val="1"/>
    <w:next w:val="1"/>
    <w:autoRedefine/>
    <w:unhideWhenUsed/>
    <w:qFormat/>
    <w:uiPriority w:val="39"/>
    <w:pPr>
      <w:ind w:left="240"/>
    </w:pPr>
    <w:rPr>
      <w:rFonts w:asciiTheme="minorHAnsi" w:eastAsiaTheme="minorHAnsi"/>
      <w:smallCaps/>
      <w:sz w:val="20"/>
      <w:szCs w:val="20"/>
    </w:rPr>
  </w:style>
  <w:style w:type="paragraph" w:styleId="26">
    <w:name w:val="toc 9"/>
    <w:basedOn w:val="1"/>
    <w:next w:val="1"/>
    <w:autoRedefine/>
    <w:unhideWhenUsed/>
    <w:qFormat/>
    <w:uiPriority w:val="39"/>
    <w:pPr>
      <w:ind w:left="1920"/>
    </w:pPr>
    <w:rPr>
      <w:rFonts w:asciiTheme="minorHAnsi" w:eastAsiaTheme="minorHAnsi"/>
      <w:sz w:val="18"/>
      <w:szCs w:val="18"/>
    </w:rPr>
  </w:style>
  <w:style w:type="paragraph" w:styleId="27">
    <w:name w:val="annotation subject"/>
    <w:basedOn w:val="12"/>
    <w:next w:val="12"/>
    <w:link w:val="50"/>
    <w:autoRedefine/>
    <w:semiHidden/>
    <w:unhideWhenUsed/>
    <w:qFormat/>
    <w:uiPriority w:val="99"/>
    <w:pPr>
      <w:spacing w:line="360" w:lineRule="auto"/>
    </w:pPr>
    <w:rPr>
      <w:rFonts w:eastAsia="宋体"/>
      <w:b/>
      <w:bCs/>
      <w:sz w:val="24"/>
      <w:szCs w:val="22"/>
    </w:rPr>
  </w:style>
  <w:style w:type="paragraph" w:styleId="28">
    <w:name w:val="Body Text First Indent 2"/>
    <w:basedOn w:val="14"/>
    <w:next w:val="1"/>
    <w:autoRedefine/>
    <w:qFormat/>
    <w:uiPriority w:val="0"/>
    <w:pPr>
      <w:snapToGrid/>
      <w:spacing w:after="120" w:line="240" w:lineRule="auto"/>
      <w:ind w:left="420" w:leftChars="200" w:right="0" w:firstLine="420" w:firstLineChars="200"/>
    </w:pPr>
    <w:rPr>
      <w:rFonts w:ascii="Times New Roman" w:eastAsia="宋体"/>
      <w:spacing w:val="0"/>
      <w:sz w:val="21"/>
      <w:szCs w:val="24"/>
    </w:rPr>
  </w:style>
  <w:style w:type="table" w:styleId="30">
    <w:name w:val="Table Grid"/>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autoRedefine/>
    <w:qFormat/>
    <w:uiPriority w:val="0"/>
    <w:rPr>
      <w:b/>
      <w:bCs/>
    </w:rPr>
  </w:style>
  <w:style w:type="character" w:styleId="33">
    <w:name w:val="Hyperlink"/>
    <w:basedOn w:val="31"/>
    <w:autoRedefine/>
    <w:unhideWhenUsed/>
    <w:qFormat/>
    <w:uiPriority w:val="99"/>
    <w:rPr>
      <w:color w:val="0563C1" w:themeColor="hyperlink"/>
      <w:u w:val="single"/>
      <w14:textFill>
        <w14:solidFill>
          <w14:schemeClr w14:val="hlink"/>
        </w14:solidFill>
      </w14:textFill>
    </w:rPr>
  </w:style>
  <w:style w:type="character" w:styleId="34">
    <w:name w:val="annotation reference"/>
    <w:basedOn w:val="31"/>
    <w:autoRedefine/>
    <w:qFormat/>
    <w:uiPriority w:val="0"/>
    <w:rPr>
      <w:sz w:val="21"/>
      <w:szCs w:val="21"/>
    </w:rPr>
  </w:style>
  <w:style w:type="paragraph" w:customStyle="1" w:styleId="35">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6">
    <w:name w:val="正文缩进2"/>
    <w:basedOn w:val="1"/>
    <w:autoRedefine/>
    <w:qFormat/>
    <w:uiPriority w:val="0"/>
    <w:pPr>
      <w:wordWrap w:val="0"/>
      <w:ind w:firstLine="480"/>
    </w:pPr>
    <w:rPr>
      <w:iCs/>
      <w:shd w:val="clear" w:color="auto" w:fill="FFFFFF" w:themeFill="background1"/>
      <w:lang w:val="zh-CN"/>
    </w:rPr>
  </w:style>
  <w:style w:type="character" w:customStyle="1" w:styleId="37">
    <w:name w:val="标题 1 字符"/>
    <w:basedOn w:val="31"/>
    <w:link w:val="2"/>
    <w:autoRedefine/>
    <w:qFormat/>
    <w:uiPriority w:val="9"/>
    <w:rPr>
      <w:rFonts w:eastAsia="黑体"/>
      <w:b/>
      <w:bCs/>
      <w:kern w:val="44"/>
      <w:sz w:val="44"/>
      <w:szCs w:val="44"/>
    </w:rPr>
  </w:style>
  <w:style w:type="paragraph" w:styleId="38">
    <w:name w:val="List Paragraph"/>
    <w:basedOn w:val="1"/>
    <w:autoRedefine/>
    <w:qFormat/>
    <w:uiPriority w:val="34"/>
    <w:pPr>
      <w:numPr>
        <w:ilvl w:val="0"/>
        <w:numId w:val="2"/>
      </w:numPr>
    </w:pPr>
  </w:style>
  <w:style w:type="character" w:customStyle="1" w:styleId="39">
    <w:name w:val="页眉 字符"/>
    <w:basedOn w:val="31"/>
    <w:link w:val="20"/>
    <w:autoRedefine/>
    <w:qFormat/>
    <w:uiPriority w:val="99"/>
    <w:rPr>
      <w:rFonts w:eastAsia="宋体"/>
      <w:sz w:val="18"/>
      <w:szCs w:val="18"/>
    </w:rPr>
  </w:style>
  <w:style w:type="character" w:customStyle="1" w:styleId="40">
    <w:name w:val="页脚 字符"/>
    <w:basedOn w:val="31"/>
    <w:link w:val="19"/>
    <w:autoRedefine/>
    <w:qFormat/>
    <w:uiPriority w:val="99"/>
    <w:rPr>
      <w:rFonts w:eastAsia="宋体"/>
      <w:sz w:val="18"/>
      <w:szCs w:val="18"/>
    </w:rPr>
  </w:style>
  <w:style w:type="character" w:customStyle="1" w:styleId="41">
    <w:name w:val="标题 2 字符"/>
    <w:basedOn w:val="31"/>
    <w:link w:val="3"/>
    <w:autoRedefine/>
    <w:qFormat/>
    <w:uiPriority w:val="0"/>
    <w:rPr>
      <w:rFonts w:eastAsia="宋体" w:asciiTheme="majorHAnsi" w:hAnsiTheme="majorHAnsi" w:cstheme="majorBidi"/>
      <w:b/>
      <w:bCs/>
      <w:sz w:val="32"/>
      <w:szCs w:val="32"/>
    </w:rPr>
  </w:style>
  <w:style w:type="character" w:customStyle="1" w:styleId="42">
    <w:name w:val="批注文字 字符"/>
    <w:basedOn w:val="31"/>
    <w:link w:val="12"/>
    <w:autoRedefine/>
    <w:qFormat/>
    <w:uiPriority w:val="0"/>
    <w:rPr>
      <w:szCs w:val="24"/>
    </w:rPr>
  </w:style>
  <w:style w:type="paragraph" w:customStyle="1" w:styleId="43">
    <w:name w:val="Char1 Char Char Char"/>
    <w:basedOn w:val="1"/>
    <w:autoRedefine/>
    <w:qFormat/>
    <w:uiPriority w:val="0"/>
    <w:pPr>
      <w:adjustRightInd w:val="0"/>
      <w:jc w:val="both"/>
    </w:pPr>
    <w:rPr>
      <w:rFonts w:ascii="Times New Roman" w:hAnsi="Times New Roman" w:cs="Times New Roman"/>
      <w:kern w:val="0"/>
      <w:szCs w:val="20"/>
    </w:rPr>
  </w:style>
  <w:style w:type="character" w:customStyle="1" w:styleId="44">
    <w:name w:val="标题 3 字符"/>
    <w:basedOn w:val="31"/>
    <w:link w:val="4"/>
    <w:autoRedefine/>
    <w:qFormat/>
    <w:uiPriority w:val="9"/>
    <w:rPr>
      <w:rFonts w:eastAsia="宋体"/>
      <w:b/>
      <w:bCs/>
      <w:sz w:val="30"/>
      <w:szCs w:val="32"/>
    </w:rPr>
  </w:style>
  <w:style w:type="character" w:customStyle="1" w:styleId="45">
    <w:name w:val="标题 4 字符"/>
    <w:basedOn w:val="31"/>
    <w:link w:val="5"/>
    <w:autoRedefine/>
    <w:qFormat/>
    <w:uiPriority w:val="9"/>
    <w:rPr>
      <w:rFonts w:eastAsia="宋体" w:asciiTheme="majorHAnsi" w:hAnsiTheme="majorHAnsi" w:cstheme="majorBidi"/>
      <w:b/>
      <w:bCs/>
      <w:sz w:val="28"/>
      <w:szCs w:val="28"/>
    </w:rPr>
  </w:style>
  <w:style w:type="character" w:customStyle="1" w:styleId="46">
    <w:name w:val="正文文本 字符"/>
    <w:basedOn w:val="31"/>
    <w:link w:val="13"/>
    <w:autoRedefine/>
    <w:qFormat/>
    <w:uiPriority w:val="99"/>
    <w:rPr>
      <w:szCs w:val="24"/>
    </w:rPr>
  </w:style>
  <w:style w:type="paragraph" w:customStyle="1" w:styleId="47">
    <w:name w:val="样式"/>
    <w:basedOn w:val="1"/>
    <w:autoRedefine/>
    <w:qFormat/>
    <w:uiPriority w:val="0"/>
    <w:pPr>
      <w:autoSpaceDE w:val="0"/>
      <w:autoSpaceDN w:val="0"/>
      <w:snapToGrid w:val="0"/>
      <w:spacing w:before="120" w:after="120"/>
      <w:jc w:val="both"/>
    </w:pPr>
    <w:rPr>
      <w:rFonts w:hAnsi="Times New Roman" w:cs="Times New Roman"/>
      <w:kern w:val="0"/>
      <w:szCs w:val="20"/>
    </w:rPr>
  </w:style>
  <w:style w:type="paragraph" w:styleId="48">
    <w:name w:val="No Spacing"/>
    <w:autoRedefine/>
    <w:qFormat/>
    <w:uiPriority w:val="1"/>
    <w:pPr>
      <w:widowControl w:val="0"/>
    </w:pPr>
    <w:rPr>
      <w:rFonts w:ascii="宋体" w:hAnsi="宋体" w:eastAsia="宋体" w:cstheme="minorBidi"/>
      <w:kern w:val="2"/>
      <w:sz w:val="24"/>
      <w:szCs w:val="22"/>
      <w:lang w:val="en-US" w:eastAsia="zh-CN" w:bidi="ar-SA"/>
    </w:rPr>
  </w:style>
  <w:style w:type="character" w:customStyle="1" w:styleId="49">
    <w:name w:val="未处理的提及1"/>
    <w:basedOn w:val="31"/>
    <w:autoRedefine/>
    <w:semiHidden/>
    <w:unhideWhenUsed/>
    <w:qFormat/>
    <w:uiPriority w:val="99"/>
    <w:rPr>
      <w:color w:val="605E5C"/>
      <w:shd w:val="clear" w:color="auto" w:fill="E1DFDD"/>
    </w:rPr>
  </w:style>
  <w:style w:type="character" w:customStyle="1" w:styleId="50">
    <w:name w:val="批注主题 字符"/>
    <w:basedOn w:val="42"/>
    <w:link w:val="27"/>
    <w:autoRedefine/>
    <w:semiHidden/>
    <w:qFormat/>
    <w:uiPriority w:val="99"/>
    <w:rPr>
      <w:rFonts w:ascii="宋体" w:hAnsi="宋体" w:cstheme="minorBidi"/>
      <w:b/>
      <w:bCs/>
      <w:kern w:val="2"/>
      <w:sz w:val="24"/>
      <w:szCs w:val="22"/>
    </w:rPr>
  </w:style>
  <w:style w:type="character" w:customStyle="1" w:styleId="51">
    <w:name w:val="未处理的提及2"/>
    <w:basedOn w:val="31"/>
    <w:autoRedefine/>
    <w:semiHidden/>
    <w:unhideWhenUsed/>
    <w:qFormat/>
    <w:uiPriority w:val="99"/>
    <w:rPr>
      <w:color w:val="605E5C"/>
      <w:shd w:val="clear" w:color="auto" w:fill="E1DFDD"/>
    </w:rPr>
  </w:style>
  <w:style w:type="paragraph" w:customStyle="1" w:styleId="52">
    <w:name w:val="正文_2"/>
    <w:basedOn w:val="53"/>
    <w:next w:val="61"/>
    <w:autoRedefine/>
    <w:qFormat/>
    <w:uiPriority w:val="0"/>
    <w:pPr>
      <w:widowControl w:val="0"/>
      <w:jc w:val="both"/>
    </w:pPr>
    <w:rPr>
      <w:rFonts w:ascii="Calibri" w:hAnsi="Calibri" w:eastAsia="宋体" w:cs="Times New Roman"/>
      <w:lang w:val="en-US" w:eastAsia="zh-CN" w:bidi="ar-SA"/>
    </w:rPr>
  </w:style>
  <w:style w:type="paragraph" w:customStyle="1" w:styleId="53">
    <w:name w:val="正文_1_0"/>
    <w:basedOn w:val="54"/>
    <w:next w:val="58"/>
    <w:qFormat/>
    <w:uiPriority w:val="0"/>
    <w:rPr>
      <w:rFonts w:ascii="Calibri" w:hAnsi="Calibri" w:cs="Calibri"/>
      <w:szCs w:val="21"/>
      <w:lang w:bidi="ug-CN"/>
    </w:rPr>
  </w:style>
  <w:style w:type="paragraph" w:customStyle="1" w:styleId="54">
    <w:name w:val="正文_1_1"/>
    <w:basedOn w:val="55"/>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5">
    <w:name w:val="正文_5"/>
    <w:next w:val="5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引文目录标题_0"/>
    <w:basedOn w:val="57"/>
    <w:next w:val="55"/>
    <w:qFormat/>
    <w:uiPriority w:val="0"/>
    <w:pPr>
      <w:spacing w:before="120"/>
    </w:pPr>
    <w:rPr>
      <w:rFonts w:ascii="Arial" w:hAnsi="Arial"/>
      <w:sz w:val="24"/>
    </w:rPr>
  </w:style>
  <w:style w:type="paragraph" w:customStyle="1" w:styleId="57">
    <w:name w:val="正文_2_0"/>
    <w:basedOn w:val="54"/>
    <w:next w:val="56"/>
    <w:qFormat/>
    <w:uiPriority w:val="0"/>
    <w:rPr>
      <w:rFonts w:ascii="Calibri" w:hAnsi="Calibri"/>
      <w:szCs w:val="21"/>
      <w:lang w:bidi="ug-CN"/>
    </w:rPr>
  </w:style>
  <w:style w:type="paragraph" w:customStyle="1" w:styleId="58">
    <w:name w:val="正文首行缩进1"/>
    <w:basedOn w:val="59"/>
    <w:unhideWhenUsed/>
    <w:qFormat/>
    <w:uiPriority w:val="99"/>
    <w:pPr>
      <w:ind w:firstLine="420" w:firstLineChars="100"/>
    </w:pPr>
    <w:rPr>
      <w:szCs w:val="22"/>
    </w:rPr>
  </w:style>
  <w:style w:type="paragraph" w:customStyle="1" w:styleId="59">
    <w:name w:val="正文文本_0_0"/>
    <w:basedOn w:val="60"/>
    <w:qFormat/>
    <w:uiPriority w:val="0"/>
    <w:pPr>
      <w:spacing w:after="120"/>
    </w:pPr>
    <w:rPr>
      <w:rFonts w:ascii="Calibri" w:hAnsi="Calibri"/>
      <w:kern w:val="0"/>
      <w:sz w:val="20"/>
    </w:rPr>
  </w:style>
  <w:style w:type="paragraph" w:customStyle="1" w:styleId="60">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正文文本_1"/>
    <w:basedOn w:val="62"/>
    <w:qFormat/>
    <w:uiPriority w:val="0"/>
    <w:pPr>
      <w:spacing w:after="120"/>
    </w:pPr>
    <w:rPr>
      <w:rFonts w:ascii="Calibri" w:hAnsi="Calibri" w:eastAsia="宋体"/>
    </w:rPr>
  </w:style>
  <w:style w:type="paragraph" w:customStyle="1" w:styleId="62">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64">
    <w:name w:val="正文_1"/>
    <w:basedOn w:val="52"/>
    <w:next w:val="5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正文_2_0_0"/>
    <w:autoRedefine/>
    <w:qFormat/>
    <w:uiPriority w:val="99"/>
    <w:pPr>
      <w:widowControl w:val="0"/>
      <w:jc w:val="both"/>
    </w:pPr>
    <w:rPr>
      <w:rFonts w:ascii="Calibri" w:hAnsi="Calibri" w:eastAsia="宋体" w:cs="Times New Roman"/>
      <w:lang w:val="en-US" w:eastAsia="zh-CN" w:bidi="ar-SA"/>
    </w:rPr>
  </w:style>
  <w:style w:type="paragraph" w:customStyle="1" w:styleId="66">
    <w:name w:val="Normal Indent1"/>
    <w:basedOn w:val="1"/>
    <w:autoRedefine/>
    <w:qFormat/>
    <w:uiPriority w:val="0"/>
    <w:pPr>
      <w:ind w:firstLine="420" w:firstLineChars="200"/>
    </w:pPr>
  </w:style>
  <w:style w:type="paragraph" w:customStyle="1" w:styleId="67">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68">
    <w:name w:val="Normal_22"/>
    <w:autoRedefine/>
    <w:qFormat/>
    <w:uiPriority w:val="0"/>
    <w:rPr>
      <w:rFonts w:ascii="Times New Roman" w:hAnsi="Times New Roman" w:eastAsia="Times New Roman" w:cs="Times New Roman"/>
      <w:sz w:val="24"/>
      <w:szCs w:val="24"/>
      <w:lang w:bidi="ar-SA"/>
    </w:rPr>
  </w:style>
  <w:style w:type="paragraph" w:customStyle="1" w:styleId="69">
    <w:name w:val="正文_6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0">
    <w:name w:val="正文_0_0_0 Char"/>
    <w:link w:val="71"/>
    <w:autoRedefine/>
    <w:qFormat/>
    <w:locked/>
    <w:uiPriority w:val="0"/>
    <w:rPr>
      <w:rFonts w:ascii="Calibri" w:hAnsi="Calibri" w:cs="Calibri"/>
      <w:kern w:val="2"/>
      <w:sz w:val="28"/>
      <w:szCs w:val="22"/>
      <w:lang w:val="en-US" w:eastAsia="zh-CN" w:bidi="ar-SA"/>
    </w:rPr>
  </w:style>
  <w:style w:type="paragraph" w:customStyle="1" w:styleId="71">
    <w:name w:val="正文_0_0_0_0_0"/>
    <w:link w:val="70"/>
    <w:autoRedefine/>
    <w:qFormat/>
    <w:uiPriority w:val="0"/>
    <w:pPr>
      <w:spacing w:before="120" w:after="120" w:line="360" w:lineRule="auto"/>
      <w:ind w:left="1072" w:hanging="1072"/>
      <w:jc w:val="both"/>
    </w:pPr>
    <w:rPr>
      <w:rFonts w:ascii="Calibri" w:hAnsi="Calibri" w:eastAsia="宋体" w:cs="Calibri"/>
      <w:kern w:val="2"/>
      <w:sz w:val="28"/>
      <w:szCs w:val="22"/>
      <w:lang w:val="en-US" w:eastAsia="zh-CN" w:bidi="ar-SA"/>
    </w:rPr>
  </w:style>
  <w:style w:type="paragraph" w:customStyle="1" w:styleId="72">
    <w:name w:val="正文文本_0_1"/>
    <w:basedOn w:val="73"/>
    <w:autoRedefine/>
    <w:qFormat/>
    <w:uiPriority w:val="99"/>
    <w:pPr>
      <w:spacing w:after="120"/>
    </w:pPr>
    <w:rPr>
      <w:rFonts w:ascii="Calibri" w:hAnsi="Calibri" w:eastAsia="宋体"/>
      <w:kern w:val="0"/>
      <w:sz w:val="24"/>
      <w:szCs w:val="20"/>
    </w:rPr>
  </w:style>
  <w:style w:type="paragraph" w:customStyle="1" w:styleId="73">
    <w:name w:val="正文_6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
    <w:name w:val="Table Paragraph_1"/>
    <w:basedOn w:val="73"/>
    <w:autoRedefine/>
    <w:qFormat/>
    <w:uiPriority w:val="0"/>
    <w:pPr>
      <w:jc w:val="left"/>
    </w:pPr>
    <w:rPr>
      <w:rFonts w:ascii="Calibri" w:hAnsi="Calibri" w:eastAsia="宋体"/>
      <w:kern w:val="0"/>
      <w:sz w:val="22"/>
      <w:lang w:eastAsia="en-US"/>
    </w:rPr>
  </w:style>
  <w:style w:type="paragraph" w:customStyle="1" w:styleId="75">
    <w:name w:val="正文_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1"/>
    <w:autoRedefine/>
    <w:qFormat/>
    <w:uiPriority w:val="0"/>
    <w:pPr>
      <w:widowControl w:val="0"/>
      <w:jc w:val="both"/>
    </w:pPr>
    <w:rPr>
      <w:rFonts w:ascii="Calibri" w:hAnsi="Calibri" w:eastAsia="宋体" w:cs="Times New Roman"/>
      <w:lang w:val="en-US" w:eastAsia="zh-CN" w:bidi="ar-SA"/>
    </w:rPr>
  </w:style>
  <w:style w:type="paragraph" w:customStyle="1" w:styleId="77">
    <w:name w:val="列出段落1"/>
    <w:basedOn w:val="1"/>
    <w:autoRedefine/>
    <w:qFormat/>
    <w:uiPriority w:val="0"/>
    <w:pPr>
      <w:ind w:firstLine="420" w:firstLineChars="200"/>
    </w:pPr>
    <w:rPr>
      <w:szCs w:val="21"/>
    </w:rPr>
  </w:style>
  <w:style w:type="paragraph" w:customStyle="1" w:styleId="78">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79">
    <w:name w:val="正文2"/>
    <w:basedOn w:val="1"/>
    <w:qFormat/>
    <w:uiPriority w:val="0"/>
    <w:pPr>
      <w:spacing w:before="156" w:line="360" w:lineRule="auto"/>
      <w:ind w:firstLine="510" w:firstLineChars="200"/>
    </w:pPr>
    <w:rPr>
      <w:sz w:val="24"/>
      <w:szCs w:val="20"/>
    </w:rPr>
  </w:style>
  <w:style w:type="paragraph" w:customStyle="1" w:styleId="80">
    <w:name w:val="Char Char Char Char Char Char Char1 Char"/>
    <w:basedOn w:val="1"/>
    <w:autoRedefine/>
    <w:qFormat/>
    <w:uiPriority w:val="0"/>
    <w:rPr>
      <w:rFonts w:ascii="Arial" w:hAnsi="Arial" w:eastAsia="宋体" w:cs="Arial"/>
      <w:sz w:val="24"/>
    </w:rPr>
  </w:style>
  <w:style w:type="paragraph" w:customStyle="1" w:styleId="81">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82">
    <w:name w:val="正文_1_2"/>
    <w:next w:val="8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3">
    <w:name w:val="正文文本缩进_0"/>
    <w:basedOn w:val="84"/>
    <w:qFormat/>
    <w:uiPriority w:val="0"/>
    <w:pPr>
      <w:spacing w:line="500" w:lineRule="exact"/>
      <w:ind w:left="1588" w:leftChars="832" w:firstLine="433" w:firstLineChars="196"/>
    </w:pPr>
    <w:rPr>
      <w:rFonts w:ascii="Calibri" w:hAnsi="Calibri"/>
      <w:sz w:val="24"/>
      <w:szCs w:val="24"/>
    </w:rPr>
  </w:style>
  <w:style w:type="paragraph" w:customStyle="1" w:styleId="84">
    <w:name w:val="正文_5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正文_0_1"/>
    <w:basedOn w:val="64"/>
    <w:next w:val="64"/>
    <w:qFormat/>
    <w:uiPriority w:val="0"/>
    <w:rPr>
      <w:rFonts w:ascii="Times New Roman" w:hAnsi="Times New Roman" w:cs="Calibri"/>
      <w:szCs w:val="21"/>
      <w:lang w:bidi="ug-CN"/>
    </w:rPr>
  </w:style>
  <w:style w:type="paragraph" w:customStyle="1" w:styleId="86">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正文文本缩进_1"/>
    <w:basedOn w:val="88"/>
    <w:qFormat/>
    <w:uiPriority w:val="0"/>
    <w:pPr>
      <w:spacing w:line="500" w:lineRule="exact"/>
      <w:ind w:left="1588" w:leftChars="832" w:firstLine="433" w:firstLineChars="196"/>
    </w:pPr>
    <w:rPr>
      <w:rFonts w:ascii="Calibri" w:hAnsi="Calibri"/>
      <w:sz w:val="24"/>
    </w:rPr>
  </w:style>
  <w:style w:type="paragraph" w:customStyle="1" w:styleId="88">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_0"/>
    <w:basedOn w:val="5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0">
    <w:name w:val="Body text|1"/>
    <w:basedOn w:val="1"/>
    <w:qFormat/>
    <w:uiPriority w:val="0"/>
    <w:pPr>
      <w:widowControl w:val="0"/>
      <w:shd w:val="clear" w:color="auto" w:fill="auto"/>
      <w:spacing w:line="382" w:lineRule="auto"/>
      <w:ind w:firstLine="400"/>
    </w:pPr>
    <w:rPr>
      <w:rFonts w:ascii="宋体" w:hAnsi="宋体" w:eastAsia="宋体" w:cs="宋体"/>
      <w:sz w:val="30"/>
      <w:szCs w:val="30"/>
      <w:u w:val="none"/>
      <w:shd w:val="clear" w:color="auto" w:fill="auto"/>
      <w:lang w:val="zh-TW" w:eastAsia="zh-TW" w:bidi="zh-TW"/>
    </w:rPr>
  </w:style>
  <w:style w:type="paragraph" w:customStyle="1" w:styleId="91">
    <w:name w:val="正文_3_0_0"/>
    <w:next w:val="8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_3"/>
    <w:next w:val="93"/>
    <w:qFormat/>
    <w:uiPriority w:val="0"/>
    <w:pPr>
      <w:widowControl w:val="0"/>
      <w:jc w:val="both"/>
    </w:pPr>
    <w:rPr>
      <w:rFonts w:ascii="Calibri" w:hAnsi="Calibri" w:eastAsia="宋体" w:cs="Times New Roman"/>
      <w:kern w:val="2"/>
      <w:sz w:val="21"/>
      <w:szCs w:val="22"/>
      <w:lang w:val="en-US" w:eastAsia="zh-CN" w:bidi="ar-SA"/>
    </w:rPr>
  </w:style>
  <w:style w:type="paragraph" w:customStyle="1" w:styleId="93">
    <w:name w:val="脚注文本_0"/>
    <w:basedOn w:val="92"/>
    <w:qFormat/>
    <w:uiPriority w:val="0"/>
    <w:pPr>
      <w:snapToGrid w:val="0"/>
      <w:jc w:val="left"/>
    </w:pPr>
    <w:rPr>
      <w:sz w:val="18"/>
    </w:rPr>
  </w:style>
  <w:style w:type="paragraph" w:customStyle="1" w:styleId="94">
    <w:name w:val="正文_3_1"/>
    <w:next w:val="95"/>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
    <w:name w:val="页脚_2"/>
    <w:basedOn w:val="96"/>
    <w:unhideWhenUsed/>
    <w:qFormat/>
    <w:uiPriority w:val="0"/>
    <w:pPr>
      <w:tabs>
        <w:tab w:val="center" w:pos="4153"/>
        <w:tab w:val="right" w:pos="8306"/>
      </w:tabs>
      <w:snapToGrid w:val="0"/>
      <w:jc w:val="left"/>
    </w:pPr>
    <w:rPr>
      <w:sz w:val="18"/>
      <w:szCs w:val="18"/>
    </w:rPr>
  </w:style>
  <w:style w:type="paragraph" w:customStyle="1" w:styleId="96">
    <w:name w:val="正文_4"/>
    <w:basedOn w:val="94"/>
    <w:next w:val="97"/>
    <w:qFormat/>
    <w:uiPriority w:val="0"/>
    <w:pPr>
      <w:widowControl w:val="0"/>
      <w:jc w:val="both"/>
    </w:pPr>
    <w:rPr>
      <w:rFonts w:ascii="Calibri" w:hAnsi="Calibri"/>
      <w:kern w:val="2"/>
      <w:sz w:val="21"/>
      <w:szCs w:val="22"/>
      <w:lang w:val="en-US" w:eastAsia="zh-CN" w:bidi="ar-SA"/>
    </w:rPr>
  </w:style>
  <w:style w:type="paragraph" w:customStyle="1" w:styleId="97">
    <w:name w:val="正文首行缩进_0"/>
    <w:basedOn w:val="61"/>
    <w:qFormat/>
    <w:uiPriority w:val="0"/>
    <w:pPr>
      <w:ind w:firstLine="420" w:firstLineChars="100"/>
    </w:pPr>
    <w:rPr>
      <w:rFonts w:ascii="Calibri" w:hAnsi="Calibri" w:eastAsia="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135</Pages>
  <Words>12945</Words>
  <Characters>14073</Characters>
  <Lines>328</Lines>
  <Paragraphs>92</Paragraphs>
  <TotalTime>26</TotalTime>
  <ScaleCrop>false</ScaleCrop>
  <LinksUpToDate>false</LinksUpToDate>
  <CharactersWithSpaces>14555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2024-01-02T05:57:00Z</dcterms:created>
  <dc:creator>admin</dc:creator>
  <cp:lastModifiedBy>长腿叔叔</cp:lastModifiedBy>
  <cp:lastPrinted>2024-12-28T09:34:00Z</cp:lastPrinted>
  <dcterms:modified xsi:type="dcterms:W3CDTF">2025-04-23T12:25:34Z</dcterms:modified>
  <cp:revision>425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FA8B9DF8B7F3437F9671647E4CBDF437_13</vt:lpwstr>
  </property>
  <property fmtid="{D5CDD505-2E9C-101B-9397-08002B2CF9AE}" pid="4" name="KSOTemplateDocerSaveRecord">
    <vt:lpwstr>eyJoZGlkIjoiNGI5YjVkMmZkOWIxMjI5MzdjNzhkMDU1NzQwZDYwNzEiLCJ1c2VySWQiOiI2NTI2MDc1MTEifQ==</vt:lpwstr>
  </property>
</Properties>
</file>