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E9EFCD">
      <w:pPr>
        <w:jc w:val="center"/>
        <w:rPr>
          <w:rFonts w:hint="eastAsia" w:ascii="黑体" w:hAnsi="黑体" w:eastAsia="黑体"/>
          <w:color w:val="auto"/>
          <w:spacing w:val="5760"/>
          <w:w w:val="100"/>
          <w:kern w:val="0"/>
          <w:sz w:val="36"/>
          <w:szCs w:val="36"/>
          <w:highlight w:val="none"/>
          <w:fitText w:val="6120" w:id="-1002138880"/>
          <w:lang w:val="en-US" w:eastAsia="zh-CN"/>
        </w:rPr>
      </w:pPr>
    </w:p>
    <w:p w14:paraId="4AC7F942">
      <w:pPr>
        <w:jc w:val="center"/>
        <w:rPr>
          <w:rFonts w:hint="eastAsia" w:ascii="仿宋" w:hAnsi="仿宋" w:eastAsia="仿宋" w:cs="宋体"/>
          <w:b/>
          <w:sz w:val="48"/>
          <w:szCs w:val="48"/>
          <w:lang w:eastAsia="zh-CN"/>
        </w:rPr>
      </w:pPr>
      <w:r>
        <w:rPr>
          <w:rFonts w:hint="eastAsia" w:ascii="仿宋" w:hAnsi="仿宋" w:eastAsia="仿宋" w:cs="宋体"/>
          <w:b/>
          <w:sz w:val="48"/>
          <w:szCs w:val="48"/>
          <w:lang w:eastAsia="zh-CN"/>
        </w:rPr>
        <w:t>巴州巩乃斯国有林管理局2025年林业草原改革发展资金森林草原防火项目</w:t>
      </w:r>
    </w:p>
    <w:p w14:paraId="4986B374">
      <w:pPr>
        <w:spacing w:before="167"/>
        <w:ind w:left="1293" w:right="1293" w:firstLine="0"/>
        <w:jc w:val="center"/>
        <w:rPr>
          <w:b/>
          <w:sz w:val="60"/>
        </w:rPr>
      </w:pPr>
    </w:p>
    <w:p w14:paraId="69281960">
      <w:pPr>
        <w:spacing w:before="167"/>
        <w:ind w:left="1293" w:right="1293" w:firstLine="0"/>
        <w:jc w:val="center"/>
        <w:rPr>
          <w:rFonts w:hint="eastAsia" w:ascii="仿宋" w:hAnsi="仿宋" w:eastAsia="仿宋" w:cs="宋体"/>
          <w:b/>
          <w:sz w:val="72"/>
          <w:szCs w:val="72"/>
          <w:lang w:val="en-US" w:eastAsia="zh-CN"/>
        </w:rPr>
      </w:pPr>
      <w:r>
        <w:rPr>
          <w:b/>
          <w:sz w:val="60"/>
        </w:rPr>
        <w:t>竞争性磋商文件</w:t>
      </w:r>
    </w:p>
    <w:p w14:paraId="5A4C71F2">
      <w:pPr>
        <w:jc w:val="center"/>
        <w:rPr>
          <w:rFonts w:hint="eastAsia" w:ascii="宋体" w:hAnsi="宋体" w:eastAsia="宋体" w:cs="宋体"/>
          <w:b/>
          <w:bCs/>
          <w:color w:val="auto"/>
          <w:sz w:val="60"/>
          <w:szCs w:val="60"/>
          <w:highlight w:val="none"/>
        </w:rPr>
      </w:pPr>
      <w:r>
        <w:rPr>
          <w:rFonts w:hint="eastAsia" w:ascii="宋体" w:hAnsi="宋体" w:eastAsia="宋体" w:cs="宋体"/>
          <w:b/>
          <w:bCs/>
          <w:color w:val="auto"/>
          <w:sz w:val="60"/>
          <w:szCs w:val="60"/>
          <w:highlight w:val="none"/>
          <w:lang w:val="en-US" w:eastAsia="zh-CN"/>
        </w:rPr>
        <w:t>（工程）</w:t>
      </w:r>
    </w:p>
    <w:p w14:paraId="49761989">
      <w:pPr>
        <w:jc w:val="center"/>
        <w:rPr>
          <w:rFonts w:hint="eastAsia" w:ascii="宋体" w:hAnsi="宋体" w:eastAsia="宋体" w:cs="宋体"/>
          <w:b/>
          <w:bCs/>
          <w:color w:val="auto"/>
          <w:sz w:val="60"/>
          <w:szCs w:val="60"/>
          <w:highlight w:val="none"/>
        </w:rPr>
      </w:pPr>
      <w:r>
        <w:rPr>
          <w:rFonts w:hint="eastAsia" w:ascii="宋体" w:hAnsi="宋体" w:eastAsia="宋体" w:cs="宋体"/>
          <w:b/>
          <w:bCs/>
          <w:color w:val="auto"/>
          <w:sz w:val="60"/>
          <w:szCs w:val="60"/>
          <w:highlight w:val="none"/>
        </w:rPr>
        <w:t>（202</w:t>
      </w:r>
      <w:r>
        <w:rPr>
          <w:rFonts w:hint="eastAsia" w:ascii="宋体" w:hAnsi="宋体" w:eastAsia="宋体" w:cs="宋体"/>
          <w:b/>
          <w:bCs/>
          <w:color w:val="auto"/>
          <w:sz w:val="60"/>
          <w:szCs w:val="60"/>
          <w:highlight w:val="none"/>
          <w:lang w:val="en-US" w:eastAsia="zh-CN"/>
        </w:rPr>
        <w:t>5年</w:t>
      </w:r>
      <w:r>
        <w:rPr>
          <w:rFonts w:hint="eastAsia" w:ascii="宋体" w:hAnsi="宋体" w:eastAsia="宋体" w:cs="宋体"/>
          <w:b/>
          <w:bCs/>
          <w:color w:val="auto"/>
          <w:sz w:val="60"/>
          <w:szCs w:val="60"/>
          <w:highlight w:val="none"/>
        </w:rPr>
        <w:t>版）</w:t>
      </w:r>
    </w:p>
    <w:p w14:paraId="33E49767">
      <w:pPr>
        <w:jc w:val="center"/>
        <w:rPr>
          <w:rFonts w:ascii="黑体" w:hAnsi="黑体" w:eastAsia="黑体"/>
          <w:color w:val="auto"/>
          <w:sz w:val="72"/>
          <w:szCs w:val="72"/>
          <w:highlight w:val="none"/>
        </w:rPr>
      </w:pPr>
    </w:p>
    <w:p w14:paraId="6895B196">
      <w:pPr>
        <w:ind w:left="420" w:leftChars="175"/>
        <w:rPr>
          <w:rFonts w:hint="eastAsia"/>
          <w:sz w:val="36"/>
          <w:lang w:val="en-US" w:eastAsia="zh-CN"/>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sz w:val="36"/>
        </w:rPr>
        <w:t>XJGLZB202</w:t>
      </w:r>
      <w:r>
        <w:rPr>
          <w:rFonts w:hint="eastAsia"/>
          <w:sz w:val="36"/>
          <w:lang w:val="en-US" w:eastAsia="zh-CN"/>
        </w:rPr>
        <w:t>5</w:t>
      </w:r>
      <w:r>
        <w:rPr>
          <w:rFonts w:hint="eastAsia"/>
          <w:sz w:val="36"/>
        </w:rPr>
        <w:t>-0</w:t>
      </w:r>
      <w:r>
        <w:rPr>
          <w:rFonts w:hint="eastAsia"/>
          <w:sz w:val="36"/>
          <w:lang w:val="en-US" w:eastAsia="zh-CN"/>
        </w:rPr>
        <w:t>19</w:t>
      </w:r>
    </w:p>
    <w:p w14:paraId="4ED656F3">
      <w:pPr>
        <w:ind w:left="420" w:leftChars="175"/>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项目名称：</w:t>
      </w:r>
      <w:r>
        <w:rPr>
          <w:rFonts w:hint="eastAsia"/>
          <w:sz w:val="36"/>
          <w:lang w:eastAsia="zh-CN"/>
        </w:rPr>
        <w:t>巴州巩乃斯国有林管理局2025年林业草原改革发展资金森林草原防火项目</w:t>
      </w:r>
    </w:p>
    <w:p w14:paraId="520B5D8B">
      <w:pPr>
        <w:tabs>
          <w:tab w:val="left" w:pos="8829"/>
        </w:tabs>
        <w:spacing w:before="0" w:line="324" w:lineRule="auto"/>
        <w:ind w:right="994" w:firstLine="360" w:firstLineChars="100"/>
        <w:jc w:val="both"/>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购</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sz w:val="36"/>
          <w:lang w:eastAsia="zh-CN"/>
        </w:rPr>
        <w:t>巴音郭楞蒙古自治州巩乃斯国有林管理局</w:t>
      </w:r>
    </w:p>
    <w:p w14:paraId="030451FB">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采购代理机构：</w:t>
      </w:r>
      <w:r>
        <w:rPr>
          <w:rFonts w:hint="eastAsia"/>
          <w:sz w:val="36"/>
        </w:rPr>
        <w:t>新疆国林工程项目管理有限公司</w:t>
      </w:r>
    </w:p>
    <w:p w14:paraId="2711EFDD">
      <w:pPr>
        <w:rPr>
          <w:rFonts w:ascii="黑体" w:hAnsi="黑体" w:eastAsia="黑体"/>
          <w:color w:val="auto"/>
          <w:sz w:val="32"/>
          <w:szCs w:val="32"/>
          <w:highlight w:val="none"/>
        </w:rPr>
        <w:sectPr>
          <w:headerReference r:id="rId5" w:type="default"/>
          <w:pgSz w:w="11906" w:h="16838"/>
          <w:pgMar w:top="1429" w:right="1797" w:bottom="1429" w:left="1797" w:header="850" w:footer="992" w:gutter="0"/>
          <w:cols w:space="0" w:num="1"/>
          <w:rtlGutter w:val="0"/>
          <w:docGrid w:linePitch="312" w:charSpace="0"/>
        </w:sectPr>
      </w:pPr>
    </w:p>
    <w:p w14:paraId="7981359D">
      <w:pPr>
        <w:jc w:val="center"/>
        <w:rPr>
          <w:rFonts w:hint="eastAsia" w:ascii="宋体" w:hAnsi="宋体" w:eastAsia="宋体" w:cs="宋体"/>
          <w:b/>
          <w:bCs/>
          <w:i w:val="0"/>
          <w:iCs w:val="0"/>
          <w:color w:val="auto"/>
          <w:sz w:val="36"/>
          <w:szCs w:val="36"/>
          <w:highlight w:val="none"/>
        </w:rPr>
      </w:pPr>
      <w:r>
        <w:rPr>
          <w:rFonts w:hint="eastAsia" w:ascii="宋体" w:hAnsi="宋体" w:eastAsia="宋体" w:cs="宋体"/>
          <w:b/>
          <w:bCs/>
          <w:i w:val="0"/>
          <w:iCs w:val="0"/>
          <w:color w:val="auto"/>
          <w:sz w:val="36"/>
          <w:szCs w:val="36"/>
          <w:highlight w:val="none"/>
        </w:rPr>
        <w:t>使用说明</w:t>
      </w:r>
    </w:p>
    <w:p w14:paraId="344ECDD7">
      <w:pPr>
        <w:pStyle w:val="51"/>
        <w:rPr>
          <w:rFonts w:hint="eastAsia" w:ascii="黑体" w:hAnsi="黑体" w:eastAsia="黑体"/>
          <w:i w:val="0"/>
          <w:iCs w:val="0"/>
          <w:color w:val="auto"/>
          <w:sz w:val="72"/>
          <w:szCs w:val="72"/>
          <w:highlight w:val="none"/>
        </w:rPr>
      </w:pPr>
    </w:p>
    <w:p w14:paraId="1560DCC4">
      <w:pPr>
        <w:pStyle w:val="9"/>
        <w:keepNext w:val="0"/>
        <w:keepLines w:val="0"/>
        <w:pageBreakBefore w:val="0"/>
        <w:widowControl w:val="0"/>
        <w:kinsoku/>
        <w:overflowPunct/>
        <w:topLinePunct w:val="0"/>
        <w:autoSpaceDE/>
        <w:autoSpaceDN/>
        <w:bidi w:val="0"/>
        <w:adjustRightInd/>
        <w:snapToGrid/>
        <w:spacing w:line="360" w:lineRule="auto"/>
        <w:ind w:firstLine="640" w:firstLineChars="200"/>
        <w:textAlignment w:val="auto"/>
        <w:rPr>
          <w:rFonts w:hint="eastAsia" w:ascii="宋体" w:hAnsi="宋体" w:eastAsia="宋体" w:cs="宋体"/>
          <w:i w:val="0"/>
          <w:iCs w:val="0"/>
          <w:color w:val="auto"/>
          <w:kern w:val="2"/>
          <w:sz w:val="32"/>
          <w:szCs w:val="32"/>
          <w:highlight w:val="none"/>
          <w:shd w:val="clear" w:color="auto" w:fill="FFFFFF" w:themeFill="background1"/>
          <w:lang w:val="zh-CN" w:eastAsia="zh-CN" w:bidi="ar-SA"/>
        </w:rPr>
      </w:pP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为促进政府采购活动的公开、公平和公正进行，进一步优化新疆生产建设新疆政府采购营商环境，提高竞争性磋商文件编制质量和采购工作效率，根据政府采购有关法律法规及政策要求，会同有关单位研究制定了《新疆政府采购项目竞争性磋商文件示范文本（试行）（2025年版）》（以下简称《示范文本》），并在新疆政府采购项目中推广使用，</w:t>
      </w:r>
      <w:r>
        <w:rPr>
          <w:rFonts w:hint="eastAsia" w:ascii="宋体" w:hAnsi="宋体" w:eastAsia="宋体" w:cs="宋体"/>
          <w:i w:val="0"/>
          <w:iCs w:val="0"/>
          <w:color w:val="auto"/>
          <w:kern w:val="2"/>
          <w:sz w:val="32"/>
          <w:szCs w:val="32"/>
          <w:highlight w:val="none"/>
          <w:shd w:val="clear" w:color="auto" w:fill="FFFFFF" w:themeFill="background1"/>
          <w:lang w:val="zh-CN" w:eastAsia="zh-CN" w:bidi="ar-SA"/>
        </w:rPr>
        <w:t>特此说明如下：</w:t>
      </w:r>
    </w:p>
    <w:p w14:paraId="53AF045D">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一、适用范围</w:t>
      </w:r>
    </w:p>
    <w:p w14:paraId="44036695">
      <w:pPr>
        <w:pStyle w:val="9"/>
        <w:keepNext w:val="0"/>
        <w:keepLines w:val="0"/>
        <w:pageBreakBefore w:val="0"/>
        <w:widowControl w:val="0"/>
        <w:kinsoku/>
        <w:overflowPunct/>
        <w:topLinePunct w:val="0"/>
        <w:autoSpaceDE/>
        <w:autoSpaceDN/>
        <w:bidi w:val="0"/>
        <w:adjustRightInd/>
        <w:snapToGrid/>
        <w:spacing w:line="360" w:lineRule="auto"/>
        <w:ind w:firstLine="640" w:firstLineChars="200"/>
        <w:textAlignment w:val="auto"/>
        <w:rPr>
          <w:rFonts w:hint="eastAsia" w:ascii="宋体" w:hAnsi="宋体" w:eastAsia="宋体" w:cs="宋体"/>
          <w:i w:val="0"/>
          <w:iCs w:val="0"/>
          <w:color w:val="auto"/>
          <w:kern w:val="2"/>
          <w:sz w:val="32"/>
          <w:szCs w:val="32"/>
          <w:highlight w:val="none"/>
          <w:shd w:val="clear" w:color="auto" w:fill="FFFFFF" w:themeFill="background1"/>
          <w:lang w:val="zh-CN" w:eastAsia="zh-CN" w:bidi="ar-SA"/>
        </w:rPr>
      </w:pPr>
      <w:r>
        <w:rPr>
          <w:rFonts w:hint="eastAsia" w:ascii="宋体" w:hAnsi="宋体" w:eastAsia="宋体" w:cs="宋体"/>
          <w:i w:val="0"/>
          <w:iCs w:val="0"/>
          <w:color w:val="auto"/>
          <w:kern w:val="2"/>
          <w:sz w:val="32"/>
          <w:szCs w:val="32"/>
          <w:highlight w:val="none"/>
          <w:shd w:val="clear" w:color="auto" w:fill="FFFFFF" w:themeFill="background1"/>
          <w:lang w:val="zh-CN" w:eastAsia="zh-CN" w:bidi="ar-SA"/>
        </w:rPr>
        <w:t>《示范文本》适用于</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新疆政府采购</w:t>
      </w:r>
      <w:r>
        <w:rPr>
          <w:rFonts w:hint="eastAsia" w:ascii="宋体" w:hAnsi="宋体" w:eastAsia="宋体" w:cs="宋体"/>
          <w:i w:val="0"/>
          <w:iCs w:val="0"/>
          <w:color w:val="auto"/>
          <w:kern w:val="2"/>
          <w:sz w:val="32"/>
          <w:szCs w:val="32"/>
          <w:highlight w:val="none"/>
          <w:shd w:val="clear" w:color="auto" w:fill="FFFFFF" w:themeFill="background1"/>
          <w:lang w:val="zh-CN" w:eastAsia="zh-CN" w:bidi="ar-SA"/>
        </w:rPr>
        <w:t>项目。</w:t>
      </w:r>
    </w:p>
    <w:p w14:paraId="54BE8F51">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二、使用规则</w:t>
      </w:r>
    </w:p>
    <w:p w14:paraId="39524686">
      <w:pPr>
        <w:pStyle w:val="9"/>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宋体" w:hAnsi="宋体" w:eastAsia="宋体" w:cs="宋体"/>
          <w:i w:val="0"/>
          <w:iCs w:val="0"/>
          <w:color w:val="auto"/>
          <w:kern w:val="2"/>
          <w:sz w:val="32"/>
          <w:szCs w:val="32"/>
          <w:highlight w:val="none"/>
          <w:shd w:val="clear" w:color="auto" w:fill="FFFFFF" w:themeFill="background1"/>
          <w:lang w:val="en-US" w:eastAsia="zh-CN" w:bidi="ar-SA"/>
        </w:rPr>
      </w:pP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1.条款中以空格和下划横线“</w:t>
      </w:r>
      <w:r>
        <w:rPr>
          <w:rFonts w:hint="eastAsia" w:ascii="宋体" w:hAnsi="宋体" w:eastAsia="宋体" w:cs="宋体"/>
          <w:i w:val="0"/>
          <w:iCs w:val="0"/>
          <w:color w:val="auto"/>
          <w:kern w:val="2"/>
          <w:sz w:val="32"/>
          <w:szCs w:val="32"/>
          <w:highlight w:val="none"/>
          <w:u w:val="single"/>
          <w:shd w:val="clear" w:color="auto" w:fill="FFFFFF" w:themeFill="background1"/>
          <w:lang w:val="en-US" w:eastAsia="zh-CN" w:bidi="ar-SA"/>
        </w:rPr>
        <w:t xml:space="preserve">   </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”形式标记的部分，为采购人或采购代理机构需要填写的内容。采购人或采购代理机构应根据</w:t>
      </w:r>
      <w:r>
        <w:rPr>
          <w:rFonts w:hint="eastAsia" w:ascii="宋体" w:hAnsi="宋体" w:eastAsia="宋体" w:cs="宋体"/>
          <w:i w:val="0"/>
          <w:iCs w:val="0"/>
          <w:color w:val="auto"/>
          <w:kern w:val="2"/>
          <w:sz w:val="32"/>
          <w:szCs w:val="32"/>
          <w:highlight w:val="none"/>
          <w:shd w:val="clear" w:color="auto" w:fill="FFFFFF" w:themeFill="background1"/>
          <w:lang w:val="zh-CN" w:eastAsia="zh-CN" w:bidi="ar-SA"/>
        </w:rPr>
        <w:t>国家和</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新疆</w:t>
      </w:r>
      <w:r>
        <w:rPr>
          <w:rFonts w:hint="eastAsia" w:ascii="宋体" w:hAnsi="宋体" w:eastAsia="宋体" w:cs="宋体"/>
          <w:i w:val="0"/>
          <w:iCs w:val="0"/>
          <w:color w:val="auto"/>
          <w:kern w:val="2"/>
          <w:sz w:val="32"/>
          <w:szCs w:val="32"/>
          <w:highlight w:val="none"/>
          <w:shd w:val="clear" w:color="auto" w:fill="FFFFFF" w:themeFill="background1"/>
          <w:lang w:val="zh-CN" w:eastAsia="zh-CN" w:bidi="ar-SA"/>
        </w:rPr>
        <w:t>有关法律法规的规定、</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采购项目具体特点和实际需要进行具体化填写，确实没有需要填写的，在空格或下划横线“</w:t>
      </w:r>
      <w:r>
        <w:rPr>
          <w:rFonts w:hint="eastAsia" w:ascii="宋体" w:hAnsi="宋体" w:eastAsia="宋体" w:cs="宋体"/>
          <w:i w:val="0"/>
          <w:iCs w:val="0"/>
          <w:color w:val="auto"/>
          <w:kern w:val="2"/>
          <w:sz w:val="32"/>
          <w:szCs w:val="32"/>
          <w:highlight w:val="none"/>
          <w:u w:val="single"/>
          <w:shd w:val="clear" w:color="auto" w:fill="FFFFFF" w:themeFill="background1"/>
          <w:lang w:val="en-US" w:eastAsia="zh-CN" w:bidi="ar-SA"/>
        </w:rPr>
        <w:t xml:space="preserve">   </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”中用“/”标记。</w:t>
      </w:r>
    </w:p>
    <w:p w14:paraId="43BCB055">
      <w:pPr>
        <w:pStyle w:val="9"/>
        <w:keepNext w:val="0"/>
        <w:keepLines w:val="0"/>
        <w:pageBreakBefore w:val="0"/>
        <w:widowControl w:val="0"/>
        <w:kinsoku/>
        <w:overflowPunct/>
        <w:topLinePunct w:val="0"/>
        <w:autoSpaceDE/>
        <w:autoSpaceDN/>
        <w:bidi w:val="0"/>
        <w:adjustRightInd/>
        <w:snapToGrid/>
        <w:spacing w:line="360" w:lineRule="auto"/>
        <w:ind w:firstLine="640" w:firstLineChars="200"/>
        <w:textAlignment w:val="auto"/>
        <w:rPr>
          <w:rFonts w:hint="eastAsia" w:ascii="宋体" w:hAnsi="宋体" w:eastAsia="宋体" w:cs="宋体"/>
          <w:i w:val="0"/>
          <w:iCs w:val="0"/>
          <w:color w:val="auto"/>
          <w:kern w:val="2"/>
          <w:sz w:val="32"/>
          <w:szCs w:val="32"/>
          <w:highlight w:val="none"/>
          <w:shd w:val="clear" w:color="auto" w:fill="FFFFFF" w:themeFill="background1"/>
          <w:lang w:val="zh-CN" w:eastAsia="zh-CN" w:bidi="ar-SA"/>
        </w:rPr>
      </w:pP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2.条款中以“□”形式标记的内容，为采购人或采购代理机构需要确定的选项。编制磋商文件时，适用于本项目的选项标记为“</w:t>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sym w:font="Wingdings 2" w:char="0052"/>
      </w:r>
      <w:r>
        <w:rPr>
          <w:rFonts w:hint="eastAsia" w:ascii="宋体" w:hAnsi="宋体" w:eastAsia="宋体" w:cs="宋体"/>
          <w:i w:val="0"/>
          <w:iCs w:val="0"/>
          <w:color w:val="auto"/>
          <w:kern w:val="2"/>
          <w:sz w:val="32"/>
          <w:szCs w:val="32"/>
          <w:highlight w:val="none"/>
          <w:shd w:val="clear" w:color="auto" w:fill="FFFFFF" w:themeFill="background1"/>
          <w:lang w:val="en-US" w:eastAsia="zh-CN" w:bidi="ar-SA"/>
        </w:rPr>
        <w:t>”，不适用于本项目的选项标记为“□”。</w:t>
      </w:r>
    </w:p>
    <w:p w14:paraId="0BBCE8D9">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三、提示说明</w:t>
      </w:r>
    </w:p>
    <w:p w14:paraId="03F9F4F2">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lang w:val="en-US" w:eastAsia="zh-CN"/>
        </w:rPr>
        <w:t>1.</w:t>
      </w:r>
      <w:r>
        <w:rPr>
          <w:rFonts w:hint="eastAsia" w:ascii="宋体" w:hAnsi="宋体" w:eastAsia="宋体" w:cs="宋体"/>
          <w:i w:val="0"/>
          <w:iCs w:val="0"/>
          <w:color w:val="auto"/>
          <w:sz w:val="32"/>
          <w:szCs w:val="32"/>
          <w:highlight w:val="none"/>
        </w:rPr>
        <w:t>《示范文本》中“【】”形式标记的内容，属于提示编制采购文件的注意事项，在交易系统中制作采购文件模板时，有关“【】”</w:t>
      </w:r>
      <w:r>
        <w:rPr>
          <w:rFonts w:hint="eastAsia" w:ascii="宋体" w:hAnsi="宋体" w:eastAsia="宋体" w:cs="宋体"/>
          <w:i w:val="0"/>
          <w:iCs w:val="0"/>
          <w:color w:val="auto"/>
          <w:sz w:val="32"/>
          <w:szCs w:val="32"/>
          <w:highlight w:val="none"/>
          <w:lang w:val="en-US" w:eastAsia="zh-CN"/>
        </w:rPr>
        <w:t>内的</w:t>
      </w:r>
      <w:r>
        <w:rPr>
          <w:rFonts w:hint="eastAsia" w:ascii="宋体" w:hAnsi="宋体" w:eastAsia="宋体" w:cs="宋体"/>
          <w:i w:val="0"/>
          <w:iCs w:val="0"/>
          <w:color w:val="auto"/>
          <w:sz w:val="32"/>
          <w:szCs w:val="32"/>
          <w:highlight w:val="none"/>
        </w:rPr>
        <w:t>提示内容应予以删除。</w:t>
      </w:r>
    </w:p>
    <w:p w14:paraId="5CB607A9">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lang w:val="en-US" w:eastAsia="zh-CN"/>
        </w:rPr>
      </w:pPr>
      <w:r>
        <w:rPr>
          <w:rFonts w:hint="eastAsia" w:ascii="宋体" w:hAnsi="宋体" w:eastAsia="宋体" w:cs="宋体"/>
          <w:i w:val="0"/>
          <w:iCs w:val="0"/>
          <w:color w:val="auto"/>
          <w:sz w:val="32"/>
          <w:szCs w:val="32"/>
          <w:highlight w:val="none"/>
          <w:lang w:val="en-US" w:eastAsia="zh-CN"/>
        </w:rPr>
        <w:t>2.不适用的内容及相关章节应</w:t>
      </w:r>
      <w:r>
        <w:rPr>
          <w:rFonts w:hint="eastAsia" w:ascii="宋体" w:hAnsi="宋体" w:eastAsia="宋体" w:cs="宋体"/>
          <w:i w:val="0"/>
          <w:iCs w:val="0"/>
          <w:color w:val="auto"/>
          <w:sz w:val="32"/>
          <w:szCs w:val="32"/>
          <w:highlight w:val="none"/>
        </w:rPr>
        <w:t>予以删除。</w:t>
      </w:r>
    </w:p>
    <w:p w14:paraId="54F02FE7">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四、</w:t>
      </w:r>
      <w:r>
        <w:rPr>
          <w:rFonts w:hint="eastAsia" w:ascii="黑体" w:hAnsi="黑体" w:eastAsia="黑体" w:cs="黑体"/>
          <w:b/>
          <w:bCs/>
          <w:i w:val="0"/>
          <w:iCs w:val="0"/>
          <w:color w:val="auto"/>
          <w:sz w:val="32"/>
          <w:szCs w:val="24"/>
          <w:highlight w:val="none"/>
          <w:lang w:val="en-US" w:eastAsia="zh-CN"/>
        </w:rPr>
        <w:t>供应商</w:t>
      </w:r>
      <w:r>
        <w:rPr>
          <w:rFonts w:hint="eastAsia" w:ascii="黑体" w:hAnsi="黑体" w:eastAsia="黑体" w:cs="黑体"/>
          <w:b/>
          <w:bCs/>
          <w:i w:val="0"/>
          <w:iCs w:val="0"/>
          <w:color w:val="auto"/>
          <w:sz w:val="32"/>
          <w:szCs w:val="24"/>
          <w:highlight w:val="none"/>
        </w:rPr>
        <w:t>须知前附表说明</w:t>
      </w:r>
    </w:p>
    <w:p w14:paraId="07C06EF6">
      <w:pPr>
        <w:pStyle w:val="33"/>
        <w:keepNext w:val="0"/>
        <w:keepLines w:val="0"/>
        <w:pageBreakBefore w:val="0"/>
        <w:widowControl w:val="0"/>
        <w:kinsoku/>
        <w:wordWrap w:val="0"/>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lang w:val="en-US" w:eastAsia="zh-CN"/>
        </w:rPr>
        <w:t>1.</w:t>
      </w:r>
      <w:r>
        <w:rPr>
          <w:rFonts w:hint="eastAsia" w:ascii="宋体" w:hAnsi="宋体" w:eastAsia="宋体" w:cs="宋体"/>
          <w:i w:val="0"/>
          <w:iCs w:val="0"/>
          <w:color w:val="auto"/>
          <w:sz w:val="32"/>
          <w:szCs w:val="32"/>
          <w:highlight w:val="none"/>
        </w:rPr>
        <w:t>为了便于</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高效阅览、避免遗漏重点内容，《示范文本》对第二章“</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须知”设置了表格形式。“</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须知前附表”用于进一步明确“</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须知”正文中的未尽事宜，采购人或采购代理机构在编制采购文件时，应根据采购项目实际需要，对于需要修改和补充的内容在</w:t>
      </w:r>
      <w:r>
        <w:rPr>
          <w:rFonts w:hint="eastAsia" w:ascii="宋体" w:hAnsi="宋体" w:eastAsia="宋体" w:cs="宋体"/>
          <w:i w:val="0"/>
          <w:iCs w:val="0"/>
          <w:color w:val="auto"/>
          <w:sz w:val="32"/>
          <w:szCs w:val="32"/>
          <w:highlight w:val="none"/>
          <w:lang w:val="en-US" w:eastAsia="zh-CN"/>
        </w:rPr>
        <w:t>前附</w:t>
      </w:r>
      <w:r>
        <w:rPr>
          <w:rFonts w:hint="eastAsia" w:ascii="宋体" w:hAnsi="宋体" w:eastAsia="宋体" w:cs="宋体"/>
          <w:i w:val="0"/>
          <w:iCs w:val="0"/>
          <w:color w:val="auto"/>
          <w:sz w:val="32"/>
          <w:szCs w:val="32"/>
          <w:highlight w:val="none"/>
        </w:rPr>
        <w:t>表中选择和补充列明。“</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须知前附表”与“</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须知”正文内容不一致的，以“</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须知前附表”为准。</w:t>
      </w:r>
    </w:p>
    <w:p w14:paraId="1DBB5BFC">
      <w:pPr>
        <w:pStyle w:val="33"/>
        <w:keepNext w:val="0"/>
        <w:keepLines w:val="0"/>
        <w:pageBreakBefore w:val="0"/>
        <w:widowControl w:val="0"/>
        <w:kinsoku/>
        <w:wordWrap w:val="0"/>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lang w:val="en-US" w:eastAsia="zh-CN"/>
        </w:rPr>
        <w:t>2.</w:t>
      </w:r>
      <w:r>
        <w:rPr>
          <w:rFonts w:hint="eastAsia" w:ascii="宋体" w:hAnsi="宋体" w:eastAsia="宋体" w:cs="宋体"/>
          <w:i w:val="0"/>
          <w:iCs w:val="0"/>
          <w:color w:val="auto"/>
          <w:sz w:val="32"/>
          <w:szCs w:val="32"/>
          <w:highlight w:val="none"/>
        </w:rPr>
        <w:t>为避免采购文件编制过程中出现的相同内容在文件中前后不一致等错误，采购文件尽量做到相同内容只出现一次，其他章节涉及有关内容的，以标明条款号引用的方式体现。</w:t>
      </w:r>
    </w:p>
    <w:p w14:paraId="6B5BC743">
      <w:pPr>
        <w:pStyle w:val="33"/>
        <w:keepNext w:val="0"/>
        <w:keepLines w:val="0"/>
        <w:pageBreakBefore w:val="0"/>
        <w:widowControl w:val="0"/>
        <w:kinsoku/>
        <w:wordWrap w:val="0"/>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lang w:val="en-US" w:eastAsia="zh-CN"/>
        </w:rPr>
        <w:t>3.《示范文本》第二章中“供应商须知前附表”所列条款号与“供应商须知正文”的序号一一对应。</w:t>
      </w:r>
      <w:r>
        <w:rPr>
          <w:rFonts w:hint="eastAsia" w:ascii="宋体" w:hAnsi="宋体" w:eastAsia="宋体" w:cs="宋体"/>
          <w:i w:val="0"/>
          <w:iCs w:val="0"/>
          <w:color w:val="auto"/>
          <w:sz w:val="32"/>
          <w:szCs w:val="32"/>
          <w:highlight w:val="none"/>
        </w:rPr>
        <w:t xml:space="preserve">  </w:t>
      </w:r>
    </w:p>
    <w:p w14:paraId="28C4DD3D">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五、采购需求</w:t>
      </w:r>
    </w:p>
    <w:p w14:paraId="2819F400">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《示范文本》在第三章“</w:t>
      </w:r>
      <w:r>
        <w:rPr>
          <w:rFonts w:hint="eastAsia" w:ascii="宋体" w:hAnsi="宋体" w:eastAsia="宋体" w:cs="宋体"/>
          <w:i w:val="0"/>
          <w:iCs w:val="0"/>
          <w:color w:val="auto"/>
          <w:sz w:val="32"/>
          <w:szCs w:val="32"/>
          <w:highlight w:val="none"/>
          <w:lang w:val="en-US" w:eastAsia="zh-CN"/>
        </w:rPr>
        <w:t>项目</w:t>
      </w:r>
      <w:r>
        <w:rPr>
          <w:rFonts w:hint="eastAsia" w:ascii="宋体" w:hAnsi="宋体" w:eastAsia="宋体" w:cs="宋体"/>
          <w:i w:val="0"/>
          <w:iCs w:val="0"/>
          <w:color w:val="auto"/>
          <w:sz w:val="32"/>
          <w:szCs w:val="32"/>
          <w:highlight w:val="none"/>
        </w:rPr>
        <w:t>采购需求”部分列出了需求大纲供采购人或采购代理机构参考。采购清单部分格式应按照采购文件的要求进行编制，以保证结构化数据的统一。同一个采购包中的采购清单，应采用统一的价款形式。</w:t>
      </w:r>
    </w:p>
    <w:p w14:paraId="3AC90DE2">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六、合同文本</w:t>
      </w:r>
    </w:p>
    <w:p w14:paraId="71C8EEBA">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示范文本》中的合同仅用于参考。采购人或采购代理机构应当依据《中华人民共和国民法典》等有关法律法规和政策要求，结合采购项目合同类型和特点，规范拟定和签署项目采购合同。在拟定合同文本时，应优先选择国家或行业制定推荐的有关标准或示范合同文本。</w:t>
      </w:r>
    </w:p>
    <w:p w14:paraId="6DBAE05F">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rPr>
        <w:t>七、</w:t>
      </w:r>
      <w:r>
        <w:rPr>
          <w:rFonts w:hint="eastAsia" w:ascii="黑体" w:hAnsi="黑体" w:eastAsia="黑体" w:cs="黑体"/>
          <w:b/>
          <w:bCs/>
          <w:i w:val="0"/>
          <w:iCs w:val="0"/>
          <w:color w:val="auto"/>
          <w:sz w:val="32"/>
          <w:szCs w:val="24"/>
          <w:highlight w:val="none"/>
          <w:lang w:val="en-US" w:eastAsia="zh-CN"/>
        </w:rPr>
        <w:t>响应</w:t>
      </w:r>
      <w:r>
        <w:rPr>
          <w:rFonts w:hint="eastAsia" w:ascii="黑体" w:hAnsi="黑体" w:eastAsia="黑体" w:cs="黑体"/>
          <w:b/>
          <w:bCs/>
          <w:i w:val="0"/>
          <w:iCs w:val="0"/>
          <w:color w:val="auto"/>
          <w:sz w:val="32"/>
          <w:szCs w:val="24"/>
          <w:highlight w:val="none"/>
        </w:rPr>
        <w:t>文件格式使用</w:t>
      </w:r>
    </w:p>
    <w:p w14:paraId="05C3478F">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为便于</w:t>
      </w:r>
      <w:r>
        <w:rPr>
          <w:rFonts w:hint="eastAsia" w:ascii="宋体" w:hAnsi="宋体" w:eastAsia="宋体" w:cs="宋体"/>
          <w:i w:val="0"/>
          <w:iCs w:val="0"/>
          <w:color w:val="auto"/>
          <w:sz w:val="32"/>
          <w:szCs w:val="32"/>
          <w:highlight w:val="none"/>
          <w:lang w:val="en-US" w:eastAsia="zh-CN"/>
        </w:rPr>
        <w:t>供应商</w:t>
      </w:r>
      <w:r>
        <w:rPr>
          <w:rFonts w:hint="eastAsia" w:ascii="宋体" w:hAnsi="宋体" w:eastAsia="宋体" w:cs="宋体"/>
          <w:i w:val="0"/>
          <w:iCs w:val="0"/>
          <w:color w:val="auto"/>
          <w:sz w:val="32"/>
          <w:szCs w:val="32"/>
          <w:highlight w:val="none"/>
        </w:rPr>
        <w:t>制作</w:t>
      </w:r>
      <w:r>
        <w:rPr>
          <w:rFonts w:hint="eastAsia" w:ascii="宋体" w:hAnsi="宋体" w:eastAsia="宋体" w:cs="宋体"/>
          <w:i w:val="0"/>
          <w:iCs w:val="0"/>
          <w:color w:val="auto"/>
          <w:sz w:val="32"/>
          <w:szCs w:val="32"/>
          <w:highlight w:val="none"/>
          <w:lang w:val="en-US" w:eastAsia="zh-CN"/>
        </w:rPr>
        <w:t>响应</w:t>
      </w:r>
      <w:r>
        <w:rPr>
          <w:rFonts w:hint="eastAsia" w:ascii="宋体" w:hAnsi="宋体" w:eastAsia="宋体" w:cs="宋体"/>
          <w:i w:val="0"/>
          <w:iCs w:val="0"/>
          <w:color w:val="auto"/>
          <w:sz w:val="32"/>
          <w:szCs w:val="32"/>
          <w:highlight w:val="none"/>
        </w:rPr>
        <w:t>文件，便于</w:t>
      </w:r>
      <w:r>
        <w:rPr>
          <w:rFonts w:hint="eastAsia" w:ascii="宋体" w:hAnsi="宋体" w:eastAsia="宋体" w:cs="宋体"/>
          <w:i w:val="0"/>
          <w:iCs w:val="0"/>
          <w:color w:val="auto"/>
          <w:sz w:val="32"/>
          <w:szCs w:val="32"/>
          <w:highlight w:val="none"/>
          <w:lang w:val="en-US" w:eastAsia="zh-CN"/>
        </w:rPr>
        <w:t>竞争性磋商小组</w:t>
      </w:r>
      <w:r>
        <w:rPr>
          <w:rFonts w:hint="eastAsia" w:ascii="宋体" w:hAnsi="宋体" w:eastAsia="宋体" w:cs="宋体"/>
          <w:i w:val="0"/>
          <w:iCs w:val="0"/>
          <w:color w:val="auto"/>
          <w:sz w:val="32"/>
          <w:szCs w:val="32"/>
          <w:highlight w:val="none"/>
        </w:rPr>
        <w:t>评审时统一标准，《示范文本》对适宜的内容提供了统一的</w:t>
      </w:r>
      <w:r>
        <w:rPr>
          <w:rFonts w:hint="eastAsia" w:ascii="宋体" w:hAnsi="宋体" w:eastAsia="宋体" w:cs="宋体"/>
          <w:i w:val="0"/>
          <w:iCs w:val="0"/>
          <w:color w:val="auto"/>
          <w:sz w:val="32"/>
          <w:szCs w:val="32"/>
          <w:highlight w:val="none"/>
          <w:lang w:val="en-US" w:eastAsia="zh-CN"/>
        </w:rPr>
        <w:t>响应</w:t>
      </w:r>
      <w:r>
        <w:rPr>
          <w:rFonts w:hint="eastAsia" w:ascii="宋体" w:hAnsi="宋体" w:eastAsia="宋体" w:cs="宋体"/>
          <w:i w:val="0"/>
          <w:iCs w:val="0"/>
          <w:color w:val="auto"/>
          <w:sz w:val="32"/>
          <w:szCs w:val="32"/>
          <w:highlight w:val="none"/>
        </w:rPr>
        <w:t>文件参考格式。</w:t>
      </w:r>
    </w:p>
    <w:p w14:paraId="76723794">
      <w:pPr>
        <w:keepNext w:val="0"/>
        <w:keepLines w:val="0"/>
        <w:pageBreakBefore w:val="0"/>
        <w:widowControl w:val="0"/>
        <w:kinsoku/>
        <w:overflowPunct/>
        <w:topLinePunct w:val="0"/>
        <w:autoSpaceDE/>
        <w:autoSpaceDN/>
        <w:bidi w:val="0"/>
        <w:adjustRightInd/>
        <w:snapToGrid/>
        <w:ind w:firstLine="643" w:firstLineChars="200"/>
        <w:textAlignment w:val="auto"/>
        <w:rPr>
          <w:rFonts w:hint="eastAsia" w:ascii="黑体" w:hAnsi="黑体" w:eastAsia="黑体" w:cs="黑体"/>
          <w:b/>
          <w:bCs/>
          <w:i w:val="0"/>
          <w:iCs w:val="0"/>
          <w:color w:val="auto"/>
          <w:sz w:val="32"/>
          <w:szCs w:val="24"/>
          <w:highlight w:val="none"/>
        </w:rPr>
      </w:pPr>
      <w:r>
        <w:rPr>
          <w:rFonts w:hint="eastAsia" w:ascii="黑体" w:hAnsi="黑体" w:eastAsia="黑体" w:cs="黑体"/>
          <w:b/>
          <w:bCs/>
          <w:i w:val="0"/>
          <w:iCs w:val="0"/>
          <w:color w:val="auto"/>
          <w:sz w:val="32"/>
          <w:szCs w:val="24"/>
          <w:highlight w:val="none"/>
          <w:lang w:val="en-US" w:eastAsia="zh-CN"/>
        </w:rPr>
        <w:t>八</w:t>
      </w:r>
      <w:r>
        <w:rPr>
          <w:rFonts w:hint="eastAsia" w:ascii="黑体" w:hAnsi="黑体" w:eastAsia="黑体" w:cs="黑体"/>
          <w:b/>
          <w:bCs/>
          <w:i w:val="0"/>
          <w:iCs w:val="0"/>
          <w:color w:val="auto"/>
          <w:sz w:val="32"/>
          <w:szCs w:val="24"/>
          <w:highlight w:val="none"/>
        </w:rPr>
        <w:t>、实施及修改</w:t>
      </w:r>
    </w:p>
    <w:p w14:paraId="33D6F61C">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各级预算单位、采购代理机构认真组织好《示范文本》的推广使用。</w:t>
      </w:r>
      <w:r>
        <w:rPr>
          <w:rFonts w:hint="eastAsia" w:cs="宋体"/>
          <w:i w:val="0"/>
          <w:iCs w:val="0"/>
          <w:color w:val="auto"/>
          <w:sz w:val="32"/>
          <w:szCs w:val="32"/>
          <w:highlight w:val="none"/>
          <w:lang w:val="en-US" w:eastAsia="zh-CN"/>
        </w:rPr>
        <w:t>巴州财政局</w:t>
      </w:r>
      <w:r>
        <w:rPr>
          <w:rFonts w:hint="eastAsia" w:ascii="宋体" w:hAnsi="宋体" w:eastAsia="宋体" w:cs="宋体"/>
          <w:i w:val="0"/>
          <w:iCs w:val="0"/>
          <w:color w:val="auto"/>
          <w:sz w:val="32"/>
          <w:szCs w:val="32"/>
          <w:highlight w:val="none"/>
        </w:rPr>
        <w:t>根据</w:t>
      </w:r>
      <w:r>
        <w:rPr>
          <w:rFonts w:hint="eastAsia" w:ascii="宋体" w:hAnsi="宋体" w:eastAsia="宋体" w:cs="宋体"/>
          <w:i w:val="0"/>
          <w:iCs w:val="0"/>
          <w:color w:val="auto"/>
          <w:sz w:val="32"/>
          <w:szCs w:val="32"/>
          <w:highlight w:val="none"/>
          <w:lang w:eastAsia="zh-CN"/>
        </w:rPr>
        <w:t>《</w:t>
      </w:r>
      <w:r>
        <w:rPr>
          <w:rFonts w:hint="eastAsia" w:ascii="宋体" w:hAnsi="宋体" w:eastAsia="宋体" w:cs="宋体"/>
          <w:i w:val="0"/>
          <w:iCs w:val="0"/>
          <w:color w:val="auto"/>
          <w:sz w:val="32"/>
          <w:szCs w:val="32"/>
          <w:highlight w:val="none"/>
        </w:rPr>
        <w:t>政府采购法</w:t>
      </w:r>
      <w:r>
        <w:rPr>
          <w:rFonts w:hint="eastAsia" w:ascii="宋体" w:hAnsi="宋体" w:eastAsia="宋体" w:cs="宋体"/>
          <w:i w:val="0"/>
          <w:iCs w:val="0"/>
          <w:color w:val="auto"/>
          <w:sz w:val="32"/>
          <w:szCs w:val="32"/>
          <w:highlight w:val="none"/>
          <w:lang w:eastAsia="zh-CN"/>
        </w:rPr>
        <w:t>》修法及相关法</w:t>
      </w:r>
      <w:r>
        <w:rPr>
          <w:rFonts w:hint="eastAsia" w:ascii="宋体" w:hAnsi="宋体" w:eastAsia="宋体" w:cs="宋体"/>
          <w:i w:val="0"/>
          <w:iCs w:val="0"/>
          <w:color w:val="auto"/>
          <w:sz w:val="32"/>
          <w:szCs w:val="32"/>
          <w:highlight w:val="none"/>
        </w:rPr>
        <w:t>律法规</w:t>
      </w:r>
      <w:r>
        <w:rPr>
          <w:rFonts w:hint="eastAsia" w:ascii="宋体" w:hAnsi="宋体" w:eastAsia="宋体" w:cs="宋体"/>
          <w:i w:val="0"/>
          <w:iCs w:val="0"/>
          <w:color w:val="auto"/>
          <w:sz w:val="32"/>
          <w:szCs w:val="32"/>
          <w:highlight w:val="none"/>
          <w:lang w:eastAsia="zh-CN"/>
        </w:rPr>
        <w:t>修订</w:t>
      </w:r>
      <w:r>
        <w:rPr>
          <w:rFonts w:hint="eastAsia" w:ascii="宋体" w:hAnsi="宋体" w:eastAsia="宋体" w:cs="宋体"/>
          <w:i w:val="0"/>
          <w:iCs w:val="0"/>
          <w:color w:val="auto"/>
          <w:sz w:val="32"/>
          <w:szCs w:val="32"/>
          <w:highlight w:val="none"/>
        </w:rPr>
        <w:t>情况</w:t>
      </w:r>
      <w:r>
        <w:rPr>
          <w:rFonts w:hint="eastAsia" w:ascii="宋体" w:hAnsi="宋体" w:eastAsia="宋体" w:cs="宋体"/>
          <w:i w:val="0"/>
          <w:iCs w:val="0"/>
          <w:color w:val="auto"/>
          <w:sz w:val="32"/>
          <w:szCs w:val="32"/>
          <w:highlight w:val="none"/>
          <w:lang w:eastAsia="zh-CN"/>
        </w:rPr>
        <w:t>及时</w:t>
      </w:r>
      <w:r>
        <w:rPr>
          <w:rFonts w:hint="eastAsia" w:ascii="宋体" w:hAnsi="宋体" w:eastAsia="宋体" w:cs="宋体"/>
          <w:i w:val="0"/>
          <w:iCs w:val="0"/>
          <w:color w:val="auto"/>
          <w:sz w:val="32"/>
          <w:szCs w:val="32"/>
          <w:highlight w:val="none"/>
        </w:rPr>
        <w:t>对《示范文本》进行</w:t>
      </w:r>
      <w:r>
        <w:rPr>
          <w:rFonts w:hint="eastAsia" w:ascii="宋体" w:hAnsi="宋体" w:eastAsia="宋体" w:cs="宋体"/>
          <w:i w:val="0"/>
          <w:iCs w:val="0"/>
          <w:color w:val="auto"/>
          <w:sz w:val="32"/>
          <w:szCs w:val="32"/>
          <w:highlight w:val="none"/>
          <w:lang w:eastAsia="zh-CN"/>
        </w:rPr>
        <w:t>调整、</w:t>
      </w:r>
      <w:r>
        <w:rPr>
          <w:rFonts w:hint="eastAsia" w:ascii="宋体" w:hAnsi="宋体" w:eastAsia="宋体" w:cs="宋体"/>
          <w:i w:val="0"/>
          <w:iCs w:val="0"/>
          <w:color w:val="auto"/>
          <w:sz w:val="32"/>
          <w:szCs w:val="32"/>
          <w:highlight w:val="none"/>
        </w:rPr>
        <w:t>完善。</w:t>
      </w:r>
    </w:p>
    <w:p w14:paraId="34DEE96E">
      <w:pPr>
        <w:pStyle w:val="33"/>
        <w:keepNext w:val="0"/>
        <w:keepLines w:val="0"/>
        <w:pageBreakBefore w:val="0"/>
        <w:widowControl w:val="0"/>
        <w:kinsoku/>
        <w:overflowPunct/>
        <w:topLinePunct w:val="0"/>
        <w:autoSpaceDE/>
        <w:autoSpaceDN/>
        <w:bidi w:val="0"/>
        <w:adjustRightInd/>
        <w:snapToGrid/>
        <w:ind w:firstLine="640" w:firstLineChars="200"/>
        <w:textAlignment w:val="auto"/>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采购人或代理机构可结合具体项目特点，依法对采购文件进行适当</w:t>
      </w:r>
      <w:r>
        <w:rPr>
          <w:rFonts w:hint="eastAsia" w:ascii="宋体" w:hAnsi="宋体" w:eastAsia="宋体" w:cs="宋体"/>
          <w:i w:val="0"/>
          <w:iCs w:val="0"/>
          <w:color w:val="auto"/>
          <w:sz w:val="32"/>
          <w:szCs w:val="32"/>
          <w:highlight w:val="none"/>
          <w:lang w:eastAsia="zh-CN"/>
        </w:rPr>
        <w:t>合理</w:t>
      </w:r>
      <w:r>
        <w:rPr>
          <w:rFonts w:hint="eastAsia" w:ascii="宋体" w:hAnsi="宋体" w:eastAsia="宋体" w:cs="宋体"/>
          <w:i w:val="0"/>
          <w:iCs w:val="0"/>
          <w:color w:val="auto"/>
          <w:sz w:val="32"/>
          <w:szCs w:val="32"/>
          <w:highlight w:val="none"/>
        </w:rPr>
        <w:t>调整。</w:t>
      </w:r>
    </w:p>
    <w:p w14:paraId="3B7B1BF2">
      <w:pPr>
        <w:pStyle w:val="33"/>
        <w:ind w:firstLine="640"/>
        <w:rPr>
          <w:rFonts w:hint="eastAsia" w:ascii="宋体" w:hAnsi="宋体" w:eastAsia="宋体" w:cs="宋体"/>
          <w:i w:val="0"/>
          <w:iCs w:val="0"/>
          <w:color w:val="auto"/>
          <w:sz w:val="32"/>
          <w:szCs w:val="32"/>
          <w:highlight w:val="none"/>
        </w:rPr>
      </w:pPr>
    </w:p>
    <w:p w14:paraId="4B2FB4FD">
      <w:pPr>
        <w:rPr>
          <w:rFonts w:hint="eastAsia" w:ascii="宋体" w:hAnsi="宋体" w:eastAsia="宋体" w:cs="宋体"/>
          <w:i w:val="0"/>
          <w:iCs w:val="0"/>
          <w:color w:val="auto"/>
          <w:sz w:val="32"/>
          <w:szCs w:val="32"/>
          <w:highlight w:val="none"/>
        </w:rPr>
        <w:sectPr>
          <w:headerReference r:id="rId6" w:type="default"/>
          <w:pgSz w:w="11906" w:h="16838"/>
          <w:pgMar w:top="1440" w:right="1800" w:bottom="1440" w:left="1800" w:header="851" w:footer="992" w:gutter="0"/>
          <w:pgNumType w:fmt="decimal"/>
          <w:cols w:space="425" w:num="1"/>
          <w:docGrid w:type="lines" w:linePitch="312" w:charSpace="0"/>
        </w:sectPr>
      </w:pPr>
    </w:p>
    <w:p w14:paraId="2E6E0FD2">
      <w:pPr>
        <w:jc w:val="center"/>
        <w:rPr>
          <w:rFonts w:hint="eastAsia" w:ascii="宋体" w:hAnsi="宋体" w:eastAsia="宋体" w:cs="宋体"/>
          <w:b/>
          <w:bCs/>
          <w:i w:val="0"/>
          <w:iCs w:val="0"/>
          <w:color w:val="auto"/>
          <w:sz w:val="36"/>
          <w:szCs w:val="36"/>
          <w:highlight w:val="none"/>
        </w:rPr>
      </w:pPr>
      <w:r>
        <w:rPr>
          <w:rFonts w:hint="eastAsia" w:ascii="宋体" w:hAnsi="宋体" w:eastAsia="宋体" w:cs="宋体"/>
          <w:b/>
          <w:bCs/>
          <w:i w:val="0"/>
          <w:iCs w:val="0"/>
          <w:color w:val="auto"/>
          <w:sz w:val="36"/>
          <w:szCs w:val="36"/>
          <w:highlight w:val="none"/>
        </w:rPr>
        <w:t xml:space="preserve">目 </w:t>
      </w:r>
      <w:r>
        <w:rPr>
          <w:rFonts w:hint="eastAsia" w:ascii="宋体" w:hAnsi="宋体" w:eastAsia="宋体" w:cs="宋体"/>
          <w:b/>
          <w:bCs/>
          <w:i w:val="0"/>
          <w:iCs w:val="0"/>
          <w:color w:val="auto"/>
          <w:sz w:val="36"/>
          <w:szCs w:val="36"/>
          <w:highlight w:val="none"/>
          <w:lang w:val="en-US" w:eastAsia="zh-CN"/>
        </w:rPr>
        <w:t xml:space="preserve"> </w:t>
      </w:r>
      <w:r>
        <w:rPr>
          <w:rFonts w:hint="eastAsia" w:ascii="宋体" w:hAnsi="宋体" w:eastAsia="宋体" w:cs="宋体"/>
          <w:b/>
          <w:bCs/>
          <w:i w:val="0"/>
          <w:iCs w:val="0"/>
          <w:color w:val="auto"/>
          <w:sz w:val="36"/>
          <w:szCs w:val="36"/>
          <w:highlight w:val="none"/>
        </w:rPr>
        <w:t>录</w:t>
      </w:r>
    </w:p>
    <w:p w14:paraId="55100918">
      <w:pPr>
        <w:jc w:val="center"/>
        <w:rPr>
          <w:rFonts w:hint="eastAsia" w:ascii="宋体" w:hAnsi="宋体" w:eastAsia="宋体" w:cs="宋体"/>
          <w:b/>
          <w:bCs/>
          <w:i w:val="0"/>
          <w:iCs w:val="0"/>
          <w:color w:val="auto"/>
          <w:sz w:val="36"/>
          <w:szCs w:val="36"/>
          <w:highlight w:val="none"/>
        </w:rPr>
      </w:pPr>
    </w:p>
    <w:p w14:paraId="67368804">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i w:val="0"/>
          <w:iCs w:val="0"/>
          <w:color w:val="auto"/>
          <w:highlight w:val="none"/>
        </w:rPr>
        <w:fldChar w:fldCharType="begin"/>
      </w:r>
      <w:r>
        <w:rPr>
          <w:i w:val="0"/>
          <w:iCs w:val="0"/>
          <w:color w:val="auto"/>
          <w:highlight w:val="none"/>
        </w:rPr>
        <w:instrText xml:space="preserve"> TOC \o "1-3" \h \z \u </w:instrText>
      </w:r>
      <w:r>
        <w:rPr>
          <w:i w:val="0"/>
          <w:iCs w:val="0"/>
          <w:color w:val="auto"/>
          <w:highlight w:val="none"/>
        </w:rPr>
        <w:fldChar w:fldCharType="separate"/>
      </w: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_Toc16828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44"/>
          <w:sz w:val="24"/>
          <w:szCs w:val="24"/>
          <w:highlight w:val="none"/>
          <w:lang w:val="en-US" w:eastAsia="zh-CN" w:bidi="ar-SA"/>
        </w:rPr>
        <w:t>第一章 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_Toc16828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B077D61">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_Toc13157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hr-HR" w:eastAsia="zh-CN" w:bidi="ar-SA"/>
        </w:rPr>
        <w:t>一、</w:t>
      </w:r>
      <w:r>
        <w:rPr>
          <w:rFonts w:hint="eastAsia" w:ascii="宋体" w:hAnsi="宋体" w:eastAsia="宋体" w:cs="宋体"/>
          <w:i w:val="0"/>
          <w:iCs w:val="0"/>
          <w:sz w:val="24"/>
          <w:szCs w:val="24"/>
          <w:highlight w:val="none"/>
          <w:lang w:val="hr-HR"/>
        </w:rPr>
        <w:t>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_Toc13157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BD51525">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_Toc1273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二、申请人的</w:t>
      </w:r>
      <w:r>
        <w:rPr>
          <w:rFonts w:hint="eastAsia" w:ascii="宋体" w:hAnsi="宋体" w:eastAsia="宋体" w:cs="宋体"/>
          <w:bCs/>
          <w:i w:val="0"/>
          <w:iCs w:val="0"/>
          <w:kern w:val="2"/>
          <w:sz w:val="24"/>
          <w:szCs w:val="24"/>
          <w:highlight w:val="none"/>
          <w:lang w:val="hr-HR" w:eastAsia="zh-CN" w:bidi="ar-SA"/>
        </w:rPr>
        <w:t>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_Toc1273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071C2C5">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_Toc27103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三、</w:t>
      </w:r>
      <w:r>
        <w:rPr>
          <w:rFonts w:hint="eastAsia" w:ascii="宋体" w:hAnsi="宋体" w:eastAsia="宋体" w:cs="宋体"/>
          <w:bCs/>
          <w:i w:val="0"/>
          <w:iCs w:val="0"/>
          <w:kern w:val="2"/>
          <w:sz w:val="24"/>
          <w:szCs w:val="24"/>
          <w:highlight w:val="none"/>
          <w:lang w:val="hr-HR" w:eastAsia="zh-CN" w:bidi="ar-SA"/>
        </w:rPr>
        <w:t>获取</w:t>
      </w:r>
      <w:r>
        <w:rPr>
          <w:rFonts w:hint="eastAsia" w:ascii="宋体" w:hAnsi="宋体" w:eastAsia="宋体" w:cs="宋体"/>
          <w:bCs/>
          <w:i w:val="0"/>
          <w:iCs w:val="0"/>
          <w:kern w:val="2"/>
          <w:sz w:val="24"/>
          <w:szCs w:val="24"/>
          <w:highlight w:val="none"/>
          <w:lang w:val="en-US" w:eastAsia="zh-CN" w:bidi="ar-SA"/>
        </w:rPr>
        <w:t>采购</w:t>
      </w:r>
      <w:r>
        <w:rPr>
          <w:rFonts w:hint="eastAsia" w:ascii="宋体" w:hAnsi="宋体" w:eastAsia="宋体" w:cs="宋体"/>
          <w:bCs/>
          <w:i w:val="0"/>
          <w:iCs w:val="0"/>
          <w:kern w:val="2"/>
          <w:sz w:val="24"/>
          <w:szCs w:val="24"/>
          <w:highlight w:val="none"/>
          <w:lang w:val="hr-HR" w:eastAsia="zh-CN" w:bidi="ar-SA"/>
        </w:rPr>
        <w:t>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_Toc27103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5559613">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_Toc15226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四、</w:t>
      </w:r>
      <w:r>
        <w:rPr>
          <w:rFonts w:hint="eastAsia" w:ascii="宋体" w:hAnsi="宋体" w:eastAsia="宋体" w:cs="宋体"/>
          <w:bCs/>
          <w:i w:val="0"/>
          <w:iCs w:val="0"/>
          <w:spacing w:val="-6"/>
          <w:kern w:val="2"/>
          <w:sz w:val="24"/>
          <w:szCs w:val="24"/>
          <w:highlight w:val="none"/>
          <w:lang w:val="hr-HR" w:eastAsia="zh-CN" w:bidi="ar-SA"/>
        </w:rPr>
        <w:t>响应文件提交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_Toc15226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6F20F4D3">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_Toc24119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五、开启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_Toc24119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7293C0F2">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_Toc9733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六、</w:t>
      </w:r>
      <w:r>
        <w:rPr>
          <w:rFonts w:hint="eastAsia" w:ascii="宋体" w:hAnsi="宋体" w:eastAsia="宋体" w:cs="宋体"/>
          <w:bCs/>
          <w:i w:val="0"/>
          <w:iCs w:val="0"/>
          <w:kern w:val="2"/>
          <w:sz w:val="24"/>
          <w:szCs w:val="24"/>
          <w:highlight w:val="none"/>
          <w:lang w:val="hr-HR" w:eastAsia="zh-CN" w:bidi="ar-SA"/>
        </w:rPr>
        <w:t>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_Toc9733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18A2525">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_Toc6777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hr-HR" w:eastAsia="zh-CN"/>
        </w:rPr>
        <w:t>七、其他补充事宜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_Toc6777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63444AA">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_Toc1462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八、</w:t>
      </w:r>
      <w:r>
        <w:rPr>
          <w:rFonts w:hint="eastAsia" w:ascii="宋体" w:hAnsi="宋体" w:eastAsia="宋体" w:cs="宋体"/>
          <w:bCs/>
          <w:i w:val="0"/>
          <w:iCs w:val="0"/>
          <w:kern w:val="2"/>
          <w:sz w:val="24"/>
          <w:szCs w:val="24"/>
          <w:highlight w:val="none"/>
          <w:lang w:val="hr-HR" w:eastAsia="zh-CN" w:bidi="ar-SA"/>
        </w:rPr>
        <w:t>凡对本次采购提出询问，请按以下方式联系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_Toc1462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54F9C5B">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_Toc9638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_Toc9638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94972B7">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_Toc11918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一、供应商须知前附表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_Toc11918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E1CCB5C">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_Toc28828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二、供应商须知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_Toc28828 \h </w:instrText>
      </w:r>
      <w:r>
        <w:rPr>
          <w:rFonts w:hint="eastAsia" w:ascii="宋体" w:hAnsi="宋体" w:eastAsia="宋体" w:cs="宋体"/>
          <w:sz w:val="24"/>
          <w:szCs w:val="24"/>
        </w:rPr>
        <w:fldChar w:fldCharType="separate"/>
      </w:r>
      <w:r>
        <w:rPr>
          <w:rFonts w:hint="eastAsia" w:ascii="宋体" w:hAnsi="宋体" w:eastAsia="宋体" w:cs="宋体"/>
          <w:sz w:val="24"/>
          <w:szCs w:val="24"/>
        </w:rPr>
        <w:t>- 7 -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6FA6FA8">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_Toc14779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项目采购需求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_Toc14779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25AD55A6">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_Toc27698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一、工程概况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_Toc27698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6C747AC1">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_Toc21672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二、工程内容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_Toc21672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F59A67F">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_Toc27746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三、商务要求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_Toc27746 \h </w:instrText>
      </w:r>
      <w:r>
        <w:rPr>
          <w:rFonts w:hint="eastAsia" w:ascii="宋体" w:hAnsi="宋体" w:eastAsia="宋体" w:cs="宋体"/>
          <w:sz w:val="24"/>
          <w:szCs w:val="24"/>
        </w:rPr>
        <w:fldChar w:fldCharType="separate"/>
      </w:r>
      <w:r>
        <w:rPr>
          <w:rFonts w:hint="eastAsia" w:ascii="宋体" w:hAnsi="宋体" w:eastAsia="宋体" w:cs="宋体"/>
          <w:sz w:val="24"/>
          <w:szCs w:val="24"/>
        </w:rPr>
        <w:t>- 33 -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32DF903">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_Toc32724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四、其他要求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_Toc32724 \h </w:instrText>
      </w:r>
      <w:r>
        <w:rPr>
          <w:rFonts w:hint="eastAsia" w:ascii="宋体" w:hAnsi="宋体" w:eastAsia="宋体" w:cs="宋体"/>
          <w:sz w:val="24"/>
          <w:szCs w:val="24"/>
        </w:rPr>
        <w:fldChar w:fldCharType="separate"/>
      </w:r>
      <w:r>
        <w:rPr>
          <w:rFonts w:hint="eastAsia" w:ascii="宋体" w:hAnsi="宋体" w:eastAsia="宋体" w:cs="宋体"/>
          <w:sz w:val="24"/>
          <w:szCs w:val="24"/>
        </w:rPr>
        <w:t>- 33 -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B34EC68">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_Toc3021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五、工程量清单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_Toc3021 \h </w:instrText>
      </w:r>
      <w:r>
        <w:rPr>
          <w:rFonts w:hint="eastAsia" w:ascii="宋体" w:hAnsi="宋体" w:eastAsia="宋体" w:cs="宋体"/>
          <w:sz w:val="24"/>
          <w:szCs w:val="24"/>
        </w:rPr>
        <w:fldChar w:fldCharType="separate"/>
      </w:r>
      <w:r>
        <w:rPr>
          <w:rFonts w:hint="eastAsia" w:ascii="宋体" w:hAnsi="宋体" w:eastAsia="宋体" w:cs="宋体"/>
          <w:sz w:val="24"/>
          <w:szCs w:val="24"/>
        </w:rPr>
        <w:t>- 33 -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AF1A78A">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_Toc21090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评审方法及标准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_Toc21090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6C81FC35">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_Toc18136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highlight w:val="none"/>
          <w:lang w:val="en-US" w:eastAsia="zh-CN"/>
        </w:rPr>
        <w:t>一、</w:t>
      </w:r>
      <w:r>
        <w:rPr>
          <w:rFonts w:hint="eastAsia" w:ascii="宋体" w:hAnsi="宋体" w:eastAsia="宋体" w:cs="宋体"/>
          <w:sz w:val="24"/>
          <w:szCs w:val="24"/>
          <w:highlight w:val="none"/>
          <w:lang w:val="zh-CN" w:eastAsia="zh-CN"/>
        </w:rPr>
        <w:t>评审方法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_Toc18136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72739AD8">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_Toc14790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lang w:val="zh-CN" w:eastAsia="zh-CN"/>
        </w:rPr>
        <w:t>评审程序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_Toc14790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0B8F43F">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_Toc20411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lang w:val="zh-CN" w:eastAsia="zh-CN"/>
        </w:rPr>
        <w:t>评审</w:t>
      </w:r>
      <w:r>
        <w:rPr>
          <w:rFonts w:hint="eastAsia" w:ascii="宋体" w:hAnsi="宋体" w:eastAsia="宋体" w:cs="宋体"/>
          <w:sz w:val="24"/>
          <w:szCs w:val="24"/>
          <w:highlight w:val="none"/>
          <w:lang w:val="en-US" w:eastAsia="zh-CN"/>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_Toc20411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EC7E710">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_Toc27919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highlight w:val="none"/>
          <w:lang w:val="en-US" w:eastAsia="zh-CN"/>
        </w:rPr>
        <w:t>四、</w:t>
      </w:r>
      <w:r>
        <w:rPr>
          <w:rFonts w:hint="eastAsia" w:ascii="宋体" w:hAnsi="宋体" w:eastAsia="宋体" w:cs="宋体"/>
          <w:sz w:val="24"/>
          <w:szCs w:val="24"/>
          <w:highlight w:val="none"/>
          <w:lang w:val="zh-CN" w:eastAsia="zh-CN"/>
        </w:rPr>
        <w:t>评审标准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_Toc27919 \h </w:instrText>
      </w:r>
      <w:r>
        <w:rPr>
          <w:rFonts w:hint="eastAsia" w:ascii="宋体" w:hAnsi="宋体" w:eastAsia="宋体" w:cs="宋体"/>
          <w:sz w:val="24"/>
          <w:szCs w:val="24"/>
        </w:rPr>
        <w:fldChar w:fldCharType="separate"/>
      </w:r>
      <w:r>
        <w:rPr>
          <w:rFonts w:hint="eastAsia" w:ascii="宋体" w:hAnsi="宋体" w:eastAsia="宋体" w:cs="宋体"/>
          <w:sz w:val="24"/>
          <w:szCs w:val="24"/>
        </w:rPr>
        <w:t>- 40 -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21BF1AAD">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_Toc17336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第五章 </w:t>
      </w:r>
      <w:r>
        <w:rPr>
          <w:rFonts w:hint="eastAsia" w:ascii="宋体" w:hAnsi="宋体" w:eastAsia="宋体" w:cs="宋体"/>
          <w:bCs/>
          <w:kern w:val="44"/>
          <w:sz w:val="24"/>
          <w:szCs w:val="24"/>
          <w:highlight w:val="none"/>
          <w:lang w:val="zh-CN" w:eastAsia="zh-CN" w:bidi="ar-SA"/>
        </w:rPr>
        <w:t>合同草案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_Toc17336 \h </w:instrText>
      </w:r>
      <w:r>
        <w:rPr>
          <w:rFonts w:hint="eastAsia" w:ascii="宋体" w:hAnsi="宋体" w:eastAsia="宋体" w:cs="宋体"/>
          <w:sz w:val="24"/>
          <w:szCs w:val="24"/>
        </w:rPr>
        <w:fldChar w:fldCharType="separate"/>
      </w:r>
      <w:r>
        <w:rPr>
          <w:rFonts w:hint="eastAsia" w:ascii="宋体" w:hAnsi="宋体" w:eastAsia="宋体" w:cs="宋体"/>
          <w:sz w:val="24"/>
          <w:szCs w:val="24"/>
        </w:rPr>
        <w:t>- 46 -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0686409">
      <w:pPr>
        <w:pStyle w:val="1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_Toc32390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第六章 </w:t>
      </w:r>
      <w:r>
        <w:rPr>
          <w:rFonts w:hint="eastAsia" w:ascii="宋体" w:hAnsi="宋体" w:eastAsia="宋体" w:cs="宋体"/>
          <w:sz w:val="24"/>
          <w:szCs w:val="24"/>
          <w:highlight w:val="none"/>
        </w:rPr>
        <w:t>响应文件的格式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_Toc32390 \h </w:instrText>
      </w:r>
      <w:r>
        <w:rPr>
          <w:rFonts w:hint="eastAsia" w:ascii="宋体" w:hAnsi="宋体" w:eastAsia="宋体" w:cs="宋体"/>
          <w:sz w:val="24"/>
          <w:szCs w:val="24"/>
        </w:rPr>
        <w:fldChar w:fldCharType="separate"/>
      </w:r>
      <w:r>
        <w:rPr>
          <w:rFonts w:hint="eastAsia" w:ascii="宋体" w:hAnsi="宋体" w:eastAsia="宋体" w:cs="宋体"/>
          <w:sz w:val="24"/>
          <w:szCs w:val="24"/>
        </w:rPr>
        <w:t>- 82 -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3ABC11A">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_Toc10901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_Toc13537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rPr>
        <w:t>资格证明文件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_Toc13537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- 83 -</w:t>
      </w:r>
      <w:r>
        <w:rPr>
          <w:rFonts w:hint="eastAsia" w:ascii="宋体" w:hAnsi="宋体" w:eastAsia="宋体" w:cs="宋体"/>
          <w:b/>
          <w:bCs/>
          <w:sz w:val="24"/>
          <w:szCs w:val="24"/>
        </w:rPr>
        <w:fldChar w:fldCharType="end"/>
      </w:r>
      <w:r>
        <w:rPr>
          <w:rFonts w:hint="eastAsia" w:ascii="宋体" w:hAnsi="宋体" w:eastAsia="宋体" w:cs="宋体"/>
          <w:b/>
          <w:bCs/>
          <w:i w:val="0"/>
          <w:iCs w:val="0"/>
          <w:color w:val="auto"/>
          <w:sz w:val="24"/>
          <w:szCs w:val="24"/>
          <w:highlight w:val="none"/>
        </w:rPr>
        <w:fldChar w:fldCharType="end"/>
      </w:r>
    </w:p>
    <w:p w14:paraId="598437D0">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_Toc29826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一、满足《中华人民共和国政府采购法》第二十二条规定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_Toc29826 \h </w:instrText>
      </w:r>
      <w:r>
        <w:rPr>
          <w:rFonts w:hint="eastAsia" w:ascii="宋体" w:hAnsi="宋体" w:eastAsia="宋体" w:cs="宋体"/>
          <w:sz w:val="24"/>
          <w:szCs w:val="24"/>
        </w:rPr>
        <w:fldChar w:fldCharType="separate"/>
      </w:r>
      <w:r>
        <w:rPr>
          <w:rFonts w:hint="eastAsia" w:ascii="宋体" w:hAnsi="宋体" w:eastAsia="宋体" w:cs="宋体"/>
          <w:sz w:val="24"/>
          <w:szCs w:val="24"/>
        </w:rPr>
        <w:t>- 84 -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44A6B802">
      <w:pPr>
        <w:pStyle w:val="23"/>
        <w:keepNext w:val="0"/>
        <w:keepLines w:val="0"/>
        <w:pageBreakBefore w:val="0"/>
        <w:widowControl w:val="0"/>
        <w:tabs>
          <w:tab w:val="right" w:leader="dot" w:pos="8306"/>
        </w:tabs>
        <w:kinsoku/>
        <w:wordWrap/>
        <w:overflowPunct/>
        <w:topLinePunct w:val="0"/>
        <w:autoSpaceDE/>
        <w:autoSpaceDN/>
        <w:bidi w:val="0"/>
        <w:adjustRightInd/>
        <w:snapToGrid/>
        <w:spacing w:line="440" w:lineRule="exact"/>
        <w:ind w:left="238"/>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_Toc10865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二、</w:t>
      </w:r>
      <w:r>
        <w:rPr>
          <w:rFonts w:hint="eastAsia" w:ascii="宋体" w:hAnsi="宋体" w:eastAsia="宋体" w:cs="宋体"/>
          <w:bCs/>
          <w:kern w:val="2"/>
          <w:sz w:val="24"/>
          <w:szCs w:val="24"/>
          <w:highlight w:val="none"/>
          <w:lang w:val="zh-CN" w:eastAsia="zh-CN" w:bidi="ar-SA"/>
        </w:rPr>
        <w:t>联合体协议书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_Toc10865 \h </w:instrText>
      </w:r>
      <w:r>
        <w:rPr>
          <w:rFonts w:hint="eastAsia" w:ascii="宋体" w:hAnsi="宋体" w:eastAsia="宋体" w:cs="宋体"/>
          <w:sz w:val="24"/>
          <w:szCs w:val="24"/>
        </w:rPr>
        <w:fldChar w:fldCharType="separate"/>
      </w:r>
      <w:r>
        <w:rPr>
          <w:rFonts w:hint="eastAsia" w:ascii="宋体" w:hAnsi="宋体" w:eastAsia="宋体" w:cs="宋体"/>
          <w:sz w:val="24"/>
          <w:szCs w:val="24"/>
        </w:rPr>
        <w:t>- 87 -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0A33C335">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_Toc29707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zh-CN" w:eastAsia="zh-CN" w:bidi="ar-SA"/>
        </w:rPr>
        <w:t>分包意向协议书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_Toc29707 \h </w:instrText>
      </w:r>
      <w:r>
        <w:rPr>
          <w:rFonts w:hint="eastAsia" w:ascii="宋体" w:hAnsi="宋体" w:eastAsia="宋体" w:cs="宋体"/>
          <w:sz w:val="24"/>
          <w:szCs w:val="24"/>
        </w:rPr>
        <w:fldChar w:fldCharType="separate"/>
      </w:r>
      <w:r>
        <w:rPr>
          <w:rFonts w:hint="eastAsia" w:ascii="宋体" w:hAnsi="宋体" w:eastAsia="宋体" w:cs="宋体"/>
          <w:sz w:val="24"/>
          <w:szCs w:val="24"/>
        </w:rPr>
        <w:t>- 89 -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75F50E4C">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_Toc2629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四、落实政府采购政策相关证明文件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_Toc2629 \h </w:instrText>
      </w:r>
      <w:r>
        <w:rPr>
          <w:rFonts w:hint="eastAsia" w:ascii="宋体" w:hAnsi="宋体" w:eastAsia="宋体" w:cs="宋体"/>
          <w:sz w:val="24"/>
          <w:szCs w:val="24"/>
        </w:rPr>
        <w:fldChar w:fldCharType="separate"/>
      </w:r>
      <w:r>
        <w:rPr>
          <w:rFonts w:hint="eastAsia" w:ascii="宋体" w:hAnsi="宋体" w:eastAsia="宋体" w:cs="宋体"/>
          <w:sz w:val="24"/>
          <w:szCs w:val="24"/>
        </w:rPr>
        <w:t>- 91 -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2C7B63B">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_Toc24243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五、不参与围标串标承诺书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_Toc24243 \h </w:instrText>
      </w:r>
      <w:r>
        <w:rPr>
          <w:rFonts w:hint="eastAsia" w:ascii="宋体" w:hAnsi="宋体" w:eastAsia="宋体" w:cs="宋体"/>
          <w:sz w:val="24"/>
          <w:szCs w:val="24"/>
        </w:rPr>
        <w:fldChar w:fldCharType="separate"/>
      </w:r>
      <w:r>
        <w:rPr>
          <w:rFonts w:hint="eastAsia" w:ascii="宋体" w:hAnsi="宋体" w:eastAsia="宋体" w:cs="宋体"/>
          <w:sz w:val="24"/>
          <w:szCs w:val="24"/>
        </w:rPr>
        <w:t>- 104 -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66A042F8">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_Toc25539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zh-CN" w:eastAsia="zh-CN" w:bidi="ar-SA"/>
        </w:rPr>
        <w:t>其他资格证明文件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_Toc25539 \h </w:instrText>
      </w:r>
      <w:r>
        <w:rPr>
          <w:rFonts w:hint="eastAsia" w:ascii="宋体" w:hAnsi="宋体" w:eastAsia="宋体" w:cs="宋体"/>
          <w:sz w:val="24"/>
          <w:szCs w:val="24"/>
        </w:rPr>
        <w:fldChar w:fldCharType="separate"/>
      </w:r>
      <w:r>
        <w:rPr>
          <w:rFonts w:hint="eastAsia" w:ascii="宋体" w:hAnsi="宋体" w:eastAsia="宋体" w:cs="宋体"/>
          <w:sz w:val="24"/>
          <w:szCs w:val="24"/>
        </w:rPr>
        <w:t>- 105 -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4465744E">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_Toc138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_Toc24322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lang w:val="en-US" w:eastAsia="zh-CN"/>
        </w:rPr>
        <w:t>报价文件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_Toc24322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- 106 -</w:t>
      </w:r>
      <w:r>
        <w:rPr>
          <w:rFonts w:hint="eastAsia" w:ascii="宋体" w:hAnsi="宋体" w:eastAsia="宋体" w:cs="宋体"/>
          <w:b/>
          <w:bCs/>
          <w:sz w:val="24"/>
          <w:szCs w:val="24"/>
        </w:rPr>
        <w:fldChar w:fldCharType="end"/>
      </w:r>
      <w:r>
        <w:rPr>
          <w:rFonts w:hint="eastAsia" w:ascii="宋体" w:hAnsi="宋体" w:eastAsia="宋体" w:cs="宋体"/>
          <w:b/>
          <w:bCs/>
          <w:i w:val="0"/>
          <w:iCs w:val="0"/>
          <w:color w:val="auto"/>
          <w:sz w:val="24"/>
          <w:szCs w:val="24"/>
          <w:highlight w:val="none"/>
        </w:rPr>
        <w:fldChar w:fldCharType="end"/>
      </w:r>
    </w:p>
    <w:p w14:paraId="56E19E57">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_Toc15140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一、报价一览表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_Toc15140 \h </w:instrText>
      </w:r>
      <w:r>
        <w:rPr>
          <w:rFonts w:hint="eastAsia" w:ascii="宋体" w:hAnsi="宋体" w:eastAsia="宋体" w:cs="宋体"/>
          <w:sz w:val="24"/>
          <w:szCs w:val="24"/>
        </w:rPr>
        <w:fldChar w:fldCharType="separate"/>
      </w:r>
      <w:r>
        <w:rPr>
          <w:rFonts w:hint="eastAsia" w:ascii="宋体" w:hAnsi="宋体" w:eastAsia="宋体" w:cs="宋体"/>
          <w:sz w:val="24"/>
          <w:szCs w:val="24"/>
        </w:rPr>
        <w:t>- 107 -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6C8A8F79">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_Toc15952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二、已标价工程量清单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_Toc15952 \h </w:instrText>
      </w:r>
      <w:r>
        <w:rPr>
          <w:rFonts w:hint="eastAsia" w:ascii="宋体" w:hAnsi="宋体" w:eastAsia="宋体" w:cs="宋体"/>
          <w:sz w:val="24"/>
          <w:szCs w:val="24"/>
        </w:rPr>
        <w:fldChar w:fldCharType="separate"/>
      </w:r>
      <w:r>
        <w:rPr>
          <w:rFonts w:hint="eastAsia" w:ascii="宋体" w:hAnsi="宋体" w:eastAsia="宋体" w:cs="宋体"/>
          <w:sz w:val="24"/>
          <w:szCs w:val="24"/>
        </w:rPr>
        <w:t>- 108 -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781DC983">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_Toc13188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sz w:val="24"/>
          <w:szCs w:val="24"/>
          <w:highlight w:val="none"/>
        </w:rPr>
        <w:instrText xml:space="preserve"> HYPERLINK \l _Toc18288 </w:instrText>
      </w:r>
      <w:r>
        <w:rPr>
          <w:rFonts w:hint="eastAsia" w:ascii="宋体" w:hAnsi="宋体" w:eastAsia="宋体" w:cs="宋体"/>
          <w:b/>
          <w:bCs/>
          <w:i w:val="0"/>
          <w:iCs w:val="0"/>
          <w:sz w:val="24"/>
          <w:szCs w:val="24"/>
          <w:highlight w:val="none"/>
        </w:rPr>
        <w:fldChar w:fldCharType="separate"/>
      </w:r>
      <w:r>
        <w:rPr>
          <w:rFonts w:hint="eastAsia" w:ascii="宋体" w:hAnsi="宋体" w:eastAsia="宋体" w:cs="宋体"/>
          <w:b/>
          <w:bCs/>
          <w:sz w:val="24"/>
          <w:szCs w:val="24"/>
          <w:lang w:val="en-US" w:eastAsia="zh-CN"/>
        </w:rPr>
        <w:t>商务技术文件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_Toc18288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- 109 -</w:t>
      </w:r>
      <w:r>
        <w:rPr>
          <w:rFonts w:hint="eastAsia" w:ascii="宋体" w:hAnsi="宋体" w:eastAsia="宋体" w:cs="宋体"/>
          <w:b/>
          <w:bCs/>
          <w:sz w:val="24"/>
          <w:szCs w:val="24"/>
        </w:rPr>
        <w:fldChar w:fldCharType="end"/>
      </w:r>
      <w:r>
        <w:rPr>
          <w:rFonts w:hint="eastAsia" w:ascii="宋体" w:hAnsi="宋体" w:eastAsia="宋体" w:cs="宋体"/>
          <w:b/>
          <w:bCs/>
          <w:i w:val="0"/>
          <w:iCs w:val="0"/>
          <w:color w:val="auto"/>
          <w:sz w:val="24"/>
          <w:szCs w:val="24"/>
          <w:highlight w:val="none"/>
        </w:rPr>
        <w:fldChar w:fldCharType="end"/>
      </w:r>
    </w:p>
    <w:p w14:paraId="6750A1A2">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_Toc8710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一、响应函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_Toc8710 \h </w:instrText>
      </w:r>
      <w:r>
        <w:rPr>
          <w:rFonts w:hint="eastAsia" w:ascii="宋体" w:hAnsi="宋体" w:eastAsia="宋体" w:cs="宋体"/>
          <w:sz w:val="24"/>
          <w:szCs w:val="24"/>
        </w:rPr>
        <w:fldChar w:fldCharType="separate"/>
      </w:r>
      <w:r>
        <w:rPr>
          <w:rFonts w:hint="eastAsia" w:ascii="宋体" w:hAnsi="宋体" w:eastAsia="宋体" w:cs="宋体"/>
          <w:sz w:val="24"/>
          <w:szCs w:val="24"/>
        </w:rPr>
        <w:t>- 110 -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996391E">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_Toc15463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二、法定代表人（单位负责人）身份证明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_Toc15463 \h </w:instrText>
      </w:r>
      <w:r>
        <w:rPr>
          <w:rFonts w:hint="eastAsia" w:ascii="宋体" w:hAnsi="宋体" w:eastAsia="宋体" w:cs="宋体"/>
          <w:sz w:val="24"/>
          <w:szCs w:val="24"/>
        </w:rPr>
        <w:fldChar w:fldCharType="separate"/>
      </w:r>
      <w:r>
        <w:rPr>
          <w:rFonts w:hint="eastAsia" w:ascii="宋体" w:hAnsi="宋体" w:eastAsia="宋体" w:cs="宋体"/>
          <w:sz w:val="24"/>
          <w:szCs w:val="24"/>
        </w:rPr>
        <w:t>- 112 -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EB099C1">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_Toc26442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三、授权委托书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_Toc26442 \h </w:instrText>
      </w:r>
      <w:r>
        <w:rPr>
          <w:rFonts w:hint="eastAsia" w:ascii="宋体" w:hAnsi="宋体" w:eastAsia="宋体" w:cs="宋体"/>
          <w:sz w:val="24"/>
          <w:szCs w:val="24"/>
        </w:rPr>
        <w:fldChar w:fldCharType="separate"/>
      </w:r>
      <w:r>
        <w:rPr>
          <w:rFonts w:hint="eastAsia" w:ascii="宋体" w:hAnsi="宋体" w:eastAsia="宋体" w:cs="宋体"/>
          <w:sz w:val="24"/>
          <w:szCs w:val="24"/>
        </w:rPr>
        <w:t>- 113 -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CFCA25D">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_Toc20288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四、</w:t>
      </w:r>
      <w:r>
        <w:rPr>
          <w:rFonts w:hint="eastAsia" w:ascii="宋体" w:hAnsi="宋体" w:eastAsia="宋体" w:cs="宋体"/>
          <w:bCs/>
          <w:i w:val="0"/>
          <w:iCs w:val="0"/>
          <w:kern w:val="2"/>
          <w:sz w:val="24"/>
          <w:szCs w:val="24"/>
          <w:highlight w:val="none"/>
          <w:lang w:val="zh-CN" w:eastAsia="zh-CN" w:bidi="ar-SA"/>
        </w:rPr>
        <w:t>政府采购供应商廉洁自律承诺书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_Toc20288 \h </w:instrText>
      </w:r>
      <w:r>
        <w:rPr>
          <w:rFonts w:hint="eastAsia" w:ascii="宋体" w:hAnsi="宋体" w:eastAsia="宋体" w:cs="宋体"/>
          <w:sz w:val="24"/>
          <w:szCs w:val="24"/>
        </w:rPr>
        <w:fldChar w:fldCharType="separate"/>
      </w:r>
      <w:r>
        <w:rPr>
          <w:rFonts w:hint="eastAsia" w:ascii="宋体" w:hAnsi="宋体" w:eastAsia="宋体" w:cs="宋体"/>
          <w:sz w:val="24"/>
          <w:szCs w:val="24"/>
        </w:rPr>
        <w:t>- 114 -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EA1135E">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_Toc6515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sz w:val="24"/>
          <w:szCs w:val="24"/>
          <w:lang w:val="en-US" w:eastAsia="zh-CN"/>
        </w:rPr>
        <w:t>五、实质性响应一览表</w:t>
      </w:r>
      <w:r>
        <w:rPr>
          <w:rFonts w:hint="eastAsia" w:ascii="宋体" w:hAnsi="宋体" w:eastAsia="宋体" w:cs="宋体"/>
          <w:sz w:val="24"/>
          <w:szCs w:val="24"/>
          <w:lang w:val="zh-CN" w:eastAsia="zh-CN"/>
        </w:rPr>
        <w:t>【</w:t>
      </w:r>
      <w:r>
        <w:rPr>
          <w:rFonts w:hint="eastAsia" w:ascii="宋体" w:hAnsi="宋体" w:eastAsia="宋体" w:cs="宋体"/>
          <w:sz w:val="24"/>
          <w:szCs w:val="24"/>
          <w:lang w:val="en-US" w:eastAsia="zh-CN"/>
        </w:rPr>
        <w:t>本表须与第四章的一致】</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_Toc6515 \h </w:instrText>
      </w:r>
      <w:r>
        <w:rPr>
          <w:rFonts w:hint="eastAsia" w:ascii="宋体" w:hAnsi="宋体" w:eastAsia="宋体" w:cs="宋体"/>
          <w:sz w:val="24"/>
          <w:szCs w:val="24"/>
        </w:rPr>
        <w:fldChar w:fldCharType="separate"/>
      </w:r>
      <w:r>
        <w:rPr>
          <w:rFonts w:hint="eastAsia" w:ascii="宋体" w:hAnsi="宋体" w:eastAsia="宋体" w:cs="宋体"/>
          <w:sz w:val="24"/>
          <w:szCs w:val="24"/>
        </w:rPr>
        <w:t>- 115 -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23CEE07">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_Toc16585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六、商务响应偏离表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_Toc16585 \h </w:instrText>
      </w:r>
      <w:r>
        <w:rPr>
          <w:rFonts w:hint="eastAsia" w:ascii="宋体" w:hAnsi="宋体" w:eastAsia="宋体" w:cs="宋体"/>
          <w:sz w:val="24"/>
          <w:szCs w:val="24"/>
        </w:rPr>
        <w:fldChar w:fldCharType="separate"/>
      </w:r>
      <w:r>
        <w:rPr>
          <w:rFonts w:hint="eastAsia" w:ascii="宋体" w:hAnsi="宋体" w:eastAsia="宋体" w:cs="宋体"/>
          <w:sz w:val="24"/>
          <w:szCs w:val="24"/>
        </w:rPr>
        <w:t>- 116 -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D7D779B">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_Toc21605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七、业绩证明文件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_Toc21605 \h </w:instrText>
      </w:r>
      <w:r>
        <w:rPr>
          <w:rFonts w:hint="eastAsia" w:ascii="宋体" w:hAnsi="宋体" w:eastAsia="宋体" w:cs="宋体"/>
          <w:sz w:val="24"/>
          <w:szCs w:val="24"/>
        </w:rPr>
        <w:fldChar w:fldCharType="separate"/>
      </w:r>
      <w:r>
        <w:rPr>
          <w:rFonts w:hint="eastAsia" w:ascii="宋体" w:hAnsi="宋体" w:eastAsia="宋体" w:cs="宋体"/>
          <w:sz w:val="24"/>
          <w:szCs w:val="24"/>
        </w:rPr>
        <w:t>- 117 -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3AA650DC">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_Toc27235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八、拟派项目团队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_Toc27235 \h </w:instrText>
      </w:r>
      <w:r>
        <w:rPr>
          <w:rFonts w:hint="eastAsia" w:ascii="宋体" w:hAnsi="宋体" w:eastAsia="宋体" w:cs="宋体"/>
          <w:sz w:val="24"/>
          <w:szCs w:val="24"/>
        </w:rPr>
        <w:fldChar w:fldCharType="separate"/>
      </w:r>
      <w:r>
        <w:rPr>
          <w:rFonts w:hint="eastAsia" w:ascii="宋体" w:hAnsi="宋体" w:eastAsia="宋体" w:cs="宋体"/>
          <w:sz w:val="24"/>
          <w:szCs w:val="24"/>
        </w:rPr>
        <w:t>- 118 -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A92777B">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_Toc11494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九、技术响应偏离表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_Toc11494 \h </w:instrText>
      </w:r>
      <w:r>
        <w:rPr>
          <w:rFonts w:hint="eastAsia" w:ascii="宋体" w:hAnsi="宋体" w:eastAsia="宋体" w:cs="宋体"/>
          <w:sz w:val="24"/>
          <w:szCs w:val="24"/>
        </w:rPr>
        <w:fldChar w:fldCharType="separate"/>
      </w:r>
      <w:r>
        <w:rPr>
          <w:rFonts w:hint="eastAsia" w:ascii="宋体" w:hAnsi="宋体" w:eastAsia="宋体" w:cs="宋体"/>
          <w:sz w:val="24"/>
          <w:szCs w:val="24"/>
        </w:rPr>
        <w:t>- 119 -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1E636A01">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_Toc13078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十、技术方案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_Toc13078 \h </w:instrText>
      </w:r>
      <w:r>
        <w:rPr>
          <w:rFonts w:hint="eastAsia" w:ascii="宋体" w:hAnsi="宋体" w:eastAsia="宋体" w:cs="宋体"/>
          <w:sz w:val="24"/>
          <w:szCs w:val="24"/>
        </w:rPr>
        <w:fldChar w:fldCharType="separate"/>
      </w:r>
      <w:r>
        <w:rPr>
          <w:rFonts w:hint="eastAsia" w:ascii="宋体" w:hAnsi="宋体" w:eastAsia="宋体" w:cs="宋体"/>
          <w:sz w:val="24"/>
          <w:szCs w:val="24"/>
        </w:rPr>
        <w:t>- 120 -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584D4A19">
      <w:pPr>
        <w:pStyle w:val="23"/>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sz w:val="24"/>
          <w:szCs w:val="24"/>
          <w:highlight w:val="none"/>
        </w:rPr>
        <w:instrText xml:space="preserve"> HYPERLINK \l _Toc26060 </w:instrText>
      </w:r>
      <w:r>
        <w:rPr>
          <w:rFonts w:hint="eastAsia" w:ascii="宋体" w:hAnsi="宋体" w:eastAsia="宋体" w:cs="宋体"/>
          <w:i w:val="0"/>
          <w:iCs w:val="0"/>
          <w:sz w:val="24"/>
          <w:szCs w:val="24"/>
          <w:highlight w:val="none"/>
        </w:rPr>
        <w:fldChar w:fldCharType="separate"/>
      </w:r>
      <w:r>
        <w:rPr>
          <w:rFonts w:hint="eastAsia" w:ascii="宋体" w:hAnsi="宋体" w:eastAsia="宋体" w:cs="宋体"/>
          <w:bCs/>
          <w:i w:val="0"/>
          <w:iCs w:val="0"/>
          <w:kern w:val="2"/>
          <w:sz w:val="24"/>
          <w:szCs w:val="24"/>
          <w:highlight w:val="none"/>
          <w:lang w:val="en-US" w:eastAsia="zh-CN" w:bidi="ar-SA"/>
        </w:rPr>
        <w:t>十一、其他文件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_Toc26060 \h </w:instrText>
      </w:r>
      <w:r>
        <w:rPr>
          <w:rFonts w:hint="eastAsia" w:ascii="宋体" w:hAnsi="宋体" w:eastAsia="宋体" w:cs="宋体"/>
          <w:sz w:val="24"/>
          <w:szCs w:val="24"/>
        </w:rPr>
        <w:fldChar w:fldCharType="separate"/>
      </w:r>
      <w:r>
        <w:rPr>
          <w:rFonts w:hint="eastAsia" w:ascii="宋体" w:hAnsi="宋体" w:eastAsia="宋体" w:cs="宋体"/>
          <w:sz w:val="24"/>
          <w:szCs w:val="24"/>
        </w:rPr>
        <w:t>- 121 -</w:t>
      </w:r>
      <w:r>
        <w:rPr>
          <w:rFonts w:hint="eastAsia" w:ascii="宋体" w:hAnsi="宋体" w:eastAsia="宋体" w:cs="宋体"/>
          <w:sz w:val="24"/>
          <w:szCs w:val="24"/>
        </w:rPr>
        <w:fldChar w:fldCharType="end"/>
      </w:r>
      <w:r>
        <w:rPr>
          <w:rFonts w:hint="eastAsia" w:ascii="宋体" w:hAnsi="宋体" w:eastAsia="宋体" w:cs="宋体"/>
          <w:i w:val="0"/>
          <w:iCs w:val="0"/>
          <w:color w:val="auto"/>
          <w:sz w:val="24"/>
          <w:szCs w:val="24"/>
          <w:highlight w:val="none"/>
        </w:rPr>
        <w:fldChar w:fldCharType="end"/>
      </w:r>
    </w:p>
    <w:p w14:paraId="4D90D7D4">
      <w:pPr>
        <w:outlineLvl w:val="1"/>
        <w:rPr>
          <w:rFonts w:ascii="黑体" w:hAnsi="黑体" w:eastAsia="黑体"/>
          <w:i w:val="0"/>
          <w:iCs w:val="0"/>
          <w:color w:val="auto"/>
          <w:sz w:val="32"/>
          <w:szCs w:val="32"/>
          <w:highlight w:val="none"/>
        </w:rPr>
      </w:pPr>
      <w:r>
        <w:rPr>
          <w:i w:val="0"/>
          <w:iCs w:val="0"/>
          <w:color w:val="auto"/>
          <w:highlight w:val="none"/>
        </w:rPr>
        <w:fldChar w:fldCharType="end"/>
      </w:r>
    </w:p>
    <w:p w14:paraId="281C2E4C">
      <w:pPr>
        <w:jc w:val="center"/>
        <w:outlineLvl w:val="1"/>
        <w:rPr>
          <w:rFonts w:ascii="黑体" w:hAnsi="黑体" w:eastAsia="黑体"/>
          <w:i w:val="0"/>
          <w:iCs w:val="0"/>
          <w:color w:val="auto"/>
          <w:sz w:val="32"/>
          <w:szCs w:val="32"/>
          <w:highlight w:val="none"/>
        </w:rPr>
        <w:sectPr>
          <w:headerReference r:id="rId7" w:type="default"/>
          <w:pgSz w:w="11906" w:h="16838"/>
          <w:pgMar w:top="1440" w:right="1800" w:bottom="1440" w:left="1800" w:header="851" w:footer="992" w:gutter="0"/>
          <w:pgNumType w:fmt="decimal"/>
          <w:cols w:space="425" w:num="1"/>
          <w:docGrid w:type="lines" w:linePitch="312" w:charSpace="0"/>
        </w:sectPr>
      </w:pPr>
    </w:p>
    <w:p w14:paraId="6625B40F">
      <w:pPr>
        <w:pStyle w:val="2"/>
        <w:keepNext/>
        <w:keepLines/>
        <w:pageBreakBefore w:val="0"/>
        <w:widowControl w:val="0"/>
        <w:numPr>
          <w:ilvl w:val="0"/>
          <w:numId w:val="0"/>
        </w:numPr>
        <w:kinsoku/>
        <w:wordWrap/>
        <w:overflowPunct/>
        <w:topLinePunct w:val="0"/>
        <w:autoSpaceDE/>
        <w:autoSpaceDN/>
        <w:bidi w:val="0"/>
        <w:adjustRightInd/>
        <w:snapToGrid/>
        <w:spacing w:before="100" w:after="90" w:line="360" w:lineRule="auto"/>
        <w:ind w:left="420" w:leftChars="0" w:hanging="420" w:firstLineChars="0"/>
        <w:textAlignment w:val="auto"/>
        <w:rPr>
          <w:color w:val="auto"/>
          <w:highlight w:val="none"/>
        </w:rPr>
      </w:pPr>
      <w:bookmarkStart w:id="0" w:name="_Toc5467"/>
      <w:bookmarkStart w:id="1" w:name="_Toc9638"/>
      <w:r>
        <w:rPr>
          <w:rFonts w:hint="eastAsia" w:ascii="宋体" w:hAnsi="宋体" w:eastAsia="宋体" w:cs="宋体"/>
          <w:b/>
          <w:bCs/>
          <w:color w:val="auto"/>
          <w:kern w:val="44"/>
          <w:sz w:val="36"/>
          <w:szCs w:val="36"/>
          <w:highlight w:val="none"/>
          <w:lang w:val="en-US" w:eastAsia="zh-CN" w:bidi="ar-SA"/>
        </w:rPr>
        <w:t xml:space="preserve">第一章 </w:t>
      </w:r>
      <w:r>
        <w:rPr>
          <w:rFonts w:hint="eastAsia" w:ascii="宋体" w:hAnsi="宋体" w:eastAsia="宋体" w:cs="宋体"/>
          <w:color w:val="auto"/>
          <w:sz w:val="36"/>
          <w:szCs w:val="36"/>
          <w:highlight w:val="none"/>
        </w:rPr>
        <w:t>竞争性磋商</w:t>
      </w:r>
      <w:r>
        <w:rPr>
          <w:rFonts w:hint="eastAsia" w:ascii="宋体" w:hAnsi="宋体" w:eastAsia="宋体" w:cs="宋体"/>
          <w:color w:val="auto"/>
          <w:sz w:val="36"/>
          <w:szCs w:val="36"/>
          <w:highlight w:val="none"/>
          <w:lang w:val="en-US" w:eastAsia="zh-CN"/>
        </w:rPr>
        <w:t>公告</w:t>
      </w:r>
      <w:bookmarkEnd w:id="0"/>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B377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CA4AEAD">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olor w:val="auto"/>
                <w:sz w:val="24"/>
                <w:szCs w:val="24"/>
                <w:highlight w:val="none"/>
                <w:lang w:val="en-US" w:eastAsia="zh-CN"/>
              </w:rPr>
            </w:pPr>
            <w:bookmarkStart w:id="2" w:name="_Toc1785"/>
            <w:bookmarkStart w:id="3" w:name="_Toc1661"/>
            <w:bookmarkStart w:id="4" w:name="_Toc109899829"/>
            <w:bookmarkStart w:id="5" w:name="_Toc35393629"/>
            <w:bookmarkStart w:id="6" w:name="_Toc109899410"/>
            <w:bookmarkStart w:id="7" w:name="_Toc109900248"/>
            <w:bookmarkStart w:id="8" w:name="_Toc140132745"/>
            <w:bookmarkStart w:id="9" w:name="_Toc155185860"/>
            <w:bookmarkStart w:id="10" w:name="_Toc35393798"/>
            <w:bookmarkStart w:id="11" w:name="_Toc44583628"/>
            <w:bookmarkStart w:id="12" w:name="_Toc28359012"/>
            <w:bookmarkStart w:id="13" w:name="_Toc28359089"/>
            <w:bookmarkStart w:id="14" w:name="_Toc163492812"/>
            <w:r>
              <w:rPr>
                <w:rFonts w:hint="eastAsia"/>
                <w:color w:val="auto"/>
                <w:sz w:val="24"/>
                <w:szCs w:val="24"/>
                <w:highlight w:val="none"/>
                <w:lang w:val="en-US" w:eastAsia="zh-CN"/>
              </w:rPr>
              <w:t>项目概况：</w:t>
            </w:r>
            <w:bookmarkEnd w:id="2"/>
            <w:bookmarkEnd w:id="3"/>
          </w:p>
          <w:p w14:paraId="6E3F83A4">
            <w:pPr>
              <w:ind w:firstLine="480" w:firstLineChars="200"/>
              <w:rPr>
                <w:rFonts w:hint="default"/>
                <w:color w:val="auto"/>
                <w:highlight w:val="none"/>
                <w:lang w:val="en-US" w:eastAsia="zh-CN"/>
              </w:rPr>
            </w:pPr>
            <w:r>
              <w:rPr>
                <w:rFonts w:hint="eastAsia"/>
                <w:lang w:eastAsia="zh-CN"/>
              </w:rPr>
              <w:t>巴州巩乃斯国有林管理局2025年林业草原改革发展资金森林草原防火项目</w:t>
            </w:r>
            <w:r>
              <w:t>项目</w:t>
            </w:r>
            <w:r>
              <w:rPr>
                <w:rFonts w:hint="default" w:ascii="宋体" w:hAnsi="宋体" w:eastAsia="宋体" w:cstheme="minorBidi"/>
                <w:i w:val="0"/>
                <w:iCs w:val="0"/>
                <w:color w:val="auto"/>
                <w:kern w:val="2"/>
                <w:sz w:val="24"/>
                <w:szCs w:val="22"/>
                <w:highlight w:val="none"/>
                <w:u w:val="none"/>
                <w:lang w:val="en-US" w:eastAsia="zh-CN" w:bidi="ar-SA"/>
              </w:rPr>
              <w:t>采购项目的潜在供应商应在</w:t>
            </w:r>
            <w:r>
              <w:rPr>
                <w:rFonts w:hint="eastAsia" w:cstheme="minorBidi"/>
                <w:i w:val="0"/>
                <w:iCs w:val="0"/>
                <w:color w:val="auto"/>
                <w:kern w:val="2"/>
                <w:sz w:val="24"/>
                <w:szCs w:val="22"/>
                <w:highlight w:val="none"/>
                <w:u w:val="none"/>
                <w:lang w:val="en-US" w:eastAsia="zh-CN" w:bidi="ar-SA"/>
              </w:rPr>
              <w:t>新疆政府采购网</w:t>
            </w:r>
            <w:r>
              <w:rPr>
                <w:rFonts w:hint="eastAsia" w:cs="宋体"/>
                <w:color w:val="auto"/>
                <w:sz w:val="24"/>
                <w:szCs w:val="24"/>
                <w:highlight w:val="none"/>
                <w:lang w:val="hr-HR" w:eastAsia="zh-CN"/>
              </w:rPr>
              <w:t>http://www.ccgp-xinjiang.gov.cn</w:t>
            </w:r>
            <w:r>
              <w:rPr>
                <w:rFonts w:hint="default" w:ascii="宋体" w:hAnsi="宋体" w:eastAsia="宋体" w:cstheme="minorBidi"/>
                <w:i w:val="0"/>
                <w:iCs w:val="0"/>
                <w:color w:val="auto"/>
                <w:kern w:val="2"/>
                <w:sz w:val="24"/>
                <w:szCs w:val="22"/>
                <w:highlight w:val="none"/>
                <w:u w:val="single"/>
                <w:lang w:val="en-US" w:eastAsia="zh-CN" w:bidi="ar-SA"/>
              </w:rPr>
              <w:t>（地址）</w:t>
            </w:r>
            <w:r>
              <w:rPr>
                <w:rFonts w:hint="default" w:ascii="宋体" w:hAnsi="宋体" w:eastAsia="宋体" w:cstheme="minorBidi"/>
                <w:i w:val="0"/>
                <w:iCs w:val="0"/>
                <w:color w:val="auto"/>
                <w:kern w:val="2"/>
                <w:sz w:val="24"/>
                <w:szCs w:val="22"/>
                <w:highlight w:val="none"/>
                <w:u w:val="none"/>
                <w:lang w:val="en-US" w:eastAsia="zh-CN" w:bidi="ar-SA"/>
              </w:rPr>
              <w:t>获取采购文件，并于</w:t>
            </w:r>
            <w:r>
              <w:rPr>
                <w:rFonts w:hint="eastAsia" w:cstheme="minorBidi"/>
                <w:i w:val="0"/>
                <w:iCs w:val="0"/>
                <w:color w:val="auto"/>
                <w:kern w:val="2"/>
                <w:sz w:val="24"/>
                <w:szCs w:val="22"/>
                <w:highlight w:val="none"/>
                <w:u w:val="single"/>
                <w:lang w:val="en-US" w:eastAsia="zh-CN" w:bidi="ar-SA"/>
              </w:rPr>
              <w:t>2025</w:t>
            </w:r>
            <w:r>
              <w:rPr>
                <w:rFonts w:hint="default" w:ascii="宋体" w:hAnsi="宋体" w:eastAsia="宋体" w:cstheme="minorBidi"/>
                <w:i w:val="0"/>
                <w:iCs w:val="0"/>
                <w:color w:val="auto"/>
                <w:kern w:val="2"/>
                <w:sz w:val="24"/>
                <w:szCs w:val="22"/>
                <w:highlight w:val="none"/>
                <w:u w:val="single"/>
                <w:lang w:val="en-US" w:eastAsia="zh-CN" w:bidi="ar-SA"/>
              </w:rPr>
              <w:t>年</w:t>
            </w:r>
            <w:r>
              <w:rPr>
                <w:rFonts w:hint="eastAsia" w:cstheme="minorBidi"/>
                <w:i w:val="0"/>
                <w:iCs w:val="0"/>
                <w:color w:val="auto"/>
                <w:kern w:val="2"/>
                <w:sz w:val="24"/>
                <w:szCs w:val="22"/>
                <w:highlight w:val="none"/>
                <w:u w:val="single"/>
                <w:lang w:val="en-US" w:eastAsia="zh-CN" w:bidi="ar-SA"/>
              </w:rPr>
              <w:t>4</w:t>
            </w:r>
            <w:r>
              <w:rPr>
                <w:rFonts w:hint="default" w:ascii="宋体" w:hAnsi="宋体" w:eastAsia="宋体" w:cstheme="minorBidi"/>
                <w:i w:val="0"/>
                <w:iCs w:val="0"/>
                <w:color w:val="auto"/>
                <w:kern w:val="2"/>
                <w:sz w:val="24"/>
                <w:szCs w:val="22"/>
                <w:highlight w:val="none"/>
                <w:u w:val="single"/>
                <w:lang w:val="en-US" w:eastAsia="zh-CN" w:bidi="ar-SA"/>
              </w:rPr>
              <w:t>月</w:t>
            </w:r>
            <w:r>
              <w:rPr>
                <w:rFonts w:hint="eastAsia" w:cstheme="minorBidi"/>
                <w:i w:val="0"/>
                <w:iCs w:val="0"/>
                <w:color w:val="auto"/>
                <w:kern w:val="2"/>
                <w:sz w:val="24"/>
                <w:szCs w:val="22"/>
                <w:highlight w:val="none"/>
                <w:u w:val="single"/>
                <w:lang w:val="en-US" w:eastAsia="zh-CN" w:bidi="ar-SA"/>
              </w:rPr>
              <w:t>9</w:t>
            </w:r>
            <w:r>
              <w:rPr>
                <w:rFonts w:hint="default" w:ascii="宋体" w:hAnsi="宋体" w:eastAsia="宋体" w:cstheme="minorBidi"/>
                <w:i w:val="0"/>
                <w:iCs w:val="0"/>
                <w:color w:val="auto"/>
                <w:kern w:val="2"/>
                <w:sz w:val="24"/>
                <w:szCs w:val="22"/>
                <w:highlight w:val="none"/>
                <w:u w:val="single"/>
                <w:lang w:val="en-US" w:eastAsia="zh-CN" w:bidi="ar-SA"/>
              </w:rPr>
              <w:t>日</w:t>
            </w:r>
            <w:r>
              <w:rPr>
                <w:rFonts w:hint="eastAsia" w:cstheme="minorBidi"/>
                <w:i w:val="0"/>
                <w:iCs w:val="0"/>
                <w:color w:val="auto"/>
                <w:kern w:val="2"/>
                <w:sz w:val="24"/>
                <w:szCs w:val="22"/>
                <w:highlight w:val="none"/>
                <w:u w:val="single"/>
                <w:lang w:val="en-US" w:eastAsia="zh-CN" w:bidi="ar-SA"/>
              </w:rPr>
              <w:t>11时30</w:t>
            </w:r>
            <w:r>
              <w:rPr>
                <w:rFonts w:hint="default" w:ascii="宋体" w:hAnsi="宋体" w:eastAsia="宋体" w:cstheme="minorBidi"/>
                <w:i w:val="0"/>
                <w:iCs w:val="0"/>
                <w:color w:val="auto"/>
                <w:kern w:val="2"/>
                <w:sz w:val="24"/>
                <w:szCs w:val="22"/>
                <w:highlight w:val="none"/>
                <w:u w:val="single"/>
                <w:lang w:val="en-US" w:eastAsia="zh-CN" w:bidi="ar-SA"/>
              </w:rPr>
              <w:t>分</w:t>
            </w:r>
            <w:r>
              <w:rPr>
                <w:rFonts w:hint="default" w:ascii="宋体" w:hAnsi="宋体" w:eastAsia="宋体" w:cstheme="minorBidi"/>
                <w:i w:val="0"/>
                <w:iCs w:val="0"/>
                <w:color w:val="auto"/>
                <w:kern w:val="2"/>
                <w:sz w:val="24"/>
                <w:szCs w:val="22"/>
                <w:highlight w:val="none"/>
                <w:u w:val="none"/>
                <w:lang w:val="en-US" w:eastAsia="zh-CN" w:bidi="ar-SA"/>
              </w:rPr>
              <w:t>（北京时间）前提交响应文件。</w:t>
            </w:r>
          </w:p>
        </w:tc>
      </w:tr>
    </w:tbl>
    <w:p w14:paraId="0146A7EF">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color w:val="auto"/>
          <w:sz w:val="24"/>
          <w:szCs w:val="24"/>
          <w:highlight w:val="none"/>
          <w:lang w:val="hr-HR"/>
        </w:rPr>
      </w:pPr>
      <w:bookmarkStart w:id="15" w:name="_Toc21835"/>
      <w:r>
        <w:rPr>
          <w:rFonts w:hint="eastAsia" w:ascii="宋体" w:hAnsi="宋体" w:eastAsia="宋体" w:cs="宋体"/>
          <w:b/>
          <w:bCs/>
          <w:color w:val="auto"/>
          <w:kern w:val="2"/>
          <w:sz w:val="24"/>
          <w:szCs w:val="24"/>
          <w:highlight w:val="none"/>
          <w:lang w:val="hr-HR" w:eastAsia="zh-CN" w:bidi="ar-SA"/>
        </w:rPr>
        <w:t>一、</w:t>
      </w:r>
      <w:r>
        <w:rPr>
          <w:rFonts w:hint="eastAsia" w:ascii="宋体" w:hAnsi="宋体" w:eastAsia="宋体" w:cs="宋体"/>
          <w:color w:val="auto"/>
          <w:sz w:val="24"/>
          <w:szCs w:val="24"/>
          <w:highlight w:val="none"/>
          <w:lang w:val="hr-HR"/>
        </w:rPr>
        <w:t>项目基本情况</w:t>
      </w:r>
      <w:bookmarkEnd w:id="4"/>
      <w:bookmarkEnd w:id="5"/>
      <w:bookmarkEnd w:id="6"/>
      <w:bookmarkEnd w:id="7"/>
      <w:bookmarkEnd w:id="8"/>
      <w:bookmarkEnd w:id="9"/>
      <w:bookmarkEnd w:id="10"/>
      <w:bookmarkEnd w:id="11"/>
      <w:bookmarkEnd w:id="12"/>
      <w:bookmarkEnd w:id="13"/>
      <w:bookmarkEnd w:id="14"/>
      <w:bookmarkEnd w:id="15"/>
    </w:p>
    <w:p w14:paraId="0F9C5583">
      <w:pPr>
        <w:pStyle w:val="33"/>
        <w:rPr>
          <w:rFonts w:hint="eastAsia" w:eastAsia="宋体"/>
          <w:sz w:val="24"/>
          <w:lang w:val="en-US" w:eastAsia="zh-CN"/>
        </w:rPr>
      </w:pPr>
      <w:r>
        <w:rPr>
          <w:rFonts w:hint="eastAsia" w:ascii="宋体" w:hAnsi="宋体" w:eastAsia="宋体" w:cs="宋体"/>
          <w:color w:val="auto"/>
          <w:sz w:val="24"/>
          <w:szCs w:val="24"/>
          <w:highlight w:val="none"/>
          <w:lang w:val="hr-HR"/>
        </w:rPr>
        <w:t>1.项目编号</w:t>
      </w:r>
      <w:r>
        <w:rPr>
          <w:rFonts w:hint="eastAsia" w:ascii="宋体" w:hAnsi="宋体" w:eastAsia="宋体" w:cs="宋体"/>
          <w:color w:val="auto"/>
          <w:sz w:val="24"/>
          <w:szCs w:val="24"/>
          <w:highlight w:val="none"/>
          <w:lang w:val="hr-HR" w:eastAsia="zh-CN"/>
        </w:rPr>
        <w:t>/包号</w:t>
      </w:r>
      <w:r>
        <w:rPr>
          <w:rFonts w:hint="eastAsia" w:ascii="宋体" w:hAnsi="宋体" w:eastAsia="宋体" w:cs="宋体"/>
          <w:color w:val="auto"/>
          <w:sz w:val="24"/>
          <w:szCs w:val="24"/>
          <w:highlight w:val="none"/>
          <w:lang w:val="hr-HR"/>
        </w:rPr>
        <w:t>：</w:t>
      </w:r>
      <w:r>
        <w:rPr>
          <w:rFonts w:hint="eastAsia"/>
          <w:sz w:val="24"/>
          <w:lang w:eastAsia="zh-CN"/>
        </w:rPr>
        <w:t>XJGLZB2025-019</w:t>
      </w:r>
    </w:p>
    <w:p w14:paraId="7A8C40BD">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hr-HR"/>
        </w:rPr>
        <w:t>.项目名称：</w:t>
      </w:r>
      <w:r>
        <w:rPr>
          <w:rFonts w:hint="eastAsia"/>
          <w:lang w:eastAsia="zh-CN"/>
        </w:rPr>
        <w:t>巴州巩乃斯国有林管理局2025年林业草原改革发展资金森林草原防火项目</w:t>
      </w:r>
    </w:p>
    <w:p w14:paraId="753AD042">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.采购方式：</w:t>
      </w:r>
      <w:r>
        <w:rPr>
          <w:rFonts w:hint="eastAsia" w:ascii="宋体" w:hAnsi="宋体" w:eastAsia="宋体" w:cs="宋体"/>
          <w:color w:val="auto"/>
          <w:sz w:val="24"/>
          <w:szCs w:val="24"/>
          <w:highlight w:val="none"/>
          <w:lang w:val="en-US" w:eastAsia="zh-CN"/>
        </w:rPr>
        <w:t>竞争性磋商</w:t>
      </w:r>
      <w:bookmarkStart w:id="1274" w:name="_GoBack"/>
      <w:bookmarkEnd w:id="1274"/>
    </w:p>
    <w:p w14:paraId="5A731904">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hr-HR"/>
        </w:rPr>
        <w:t>.预算金额：</w:t>
      </w:r>
      <w:r>
        <w:rPr>
          <w:rFonts w:hint="eastAsia"/>
          <w:sz w:val="24"/>
          <w:lang w:val="en-US" w:eastAsia="zh-CN"/>
        </w:rPr>
        <w:t>450000.00元</w:t>
      </w:r>
    </w:p>
    <w:p w14:paraId="207116DB">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hr-HR"/>
        </w:rPr>
        <w:t>：</w:t>
      </w:r>
      <w:r>
        <w:rPr>
          <w:rFonts w:hint="eastAsia"/>
          <w:sz w:val="24"/>
          <w:lang w:val="en-US" w:eastAsia="zh-CN"/>
        </w:rPr>
        <w:t>450000.00元</w:t>
      </w:r>
    </w:p>
    <w:p w14:paraId="601A9C8F">
      <w:pPr>
        <w:ind w:firstLine="480" w:firstLineChars="20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hr-HR"/>
        </w:rPr>
        <w:t>.采购需求：</w:t>
      </w:r>
      <w:r>
        <w:rPr>
          <w:rFonts w:hint="eastAsia"/>
          <w:spacing w:val="-10"/>
          <w:sz w:val="24"/>
          <w:lang w:eastAsia="zh-CN"/>
        </w:rPr>
        <w:t>浇筑水泥基座</w:t>
      </w:r>
      <w:r>
        <w:rPr>
          <w:rFonts w:hint="eastAsia"/>
          <w:spacing w:val="-10"/>
          <w:sz w:val="24"/>
          <w:lang w:val="en-US" w:eastAsia="zh-CN"/>
        </w:rPr>
        <w:t>并</w:t>
      </w:r>
      <w:r>
        <w:rPr>
          <w:rFonts w:hint="eastAsia"/>
          <w:spacing w:val="-10"/>
          <w:sz w:val="24"/>
          <w:lang w:eastAsia="zh-CN"/>
        </w:rPr>
        <w:t>安装1套全波三维闪电定位仪和1套火险监测仪，改善林区森林防火工作现状，提高对森林火灾的综合治理能力，变被动扑火为科学防火。</w:t>
      </w:r>
    </w:p>
    <w:p w14:paraId="563CEF1A">
      <w:pPr>
        <w:pStyle w:val="33"/>
        <w:keepNext w:val="0"/>
        <w:keepLines w:val="0"/>
        <w:pageBreakBefore w:val="0"/>
        <w:widowControl w:val="0"/>
        <w:kinsoku/>
        <w:wordWrap w:val="0"/>
        <w:overflowPunct/>
        <w:topLinePunct w:val="0"/>
        <w:autoSpaceDE/>
        <w:autoSpaceDN/>
        <w:bidi w:val="0"/>
        <w:adjustRightInd/>
        <w:snapToGrid/>
        <w:ind w:firstLine="482"/>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.合同履行期限：</w:t>
      </w:r>
      <w:r>
        <w:rPr>
          <w:rFonts w:hint="eastAsia"/>
          <w:sz w:val="24"/>
          <w:lang w:eastAsia="zh-CN"/>
        </w:rPr>
        <w:t>自合同签订</w:t>
      </w:r>
      <w:r>
        <w:rPr>
          <w:rFonts w:hint="eastAsia"/>
          <w:sz w:val="24"/>
          <w:lang w:val="en-US" w:eastAsia="zh-CN"/>
        </w:rPr>
        <w:t>至2025年8月20日完成安装调试。</w:t>
      </w:r>
    </w:p>
    <w:p w14:paraId="3C5B8A8B">
      <w:pPr>
        <w:pStyle w:val="33"/>
        <w:rPr>
          <w:rFonts w:hint="eastAsia" w:ascii="宋体" w:hAnsi="宋体" w:eastAsia="宋体" w:cs="宋体"/>
          <w:color w:val="auto"/>
          <w:sz w:val="24"/>
          <w:szCs w:val="24"/>
          <w:highlight w:val="none"/>
          <w:lang w:val="en-US" w:eastAsia="zh-CN"/>
        </w:rPr>
      </w:pPr>
      <w:bookmarkStart w:id="16" w:name="_Toc44583629"/>
      <w:bookmarkStart w:id="17" w:name="_Toc35393799"/>
      <w:bookmarkStart w:id="18" w:name="_Toc28359013"/>
      <w:bookmarkStart w:id="19" w:name="_Toc28359090"/>
      <w:bookmarkStart w:id="20" w:name="_Toc35393630"/>
      <w:r>
        <w:rPr>
          <w:rFonts w:hint="eastAsia" w:ascii="宋体" w:hAnsi="宋体" w:eastAsia="宋体" w:cs="宋体"/>
          <w:color w:val="auto"/>
          <w:sz w:val="24"/>
          <w:szCs w:val="24"/>
          <w:highlight w:val="none"/>
          <w:lang w:val="en-US" w:eastAsia="zh-CN"/>
        </w:rPr>
        <w:t>8.</w:t>
      </w:r>
      <w:bookmarkStart w:id="21" w:name="_Hlk162011358"/>
      <w:r>
        <w:rPr>
          <w:rFonts w:hint="eastAsia" w:ascii="宋体" w:hAnsi="宋体" w:eastAsia="宋体" w:cs="宋体"/>
          <w:color w:val="auto"/>
          <w:sz w:val="24"/>
          <w:szCs w:val="24"/>
          <w:highlight w:val="none"/>
          <w:lang w:val="en-US" w:eastAsia="zh-CN"/>
        </w:rPr>
        <w:t>本项目是否接受联合体：□是</w:t>
      </w:r>
      <w:bookmarkEnd w:id="21"/>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w:t>
      </w:r>
    </w:p>
    <w:p w14:paraId="1EEB1622">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22" w:name="_Toc30448"/>
      <w:bookmarkStart w:id="23" w:name="_Toc140132746"/>
      <w:bookmarkStart w:id="24" w:name="_Toc109899830"/>
      <w:bookmarkStart w:id="25" w:name="_Toc155185861"/>
      <w:bookmarkStart w:id="26" w:name="_Toc163492813"/>
      <w:bookmarkStart w:id="27" w:name="_Toc109899411"/>
      <w:bookmarkStart w:id="28" w:name="_Toc109900249"/>
      <w:r>
        <w:rPr>
          <w:rFonts w:hint="eastAsia" w:ascii="宋体" w:hAnsi="宋体" w:eastAsia="宋体" w:cs="宋体"/>
          <w:b/>
          <w:bCs/>
          <w:color w:val="auto"/>
          <w:kern w:val="2"/>
          <w:sz w:val="24"/>
          <w:szCs w:val="24"/>
          <w:highlight w:val="none"/>
          <w:lang w:val="en-US" w:eastAsia="zh-CN" w:bidi="ar-SA"/>
        </w:rPr>
        <w:t>二、申请人的</w:t>
      </w:r>
      <w:r>
        <w:rPr>
          <w:rFonts w:hint="eastAsia" w:ascii="宋体" w:hAnsi="宋体" w:eastAsia="宋体" w:cs="宋体"/>
          <w:b/>
          <w:bCs/>
          <w:color w:val="auto"/>
          <w:kern w:val="2"/>
          <w:sz w:val="24"/>
          <w:szCs w:val="24"/>
          <w:highlight w:val="none"/>
          <w:lang w:val="hr-HR" w:eastAsia="zh-CN" w:bidi="ar-SA"/>
        </w:rPr>
        <w:t>资格要求</w:t>
      </w:r>
      <w:bookmarkEnd w:id="16"/>
      <w:bookmarkEnd w:id="17"/>
      <w:bookmarkEnd w:id="18"/>
      <w:bookmarkEnd w:id="19"/>
      <w:bookmarkEnd w:id="20"/>
      <w:bookmarkEnd w:id="22"/>
      <w:bookmarkEnd w:id="23"/>
      <w:bookmarkEnd w:id="24"/>
      <w:bookmarkEnd w:id="25"/>
      <w:bookmarkEnd w:id="26"/>
      <w:bookmarkEnd w:id="27"/>
      <w:bookmarkEnd w:id="28"/>
    </w:p>
    <w:p w14:paraId="5384018C">
      <w:pPr>
        <w:ind w:firstLine="480" w:firstLineChars="200"/>
        <w:rPr>
          <w:rFonts w:hint="eastAsia" w:ascii="宋体" w:hAnsi="宋体" w:eastAsia="宋体" w:cs="宋体"/>
          <w:strike/>
          <w:dstrike w:val="0"/>
          <w:color w:val="auto"/>
          <w:sz w:val="24"/>
          <w:szCs w:val="24"/>
          <w:highlight w:val="none"/>
          <w:lang w:val="en-US" w:eastAsia="zh-CN"/>
        </w:rPr>
      </w:pPr>
      <w:bookmarkStart w:id="29" w:name="_Toc35393631"/>
      <w:bookmarkStart w:id="30" w:name="_Toc28359091"/>
      <w:bookmarkStart w:id="31" w:name="_Toc28359014"/>
      <w:bookmarkStart w:id="32" w:name="_Toc35393800"/>
      <w:bookmarkStart w:id="33" w:name="_Toc44583630"/>
      <w:r>
        <w:rPr>
          <w:rFonts w:hint="eastAsia" w:ascii="宋体" w:hAnsi="宋体" w:eastAsia="宋体" w:cs="宋体"/>
          <w:color w:val="auto"/>
          <w:sz w:val="24"/>
          <w:szCs w:val="24"/>
          <w:highlight w:val="none"/>
          <w:lang w:val="en-US" w:eastAsia="zh-CN"/>
        </w:rPr>
        <w:t>1. 满足《中华人民共和国政府采购法》第二十二条规定；</w:t>
      </w:r>
    </w:p>
    <w:p w14:paraId="07998FA8">
      <w:pPr>
        <w:pStyle w:val="37"/>
        <w:numPr>
          <w:ilvl w:val="0"/>
          <w:numId w:val="0"/>
        </w:numPr>
        <w:tabs>
          <w:tab w:val="left" w:pos="1481"/>
          <w:tab w:val="left" w:pos="8559"/>
        </w:tabs>
        <w:spacing w:before="160" w:after="0" w:line="364" w:lineRule="auto"/>
        <w:ind w:leftChars="200" w:right="-94" w:rightChars="0"/>
        <w:jc w:val="left"/>
        <w:rPr>
          <w:rFonts w:hint="eastAsia" w:ascii="宋体" w:hAnsi="宋体" w:eastAsia="宋体" w:cs="宋体"/>
          <w:color w:val="auto"/>
          <w:sz w:val="24"/>
          <w:szCs w:val="24"/>
          <w:highlight w:val="yellow"/>
          <w:u w:val="none"/>
          <w:lang w:val="en-US" w:eastAsia="zh-CN"/>
        </w:rPr>
      </w:pPr>
      <w:bookmarkStart w:id="34" w:name="_Hlk89807755"/>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.落实政府采购政策需满足的资格要求：</w:t>
      </w:r>
      <w:r>
        <w:rPr>
          <w:rFonts w:hint="eastAsia"/>
          <w:sz w:val="24"/>
          <w:highlight w:val="none"/>
          <w:lang w:val="en-US" w:eastAsia="zh-CN"/>
        </w:rPr>
        <w:t>专</w:t>
      </w:r>
      <w:r>
        <w:rPr>
          <w:rFonts w:hint="eastAsia"/>
          <w:sz w:val="24"/>
          <w:highlight w:val="none"/>
        </w:rPr>
        <w:t>门面向</w:t>
      </w:r>
      <w:r>
        <w:rPr>
          <w:rFonts w:hint="eastAsia"/>
          <w:sz w:val="24"/>
          <w:highlight w:val="none"/>
          <w:lang w:val="en-US" w:eastAsia="zh-CN"/>
        </w:rPr>
        <w:t>小微</w:t>
      </w:r>
      <w:r>
        <w:rPr>
          <w:rFonts w:hint="eastAsia"/>
          <w:sz w:val="24"/>
          <w:highlight w:val="none"/>
        </w:rPr>
        <w:t>企业采购</w:t>
      </w:r>
      <w:r>
        <w:rPr>
          <w:rFonts w:hint="eastAsia" w:ascii="宋体" w:hAnsi="宋体" w:eastAsia="宋体" w:cs="宋体"/>
          <w:color w:val="auto"/>
          <w:sz w:val="24"/>
          <w:szCs w:val="24"/>
          <w:highlight w:val="none"/>
          <w:u w:val="none"/>
          <w:lang w:val="en-US" w:eastAsia="zh-CN"/>
        </w:rPr>
        <w:t>。</w:t>
      </w:r>
    </w:p>
    <w:p w14:paraId="0449337D">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sz w:val="24"/>
        </w:rPr>
      </w:pPr>
      <w:r>
        <w:rPr>
          <w:rFonts w:hint="eastAsia"/>
          <w:sz w:val="24"/>
        </w:rPr>
        <w:t>①、财政部、国家发展改革委、生态环境部、市场监管总局《关于调整优化节能产品、环境标志产品政府采购执行机制的通知》（财库[2019]9号文）；</w:t>
      </w:r>
    </w:p>
    <w:p w14:paraId="58DBA282">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sz w:val="24"/>
        </w:rPr>
      </w:pPr>
      <w:r>
        <w:rPr>
          <w:rFonts w:hint="eastAsia"/>
          <w:sz w:val="24"/>
        </w:rPr>
        <w:t>②、财政部、生态环境部《关于印发环境标志产品政府采购品目清单的通知》（财库[2019]18号文）；</w:t>
      </w:r>
    </w:p>
    <w:p w14:paraId="181E6A70">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sz w:val="24"/>
        </w:rPr>
      </w:pPr>
      <w:r>
        <w:rPr>
          <w:rFonts w:hint="eastAsia"/>
          <w:sz w:val="24"/>
        </w:rPr>
        <w:t>③、财政部、发展改革委《关于印发节能产品政府采购品目清单的通知》（财库[2019]19号文）；</w:t>
      </w:r>
    </w:p>
    <w:p w14:paraId="6A089671">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sz w:val="24"/>
        </w:rPr>
      </w:pPr>
      <w:r>
        <w:rPr>
          <w:rFonts w:hint="eastAsia"/>
          <w:sz w:val="24"/>
        </w:rPr>
        <w:t>④、根据财政部、工业和信息化部发布的关于印发《政府采购促进中小企业发展管理办法》的通知（财库[2020]46号规定执行）；</w:t>
      </w:r>
    </w:p>
    <w:p w14:paraId="7BC90D93">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sz w:val="24"/>
        </w:rPr>
      </w:pPr>
      <w:r>
        <w:rPr>
          <w:rFonts w:hint="eastAsia"/>
          <w:sz w:val="24"/>
        </w:rPr>
        <w:t>⑤、财政部、民政部、中国残疾人联合会《关于促进残疾人就业政府采购政策的通知》（财库【2017】141号）;</w:t>
      </w:r>
    </w:p>
    <w:p w14:paraId="234EAE8C">
      <w:pPr>
        <w:pStyle w:val="37"/>
        <w:numPr>
          <w:ilvl w:val="0"/>
          <w:numId w:val="0"/>
        </w:numPr>
        <w:tabs>
          <w:tab w:val="left" w:pos="1481"/>
          <w:tab w:val="left" w:pos="8559"/>
        </w:tabs>
        <w:spacing w:before="160" w:after="0" w:line="364" w:lineRule="auto"/>
        <w:ind w:left="0" w:leftChars="0" w:right="-94" w:rightChars="0" w:firstLine="480" w:firstLineChars="200"/>
        <w:jc w:val="left"/>
        <w:rPr>
          <w:rFonts w:hint="eastAsia" w:ascii="宋体" w:hAnsi="宋体" w:eastAsia="宋体" w:cs="宋体"/>
          <w:color w:val="auto"/>
          <w:sz w:val="24"/>
          <w:szCs w:val="24"/>
          <w:highlight w:val="none"/>
          <w:u w:val="none"/>
          <w:lang w:val="en-US" w:eastAsia="zh-CN"/>
        </w:rPr>
      </w:pPr>
      <w:r>
        <w:rPr>
          <w:sz w:val="24"/>
        </w:rPr>
        <w:fldChar w:fldCharType="begin"/>
      </w:r>
      <w:r>
        <w:rPr>
          <w:sz w:val="24"/>
        </w:rPr>
        <w:instrText xml:space="preserve"> </w:instrText>
      </w:r>
      <w:r>
        <w:rPr>
          <w:rFonts w:hint="eastAsia"/>
          <w:sz w:val="24"/>
        </w:rPr>
        <w:instrText xml:space="preserve">eq \o\ac(○,6)</w:instrText>
      </w:r>
      <w:r>
        <w:rPr>
          <w:sz w:val="24"/>
        </w:rPr>
        <w:fldChar w:fldCharType="end"/>
      </w:r>
      <w:r>
        <w:rPr>
          <w:rFonts w:hint="eastAsia"/>
          <w:sz w:val="24"/>
        </w:rPr>
        <w:t xml:space="preserve"> 财政部、司法部《关于政府采购支持监狱企业发展有关问题的通知》（财库[2014]68号文）。 </w:t>
      </w:r>
    </w:p>
    <w:p w14:paraId="7A2A7C9C">
      <w:pPr>
        <w:ind w:firstLine="480" w:firstLineChars="200"/>
        <w:rPr>
          <w:rFonts w:hint="eastAsia" w:ascii="宋体" w:hAnsi="宋体" w:eastAsia="宋体" w:cs="宋体"/>
          <w:i w:val="0"/>
          <w:iCs w:val="0"/>
          <w:color w:val="auto"/>
          <w:sz w:val="24"/>
          <w:szCs w:val="24"/>
          <w:highlight w:val="none"/>
          <w:u w:val="single"/>
          <w:lang w:val="en-US" w:eastAsia="zh-CN"/>
        </w:rPr>
      </w:pPr>
      <w:r>
        <w:rPr>
          <w:rFonts w:hint="eastAsia" w:ascii="宋体" w:hAnsi="宋体" w:eastAsia="宋体" w:cs="宋体"/>
          <w:color w:val="auto"/>
          <w:sz w:val="24"/>
          <w:szCs w:val="24"/>
          <w:highlight w:val="none"/>
          <w:u w:val="none"/>
          <w:lang w:val="en-US" w:eastAsia="zh-CN"/>
        </w:rPr>
        <w:t>3.本项目的特定资格要求：</w:t>
      </w:r>
      <w:r>
        <w:rPr>
          <w:rFonts w:hint="eastAsia" w:cs="宋体"/>
          <w:lang w:val="en-US" w:eastAsia="zh-CN"/>
        </w:rPr>
        <w:t>/</w:t>
      </w:r>
      <w:r>
        <w:rPr>
          <w:rFonts w:hint="eastAsia" w:cs="宋体"/>
        </w:rPr>
        <w:t>。</w:t>
      </w:r>
    </w:p>
    <w:p w14:paraId="68C2FF8A">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 其他资格要求：</w:t>
      </w:r>
    </w:p>
    <w:p w14:paraId="507F6E7C">
      <w:pPr>
        <w:pStyle w:val="33"/>
        <w:rPr>
          <w:rFonts w:hint="eastAsia" w:ascii="宋体" w:hAnsi="宋体" w:eastAsia="宋体" w:cs="宋体"/>
          <w:color w:val="auto"/>
          <w:sz w:val="24"/>
          <w:szCs w:val="24"/>
          <w:highlight w:val="none"/>
          <w:lang w:val="hr-HR"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hr-HR"/>
        </w:rPr>
        <w:t>法定代表人或</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hr-HR"/>
        </w:rPr>
        <w:t>负责人为同一人或者存在</w:t>
      </w:r>
      <w:r>
        <w:rPr>
          <w:rFonts w:hint="eastAsia" w:ascii="宋体" w:hAnsi="宋体" w:eastAsia="宋体" w:cs="宋体"/>
          <w:color w:val="auto"/>
          <w:sz w:val="24"/>
          <w:szCs w:val="24"/>
          <w:highlight w:val="none"/>
          <w:lang w:val="en-US" w:eastAsia="zh-CN"/>
        </w:rPr>
        <w:t>直接</w:t>
      </w:r>
      <w:r>
        <w:rPr>
          <w:rFonts w:hint="eastAsia" w:ascii="宋体" w:hAnsi="宋体" w:eastAsia="宋体" w:cs="宋体"/>
          <w:color w:val="auto"/>
          <w:sz w:val="24"/>
          <w:szCs w:val="24"/>
          <w:highlight w:val="none"/>
          <w:lang w:val="hr-HR"/>
        </w:rPr>
        <w:t>控股、管理关系的</w:t>
      </w:r>
      <w:r>
        <w:rPr>
          <w:rFonts w:hint="eastAsia" w:ascii="宋体" w:hAnsi="宋体" w:eastAsia="宋体" w:cs="宋体"/>
          <w:color w:val="auto"/>
          <w:sz w:val="24"/>
          <w:szCs w:val="24"/>
          <w:highlight w:val="none"/>
          <w:lang w:val="en-US" w:eastAsia="zh-CN"/>
        </w:rPr>
        <w:t>不同供应商</w:t>
      </w:r>
      <w:r>
        <w:rPr>
          <w:rFonts w:hint="eastAsia" w:ascii="宋体" w:hAnsi="宋体" w:eastAsia="宋体" w:cs="宋体"/>
          <w:color w:val="auto"/>
          <w:sz w:val="24"/>
          <w:szCs w:val="24"/>
          <w:highlight w:val="none"/>
          <w:lang w:val="hr-HR"/>
        </w:rPr>
        <w:t>，不得参加同一合同项下的政府采购活动。</w:t>
      </w:r>
    </w:p>
    <w:p w14:paraId="444385D1">
      <w:pPr>
        <w:pStyle w:val="33"/>
        <w:rPr>
          <w:rFonts w:hint="eastAsia" w:ascii="宋体" w:hAnsi="宋体" w:eastAsia="宋体" w:cs="宋体"/>
          <w:color w:val="auto"/>
          <w:sz w:val="24"/>
          <w:szCs w:val="24"/>
          <w:highlight w:val="none"/>
          <w:lang w:val="hr-HR"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hr-HR"/>
        </w:rPr>
        <w:t>除单一来源采购项目外，为采购项目提供整体设计、规范编制或者项目管理、监理、检测等服务的供应商，不得再参加该采购项目的其他采购活动。</w:t>
      </w:r>
    </w:p>
    <w:p w14:paraId="4E844A00">
      <w:pPr>
        <w:ind w:firstLine="480" w:firstLineChars="200"/>
        <w:rPr>
          <w:rFonts w:hint="eastAsia" w:ascii="宋体" w:hAnsi="宋体" w:eastAsia="宋体" w:cs="宋体"/>
          <w:i w:val="0"/>
          <w:iCs w:val="0"/>
          <w:color w:val="auto"/>
          <w:sz w:val="24"/>
          <w:szCs w:val="24"/>
          <w:highlight w:val="none"/>
          <w:u w:val="single"/>
          <w:lang w:val="en-US" w:eastAsia="zh-CN"/>
        </w:rPr>
      </w:pPr>
      <w:r>
        <w:rPr>
          <w:rFonts w:hint="eastAsia" w:ascii="宋体" w:hAnsi="宋体" w:eastAsia="宋体" w:cs="宋体"/>
          <w:color w:val="auto"/>
          <w:sz w:val="24"/>
          <w:szCs w:val="24"/>
          <w:highlight w:val="none"/>
          <w:lang w:val="hr-HR"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hr-HR"/>
        </w:rPr>
        <w:t>供应商的信用行为</w:t>
      </w:r>
      <w:r>
        <w:rPr>
          <w:rFonts w:hint="eastAsia" w:ascii="宋体" w:hAnsi="宋体" w:eastAsia="宋体" w:cs="宋体"/>
          <w:color w:val="auto"/>
          <w:sz w:val="24"/>
          <w:szCs w:val="24"/>
          <w:highlight w:val="none"/>
          <w:lang w:val="hr-HR" w:eastAsia="zh-CN"/>
        </w:rPr>
        <w:t>：</w:t>
      </w:r>
      <w:r>
        <w:rPr>
          <w:rFonts w:hint="eastAsia" w:ascii="宋体" w:hAnsi="宋体" w:eastAsia="宋体" w:cs="宋体"/>
          <w:color w:val="auto"/>
          <w:sz w:val="24"/>
          <w:szCs w:val="24"/>
          <w:highlight w:val="none"/>
          <w:lang w:val="hr-HR"/>
        </w:rPr>
        <w:t>在</w:t>
      </w:r>
      <w:r>
        <w:rPr>
          <w:rFonts w:hint="eastAsia" w:ascii="宋体" w:hAnsi="宋体" w:eastAsia="宋体" w:cs="宋体"/>
          <w:color w:val="auto"/>
          <w:sz w:val="24"/>
          <w:szCs w:val="24"/>
          <w:highlight w:val="none"/>
          <w:lang w:val="en-US" w:eastAsia="zh-CN"/>
        </w:rPr>
        <w:t>资格审查阶段经查询</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eastAsia="zh-CN"/>
        </w:rPr>
        <w:t>未被列入“失信被执行人”、“重大税收违法失信主体”、“政府采购严重违法失信行为记录名单”</w:t>
      </w:r>
      <w:r>
        <w:rPr>
          <w:rFonts w:hint="eastAsia" w:ascii="宋体" w:hAnsi="宋体" w:eastAsia="宋体" w:cs="宋体"/>
          <w:color w:val="auto"/>
          <w:sz w:val="24"/>
          <w:szCs w:val="24"/>
          <w:highlight w:val="none"/>
          <w:lang w:val="hr-HR"/>
        </w:rPr>
        <w:t>其中之一。如有以上不良信用记录</w:t>
      </w:r>
      <w:r>
        <w:rPr>
          <w:rFonts w:hint="eastAsia" w:ascii="宋体" w:hAnsi="宋体" w:eastAsia="宋体" w:cs="宋体"/>
          <w:color w:val="auto"/>
          <w:sz w:val="24"/>
          <w:szCs w:val="24"/>
          <w:highlight w:val="none"/>
          <w:lang w:val="en-US" w:eastAsia="zh-CN"/>
        </w:rPr>
        <w:t>之一的，</w:t>
      </w:r>
      <w:r>
        <w:rPr>
          <w:rFonts w:hint="eastAsia" w:ascii="宋体" w:hAnsi="宋体" w:eastAsia="宋体" w:cs="宋体"/>
          <w:color w:val="auto"/>
          <w:sz w:val="24"/>
          <w:szCs w:val="24"/>
          <w:highlight w:val="none"/>
          <w:lang w:val="hr-HR"/>
        </w:rPr>
        <w:t>其</w:t>
      </w:r>
      <w:r>
        <w:rPr>
          <w:rFonts w:hint="eastAsia" w:ascii="宋体" w:hAnsi="宋体" w:eastAsia="宋体" w:cs="宋体"/>
          <w:b/>
          <w:bCs/>
          <w:color w:val="auto"/>
          <w:sz w:val="24"/>
          <w:szCs w:val="24"/>
          <w:highlight w:val="none"/>
          <w:lang w:val="en-US" w:eastAsia="zh-CN"/>
        </w:rPr>
        <w:t>响应无效</w:t>
      </w:r>
      <w:r>
        <w:rPr>
          <w:rFonts w:hint="eastAsia" w:ascii="宋体" w:hAnsi="宋体" w:eastAsia="宋体" w:cs="宋体"/>
          <w:color w:val="auto"/>
          <w:sz w:val="24"/>
          <w:szCs w:val="24"/>
          <w:highlight w:val="none"/>
          <w:lang w:val="hr-HR"/>
        </w:rPr>
        <w:t>。</w:t>
      </w:r>
    </w:p>
    <w:bookmarkEnd w:id="34"/>
    <w:p w14:paraId="17F1ED43">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35" w:name="_Toc109900250"/>
      <w:bookmarkStart w:id="36" w:name="_Toc109899412"/>
      <w:bookmarkStart w:id="37" w:name="_Toc109899831"/>
      <w:bookmarkStart w:id="38" w:name="_Toc163492814"/>
      <w:bookmarkStart w:id="39" w:name="_Toc18883"/>
      <w:bookmarkStart w:id="40" w:name="_Toc140132747"/>
      <w:bookmarkStart w:id="41" w:name="_Toc155185862"/>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w:t>
      </w:r>
      <w:r>
        <w:rPr>
          <w:rFonts w:hint="eastAsia" w:ascii="宋体" w:hAnsi="宋体" w:eastAsia="宋体" w:cs="宋体"/>
          <w:b/>
          <w:bCs/>
          <w:color w:val="auto"/>
          <w:kern w:val="2"/>
          <w:sz w:val="24"/>
          <w:szCs w:val="24"/>
          <w:highlight w:val="none"/>
          <w:lang w:val="en-US" w:eastAsia="zh-CN" w:bidi="ar-SA"/>
        </w:rPr>
        <w:t>采购</w:t>
      </w:r>
      <w:r>
        <w:rPr>
          <w:rFonts w:hint="eastAsia" w:ascii="宋体" w:hAnsi="宋体" w:eastAsia="宋体" w:cs="宋体"/>
          <w:b/>
          <w:bCs/>
          <w:color w:val="auto"/>
          <w:kern w:val="2"/>
          <w:sz w:val="24"/>
          <w:szCs w:val="24"/>
          <w:highlight w:val="none"/>
          <w:lang w:val="hr-HR" w:eastAsia="zh-CN" w:bidi="ar-SA"/>
        </w:rPr>
        <w:t>文件</w:t>
      </w:r>
      <w:bookmarkEnd w:id="29"/>
      <w:bookmarkEnd w:id="30"/>
      <w:bookmarkEnd w:id="31"/>
      <w:bookmarkEnd w:id="32"/>
      <w:bookmarkEnd w:id="33"/>
      <w:bookmarkEnd w:id="35"/>
      <w:bookmarkEnd w:id="36"/>
      <w:bookmarkEnd w:id="37"/>
      <w:bookmarkEnd w:id="38"/>
      <w:bookmarkEnd w:id="39"/>
      <w:bookmarkEnd w:id="40"/>
      <w:bookmarkEnd w:id="41"/>
      <w:r>
        <w:rPr>
          <w:rFonts w:hint="eastAsia" w:ascii="宋体" w:hAnsi="宋体" w:eastAsia="宋体" w:cs="宋体"/>
          <w:b/>
          <w:bCs/>
          <w:color w:val="auto"/>
          <w:kern w:val="2"/>
          <w:sz w:val="24"/>
          <w:szCs w:val="24"/>
          <w:highlight w:val="none"/>
          <w:lang w:val="hr-HR" w:eastAsia="zh-CN" w:bidi="ar-SA"/>
        </w:rPr>
        <w:t xml:space="preserve"> </w:t>
      </w:r>
    </w:p>
    <w:p w14:paraId="00DDA62B">
      <w:pPr>
        <w:pStyle w:val="33"/>
        <w:rPr>
          <w:rFonts w:hint="eastAsia" w:ascii="宋体" w:hAnsi="宋体" w:eastAsia="宋体" w:cs="宋体"/>
          <w:i w:val="0"/>
          <w:iCs w:val="0"/>
          <w:color w:val="auto"/>
          <w:sz w:val="24"/>
          <w:szCs w:val="24"/>
          <w:highlight w:val="none"/>
          <w:u w:val="none"/>
        </w:rPr>
      </w:pPr>
      <w:bookmarkStart w:id="42" w:name="_Hlk130457234"/>
      <w:bookmarkStart w:id="43" w:name="_Hlk130457261"/>
      <w:bookmarkStart w:id="44" w:name="_Toc28359015"/>
      <w:bookmarkStart w:id="45" w:name="_Toc35393632"/>
      <w:bookmarkStart w:id="46" w:name="_Toc35393801"/>
      <w:bookmarkStart w:id="47" w:name="_Hlk130457327"/>
      <w:bookmarkStart w:id="48" w:name="_Toc28359092"/>
      <w:r>
        <w:rPr>
          <w:rFonts w:hint="eastAsia" w:ascii="宋体" w:hAnsi="宋体" w:eastAsia="宋体" w:cs="宋体"/>
          <w:i w:val="0"/>
          <w:iCs w:val="0"/>
          <w:color w:val="auto"/>
          <w:sz w:val="24"/>
          <w:szCs w:val="24"/>
          <w:highlight w:val="none"/>
          <w:lang w:val="hr-HR"/>
        </w:rPr>
        <w:t>1.时间：</w:t>
      </w:r>
      <w:r>
        <w:rPr>
          <w:rFonts w:hint="eastAsia" w:cs="宋体"/>
          <w:i w:val="0"/>
          <w:iCs w:val="0"/>
          <w:color w:val="auto"/>
          <w:sz w:val="24"/>
          <w:szCs w:val="24"/>
          <w:highlight w:val="none"/>
          <w:u w:val="single"/>
          <w:lang w:val="en-US" w:eastAsia="zh-CN"/>
        </w:rPr>
        <w:t>2025</w:t>
      </w:r>
      <w:r>
        <w:rPr>
          <w:rFonts w:hint="eastAsia" w:ascii="宋体" w:hAnsi="宋体" w:eastAsia="宋体" w:cs="宋体"/>
          <w:i w:val="0"/>
          <w:iCs w:val="0"/>
          <w:color w:val="auto"/>
          <w:sz w:val="24"/>
          <w:szCs w:val="24"/>
          <w:highlight w:val="none"/>
          <w:u w:val="single"/>
        </w:rPr>
        <w:t>年</w:t>
      </w:r>
      <w:r>
        <w:rPr>
          <w:rFonts w:hint="eastAsia"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rPr>
        <w:t>月</w:t>
      </w:r>
      <w:r>
        <w:rPr>
          <w:rFonts w:hint="eastAsia" w:cs="宋体"/>
          <w:i w:val="0"/>
          <w:iCs w:val="0"/>
          <w:color w:val="auto"/>
          <w:sz w:val="24"/>
          <w:szCs w:val="24"/>
          <w:highlight w:val="none"/>
          <w:u w:val="single"/>
          <w:lang w:val="en-US" w:eastAsia="zh-CN"/>
        </w:rPr>
        <w:t>28</w:t>
      </w:r>
      <w:r>
        <w:rPr>
          <w:rFonts w:hint="eastAsia" w:ascii="宋体" w:hAnsi="宋体" w:eastAsia="宋体" w:cs="宋体"/>
          <w:i w:val="0"/>
          <w:iCs w:val="0"/>
          <w:color w:val="auto"/>
          <w:sz w:val="24"/>
          <w:szCs w:val="24"/>
          <w:highlight w:val="none"/>
          <w:u w:val="single"/>
        </w:rPr>
        <w:t>日</w:t>
      </w:r>
      <w:r>
        <w:rPr>
          <w:rFonts w:hint="eastAsia" w:ascii="宋体" w:hAnsi="宋体" w:eastAsia="宋体" w:cs="宋体"/>
          <w:i w:val="0"/>
          <w:iCs w:val="0"/>
          <w:color w:val="auto"/>
          <w:sz w:val="24"/>
          <w:szCs w:val="24"/>
          <w:highlight w:val="none"/>
          <w:u w:val="none"/>
        </w:rPr>
        <w:t>至</w:t>
      </w:r>
      <w:r>
        <w:rPr>
          <w:rFonts w:hint="eastAsia" w:cs="宋体"/>
          <w:i w:val="0"/>
          <w:iCs w:val="0"/>
          <w:color w:val="auto"/>
          <w:sz w:val="24"/>
          <w:szCs w:val="24"/>
          <w:highlight w:val="none"/>
          <w:u w:val="single"/>
          <w:lang w:val="en-US" w:eastAsia="zh-CN"/>
        </w:rPr>
        <w:t>2025</w:t>
      </w:r>
      <w:r>
        <w:rPr>
          <w:rFonts w:hint="eastAsia" w:ascii="宋体" w:hAnsi="宋体" w:eastAsia="宋体" w:cs="宋体"/>
          <w:i w:val="0"/>
          <w:iCs w:val="0"/>
          <w:color w:val="auto"/>
          <w:sz w:val="24"/>
          <w:szCs w:val="24"/>
          <w:highlight w:val="none"/>
          <w:u w:val="single"/>
        </w:rPr>
        <w:t>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rPr>
        <w:t>月</w:t>
      </w:r>
      <w:r>
        <w:rPr>
          <w:rFonts w:hint="eastAsia" w:cs="宋体"/>
          <w:i w:val="0"/>
          <w:iCs w:val="0"/>
          <w:color w:val="auto"/>
          <w:sz w:val="24"/>
          <w:szCs w:val="24"/>
          <w:highlight w:val="none"/>
          <w:u w:val="single"/>
          <w:lang w:val="en-US" w:eastAsia="zh-CN"/>
        </w:rPr>
        <w:t>8日</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u w:val="single"/>
        </w:rPr>
        <w:t>磋商文件的发售期限自开始之日起不得少于5个工作日</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u w:val="none"/>
        </w:rPr>
        <w:t>，</w:t>
      </w:r>
      <w:bookmarkEnd w:id="42"/>
      <w:r>
        <w:rPr>
          <w:rFonts w:hint="eastAsia" w:ascii="宋体" w:hAnsi="宋体" w:eastAsia="宋体" w:cs="宋体"/>
          <w:i w:val="0"/>
          <w:iCs w:val="0"/>
          <w:color w:val="auto"/>
          <w:sz w:val="24"/>
          <w:szCs w:val="24"/>
          <w:highlight w:val="none"/>
          <w:u w:val="none"/>
        </w:rPr>
        <w:t>每天上午00:00至12:00，下午12:00至</w:t>
      </w:r>
      <w:r>
        <w:rPr>
          <w:rFonts w:hint="eastAsia" w:ascii="宋体" w:hAnsi="宋体" w:eastAsia="宋体" w:cs="宋体"/>
          <w:i w:val="0"/>
          <w:iCs w:val="0"/>
          <w:color w:val="auto"/>
          <w:sz w:val="24"/>
          <w:szCs w:val="24"/>
          <w:highlight w:val="none"/>
          <w:u w:val="none"/>
          <w:lang w:val="en-US" w:eastAsia="zh-CN"/>
        </w:rPr>
        <w:t>23</w:t>
      </w:r>
      <w:r>
        <w:rPr>
          <w:rFonts w:hint="eastAsia" w:ascii="宋体" w:hAnsi="宋体" w:eastAsia="宋体" w:cs="宋体"/>
          <w:i w:val="0"/>
          <w:iCs w:val="0"/>
          <w:color w:val="auto"/>
          <w:sz w:val="24"/>
          <w:szCs w:val="24"/>
          <w:highlight w:val="none"/>
          <w:u w:val="none"/>
        </w:rPr>
        <w:t>:</w:t>
      </w:r>
      <w:r>
        <w:rPr>
          <w:rFonts w:hint="eastAsia" w:ascii="宋体" w:hAnsi="宋体" w:eastAsia="宋体" w:cs="宋体"/>
          <w:i w:val="0"/>
          <w:iCs w:val="0"/>
          <w:color w:val="auto"/>
          <w:sz w:val="24"/>
          <w:szCs w:val="24"/>
          <w:highlight w:val="none"/>
          <w:u w:val="none"/>
          <w:lang w:val="en-US" w:eastAsia="zh-CN"/>
        </w:rPr>
        <w:t>59:59</w:t>
      </w:r>
      <w:r>
        <w:rPr>
          <w:rFonts w:hint="eastAsia" w:ascii="宋体" w:hAnsi="宋体" w:eastAsia="宋体" w:cs="宋体"/>
          <w:i w:val="0"/>
          <w:iCs w:val="0"/>
          <w:color w:val="auto"/>
          <w:sz w:val="24"/>
          <w:szCs w:val="24"/>
          <w:highlight w:val="none"/>
          <w:u w:val="none"/>
        </w:rPr>
        <w:t>（北京时间，法定节假日除外）</w:t>
      </w:r>
    </w:p>
    <w:p w14:paraId="34FD69CE">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val="hr-HR"/>
        </w:rPr>
        <w:t>：</w:t>
      </w:r>
      <w:bookmarkStart w:id="49" w:name="_Hlk89807779"/>
      <w:r>
        <w:rPr>
          <w:rFonts w:hint="eastAsia" w:cs="宋体"/>
          <w:color w:val="auto"/>
          <w:sz w:val="24"/>
          <w:szCs w:val="24"/>
          <w:highlight w:val="none"/>
          <w:lang w:val="en-US" w:eastAsia="zh-CN"/>
        </w:rPr>
        <w:t>新疆政府采购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w:t>
      </w:r>
      <w:r>
        <w:rPr>
          <w:rFonts w:hint="eastAsia" w:cs="宋体"/>
          <w:color w:val="auto"/>
          <w:sz w:val="24"/>
          <w:szCs w:val="24"/>
          <w:highlight w:val="none"/>
          <w:lang w:val="hr-HR" w:eastAsia="zh-CN"/>
        </w:rPr>
        <w:t>http://www.ccgp-xinjiang.gov.cn/</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w:t>
      </w:r>
      <w:bookmarkEnd w:id="49"/>
    </w:p>
    <w:p w14:paraId="42A40251">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3.</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供应商登录政采云平台</w:t>
      </w:r>
      <w:r>
        <w:rPr>
          <w:rFonts w:hint="eastAsia" w:cs="宋体"/>
          <w:color w:val="auto"/>
          <w:sz w:val="24"/>
          <w:szCs w:val="24"/>
          <w:highlight w:val="none"/>
          <w:lang w:val="hr-HR" w:eastAsia="zh-CN"/>
        </w:rPr>
        <w:t>http://www.ccgp-xinjiang.gov.cn/</w:t>
      </w:r>
      <w:r>
        <w:rPr>
          <w:rFonts w:hint="eastAsia" w:ascii="宋体" w:hAnsi="宋体" w:eastAsia="宋体" w:cs="宋体"/>
          <w:color w:val="auto"/>
          <w:sz w:val="24"/>
          <w:szCs w:val="24"/>
          <w:highlight w:val="none"/>
          <w:lang w:val="en-US"/>
        </w:rPr>
        <w:t>在线申请</w:t>
      </w:r>
      <w:r>
        <w:rPr>
          <w:rFonts w:hint="eastAsia" w:ascii="宋体" w:hAnsi="宋体" w:eastAsia="宋体" w:cs="宋体"/>
          <w:color w:val="auto"/>
          <w:sz w:val="24"/>
          <w:szCs w:val="24"/>
          <w:highlight w:val="none"/>
          <w:lang w:val="en-US" w:eastAsia="zh-CN"/>
        </w:rPr>
        <w:t>，免费</w:t>
      </w:r>
      <w:r>
        <w:rPr>
          <w:rFonts w:hint="eastAsia" w:ascii="宋体" w:hAnsi="宋体" w:eastAsia="宋体" w:cs="宋体"/>
          <w:color w:val="auto"/>
          <w:sz w:val="24"/>
          <w:szCs w:val="24"/>
          <w:highlight w:val="none"/>
          <w:lang w:val="en-US"/>
        </w:rPr>
        <w:t>获取</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en-US"/>
        </w:rPr>
        <w:t>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进入</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项目采购</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应用</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在获取采购文件菜单中选择项目</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申请获取采购文件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hr-HR"/>
        </w:rPr>
        <w:t xml:space="preserve"> </w:t>
      </w:r>
    </w:p>
    <w:p w14:paraId="72E3E98E">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rPr>
        <w:t>售价：</w:t>
      </w:r>
      <w:r>
        <w:rPr>
          <w:rFonts w:hint="eastAsia" w:ascii="宋体" w:hAnsi="宋体" w:eastAsia="宋体" w:cs="宋体"/>
          <w:color w:val="auto"/>
          <w:sz w:val="24"/>
          <w:szCs w:val="24"/>
          <w:highlight w:val="none"/>
          <w:lang w:val="en-US" w:eastAsia="zh-CN"/>
        </w:rPr>
        <w:t>0元。</w:t>
      </w:r>
    </w:p>
    <w:bookmarkEnd w:id="43"/>
    <w:bookmarkEnd w:id="44"/>
    <w:bookmarkEnd w:id="45"/>
    <w:bookmarkEnd w:id="46"/>
    <w:bookmarkEnd w:id="47"/>
    <w:bookmarkEnd w:id="48"/>
    <w:p w14:paraId="66DADC54">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50" w:name="_Toc109899413"/>
      <w:bookmarkStart w:id="51" w:name="_Toc140132748"/>
      <w:bookmarkStart w:id="52" w:name="_Toc163492815"/>
      <w:bookmarkStart w:id="53" w:name="_Toc109899832"/>
      <w:bookmarkStart w:id="54" w:name="_Toc155185863"/>
      <w:bookmarkStart w:id="55" w:name="_Toc109900251"/>
      <w:bookmarkStart w:id="56" w:name="_Toc17463"/>
      <w:r>
        <w:rPr>
          <w:rFonts w:hint="eastAsia" w:ascii="宋体" w:hAnsi="宋体" w:eastAsia="宋体" w:cs="宋体"/>
          <w:b/>
          <w:bCs/>
          <w:color w:val="auto"/>
          <w:kern w:val="2"/>
          <w:sz w:val="24"/>
          <w:szCs w:val="24"/>
          <w:highlight w:val="none"/>
          <w:lang w:val="en-US" w:eastAsia="zh-CN" w:bidi="ar-SA"/>
        </w:rPr>
        <w:t>四、</w:t>
      </w:r>
      <w:bookmarkEnd w:id="50"/>
      <w:bookmarkEnd w:id="51"/>
      <w:bookmarkEnd w:id="52"/>
      <w:bookmarkEnd w:id="53"/>
      <w:bookmarkEnd w:id="54"/>
      <w:bookmarkEnd w:id="55"/>
      <w:r>
        <w:rPr>
          <w:rFonts w:hint="eastAsia" w:ascii="宋体" w:hAnsi="宋体" w:eastAsia="宋体" w:cs="宋体"/>
          <w:b/>
          <w:bCs/>
          <w:color w:val="auto"/>
          <w:spacing w:val="-6"/>
          <w:kern w:val="2"/>
          <w:sz w:val="24"/>
          <w:szCs w:val="24"/>
          <w:highlight w:val="none"/>
          <w:lang w:val="hr-HR" w:eastAsia="zh-CN" w:bidi="ar-SA"/>
        </w:rPr>
        <w:t>响应文件提交</w:t>
      </w:r>
      <w:bookmarkEnd w:id="56"/>
    </w:p>
    <w:p w14:paraId="2D110B47">
      <w:pPr>
        <w:pStyle w:val="33"/>
        <w:rPr>
          <w:rFonts w:hint="eastAsia" w:ascii="宋体" w:hAnsi="宋体" w:eastAsia="宋体" w:cs="宋体"/>
          <w:color w:val="auto"/>
          <w:sz w:val="24"/>
          <w:szCs w:val="24"/>
          <w:highlight w:val="none"/>
        </w:rPr>
      </w:pPr>
      <w:bookmarkStart w:id="57" w:name="_Hlk130457395"/>
      <w:bookmarkStart w:id="58" w:name="_Toc44583633"/>
      <w:bookmarkStart w:id="59" w:name="_Toc35393634"/>
      <w:bookmarkStart w:id="60" w:name="_Toc28359017"/>
      <w:bookmarkStart w:id="61" w:name="_Toc35393803"/>
      <w:bookmarkStart w:id="62" w:name="_Toc28359094"/>
      <w:r>
        <w:rPr>
          <w:rFonts w:hint="eastAsia" w:ascii="宋体" w:hAnsi="宋体" w:eastAsia="宋体" w:cs="宋体"/>
          <w:color w:val="auto"/>
          <w:sz w:val="24"/>
          <w:szCs w:val="24"/>
          <w:highlight w:val="none"/>
        </w:rPr>
        <w:t>1.截止时间</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 xml:space="preserve"> 9</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11时30分</w:t>
      </w:r>
      <w:r>
        <w:rPr>
          <w:rFonts w:hint="eastAsia" w:ascii="宋体" w:hAnsi="宋体" w:eastAsia="宋体" w:cs="宋体"/>
          <w:color w:val="auto"/>
          <w:sz w:val="24"/>
          <w:szCs w:val="24"/>
          <w:highlight w:val="none"/>
        </w:rPr>
        <w:t>（北京时间）</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从磋商文件开始发出之日起至供应商提交首次响应文件截止之日止不得少于10日</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w:t>
      </w:r>
    </w:p>
    <w:p w14:paraId="68594E05">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lang w:val="en-US"/>
        </w:rPr>
        <w:t>政采云平台投标</w:t>
      </w:r>
      <w:r>
        <w:rPr>
          <w:rFonts w:hint="eastAsia" w:ascii="宋体" w:hAnsi="宋体" w:eastAsia="宋体" w:cs="宋体"/>
          <w:color w:val="auto"/>
          <w:sz w:val="24"/>
          <w:szCs w:val="24"/>
          <w:highlight w:val="none"/>
        </w:rPr>
        <w:t>供应商客户端选择项目分包文件递交页面进行递交（上传）。</w:t>
      </w:r>
    </w:p>
    <w:bookmarkEnd w:id="57"/>
    <w:p w14:paraId="0E32E6E5">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63" w:name="_Toc28035"/>
      <w:bookmarkStart w:id="64" w:name="_Toc109899414"/>
      <w:bookmarkStart w:id="65" w:name="_Toc109899833"/>
      <w:bookmarkStart w:id="66" w:name="_Toc140132749"/>
      <w:bookmarkStart w:id="67" w:name="_Toc163492816"/>
      <w:bookmarkStart w:id="68" w:name="_Toc109900252"/>
      <w:bookmarkStart w:id="69" w:name="_Toc155185864"/>
      <w:r>
        <w:rPr>
          <w:rFonts w:hint="eastAsia" w:ascii="宋体" w:hAnsi="宋体" w:eastAsia="宋体" w:cs="宋体"/>
          <w:b/>
          <w:bCs/>
          <w:color w:val="auto"/>
          <w:kern w:val="2"/>
          <w:sz w:val="24"/>
          <w:szCs w:val="24"/>
          <w:highlight w:val="none"/>
          <w:lang w:val="en-US" w:eastAsia="zh-CN" w:bidi="ar-SA"/>
        </w:rPr>
        <w:t>五、开启</w:t>
      </w:r>
      <w:bookmarkEnd w:id="63"/>
    </w:p>
    <w:p w14:paraId="3CF4F61F">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1.时间：</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 xml:space="preserve"> 8</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11时30分</w:t>
      </w:r>
      <w:r>
        <w:rPr>
          <w:rFonts w:hint="eastAsia" w:ascii="宋体" w:hAnsi="宋体" w:eastAsia="宋体" w:cs="宋体"/>
          <w:color w:val="auto"/>
          <w:sz w:val="24"/>
          <w:szCs w:val="24"/>
          <w:highlight w:val="none"/>
        </w:rPr>
        <w:t>（（北京时间）。</w:t>
      </w:r>
    </w:p>
    <w:p w14:paraId="11982308">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供应商登录政采云平台</w:t>
      </w:r>
      <w:r>
        <w:rPr>
          <w:rFonts w:hint="eastAsia" w:cs="宋体"/>
          <w:color w:val="auto"/>
          <w:sz w:val="24"/>
          <w:szCs w:val="24"/>
          <w:highlight w:val="none"/>
          <w:lang w:val="en-US" w:eastAsia="zh-CN"/>
        </w:rPr>
        <w:t>http://www.ccgp-xinjiang.gov.cn/</w:t>
      </w:r>
      <w:r>
        <w:rPr>
          <w:rFonts w:hint="eastAsia" w:ascii="宋体" w:hAnsi="宋体" w:eastAsia="宋体" w:cs="宋体"/>
          <w:color w:val="auto"/>
          <w:sz w:val="24"/>
          <w:szCs w:val="24"/>
          <w:highlight w:val="none"/>
          <w:lang w:val="en-US"/>
        </w:rPr>
        <w:t>，进入“项目采购-开评标管理-右边选择对应项目点击“进入项目”进入开标大厅</w:t>
      </w:r>
      <w:r>
        <w:rPr>
          <w:rFonts w:hint="eastAsia" w:ascii="宋体" w:hAnsi="宋体" w:eastAsia="宋体" w:cs="宋体"/>
          <w:color w:val="auto"/>
          <w:sz w:val="24"/>
          <w:szCs w:val="24"/>
          <w:highlight w:val="none"/>
        </w:rPr>
        <w:t>。</w:t>
      </w:r>
    </w:p>
    <w:p w14:paraId="679A69E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70" w:name="_Toc4954"/>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公告期限</w:t>
      </w:r>
      <w:bookmarkEnd w:id="58"/>
      <w:bookmarkEnd w:id="59"/>
      <w:bookmarkEnd w:id="60"/>
      <w:bookmarkEnd w:id="61"/>
      <w:bookmarkEnd w:id="62"/>
      <w:bookmarkEnd w:id="64"/>
      <w:bookmarkEnd w:id="65"/>
      <w:bookmarkEnd w:id="66"/>
      <w:bookmarkEnd w:id="67"/>
      <w:bookmarkEnd w:id="68"/>
      <w:bookmarkEnd w:id="69"/>
      <w:bookmarkEnd w:id="70"/>
    </w:p>
    <w:p w14:paraId="39341F3E">
      <w:pPr>
        <w:pageBreakBefore w:val="0"/>
        <w:kinsoku/>
        <w:wordWrap/>
        <w:overflowPunct/>
        <w:topLinePunct w:val="0"/>
        <w:bidi w:val="0"/>
        <w:snapToGrid w:val="0"/>
        <w:spacing w:line="348" w:lineRule="auto"/>
        <w:ind w:left="0" w:leftChars="0" w:firstLine="480" w:firstLineChars="200"/>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自本公告发布之日起</w:t>
      </w:r>
      <w:r>
        <w:rPr>
          <w:rFonts w:hint="eastAsia"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个工作日。</w:t>
      </w:r>
      <w:bookmarkStart w:id="71" w:name="_Toc109900253"/>
      <w:bookmarkStart w:id="72" w:name="_Toc109899834"/>
      <w:bookmarkStart w:id="73" w:name="_Toc35393635"/>
      <w:bookmarkStart w:id="74" w:name="_Toc44583634"/>
      <w:bookmarkStart w:id="75" w:name="_Toc109899415"/>
      <w:bookmarkStart w:id="76" w:name="_Toc140132750"/>
      <w:bookmarkStart w:id="77" w:name="_Toc155185865"/>
      <w:bookmarkStart w:id="78" w:name="_Toc163492817"/>
      <w:bookmarkStart w:id="79" w:name="_Toc35393804"/>
    </w:p>
    <w:p w14:paraId="20DD1AA0">
      <w:pPr>
        <w:pageBreakBefore w:val="0"/>
        <w:kinsoku/>
        <w:wordWrap/>
        <w:overflowPunct/>
        <w:topLinePunct w:val="0"/>
        <w:bidi w:val="0"/>
        <w:snapToGrid w:val="0"/>
        <w:spacing w:line="348" w:lineRule="auto"/>
        <w:jc w:val="both"/>
        <w:outlineLvl w:val="9"/>
        <w:rPr>
          <w:rFonts w:hint="eastAsia" w:ascii="宋体" w:hAnsi="宋体" w:eastAsia="宋体" w:cs="宋体"/>
          <w:b w:val="0"/>
          <w:bCs w:val="0"/>
          <w:color w:val="auto"/>
          <w:kern w:val="2"/>
          <w:sz w:val="24"/>
          <w:szCs w:val="24"/>
          <w:highlight w:val="none"/>
          <w:lang w:val="hr-HR" w:eastAsia="zh-CN" w:bidi="ar-SA"/>
        </w:rPr>
      </w:pPr>
      <w:bookmarkStart w:id="80" w:name="_Toc14741"/>
      <w:r>
        <w:rPr>
          <w:rStyle w:val="38"/>
          <w:rFonts w:hint="eastAsia"/>
          <w:sz w:val="24"/>
          <w:szCs w:val="24"/>
          <w:lang w:val="hr-HR" w:eastAsia="zh-CN"/>
        </w:rPr>
        <w:t>七、其他补充事宜</w:t>
      </w:r>
      <w:bookmarkEnd w:id="71"/>
      <w:bookmarkEnd w:id="72"/>
      <w:bookmarkEnd w:id="73"/>
      <w:bookmarkEnd w:id="74"/>
      <w:bookmarkEnd w:id="75"/>
      <w:bookmarkEnd w:id="76"/>
      <w:bookmarkEnd w:id="77"/>
      <w:bookmarkEnd w:id="78"/>
      <w:bookmarkEnd w:id="79"/>
      <w:bookmarkEnd w:id="80"/>
      <w:r>
        <w:rPr>
          <w:rFonts w:hint="eastAsia" w:ascii="宋体" w:hAnsi="宋体" w:eastAsia="宋体" w:cs="宋体"/>
          <w:b w:val="0"/>
          <w:bCs w:val="0"/>
          <w:i w:val="0"/>
          <w:iCs w:val="0"/>
          <w:color w:val="auto"/>
          <w:kern w:val="2"/>
          <w:sz w:val="24"/>
          <w:szCs w:val="24"/>
          <w:highlight w:val="none"/>
          <w:lang w:val="hr-HR" w:eastAsia="zh-CN" w:bidi="ar-SA"/>
        </w:rPr>
        <w:t>【如政采云平台信息内容更新，按最新内容自行修改】</w:t>
      </w:r>
    </w:p>
    <w:p w14:paraId="31588899">
      <w:pPr>
        <w:widowControl/>
        <w:shd w:val="clear" w:color="auto" w:fill="FFFFFF"/>
        <w:spacing w:line="480" w:lineRule="exact"/>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1、本项目实行网上</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，采用电子</w:t>
      </w:r>
      <w:r>
        <w:rPr>
          <w:rFonts w:hint="eastAsia" w:ascii="宋体" w:hAnsi="宋体" w:eastAsia="宋体" w:cs="宋体"/>
          <w:bCs/>
          <w:color w:val="auto"/>
          <w:sz w:val="24"/>
          <w:szCs w:val="24"/>
          <w:highlight w:val="none"/>
          <w:lang w:eastAsia="zh-CN"/>
        </w:rPr>
        <w:t>响应</w:t>
      </w:r>
      <w:r>
        <w:rPr>
          <w:rFonts w:hint="eastAsia" w:ascii="宋体" w:hAnsi="宋体" w:eastAsia="宋体" w:cs="宋体"/>
          <w:bCs/>
          <w:color w:val="auto"/>
          <w:sz w:val="24"/>
          <w:szCs w:val="24"/>
          <w:highlight w:val="none"/>
        </w:rPr>
        <w:t>文件</w:t>
      </w:r>
      <w:r>
        <w:rPr>
          <w:rFonts w:hint="eastAsia" w:ascii="宋体" w:hAnsi="宋体" w:eastAsia="宋体" w:cs="宋体"/>
          <w:bCs/>
          <w:color w:val="auto"/>
          <w:sz w:val="24"/>
          <w:szCs w:val="24"/>
          <w:highlight w:val="none"/>
          <w:lang w:eastAsia="zh-CN"/>
        </w:rPr>
        <w:t>。</w:t>
      </w:r>
    </w:p>
    <w:p w14:paraId="30F66B0E">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2、各供应商应在开标前应确保成为政采云平台供应商，并完成CA数字证书（符合国密标准）申领。因未注册入库、未办理CA数字证书等原因造成无法投标或投标失败等后果由供应商自行承担。有意向参与</w:t>
      </w:r>
      <w:r>
        <w:rPr>
          <w:rFonts w:hint="eastAsia" w:cs="宋体"/>
          <w:bCs/>
          <w:color w:val="auto"/>
          <w:sz w:val="24"/>
          <w:szCs w:val="24"/>
          <w:highlight w:val="none"/>
          <w:lang w:val="en-US" w:eastAsia="zh-CN"/>
        </w:rPr>
        <w:t>新疆</w:t>
      </w:r>
      <w:r>
        <w:rPr>
          <w:rFonts w:hint="eastAsia" w:ascii="宋体" w:hAnsi="宋体" w:eastAsia="宋体" w:cs="宋体"/>
          <w:bCs/>
          <w:color w:val="auto"/>
          <w:sz w:val="24"/>
          <w:szCs w:val="24"/>
          <w:highlight w:val="none"/>
        </w:rPr>
        <w:t>区域电子开评标的供应商，可访问</w:t>
      </w:r>
      <w:r>
        <w:rPr>
          <w:rFonts w:hint="eastAsia" w:cs="宋体"/>
          <w:bCs/>
          <w:color w:val="auto"/>
          <w:sz w:val="24"/>
          <w:szCs w:val="24"/>
          <w:highlight w:val="none"/>
          <w:lang w:eastAsia="zh-CN"/>
        </w:rPr>
        <w:t>新疆政府采购</w:t>
      </w:r>
      <w:r>
        <w:rPr>
          <w:rFonts w:hint="eastAsia" w:ascii="宋体" w:hAnsi="宋体" w:eastAsia="宋体" w:cs="宋体"/>
          <w:bCs/>
          <w:color w:val="auto"/>
          <w:sz w:val="24"/>
          <w:szCs w:val="24"/>
          <w:highlight w:val="none"/>
        </w:rPr>
        <w:t>网-办事指南-操作指南-CA证书办理操作指南或点击链接：http://ccgp-bingtuan.gov.cn/site/detail?parentId=189171&amp;articleId=CZ0bD526ZE+CHX5isJvt0w==&amp;utm=site.site-PC-4840.633-pc-websitegroup-secondlevelpage-front.1.2e96d52081d811eebbd67dd2372c0b9a自行进行申领。</w:t>
      </w:r>
    </w:p>
    <w:p w14:paraId="606792B8">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3、供应商将政采云电子交易客户端下载、安装完成后，可通过账号密码或CA登录客户端进行</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文件的制作。在使用政采云投标客户端时，建议使用WIN7（64位）及以上操作系统。客户端请至</w:t>
      </w:r>
      <w:r>
        <w:rPr>
          <w:rFonts w:hint="eastAsia" w:cs="宋体"/>
          <w:bCs/>
          <w:color w:val="auto"/>
          <w:sz w:val="24"/>
          <w:szCs w:val="24"/>
          <w:highlight w:val="none"/>
          <w:lang w:eastAsia="zh-CN"/>
        </w:rPr>
        <w:t>新疆政府采购</w:t>
      </w:r>
      <w:r>
        <w:rPr>
          <w:rFonts w:hint="eastAsia" w:ascii="宋体" w:hAnsi="宋体" w:eastAsia="宋体" w:cs="宋体"/>
          <w:bCs/>
          <w:color w:val="auto"/>
          <w:sz w:val="24"/>
          <w:szCs w:val="24"/>
          <w:highlight w:val="none"/>
        </w:rPr>
        <w:t>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0291D78D">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color w:val="auto"/>
          <w:sz w:val="24"/>
          <w:szCs w:val="24"/>
          <w:highlight w:val="none"/>
          <w:lang w:val="hr-HR" w:eastAsia="zh-CN"/>
        </w:rPr>
      </w:pPr>
      <w:bookmarkStart w:id="81" w:name="_Toc18641"/>
      <w:r>
        <w:rPr>
          <w:rFonts w:hint="eastAsia" w:ascii="宋体" w:hAnsi="宋体" w:eastAsia="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hr-HR" w:eastAsia="zh-CN" w:bidi="ar-SA"/>
        </w:rPr>
        <w:t>凡对本次采购提出询问，请按以下方式联系</w:t>
      </w:r>
      <w:bookmarkEnd w:id="81"/>
    </w:p>
    <w:p w14:paraId="3EEAC95D">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bookmarkStart w:id="82" w:name="_Toc35393806"/>
      <w:bookmarkStart w:id="83" w:name="_Toc35393637"/>
      <w:bookmarkStart w:id="84" w:name="_Toc28359019"/>
      <w:bookmarkStart w:id="85" w:name="_Toc28359096"/>
      <w:r>
        <w:rPr>
          <w:rFonts w:hint="eastAsia" w:ascii="宋体" w:hAnsi="宋体" w:eastAsia="宋体" w:cs="宋体"/>
          <w:color w:val="auto"/>
          <w:sz w:val="24"/>
          <w:szCs w:val="24"/>
          <w:highlight w:val="none"/>
        </w:rPr>
        <w:t>1.采购人信息</w:t>
      </w:r>
      <w:bookmarkEnd w:id="82"/>
      <w:bookmarkEnd w:id="83"/>
      <w:bookmarkEnd w:id="84"/>
      <w:bookmarkEnd w:id="85"/>
    </w:p>
    <w:p w14:paraId="78A2EFA3">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ascii="Times New Roman" w:eastAsia="Times New Roman"/>
          <w:lang w:eastAsia="zh-CN"/>
        </w:rPr>
        <w:t>巴音郭楞蒙古自治州巩乃斯国有林管理局</w:t>
      </w:r>
      <w:r>
        <w:rPr>
          <w:rFonts w:hint="eastAsia" w:ascii="Times New Roman" w:eastAsia="Times New Roman"/>
        </w:rPr>
        <w:t xml:space="preserve"> </w:t>
      </w:r>
    </w:p>
    <w:p w14:paraId="1DD202A8">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cs="宋体"/>
          <w:color w:val="auto"/>
          <w:sz w:val="24"/>
          <w:szCs w:val="24"/>
          <w:highlight w:val="none"/>
          <w:lang w:eastAsia="zh-CN"/>
        </w:rPr>
        <w:t>库尔勒市</w:t>
      </w:r>
    </w:p>
    <w:p w14:paraId="25FC0B63">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bookmarkStart w:id="86" w:name="_Hlk46775675"/>
      <w:r>
        <w:rPr>
          <w:rFonts w:hint="eastAsia" w:cs="宋体"/>
          <w:color w:val="auto"/>
          <w:sz w:val="24"/>
          <w:szCs w:val="24"/>
          <w:highlight w:val="none"/>
          <w:lang w:val="en-US" w:eastAsia="zh-CN"/>
        </w:rPr>
        <w:t>13899038608</w:t>
      </w:r>
    </w:p>
    <w:bookmarkEnd w:id="86"/>
    <w:p w14:paraId="5C798AB6">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bookmarkStart w:id="87" w:name="_Toc28359020"/>
      <w:bookmarkStart w:id="88" w:name="_Toc35393807"/>
      <w:bookmarkStart w:id="89" w:name="_Toc28359097"/>
      <w:bookmarkStart w:id="90" w:name="_Toc35393638"/>
      <w:r>
        <w:rPr>
          <w:rFonts w:hint="eastAsia" w:ascii="宋体" w:hAnsi="宋体" w:eastAsia="宋体" w:cs="宋体"/>
          <w:color w:val="auto"/>
          <w:sz w:val="24"/>
          <w:szCs w:val="24"/>
          <w:highlight w:val="none"/>
        </w:rPr>
        <w:t>2.采购代理机构信息</w:t>
      </w:r>
      <w:bookmarkEnd w:id="87"/>
      <w:bookmarkEnd w:id="88"/>
      <w:bookmarkEnd w:id="89"/>
      <w:bookmarkEnd w:id="90"/>
    </w:p>
    <w:p w14:paraId="5E585559">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ascii="Times New Roman" w:eastAsia="Times New Roman"/>
        </w:rPr>
        <w:t>新疆国林工程项目管理有限公司</w:t>
      </w:r>
    </w:p>
    <w:p w14:paraId="2395F89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Times New Roman" w:eastAsia="宋体"/>
          <w:lang w:eastAsia="zh-CN"/>
        </w:rPr>
        <w:t>新疆库尔勒楼兰世家B座1903室</w:t>
      </w:r>
    </w:p>
    <w:p w14:paraId="7EBA136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r>
        <w:rPr>
          <w:rFonts w:hint="eastAsia" w:ascii="Times New Roman" w:eastAsia="Times New Roman"/>
          <w:lang w:val="en-US" w:eastAsia="zh-CN"/>
        </w:rPr>
        <w:t>18599266589</w:t>
      </w:r>
    </w:p>
    <w:p w14:paraId="28B1182B">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lang w:val="en-US" w:eastAsia="zh-CN"/>
        </w:rPr>
      </w:pPr>
      <w:bookmarkStart w:id="91" w:name="_Toc28359021"/>
      <w:bookmarkStart w:id="92" w:name="_Toc35393639"/>
      <w:bookmarkStart w:id="93" w:name="_Toc28359098"/>
      <w:bookmarkStart w:id="94" w:name="_Toc35393808"/>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项目联系方式</w:t>
      </w:r>
    </w:p>
    <w:p w14:paraId="7E6118A7">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联系人：</w:t>
      </w:r>
      <w:r>
        <w:rPr>
          <w:rFonts w:hint="eastAsia" w:ascii="Times New Roman"/>
          <w:lang w:val="en-US" w:eastAsia="zh-CN"/>
        </w:rPr>
        <w:t>苏子涵</w:t>
      </w:r>
    </w:p>
    <w:bookmarkEnd w:id="91"/>
    <w:bookmarkEnd w:id="92"/>
    <w:bookmarkEnd w:id="93"/>
    <w:bookmarkEnd w:id="94"/>
    <w:p w14:paraId="567D1B59">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r>
        <w:rPr>
          <w:rFonts w:hint="eastAsia" w:ascii="宋体" w:hAnsi="宋体" w:eastAsia="宋体" w:cs="宋体"/>
          <w:color w:val="auto"/>
          <w:sz w:val="24"/>
          <w:szCs w:val="24"/>
          <w:highlight w:val="none"/>
          <w:lang w:val="en-US" w:eastAsia="zh-CN"/>
        </w:rPr>
        <w:t>电话：</w:t>
      </w:r>
      <w:r>
        <w:rPr>
          <w:rFonts w:hint="eastAsia"/>
          <w:lang w:val="en-US" w:eastAsia="zh-CN"/>
        </w:rPr>
        <w:t>18599266589</w:t>
      </w:r>
    </w:p>
    <w:p w14:paraId="61B32596">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1BF66B6F">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1389EBC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21FEC9CD">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7A7E7F10">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7235CB4B">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0F7F35D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6E387B13">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376300C">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7207CC81">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267B6BD2">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05D0696F">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4E5C8809">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272A2DBF">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15E40575">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2B6BC277">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469F130">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53E76B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1180785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69C42642">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4AB241B1">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A22D278">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DE6596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4D2570B8">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4B3238D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49A14A6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59610B8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22C9D197">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lang w:val="en-US" w:eastAsia="zh-CN"/>
        </w:rPr>
      </w:pPr>
    </w:p>
    <w:p w14:paraId="1E2C9AB2">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第二章 供应商须知</w:t>
      </w:r>
      <w:bookmarkEnd w:id="1"/>
    </w:p>
    <w:p w14:paraId="224924B5">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5" w:name="_Toc11918"/>
      <w:r>
        <w:rPr>
          <w:rFonts w:hint="eastAsia" w:eastAsia="宋体" w:asciiTheme="majorHAnsi" w:hAnsiTheme="majorHAnsi" w:cstheme="majorBidi"/>
          <w:b/>
          <w:bCs/>
          <w:color w:val="auto"/>
          <w:kern w:val="2"/>
          <w:sz w:val="28"/>
          <w:szCs w:val="28"/>
          <w:highlight w:val="none"/>
          <w:lang w:val="en-US" w:eastAsia="zh-CN" w:bidi="ar-SA"/>
        </w:rPr>
        <w:t>一、供应商须知前附表</w:t>
      </w:r>
      <w:bookmarkEnd w:id="95"/>
    </w:p>
    <w:p w14:paraId="016068EF">
      <w:pPr>
        <w:pStyle w:val="33"/>
        <w:ind w:firstLine="480"/>
        <w:rPr>
          <w:i w:val="0"/>
          <w:iCs w:val="0"/>
          <w:color w:val="auto"/>
          <w:highlight w:val="none"/>
        </w:rPr>
      </w:pPr>
      <w:r>
        <w:rPr>
          <w:rFonts w:hint="eastAsia"/>
          <w:i w:val="0"/>
          <w:iCs w:val="0"/>
          <w:color w:val="auto"/>
          <w:highlight w:val="none"/>
        </w:rPr>
        <w:t>磋商供应商应仔细阅读本磋商文件的第二章“供应商须知”，下面所列资料是对“供应商须知”的具体补充和说明。如有矛盾，应以本表为准。</w:t>
      </w:r>
      <w:r>
        <w:rPr>
          <w:rFonts w:hint="eastAsia"/>
          <w:i w:val="0"/>
          <w:iCs w:val="0"/>
          <w:color w:val="auto"/>
          <w:highlight w:val="none"/>
          <w:lang w:val="en-US" w:eastAsia="zh-CN"/>
        </w:rPr>
        <w:t>标记“</w:t>
      </w:r>
      <w:r>
        <w:rPr>
          <w:rFonts w:hint="eastAsia" w:ascii="宋体" w:hAnsi="宋体" w:eastAsia="宋体"/>
          <w:i w:val="0"/>
          <w:iCs w:val="0"/>
          <w:color w:val="auto"/>
          <w:highlight w:val="none"/>
          <w:lang w:val="en-US" w:eastAsia="zh-CN"/>
        </w:rPr>
        <w:t>☑”的选项意为适用于本项目，标记“□”的选项意为不适用于本项目。</w:t>
      </w:r>
    </w:p>
    <w:tbl>
      <w:tblPr>
        <w:tblStyle w:val="27"/>
        <w:tblW w:w="9354" w:type="dxa"/>
        <w:tblInd w:w="-45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21"/>
        <w:gridCol w:w="6663"/>
      </w:tblGrid>
      <w:tr w14:paraId="5EEA9A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15"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5EA5529">
            <w:pPr>
              <w:pStyle w:val="44"/>
              <w:jc w:val="center"/>
              <w:rPr>
                <w:rFonts w:hint="eastAsia" w:ascii="宋体" w:hAnsi="宋体" w:eastAsia="宋体" w:cs="宋体"/>
                <w:b/>
                <w:bCs/>
                <w:i w:val="0"/>
                <w:iCs w:val="0"/>
                <w:color w:val="auto"/>
                <w:sz w:val="24"/>
                <w:szCs w:val="24"/>
                <w:highlight w:val="none"/>
              </w:rPr>
            </w:pPr>
            <w:bookmarkStart w:id="96" w:name="_Hlk161703381"/>
            <w:r>
              <w:rPr>
                <w:rFonts w:hint="eastAsia" w:ascii="宋体" w:hAnsi="宋体" w:eastAsia="宋体" w:cs="宋体"/>
                <w:b/>
                <w:bCs/>
                <w:i w:val="0"/>
                <w:iCs w:val="0"/>
                <w:color w:val="auto"/>
                <w:sz w:val="24"/>
                <w:szCs w:val="24"/>
                <w:highlight w:val="none"/>
              </w:rPr>
              <w:t>条款号</w:t>
            </w:r>
          </w:p>
        </w:tc>
        <w:tc>
          <w:tcPr>
            <w:tcW w:w="1721"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60503F1">
            <w:pPr>
              <w:pStyle w:val="44"/>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条款名称</w:t>
            </w:r>
          </w:p>
        </w:tc>
        <w:tc>
          <w:tcPr>
            <w:tcW w:w="6663"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6777820C">
            <w:pPr>
              <w:pStyle w:val="44"/>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内  容</w:t>
            </w:r>
          </w:p>
        </w:tc>
      </w:tr>
      <w:tr w14:paraId="705471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76" w:hRule="atLeast"/>
        </w:trPr>
        <w:tc>
          <w:tcPr>
            <w:tcW w:w="970" w:type="dxa"/>
            <w:tcBorders>
              <w:top w:val="single" w:color="auto" w:sz="2" w:space="0"/>
              <w:left w:val="single" w:color="auto" w:sz="2" w:space="0"/>
              <w:bottom w:val="single" w:color="auto" w:sz="2" w:space="0"/>
              <w:right w:val="single" w:color="auto" w:sz="2" w:space="0"/>
            </w:tcBorders>
            <w:vAlign w:val="center"/>
          </w:tcPr>
          <w:p w14:paraId="2AEE4073">
            <w:pPr>
              <w:pStyle w:val="4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9</w:t>
            </w:r>
            <w:r>
              <w:rPr>
                <w:rFonts w:hint="eastAsia" w:ascii="宋体" w:hAnsi="宋体" w:eastAsia="宋体" w:cs="宋体"/>
                <w:i w:val="0"/>
                <w:iCs w:val="0"/>
                <w:color w:val="auto"/>
                <w:sz w:val="24"/>
                <w:szCs w:val="24"/>
                <w:highlight w:val="none"/>
                <w:lang w:val="en-US" w:eastAsia="zh-CN"/>
              </w:rPr>
              <w:t>.1</w:t>
            </w:r>
          </w:p>
        </w:tc>
        <w:tc>
          <w:tcPr>
            <w:tcW w:w="1721" w:type="dxa"/>
            <w:tcBorders>
              <w:top w:val="single" w:color="auto" w:sz="2" w:space="0"/>
              <w:left w:val="single" w:color="auto" w:sz="2" w:space="0"/>
              <w:bottom w:val="single" w:color="auto" w:sz="2" w:space="0"/>
              <w:right w:val="single" w:color="auto" w:sz="2" w:space="0"/>
            </w:tcBorders>
            <w:vAlign w:val="center"/>
          </w:tcPr>
          <w:p w14:paraId="71CF8DC6">
            <w:pPr>
              <w:pStyle w:val="44"/>
              <w:rPr>
                <w:rFonts w:hint="eastAsia" w:ascii="宋体" w:hAnsi="宋体" w:eastAsia="宋体" w:cs="宋体"/>
                <w:i w:val="0"/>
                <w:iCs w:val="0"/>
                <w:color w:val="auto"/>
                <w:sz w:val="24"/>
                <w:szCs w:val="24"/>
                <w:highlight w:val="none"/>
              </w:rPr>
            </w:pPr>
            <w:bookmarkStart w:id="97" w:name="_Hlk143529175"/>
            <w:r>
              <w:rPr>
                <w:rFonts w:hint="eastAsia" w:ascii="宋体" w:hAnsi="宋体" w:eastAsia="宋体" w:cs="宋体"/>
                <w:i w:val="0"/>
                <w:iCs w:val="0"/>
                <w:color w:val="auto"/>
                <w:sz w:val="24"/>
                <w:szCs w:val="24"/>
                <w:highlight w:val="none"/>
              </w:rPr>
              <w:t>现场考察</w:t>
            </w:r>
            <w:bookmarkEnd w:id="97"/>
          </w:p>
        </w:tc>
        <w:tc>
          <w:tcPr>
            <w:tcW w:w="6663" w:type="dxa"/>
            <w:tcBorders>
              <w:top w:val="single" w:color="auto" w:sz="2" w:space="0"/>
              <w:left w:val="single" w:color="auto" w:sz="2" w:space="0"/>
              <w:bottom w:val="single" w:color="auto" w:sz="2" w:space="0"/>
              <w:right w:val="single" w:color="auto" w:sz="2" w:space="0"/>
            </w:tcBorders>
            <w:vAlign w:val="center"/>
          </w:tcPr>
          <w:p w14:paraId="5E2B3EE4">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不组织，供应商自行前往</w:t>
            </w:r>
          </w:p>
          <w:p w14:paraId="2238EF6A">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rPr>
              <w:t>组织</w:t>
            </w:r>
          </w:p>
          <w:p w14:paraId="047A7004">
            <w:pPr>
              <w:pStyle w:val="4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1520FC15">
            <w:pPr>
              <w:pStyle w:val="4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708D8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0DFFA9D">
            <w:pPr>
              <w:pStyle w:val="4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9.5</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4B699229">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答疑会</w:t>
            </w:r>
          </w:p>
        </w:tc>
        <w:tc>
          <w:tcPr>
            <w:tcW w:w="6663" w:type="dxa"/>
            <w:tcBorders>
              <w:top w:val="single" w:color="auto" w:sz="2" w:space="0"/>
              <w:left w:val="single" w:color="auto" w:sz="2" w:space="0"/>
              <w:bottom w:val="single" w:color="auto" w:sz="2" w:space="0"/>
              <w:right w:val="single" w:color="auto" w:sz="2" w:space="0"/>
            </w:tcBorders>
            <w:shd w:val="clear" w:color="auto" w:fill="auto"/>
            <w:vAlign w:val="center"/>
          </w:tcPr>
          <w:p w14:paraId="2F17AFF8">
            <w:pPr>
              <w:pStyle w:val="44"/>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w:t>
            </w:r>
          </w:p>
          <w:p w14:paraId="4A4C4E96">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组织</w:t>
            </w:r>
          </w:p>
          <w:p w14:paraId="193F38F2">
            <w:pPr>
              <w:pStyle w:val="4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461D1F46">
            <w:pPr>
              <w:pStyle w:val="44"/>
              <w:ind w:firstLine="240" w:firstLineChars="1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0FF56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28" w:hRule="atLeast"/>
        </w:trPr>
        <w:tc>
          <w:tcPr>
            <w:tcW w:w="970" w:type="dxa"/>
            <w:tcBorders>
              <w:top w:val="single" w:color="auto" w:sz="2" w:space="0"/>
              <w:left w:val="single" w:color="auto" w:sz="2" w:space="0"/>
              <w:bottom w:val="single" w:color="auto" w:sz="2" w:space="0"/>
              <w:right w:val="single" w:color="auto" w:sz="2" w:space="0"/>
            </w:tcBorders>
            <w:vAlign w:val="center"/>
          </w:tcPr>
          <w:p w14:paraId="6CBF1A30">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4A7BE250">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询问</w:t>
            </w:r>
          </w:p>
        </w:tc>
        <w:tc>
          <w:tcPr>
            <w:tcW w:w="6663" w:type="dxa"/>
            <w:tcBorders>
              <w:top w:val="single" w:color="auto" w:sz="2" w:space="0"/>
              <w:left w:val="single" w:color="auto" w:sz="2" w:space="0"/>
              <w:bottom w:val="single" w:color="auto" w:sz="2" w:space="0"/>
              <w:right w:val="single" w:color="auto" w:sz="2" w:space="0"/>
            </w:tcBorders>
            <w:vAlign w:val="center"/>
          </w:tcPr>
          <w:p w14:paraId="13CE44E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1.方式： </w:t>
            </w:r>
          </w:p>
          <w:p w14:paraId="6FD268CF">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在供应商客户端中按照格式填写询问函，并在生成询问函后 </w:t>
            </w:r>
          </w:p>
          <w:p w14:paraId="6C671FC5">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加盖公章或电子印章提交；其他询问方式： 扫描件加盖公章发送代理机构邮箱处（QQ 邮箱：</w:t>
            </w:r>
            <w:r>
              <w:rPr>
                <w:rFonts w:hint="eastAsia" w:cs="宋体"/>
                <w:color w:val="auto"/>
                <w:sz w:val="24"/>
                <w:szCs w:val="24"/>
                <w:highlight w:val="none"/>
                <w:lang w:val="en-US" w:eastAsia="zh-CN"/>
              </w:rPr>
              <w:t>25583624</w:t>
            </w:r>
            <w:r>
              <w:rPr>
                <w:rFonts w:hint="eastAsia" w:ascii="宋体" w:hAnsi="宋体" w:eastAsia="宋体" w:cs="宋体"/>
                <w:color w:val="auto"/>
                <w:sz w:val="24"/>
                <w:szCs w:val="24"/>
                <w:highlight w:val="none"/>
                <w:lang w:val="en-US" w:eastAsia="zh-CN"/>
              </w:rPr>
              <w:t xml:space="preserve">） 。 </w:t>
            </w:r>
          </w:p>
          <w:p w14:paraId="2A6CDC13">
            <w:pPr>
              <w:pStyle w:val="44"/>
              <w:rPr>
                <w:rFonts w:hint="eastAsia" w:ascii="宋体" w:hAnsi="宋体" w:eastAsia="宋体" w:cs="宋体"/>
                <w:i w:val="0"/>
                <w:iCs w:val="0"/>
                <w:color w:val="auto"/>
                <w:sz w:val="24"/>
                <w:szCs w:val="24"/>
                <w:highlight w:val="none"/>
              </w:rPr>
            </w:pPr>
            <w:r>
              <w:rPr>
                <w:rFonts w:hint="eastAsia" w:ascii="宋体" w:hAnsi="宋体" w:eastAsia="宋体" w:cs="宋体"/>
                <w:color w:val="auto"/>
                <w:sz w:val="24"/>
                <w:szCs w:val="24"/>
                <w:highlight w:val="none"/>
                <w:lang w:val="en-US" w:eastAsia="zh-CN"/>
              </w:rPr>
              <w:t>2.时间要求：公告发布后 5 个工作日内接受投标供应商疑问或澄清要求（逾期视为理解和接受）。</w:t>
            </w:r>
          </w:p>
        </w:tc>
      </w:tr>
      <w:tr w14:paraId="4571B9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77" w:hRule="atLeast"/>
        </w:trPr>
        <w:tc>
          <w:tcPr>
            <w:tcW w:w="970" w:type="dxa"/>
            <w:tcBorders>
              <w:top w:val="single" w:color="auto" w:sz="2" w:space="0"/>
              <w:left w:val="single" w:color="auto" w:sz="2" w:space="0"/>
              <w:bottom w:val="single" w:color="auto" w:sz="2" w:space="0"/>
              <w:right w:val="single" w:color="auto" w:sz="2" w:space="0"/>
            </w:tcBorders>
            <w:vAlign w:val="center"/>
          </w:tcPr>
          <w:p w14:paraId="697CBDA8">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56E4A3E9">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响应文件有效期</w:t>
            </w:r>
          </w:p>
        </w:tc>
        <w:tc>
          <w:tcPr>
            <w:tcW w:w="6663" w:type="dxa"/>
            <w:tcBorders>
              <w:top w:val="single" w:color="auto" w:sz="2" w:space="0"/>
              <w:left w:val="single" w:color="auto" w:sz="2" w:space="0"/>
              <w:bottom w:val="single" w:color="auto" w:sz="2" w:space="0"/>
              <w:right w:val="single" w:color="auto" w:sz="2" w:space="0"/>
            </w:tcBorders>
            <w:vAlign w:val="center"/>
          </w:tcPr>
          <w:p w14:paraId="7A8404D2">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响应文件递交截止日期后</w:t>
            </w:r>
            <w:r>
              <w:rPr>
                <w:rFonts w:hint="eastAsia" w:ascii="宋体" w:hAnsi="宋体" w:eastAsia="宋体" w:cs="宋体"/>
                <w:i w:val="0"/>
                <w:iCs w:val="0"/>
                <w:color w:val="auto"/>
                <w:sz w:val="24"/>
                <w:szCs w:val="24"/>
                <w:highlight w:val="none"/>
                <w:u w:val="single"/>
              </w:rPr>
              <w:t>90</w:t>
            </w:r>
            <w:r>
              <w:rPr>
                <w:rFonts w:hint="eastAsia" w:ascii="宋体" w:hAnsi="宋体" w:eastAsia="宋体" w:cs="宋体"/>
                <w:i w:val="0"/>
                <w:iCs w:val="0"/>
                <w:color w:val="auto"/>
                <w:sz w:val="24"/>
                <w:szCs w:val="24"/>
                <w:highlight w:val="none"/>
              </w:rPr>
              <w:t>日历日。</w:t>
            </w:r>
          </w:p>
        </w:tc>
      </w:tr>
      <w:tr w14:paraId="49C77E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006" w:hRule="atLeast"/>
        </w:trPr>
        <w:tc>
          <w:tcPr>
            <w:tcW w:w="970" w:type="dxa"/>
            <w:tcBorders>
              <w:top w:val="single" w:color="auto" w:sz="2" w:space="0"/>
              <w:left w:val="single" w:color="auto" w:sz="2" w:space="0"/>
              <w:bottom w:val="single" w:color="auto" w:sz="2" w:space="0"/>
              <w:right w:val="single" w:color="auto" w:sz="2" w:space="0"/>
            </w:tcBorders>
            <w:vAlign w:val="center"/>
          </w:tcPr>
          <w:p w14:paraId="26C48057">
            <w:pPr>
              <w:pStyle w:val="4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17.1</w:t>
            </w:r>
          </w:p>
        </w:tc>
        <w:tc>
          <w:tcPr>
            <w:tcW w:w="1721" w:type="dxa"/>
            <w:tcBorders>
              <w:top w:val="single" w:color="auto" w:sz="2" w:space="0"/>
              <w:left w:val="single" w:color="auto" w:sz="2" w:space="0"/>
              <w:bottom w:val="single" w:color="auto" w:sz="2" w:space="0"/>
              <w:right w:val="single" w:color="auto" w:sz="2" w:space="0"/>
            </w:tcBorders>
            <w:vAlign w:val="center"/>
          </w:tcPr>
          <w:p w14:paraId="60D2F551">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磋商保证金</w:t>
            </w:r>
          </w:p>
        </w:tc>
        <w:tc>
          <w:tcPr>
            <w:tcW w:w="6663" w:type="dxa"/>
            <w:tcBorders>
              <w:top w:val="single" w:color="auto" w:sz="2" w:space="0"/>
              <w:left w:val="single" w:color="auto" w:sz="2" w:space="0"/>
              <w:bottom w:val="single" w:color="auto" w:sz="2" w:space="0"/>
              <w:right w:val="single" w:color="auto" w:sz="2" w:space="0"/>
            </w:tcBorders>
            <w:vAlign w:val="center"/>
          </w:tcPr>
          <w:p w14:paraId="713A171A">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5947F8CF">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659FBE06">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预算金额</w:t>
            </w:r>
            <w:r>
              <w:rPr>
                <w:rFonts w:hint="eastAsia" w:ascii="宋体" w:hAnsi="宋体" w:eastAsia="宋体" w:cs="宋体"/>
                <w:i w:val="0"/>
                <w:iCs w:val="0"/>
                <w:color w:val="auto"/>
                <w:sz w:val="24"/>
                <w:szCs w:val="24"/>
                <w:highlight w:val="none"/>
              </w:rPr>
              <w:t>的   %</w:t>
            </w:r>
            <w:r>
              <w:rPr>
                <w:rFonts w:hint="eastAsia" w:ascii="宋体" w:hAnsi="宋体" w:eastAsia="宋体" w:cs="宋体"/>
                <w:i w:val="0"/>
                <w:iCs w:val="0"/>
                <w:color w:val="auto"/>
                <w:sz w:val="24"/>
                <w:szCs w:val="24"/>
                <w:highlight w:val="none"/>
                <w:lang w:eastAsia="zh-CN"/>
              </w:rPr>
              <w:t>。</w:t>
            </w:r>
          </w:p>
          <w:p w14:paraId="408CDEE0">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□定额收取：人民币       元</w:t>
            </w:r>
            <w:r>
              <w:rPr>
                <w:rFonts w:hint="eastAsia" w:ascii="宋体" w:hAnsi="宋体" w:eastAsia="宋体" w:cs="宋体"/>
                <w:i w:val="0"/>
                <w:iCs w:val="0"/>
                <w:color w:val="auto"/>
                <w:sz w:val="24"/>
                <w:szCs w:val="24"/>
                <w:highlight w:val="none"/>
                <w:lang w:eastAsia="zh-CN"/>
              </w:rPr>
              <w:t>。</w:t>
            </w:r>
          </w:p>
          <w:p w14:paraId="471258F6">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4A250729">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013890D1">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 xml:space="preserve">收取单位：                            </w:t>
            </w:r>
          </w:p>
          <w:p w14:paraId="521BA7F2">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4.收取账号：</w:t>
            </w:r>
            <w:r>
              <w:rPr>
                <w:rFonts w:hint="eastAsia" w:ascii="宋体" w:hAnsi="宋体" w:eastAsia="宋体" w:cs="宋体"/>
                <w:i w:val="0"/>
                <w:iCs w:val="0"/>
                <w:color w:val="auto"/>
                <w:sz w:val="24"/>
                <w:szCs w:val="24"/>
                <w:highlight w:val="none"/>
              </w:rPr>
              <w:t xml:space="preserve">              </w:t>
            </w:r>
          </w:p>
          <w:p w14:paraId="1F174ACF">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 xml:space="preserve">退还时间：              </w:t>
            </w:r>
          </w:p>
          <w:p w14:paraId="0C79EF6C">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7CEAD366">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以上各类机构出具的以担保函、保证保险承担责任的方式均须满足无条件见索即付条件。</w:t>
            </w:r>
          </w:p>
          <w:p w14:paraId="51E0176B">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以担保函、保证保险形式缴纳</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保证金的，受益人和收取单位须为采购人。</w:t>
            </w:r>
          </w:p>
        </w:tc>
      </w:tr>
      <w:tr w14:paraId="4181FF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854" w:hRule="atLeast"/>
        </w:trPr>
        <w:tc>
          <w:tcPr>
            <w:tcW w:w="970" w:type="dxa"/>
            <w:tcBorders>
              <w:top w:val="single" w:color="auto" w:sz="2" w:space="0"/>
              <w:left w:val="single" w:color="auto" w:sz="2" w:space="0"/>
              <w:bottom w:val="single" w:color="auto" w:sz="2" w:space="0"/>
              <w:right w:val="single" w:color="auto" w:sz="2" w:space="0"/>
            </w:tcBorders>
            <w:vAlign w:val="center"/>
          </w:tcPr>
          <w:p w14:paraId="75DCCD86">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.2</w:t>
            </w:r>
          </w:p>
        </w:tc>
        <w:tc>
          <w:tcPr>
            <w:tcW w:w="1721" w:type="dxa"/>
            <w:tcBorders>
              <w:top w:val="single" w:color="auto" w:sz="2" w:space="0"/>
              <w:left w:val="single" w:color="auto" w:sz="2" w:space="0"/>
              <w:bottom w:val="single" w:color="auto" w:sz="2" w:space="0"/>
              <w:right w:val="single" w:color="auto" w:sz="2" w:space="0"/>
            </w:tcBorders>
            <w:vAlign w:val="center"/>
          </w:tcPr>
          <w:p w14:paraId="747E8F82">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解密响应文件的时限</w:t>
            </w:r>
          </w:p>
        </w:tc>
        <w:tc>
          <w:tcPr>
            <w:tcW w:w="6663" w:type="dxa"/>
            <w:tcBorders>
              <w:top w:val="single" w:color="auto" w:sz="2" w:space="0"/>
              <w:left w:val="single" w:color="auto" w:sz="2" w:space="0"/>
              <w:bottom w:val="single" w:color="auto" w:sz="2" w:space="0"/>
              <w:right w:val="single" w:color="auto" w:sz="2" w:space="0"/>
            </w:tcBorders>
            <w:vAlign w:val="center"/>
          </w:tcPr>
          <w:p w14:paraId="125EFEDD">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不见面开标默认解密时长：</w:t>
            </w:r>
            <w:r>
              <w:rPr>
                <w:rFonts w:hint="eastAsia" w:cs="宋体"/>
                <w:i w:val="0"/>
                <w:iCs w:val="0"/>
                <w:color w:val="auto"/>
                <w:sz w:val="24"/>
                <w:szCs w:val="24"/>
                <w:highlight w:val="none"/>
                <w:u w:val="single"/>
                <w:lang w:val="en-US" w:eastAsia="zh-CN"/>
              </w:rPr>
              <w:t>30</w:t>
            </w:r>
            <w:r>
              <w:rPr>
                <w:rFonts w:hint="eastAsia" w:ascii="宋体" w:hAnsi="宋体" w:eastAsia="宋体" w:cs="宋体"/>
                <w:i w:val="0"/>
                <w:iCs w:val="0"/>
                <w:color w:val="auto"/>
                <w:sz w:val="24"/>
                <w:szCs w:val="24"/>
                <w:highlight w:val="none"/>
                <w:lang w:val="en-US" w:eastAsia="zh-CN"/>
              </w:rPr>
              <w:t>分钟</w:t>
            </w:r>
            <w:r>
              <w:rPr>
                <w:rFonts w:hint="eastAsia" w:ascii="宋体" w:hAnsi="宋体" w:eastAsia="宋体" w:cs="宋体"/>
                <w:i w:val="0"/>
                <w:iCs w:val="0"/>
                <w:color w:val="auto"/>
                <w:sz w:val="24"/>
                <w:szCs w:val="24"/>
                <w:highlight w:val="none"/>
              </w:rPr>
              <w:t xml:space="preserve"> </w:t>
            </w:r>
          </w:p>
          <w:p w14:paraId="7EBEE188">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注：</w:t>
            </w:r>
            <w:r>
              <w:rPr>
                <w:rFonts w:hint="eastAsia" w:ascii="宋体" w:hAnsi="宋体" w:eastAsia="宋体" w:cs="宋体"/>
                <w:i w:val="0"/>
                <w:iCs w:val="0"/>
                <w:color w:val="auto"/>
                <w:sz w:val="24"/>
                <w:szCs w:val="24"/>
                <w:highlight w:val="none"/>
              </w:rPr>
              <w:t>除因交易平台发生故障导致响应文件无法按时解密外，响应文件未按时解密的，视为未按规定提交响应文件</w:t>
            </w:r>
            <w:r>
              <w:rPr>
                <w:rFonts w:hint="eastAsia" w:ascii="宋体" w:hAnsi="宋体" w:eastAsia="宋体" w:cs="宋体"/>
                <w:i w:val="0"/>
                <w:iCs w:val="0"/>
                <w:color w:val="auto"/>
                <w:sz w:val="24"/>
                <w:szCs w:val="24"/>
                <w:highlight w:val="none"/>
                <w:lang w:eastAsia="zh-CN"/>
              </w:rPr>
              <w:t>，响应无效</w:t>
            </w:r>
            <w:r>
              <w:rPr>
                <w:rFonts w:hint="eastAsia" w:ascii="宋体" w:hAnsi="宋体" w:eastAsia="宋体" w:cs="宋体"/>
                <w:i w:val="0"/>
                <w:iCs w:val="0"/>
                <w:color w:val="auto"/>
                <w:sz w:val="24"/>
                <w:szCs w:val="24"/>
                <w:highlight w:val="none"/>
              </w:rPr>
              <w:t>。</w:t>
            </w:r>
          </w:p>
        </w:tc>
      </w:tr>
      <w:tr w14:paraId="55F302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05" w:hRule="atLeast"/>
        </w:trPr>
        <w:tc>
          <w:tcPr>
            <w:tcW w:w="970" w:type="dxa"/>
            <w:tcBorders>
              <w:top w:val="single" w:color="auto" w:sz="2" w:space="0"/>
              <w:left w:val="single" w:color="auto" w:sz="2" w:space="0"/>
              <w:bottom w:val="single" w:color="auto" w:sz="2" w:space="0"/>
              <w:right w:val="single" w:color="auto" w:sz="2" w:space="0"/>
            </w:tcBorders>
            <w:vAlign w:val="center"/>
          </w:tcPr>
          <w:p w14:paraId="0A512A01">
            <w:pPr>
              <w:pStyle w:val="4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27.2</w:t>
            </w:r>
          </w:p>
        </w:tc>
        <w:tc>
          <w:tcPr>
            <w:tcW w:w="1721" w:type="dxa"/>
            <w:tcBorders>
              <w:top w:val="single" w:color="auto" w:sz="2" w:space="0"/>
              <w:left w:val="single" w:color="auto" w:sz="2" w:space="0"/>
              <w:bottom w:val="single" w:color="auto" w:sz="2" w:space="0"/>
              <w:right w:val="single" w:color="auto" w:sz="2" w:space="0"/>
            </w:tcBorders>
            <w:vAlign w:val="center"/>
          </w:tcPr>
          <w:p w14:paraId="3B1D8DC9">
            <w:pPr>
              <w:pStyle w:val="44"/>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推荐成交候选供应商</w:t>
            </w:r>
          </w:p>
        </w:tc>
        <w:tc>
          <w:tcPr>
            <w:tcW w:w="6663" w:type="dxa"/>
            <w:tcBorders>
              <w:top w:val="single" w:color="auto" w:sz="2" w:space="0"/>
              <w:left w:val="single" w:color="auto" w:sz="2" w:space="0"/>
              <w:bottom w:val="single" w:color="auto" w:sz="2" w:space="0"/>
              <w:right w:val="single" w:color="auto" w:sz="2" w:space="0"/>
            </w:tcBorders>
            <w:vAlign w:val="center"/>
          </w:tcPr>
          <w:p w14:paraId="67201373">
            <w:pPr>
              <w:pStyle w:val="44"/>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成交候选供应商数量</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家</w:t>
            </w:r>
          </w:p>
        </w:tc>
      </w:tr>
      <w:tr w14:paraId="15B571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09" w:hRule="atLeast"/>
        </w:trPr>
        <w:tc>
          <w:tcPr>
            <w:tcW w:w="970" w:type="dxa"/>
            <w:tcBorders>
              <w:top w:val="single" w:color="auto" w:sz="2" w:space="0"/>
              <w:left w:val="single" w:color="auto" w:sz="2" w:space="0"/>
              <w:bottom w:val="single" w:color="auto" w:sz="2" w:space="0"/>
              <w:right w:val="single" w:color="auto" w:sz="2" w:space="0"/>
            </w:tcBorders>
            <w:vAlign w:val="center"/>
          </w:tcPr>
          <w:p w14:paraId="37AC9C03">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28</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7F769072">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确定成交供应商</w:t>
            </w:r>
          </w:p>
        </w:tc>
        <w:tc>
          <w:tcPr>
            <w:tcW w:w="6663" w:type="dxa"/>
            <w:tcBorders>
              <w:top w:val="single" w:color="auto" w:sz="2" w:space="0"/>
              <w:left w:val="single" w:color="auto" w:sz="2" w:space="0"/>
              <w:bottom w:val="single" w:color="auto" w:sz="2" w:space="0"/>
              <w:right w:val="single" w:color="auto" w:sz="2" w:space="0"/>
            </w:tcBorders>
            <w:vAlign w:val="center"/>
          </w:tcPr>
          <w:p w14:paraId="77284D4E">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5AFD1CC8">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采购人委托磋商小组直接确定成交供应商。</w:t>
            </w:r>
          </w:p>
        </w:tc>
      </w:tr>
      <w:tr w14:paraId="024268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917" w:hRule="atLeast"/>
        </w:trPr>
        <w:tc>
          <w:tcPr>
            <w:tcW w:w="970" w:type="dxa"/>
            <w:tcBorders>
              <w:top w:val="single" w:color="auto" w:sz="2" w:space="0"/>
              <w:left w:val="single" w:color="auto" w:sz="2" w:space="0"/>
              <w:bottom w:val="single" w:color="auto" w:sz="2" w:space="0"/>
              <w:right w:val="single" w:color="auto" w:sz="2" w:space="0"/>
            </w:tcBorders>
            <w:vAlign w:val="center"/>
          </w:tcPr>
          <w:p w14:paraId="027ED33D">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6AB44AED">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履约保证金</w:t>
            </w:r>
          </w:p>
        </w:tc>
        <w:tc>
          <w:tcPr>
            <w:tcW w:w="6663" w:type="dxa"/>
            <w:tcBorders>
              <w:top w:val="single" w:color="auto" w:sz="2" w:space="0"/>
              <w:left w:val="single" w:color="auto" w:sz="2" w:space="0"/>
              <w:bottom w:val="single" w:color="auto" w:sz="2" w:space="0"/>
              <w:right w:val="single" w:color="auto" w:sz="2" w:space="0"/>
            </w:tcBorders>
            <w:vAlign w:val="center"/>
          </w:tcPr>
          <w:p w14:paraId="242C35C3">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4900BF28">
            <w:pPr>
              <w:pStyle w:val="4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□免收</w:t>
            </w:r>
          </w:p>
          <w:p w14:paraId="1CB543E4">
            <w:pPr>
              <w:pStyle w:val="44"/>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合同价的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10</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p>
          <w:p w14:paraId="765D7FA1">
            <w:pPr>
              <w:pStyle w:val="4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人民币           元</w:t>
            </w:r>
          </w:p>
          <w:p w14:paraId="0067AB47">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278665BD">
            <w:pPr>
              <w:pStyle w:val="5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3119E62F">
            <w:pPr>
              <w:pStyle w:val="44"/>
              <w:rPr>
                <w:rFonts w:hint="eastAsia" w:cs="宋体"/>
                <w:szCs w:val="24"/>
                <w:highlight w:val="none"/>
              </w:rPr>
            </w:pPr>
            <w:r>
              <w:rPr>
                <w:rFonts w:hint="eastAsia" w:cs="宋体"/>
                <w:szCs w:val="24"/>
                <w:highlight w:val="none"/>
              </w:rPr>
              <w:t xml:space="preserve">3.收取单位：投标人中标后向采购人获取                            </w:t>
            </w:r>
          </w:p>
          <w:p w14:paraId="49A07550">
            <w:pPr>
              <w:pStyle w:val="44"/>
              <w:rPr>
                <w:rFonts w:hint="eastAsia" w:cs="宋体"/>
                <w:szCs w:val="24"/>
                <w:highlight w:val="none"/>
              </w:rPr>
            </w:pPr>
            <w:r>
              <w:rPr>
                <w:rFonts w:hint="eastAsia" w:cs="宋体"/>
                <w:szCs w:val="24"/>
                <w:highlight w:val="none"/>
              </w:rPr>
              <w:t xml:space="preserve"> 4.收取账号：投标人中标后向采购人获取              </w:t>
            </w:r>
          </w:p>
          <w:p w14:paraId="781D9B42">
            <w:pPr>
              <w:pStyle w:val="44"/>
              <w:rPr>
                <w:rFonts w:hint="eastAsia" w:ascii="宋体" w:hAnsi="宋体" w:eastAsia="宋体" w:cs="宋体"/>
                <w:b/>
                <w:bCs/>
                <w:i w:val="0"/>
                <w:iCs w:val="0"/>
                <w:color w:val="auto"/>
                <w:sz w:val="24"/>
                <w:szCs w:val="24"/>
                <w:highlight w:val="none"/>
              </w:rPr>
            </w:pPr>
            <w:r>
              <w:rPr>
                <w:rFonts w:hint="eastAsia" w:cs="宋体"/>
                <w:szCs w:val="24"/>
                <w:highlight w:val="none"/>
              </w:rPr>
              <w:t xml:space="preserve"> 5.退还时间：本项目期限届满，并扣除供应商应当支付的违约金(如有)、赔偿金(如有)后无息退还。</w:t>
            </w:r>
            <w:r>
              <w:rPr>
                <w:rFonts w:hint="eastAsia" w:cs="宋体"/>
                <w:szCs w:val="24"/>
                <w:highlight w:val="none"/>
                <w:lang w:val="en-US" w:eastAsia="zh-CN"/>
              </w:rPr>
              <w:t>具体以合同签订为准。</w:t>
            </w:r>
          </w:p>
          <w:p w14:paraId="08F7956F">
            <w:pPr>
              <w:pStyle w:val="44"/>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29B817EB">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以上各类机构出具的以担保函、保证保险承担责任的方式均须满足无条件见索即付条件。</w:t>
            </w:r>
          </w:p>
          <w:p w14:paraId="23CD9632">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以担保函、保证保险形式缴纳履约保证金的，受益人和收取单位须为采购人。</w:t>
            </w:r>
          </w:p>
        </w:tc>
      </w:tr>
      <w:tr w14:paraId="64B5E43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861755C">
            <w:pPr>
              <w:pStyle w:val="4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32.5</w:t>
            </w:r>
          </w:p>
        </w:tc>
        <w:tc>
          <w:tcPr>
            <w:tcW w:w="1721" w:type="dxa"/>
            <w:tcBorders>
              <w:top w:val="single" w:color="auto" w:sz="2" w:space="0"/>
              <w:left w:val="single" w:color="auto" w:sz="2" w:space="0"/>
              <w:bottom w:val="single" w:color="auto" w:sz="2" w:space="0"/>
              <w:right w:val="single" w:color="auto" w:sz="2" w:space="0"/>
            </w:tcBorders>
            <w:vAlign w:val="center"/>
          </w:tcPr>
          <w:p w14:paraId="04D9510B">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合同分包</w:t>
            </w:r>
          </w:p>
        </w:tc>
        <w:tc>
          <w:tcPr>
            <w:tcW w:w="6663" w:type="dxa"/>
            <w:tcBorders>
              <w:top w:val="single" w:color="auto" w:sz="2" w:space="0"/>
              <w:left w:val="single" w:color="auto" w:sz="2" w:space="0"/>
              <w:bottom w:val="single" w:color="auto" w:sz="2" w:space="0"/>
              <w:right w:val="single" w:color="auto" w:sz="2" w:space="0"/>
            </w:tcBorders>
            <w:vAlign w:val="center"/>
          </w:tcPr>
          <w:p w14:paraId="4344EC45">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本项目的非主体、非关键性工作是否允许分包： </w:t>
            </w:r>
          </w:p>
          <w:p w14:paraId="3D901FC0">
            <w:pPr>
              <w:pStyle w:val="4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kern w:val="2"/>
                <w:sz w:val="24"/>
                <w:szCs w:val="24"/>
                <w:highlight w:val="non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不允许 </w:t>
            </w:r>
          </w:p>
          <w:p w14:paraId="56DFA0F7">
            <w:pPr>
              <w:pStyle w:val="4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□允许，具体要求： </w:t>
            </w:r>
          </w:p>
          <w:p w14:paraId="6C445FF2">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1.可以分包履行的具体内容：_____； </w:t>
            </w:r>
          </w:p>
          <w:p w14:paraId="71BE067E">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2.允许分包的金额或者比例：_____； </w:t>
            </w:r>
          </w:p>
          <w:p w14:paraId="3628979B">
            <w:pPr>
              <w:pStyle w:val="4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3.其他要求：_____。</w:t>
            </w:r>
          </w:p>
        </w:tc>
      </w:tr>
      <w:tr w14:paraId="749FBCF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F3EF9C4">
            <w:pPr>
              <w:pStyle w:val="4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33.1</w:t>
            </w:r>
          </w:p>
        </w:tc>
        <w:tc>
          <w:tcPr>
            <w:tcW w:w="1721" w:type="dxa"/>
            <w:tcBorders>
              <w:top w:val="single" w:color="auto" w:sz="2" w:space="0"/>
              <w:left w:val="single" w:color="auto" w:sz="2" w:space="0"/>
              <w:bottom w:val="single" w:color="auto" w:sz="2" w:space="0"/>
              <w:right w:val="single" w:color="auto" w:sz="2" w:space="0"/>
            </w:tcBorders>
            <w:vAlign w:val="center"/>
          </w:tcPr>
          <w:p w14:paraId="66EBB004">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质疑</w:t>
            </w:r>
          </w:p>
        </w:tc>
        <w:tc>
          <w:tcPr>
            <w:tcW w:w="6663" w:type="dxa"/>
            <w:tcBorders>
              <w:top w:val="single" w:color="auto" w:sz="2" w:space="0"/>
              <w:left w:val="single" w:color="auto" w:sz="2" w:space="0"/>
              <w:bottom w:val="single" w:color="auto" w:sz="2" w:space="0"/>
              <w:right w:val="single" w:color="auto" w:sz="2" w:space="0"/>
            </w:tcBorders>
            <w:vAlign w:val="center"/>
          </w:tcPr>
          <w:p w14:paraId="2E878DF2">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递交方式：</w:t>
            </w:r>
            <w:r>
              <w:rPr>
                <w:rFonts w:hint="eastAsia" w:ascii="宋体" w:hAnsi="宋体" w:cs="宋体"/>
                <w:sz w:val="24"/>
                <w:highlight w:val="none"/>
                <w:u w:val="single"/>
                <w:lang w:val="zh-CN"/>
              </w:rPr>
              <w:t>书面提交</w:t>
            </w:r>
            <w:r>
              <w:rPr>
                <w:rFonts w:hint="eastAsia" w:ascii="宋体" w:hAnsi="宋体" w:cs="宋体"/>
                <w:sz w:val="24"/>
                <w:highlight w:val="none"/>
                <w:u w:val="single"/>
              </w:rPr>
              <w:t xml:space="preserve"> </w:t>
            </w:r>
            <w:r>
              <w:rPr>
                <w:rFonts w:hint="eastAsia" w:ascii="宋体" w:hAnsi="宋体" w:cs="宋体"/>
                <w:sz w:val="24"/>
                <w:highlight w:val="none"/>
                <w:lang w:val="zh-CN"/>
              </w:rPr>
              <w:t xml:space="preserve">              </w:t>
            </w:r>
          </w:p>
          <w:p w14:paraId="215D4632">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接收部门：</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采购人</w:t>
            </w:r>
            <w:r>
              <w:rPr>
                <w:rFonts w:hint="eastAsia" w:ascii="宋体" w:hAnsi="宋体" w:cs="宋体"/>
                <w:sz w:val="24"/>
                <w:highlight w:val="none"/>
                <w:u w:val="single"/>
              </w:rPr>
              <w:t>或采购代理机构</w:t>
            </w:r>
            <w:r>
              <w:rPr>
                <w:rFonts w:hint="eastAsia" w:ascii="宋体" w:hAnsi="宋体" w:cs="宋体"/>
                <w:sz w:val="24"/>
                <w:highlight w:val="none"/>
                <w:lang w:val="zh-CN"/>
              </w:rPr>
              <w:t xml:space="preserve">              </w:t>
            </w:r>
          </w:p>
          <w:p w14:paraId="125AB85F">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联系电话：</w:t>
            </w:r>
            <w:r>
              <w:rPr>
                <w:rFonts w:hint="eastAsia" w:ascii="宋体" w:hAnsi="宋体" w:cs="宋体"/>
                <w:sz w:val="24"/>
                <w:highlight w:val="none"/>
                <w:u w:val="single"/>
              </w:rPr>
              <w:t>18599266589</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 xml:space="preserve">        </w:t>
            </w:r>
          </w:p>
          <w:p w14:paraId="3D5FBD93">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通讯地址：</w:t>
            </w:r>
            <w:r>
              <w:rPr>
                <w:rFonts w:hint="eastAsia" w:ascii="宋体" w:hAnsi="宋体" w:cs="宋体"/>
                <w:sz w:val="24"/>
                <w:highlight w:val="none"/>
                <w:u w:val="single"/>
              </w:rPr>
              <w:t xml:space="preserve"> 新疆</w:t>
            </w:r>
            <w:r>
              <w:rPr>
                <w:rFonts w:hint="eastAsia" w:ascii="宋体" w:hAnsi="宋体" w:cs="宋体"/>
                <w:sz w:val="24"/>
                <w:highlight w:val="none"/>
                <w:u w:val="single"/>
                <w:lang w:val="en-US" w:eastAsia="zh-CN"/>
              </w:rPr>
              <w:t>库尔勒市楼兰世家B座1903室</w:t>
            </w:r>
            <w:r>
              <w:rPr>
                <w:rFonts w:hint="eastAsia" w:ascii="宋体" w:hAnsi="宋体" w:cs="宋体"/>
                <w:sz w:val="24"/>
                <w:highlight w:val="none"/>
                <w:u w:val="single"/>
              </w:rPr>
              <w:t xml:space="preserve"> </w:t>
            </w:r>
            <w:r>
              <w:rPr>
                <w:rFonts w:hint="eastAsia" w:ascii="宋体" w:hAnsi="宋体" w:cs="宋体"/>
                <w:sz w:val="24"/>
                <w:highlight w:val="none"/>
                <w:lang w:val="zh-CN"/>
              </w:rPr>
              <w:t xml:space="preserve">   </w:t>
            </w:r>
          </w:p>
          <w:p w14:paraId="1CF87890">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注：根据《中华人民共和国政府采购法》的规定，供应商质疑不得超出磋商文件、采购过程、采购结果的范围。依据《政府采购质疑和投诉办法》（财政部令第94号）的规定：供应商提出质疑应当提交质疑函和必要的证明材料。质疑函应当包括下列内容：</w:t>
            </w:r>
          </w:p>
          <w:p w14:paraId="0335DCB8">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（一）供应商的姓名或者名称、地址、邮编、联系人及联系电话；</w:t>
            </w:r>
          </w:p>
          <w:p w14:paraId="44613F5B">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（二）质疑项目的名称、编号；</w:t>
            </w:r>
          </w:p>
          <w:p w14:paraId="61C86EF5">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（三）具体、明确的质疑事项和与质疑事项相关的请求；</w:t>
            </w:r>
          </w:p>
          <w:p w14:paraId="6155A93C">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（四）事实依据；</w:t>
            </w:r>
          </w:p>
          <w:p w14:paraId="2E4A42C8">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（五）必要的法律依据；</w:t>
            </w:r>
          </w:p>
          <w:p w14:paraId="71F0C047">
            <w:pPr>
              <w:pStyle w:val="52"/>
              <w:autoSpaceDE w:val="0"/>
              <w:autoSpaceDN w:val="0"/>
              <w:adjustRightInd w:val="0"/>
              <w:rPr>
                <w:rFonts w:hint="eastAsia" w:ascii="宋体" w:hAnsi="宋体" w:cs="宋体"/>
                <w:sz w:val="24"/>
                <w:highlight w:val="none"/>
                <w:lang w:val="zh-CN"/>
              </w:rPr>
            </w:pPr>
            <w:r>
              <w:rPr>
                <w:rFonts w:hint="eastAsia" w:ascii="宋体" w:hAnsi="宋体" w:cs="宋体"/>
                <w:sz w:val="24"/>
                <w:highlight w:val="none"/>
                <w:lang w:val="zh-CN"/>
              </w:rPr>
              <w:t>（六）提出质疑的日期。</w:t>
            </w:r>
          </w:p>
          <w:p w14:paraId="1C928083">
            <w:pPr>
              <w:pStyle w:val="5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cs="宋体"/>
                <w:sz w:val="24"/>
                <w:highlight w:val="none"/>
                <w:lang w:val="zh-CN"/>
              </w:rPr>
              <w:t xml:space="preserve">供应商为自然人的，应当由本人签字；供应商为法人或者其他组织的，应当由法定代表人、主要负责人，或者其授权代表签字或者盖章，并加盖公章；代理人提出质疑和投诉，应当提交供应商签署的授权委托书。 供应商应在法定质疑期内一次性提出针对同一采购程序环节的质疑，否则不予受理。  </w:t>
            </w:r>
          </w:p>
        </w:tc>
      </w:tr>
      <w:tr w14:paraId="33386A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B4B8253">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620FF725">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采购代理服务费收取方式和标准</w:t>
            </w:r>
          </w:p>
        </w:tc>
        <w:tc>
          <w:tcPr>
            <w:tcW w:w="6663" w:type="dxa"/>
            <w:tcBorders>
              <w:top w:val="single" w:color="auto" w:sz="2" w:space="0"/>
              <w:left w:val="single" w:color="auto" w:sz="2" w:space="0"/>
              <w:bottom w:val="single" w:color="auto" w:sz="2" w:space="0"/>
              <w:right w:val="single" w:color="auto" w:sz="2" w:space="0"/>
            </w:tcBorders>
            <w:vAlign w:val="center"/>
          </w:tcPr>
          <w:p w14:paraId="50481589">
            <w:pPr>
              <w:pStyle w:val="44"/>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1.</w:t>
            </w:r>
            <w:r>
              <w:rPr>
                <w:rFonts w:hint="eastAsia" w:ascii="宋体" w:hAnsi="宋体" w:eastAsia="宋体" w:cs="宋体"/>
                <w:kern w:val="2"/>
                <w:sz w:val="24"/>
                <w:szCs w:val="24"/>
                <w:highlight w:val="none"/>
                <w:lang w:val="en-US" w:eastAsia="zh-CN" w:bidi="ar-SA"/>
              </w:rPr>
              <w:t>收</w:t>
            </w:r>
            <w:r>
              <w:rPr>
                <w:rFonts w:hint="eastAsia" w:ascii="宋体" w:hAnsi="宋体" w:eastAsia="宋体" w:cs="宋体"/>
                <w:kern w:val="2"/>
                <w:sz w:val="24"/>
                <w:szCs w:val="24"/>
                <w:highlight w:val="none"/>
                <w:lang w:val="zh-CN" w:eastAsia="zh-CN" w:bidi="ar-SA"/>
              </w:rPr>
              <w:t>费</w:t>
            </w:r>
            <w:r>
              <w:rPr>
                <w:rFonts w:hint="eastAsia" w:ascii="宋体" w:hAnsi="宋体" w:eastAsia="宋体" w:cs="宋体"/>
                <w:kern w:val="2"/>
                <w:sz w:val="24"/>
                <w:szCs w:val="24"/>
                <w:highlight w:val="none"/>
                <w:lang w:val="en-US" w:eastAsia="zh-CN" w:bidi="ar-SA"/>
              </w:rPr>
              <w:t>对象</w:t>
            </w:r>
            <w:r>
              <w:rPr>
                <w:rFonts w:hint="eastAsia" w:ascii="宋体" w:hAnsi="宋体" w:eastAsia="宋体" w:cs="宋体"/>
                <w:kern w:val="2"/>
                <w:sz w:val="24"/>
                <w:szCs w:val="24"/>
                <w:highlight w:val="none"/>
                <w:lang w:val="zh-CN" w:eastAsia="zh-CN" w:bidi="ar-SA"/>
              </w:rPr>
              <w:t>：</w:t>
            </w:r>
            <w:r>
              <w:rPr>
                <w:rFonts w:hint="eastAsia" w:ascii="宋体" w:hAnsi="宋体" w:eastAsia="宋体" w:cs="宋体"/>
                <w:kern w:val="2"/>
                <w:sz w:val="24"/>
                <w:szCs w:val="24"/>
                <w:highlight w:val="none"/>
                <w:lang w:val="zh-CN" w:eastAsia="zh-CN" w:bidi="ar-SA"/>
              </w:rPr>
              <w:sym w:font="Wingdings" w:char="00A8"/>
            </w:r>
            <w:r>
              <w:rPr>
                <w:rFonts w:hint="eastAsia" w:ascii="宋体" w:hAnsi="宋体" w:eastAsia="宋体" w:cs="宋体"/>
                <w:kern w:val="2"/>
                <w:sz w:val="24"/>
                <w:szCs w:val="24"/>
                <w:highlight w:val="none"/>
                <w:lang w:val="zh-CN" w:eastAsia="zh-CN" w:bidi="ar-SA"/>
              </w:rPr>
              <w:t xml:space="preserve">采购人支付 </w:t>
            </w:r>
            <w:r>
              <w:rPr>
                <w:rFonts w:hint="eastAsia" w:ascii="宋体" w:hAnsi="宋体" w:eastAsia="宋体" w:cs="宋体"/>
                <w:kern w:val="2"/>
                <w:sz w:val="24"/>
                <w:szCs w:val="24"/>
                <w:highlight w:val="none"/>
                <w:lang w:val="zh-CN" w:eastAsia="zh-CN" w:bidi="ar-SA"/>
              </w:rPr>
              <w:sym w:font="Wingdings" w:char="00FE"/>
            </w:r>
            <w:r>
              <w:rPr>
                <w:rFonts w:hint="eastAsia" w:ascii="宋体" w:hAnsi="宋体" w:eastAsia="宋体" w:cs="宋体"/>
                <w:kern w:val="2"/>
                <w:sz w:val="24"/>
                <w:szCs w:val="24"/>
                <w:highlight w:val="none"/>
                <w:lang w:val="en-US" w:eastAsia="zh-CN" w:bidi="ar-SA"/>
              </w:rPr>
              <w:t>成交</w:t>
            </w:r>
            <w:r>
              <w:rPr>
                <w:rFonts w:hint="eastAsia" w:ascii="宋体" w:hAnsi="宋体" w:eastAsia="宋体" w:cs="宋体"/>
                <w:kern w:val="2"/>
                <w:sz w:val="24"/>
                <w:szCs w:val="24"/>
                <w:highlight w:val="none"/>
                <w:lang w:val="zh-CN" w:eastAsia="zh-CN" w:bidi="ar-SA"/>
              </w:rPr>
              <w:t xml:space="preserve">人支付 </w:t>
            </w:r>
          </w:p>
          <w:p w14:paraId="0CE3AED8">
            <w:pPr>
              <w:pStyle w:val="44"/>
              <w:rPr>
                <w:rFonts w:hint="eastAsia" w:ascii="宋体" w:hAnsi="宋体" w:eastAsia="宋体" w:cs="宋体"/>
                <w:kern w:val="2"/>
                <w:sz w:val="24"/>
                <w:szCs w:val="24"/>
                <w:highlight w:val="none"/>
                <w:u w:val="single"/>
                <w:lang w:val="zh-CN" w:eastAsia="zh-CN" w:bidi="ar-SA"/>
              </w:rPr>
            </w:pPr>
            <w:r>
              <w:rPr>
                <w:rFonts w:hint="eastAsia" w:ascii="宋体" w:hAnsi="宋体" w:eastAsia="宋体" w:cs="宋体"/>
                <w:kern w:val="2"/>
                <w:sz w:val="24"/>
                <w:szCs w:val="24"/>
                <w:highlight w:val="none"/>
                <w:lang w:val="zh-CN" w:eastAsia="zh-CN" w:bidi="ar-SA"/>
              </w:rPr>
              <w:t>2.</w:t>
            </w:r>
            <w:r>
              <w:rPr>
                <w:rFonts w:hint="eastAsia" w:ascii="宋体" w:hAnsi="宋体" w:eastAsia="宋体" w:cs="宋体"/>
                <w:kern w:val="2"/>
                <w:sz w:val="24"/>
                <w:szCs w:val="24"/>
                <w:highlight w:val="none"/>
                <w:lang w:val="en-US" w:eastAsia="zh-CN" w:bidi="ar-SA"/>
              </w:rPr>
              <w:t>收费</w:t>
            </w:r>
            <w:r>
              <w:rPr>
                <w:rFonts w:hint="eastAsia" w:ascii="宋体" w:hAnsi="宋体" w:eastAsia="宋体" w:cs="宋体"/>
                <w:kern w:val="2"/>
                <w:sz w:val="24"/>
                <w:szCs w:val="24"/>
                <w:highlight w:val="none"/>
                <w:lang w:val="zh-CN" w:eastAsia="zh-CN" w:bidi="ar-SA"/>
              </w:rPr>
              <w:t xml:space="preserve">标准： </w:t>
            </w:r>
            <w:r>
              <w:rPr>
                <w:rFonts w:hint="eastAsia" w:ascii="宋体" w:hAnsi="宋体" w:eastAsia="宋体" w:cs="宋体"/>
                <w:kern w:val="2"/>
                <w:sz w:val="24"/>
                <w:szCs w:val="24"/>
                <w:highlight w:val="none"/>
                <w:u w:val="single"/>
                <w:lang w:val="zh-CN" w:eastAsia="zh-CN" w:bidi="ar-SA"/>
              </w:rPr>
              <w:t xml:space="preserve">参照计发改价格【2011】534号、发改办价格[2003]857号文件《关于招标代理服务收费有关问题的通知》”收取，代理服务费及开、评标过程中的其他相关费用由中标（成交）单位承担。 </w:t>
            </w:r>
          </w:p>
          <w:p w14:paraId="15B74D44">
            <w:pPr>
              <w:pStyle w:val="44"/>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 xml:space="preserve">3.收取时间： </w:t>
            </w:r>
            <w:r>
              <w:rPr>
                <w:rFonts w:hint="eastAsia" w:ascii="宋体" w:hAnsi="宋体" w:eastAsia="宋体" w:cs="宋体"/>
                <w:kern w:val="2"/>
                <w:sz w:val="24"/>
                <w:szCs w:val="24"/>
                <w:highlight w:val="none"/>
                <w:u w:val="single"/>
                <w:lang w:val="zh-CN" w:eastAsia="zh-CN" w:bidi="ar-SA"/>
              </w:rPr>
              <w:t xml:space="preserve">中标人领取《成交通知书》时缴纳  </w:t>
            </w:r>
            <w:r>
              <w:rPr>
                <w:rFonts w:hint="eastAsia" w:ascii="宋体" w:hAnsi="宋体" w:eastAsia="宋体" w:cs="宋体"/>
                <w:kern w:val="2"/>
                <w:sz w:val="24"/>
                <w:szCs w:val="24"/>
                <w:highlight w:val="none"/>
                <w:lang w:val="zh-CN" w:eastAsia="zh-CN" w:bidi="ar-SA"/>
              </w:rPr>
              <w:t xml:space="preserve"> </w:t>
            </w:r>
          </w:p>
          <w:p w14:paraId="341BF768">
            <w:pPr>
              <w:pStyle w:val="44"/>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 xml:space="preserve">4.收取方式：网银电汇、转账  </w:t>
            </w:r>
          </w:p>
          <w:p w14:paraId="2FEF121F">
            <w:pPr>
              <w:pStyle w:val="54"/>
              <w:spacing w:line="340" w:lineRule="exact"/>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 xml:space="preserve">收取单位：新疆国林工程项目管理有限公司                            </w:t>
            </w:r>
          </w:p>
          <w:p w14:paraId="0196F1BA">
            <w:pPr>
              <w:pStyle w:val="54"/>
              <w:spacing w:line="340" w:lineRule="exact"/>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 xml:space="preserve">收取账号：65050110242900000385 </w:t>
            </w:r>
          </w:p>
          <w:p w14:paraId="7ECB8F39">
            <w:pPr>
              <w:pStyle w:val="44"/>
              <w:rPr>
                <w:rFonts w:hint="eastAsia" w:ascii="宋体" w:hAnsi="宋体" w:eastAsia="宋体" w:cs="宋体"/>
                <w:i w:val="0"/>
                <w:iCs w:val="0"/>
                <w:color w:val="auto"/>
                <w:sz w:val="24"/>
                <w:szCs w:val="24"/>
                <w:highlight w:val="none"/>
              </w:rPr>
            </w:pPr>
            <w:r>
              <w:rPr>
                <w:rFonts w:hint="eastAsia" w:ascii="宋体" w:hAnsi="宋体" w:eastAsia="宋体" w:cs="宋体"/>
                <w:kern w:val="2"/>
                <w:sz w:val="24"/>
                <w:szCs w:val="24"/>
                <w:highlight w:val="none"/>
                <w:lang w:val="zh-CN" w:eastAsia="zh-CN" w:bidi="ar-SA"/>
              </w:rPr>
              <w:t xml:space="preserve">开户银行：中国建设银行股份有限公司铁门关支行  </w:t>
            </w:r>
          </w:p>
        </w:tc>
      </w:tr>
      <w:tr w14:paraId="6F7014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5EB639A">
            <w:pPr>
              <w:pStyle w:val="44"/>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39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p>
        </w:tc>
        <w:tc>
          <w:tcPr>
            <w:tcW w:w="1721" w:type="dxa"/>
            <w:tcBorders>
              <w:top w:val="single" w:color="auto" w:sz="2" w:space="0"/>
              <w:left w:val="single" w:color="auto" w:sz="2" w:space="0"/>
              <w:bottom w:val="single" w:color="auto" w:sz="2" w:space="0"/>
              <w:right w:val="single" w:color="auto" w:sz="2" w:space="0"/>
            </w:tcBorders>
            <w:vAlign w:val="center"/>
          </w:tcPr>
          <w:p w14:paraId="623E81DC">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支持中小企业政策</w:t>
            </w:r>
            <w:r>
              <w:rPr>
                <w:rStyle w:val="30"/>
                <w:rFonts w:hint="eastAsia" w:ascii="宋体" w:hAnsi="宋体" w:eastAsia="宋体" w:cs="宋体"/>
                <w:b w:val="0"/>
                <w:i w:val="0"/>
                <w:iCs w:val="0"/>
                <w:color w:val="auto"/>
                <w:sz w:val="24"/>
                <w:szCs w:val="24"/>
                <w:highlight w:val="none"/>
                <w:lang w:val="en-US" w:eastAsia="zh-CN"/>
              </w:rPr>
              <w:t>（非专门面向中小企业采购项目适用）</w:t>
            </w:r>
          </w:p>
        </w:tc>
        <w:tc>
          <w:tcPr>
            <w:tcW w:w="6663" w:type="dxa"/>
            <w:tcBorders>
              <w:top w:val="single" w:color="auto" w:sz="2" w:space="0"/>
              <w:left w:val="single" w:color="auto" w:sz="2" w:space="0"/>
              <w:bottom w:val="single" w:color="auto" w:sz="2" w:space="0"/>
              <w:right w:val="single" w:color="auto" w:sz="2" w:space="0"/>
            </w:tcBorders>
            <w:vAlign w:val="center"/>
          </w:tcPr>
          <w:p w14:paraId="494A9BAF">
            <w:pPr>
              <w:pStyle w:val="5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1</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小型和微型企业价格扣除：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10%</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1EC73829">
            <w:pPr>
              <w:pStyle w:val="5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2</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监狱企业价格扣除：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498559E5">
            <w:pPr>
              <w:pStyle w:val="5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3</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残疾人福利性单位价格扣除：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56AB8547">
            <w:pPr>
              <w:pStyle w:val="5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4</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符合条件的联合体价格扣除：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083F702C">
            <w:pPr>
              <w:pStyle w:val="57"/>
              <w:widowControl w:val="0"/>
              <w:spacing w:before="0" w:beforeAutospacing="0" w:after="0" w:afterAutospacing="0" w:line="240" w:lineRule="auto"/>
              <w:jc w:val="both"/>
              <w:rPr>
                <w:rFonts w:hint="eastAsia" w:ascii="宋体" w:hAnsi="宋体" w:eastAsia="宋体" w:cs="宋体"/>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5</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符合条件的向小微企业分包的大中型企业价格扣除：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。（允许大中型企业向小微企业分包的项目适用）</w:t>
            </w:r>
          </w:p>
        </w:tc>
      </w:tr>
      <w:tr w14:paraId="016051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vAlign w:val="center"/>
          </w:tcPr>
          <w:p w14:paraId="790F1479">
            <w:pPr>
              <w:pStyle w:val="4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39.9</w:t>
            </w:r>
          </w:p>
        </w:tc>
        <w:tc>
          <w:tcPr>
            <w:tcW w:w="1721" w:type="dxa"/>
            <w:tcBorders>
              <w:top w:val="single" w:color="auto" w:sz="2" w:space="0"/>
              <w:left w:val="single" w:color="auto" w:sz="2" w:space="0"/>
              <w:bottom w:val="single" w:color="auto" w:sz="2" w:space="0"/>
              <w:right w:val="single" w:color="auto" w:sz="2" w:space="0"/>
            </w:tcBorders>
            <w:vAlign w:val="center"/>
          </w:tcPr>
          <w:p w14:paraId="4DEF3B1D">
            <w:pPr>
              <w:pStyle w:val="44"/>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标的所属行业</w:t>
            </w:r>
          </w:p>
          <w:p w14:paraId="2A0D024C">
            <w:pPr>
              <w:pStyle w:val="44"/>
              <w:rPr>
                <w:rFonts w:hint="eastAsia" w:ascii="宋体" w:hAnsi="宋体" w:eastAsia="宋体" w:cs="宋体"/>
                <w:i w:val="0"/>
                <w:iCs w:val="0"/>
                <w:color w:val="auto"/>
                <w:sz w:val="24"/>
                <w:szCs w:val="24"/>
                <w:highlight w:val="none"/>
              </w:rPr>
            </w:pPr>
            <w:r>
              <w:rPr>
                <w:rStyle w:val="30"/>
                <w:rFonts w:hint="eastAsia" w:ascii="宋体" w:hAnsi="宋体" w:eastAsia="宋体" w:cs="宋体"/>
                <w:b w:val="0"/>
                <w:i w:val="0"/>
                <w:iCs w:val="0"/>
                <w:color w:val="auto"/>
                <w:sz w:val="24"/>
                <w:szCs w:val="24"/>
                <w:highlight w:val="none"/>
                <w:lang w:val="en-US" w:eastAsia="zh-CN"/>
              </w:rPr>
              <w:t>参照后附</w:t>
            </w:r>
            <w:r>
              <w:rPr>
                <w:rStyle w:val="30"/>
                <w:rFonts w:hint="eastAsia" w:ascii="宋体" w:hAnsi="宋体" w:eastAsia="宋体" w:cs="宋体"/>
                <w:b w:val="0"/>
                <w:i w:val="0"/>
                <w:iCs w:val="0"/>
                <w:color w:val="auto"/>
                <w:sz w:val="24"/>
                <w:szCs w:val="24"/>
                <w:highlight w:val="none"/>
                <w:lang w:eastAsia="zh-CN"/>
              </w:rPr>
              <w:t>《</w:t>
            </w:r>
            <w:r>
              <w:rPr>
                <w:rStyle w:val="30"/>
                <w:rFonts w:hint="eastAsia" w:ascii="宋体" w:hAnsi="宋体" w:eastAsia="宋体" w:cs="宋体"/>
                <w:b w:val="0"/>
                <w:i w:val="0"/>
                <w:iCs w:val="0"/>
                <w:color w:val="auto"/>
                <w:sz w:val="24"/>
                <w:szCs w:val="24"/>
                <w:highlight w:val="none"/>
              </w:rPr>
              <w:t>工信部联企业〔2011〕300号</w:t>
            </w:r>
            <w:r>
              <w:rPr>
                <w:rStyle w:val="30"/>
                <w:rFonts w:hint="eastAsia" w:ascii="宋体" w:hAnsi="宋体" w:eastAsia="宋体" w:cs="宋体"/>
                <w:b w:val="0"/>
                <w:i w:val="0"/>
                <w:iCs w:val="0"/>
                <w:color w:val="auto"/>
                <w:sz w:val="24"/>
                <w:szCs w:val="24"/>
                <w:highlight w:val="none"/>
                <w:lang w:eastAsia="zh-CN"/>
              </w:rPr>
              <w:t>》</w:t>
            </w:r>
          </w:p>
        </w:tc>
        <w:tc>
          <w:tcPr>
            <w:tcW w:w="6663" w:type="dxa"/>
            <w:tcBorders>
              <w:top w:val="single" w:color="auto" w:sz="2" w:space="0"/>
              <w:left w:val="single" w:color="auto" w:sz="2" w:space="0"/>
              <w:bottom w:val="single" w:color="auto" w:sz="2" w:space="0"/>
              <w:right w:val="single" w:color="auto" w:sz="2" w:space="0"/>
            </w:tcBorders>
            <w:vAlign w:val="center"/>
          </w:tcPr>
          <w:p w14:paraId="73639D39">
            <w:pPr>
              <w:keepNext w:val="0"/>
              <w:keepLines w:val="0"/>
              <w:widowControl/>
              <w:suppressLineNumbers w:val="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本项目采购标的对应的中小企业划分标准所属行业： </w:t>
            </w:r>
          </w:p>
          <w:tbl>
            <w:tblPr>
              <w:tblStyle w:val="28"/>
              <w:tblW w:w="6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1824"/>
              <w:gridCol w:w="3245"/>
            </w:tblGrid>
            <w:tr w14:paraId="385ED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6A664177">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包号</w:t>
                  </w:r>
                </w:p>
              </w:tc>
              <w:tc>
                <w:tcPr>
                  <w:tcW w:w="1824" w:type="dxa"/>
                  <w:vAlign w:val="center"/>
                </w:tcPr>
                <w:p w14:paraId="0AD36816">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标的名称</w:t>
                  </w:r>
                </w:p>
              </w:tc>
              <w:tc>
                <w:tcPr>
                  <w:tcW w:w="3245" w:type="dxa"/>
                  <w:vAlign w:val="center"/>
                </w:tcPr>
                <w:p w14:paraId="2C78D772">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中小企业划分标准所属行业</w:t>
                  </w:r>
                </w:p>
              </w:tc>
            </w:tr>
            <w:tr w14:paraId="531AC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45DA92CB">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vertAlign w:val="baseline"/>
                      <w:lang w:val="en-US" w:eastAsia="zh-CN" w:bidi="ar"/>
                    </w:rPr>
                    <w:t>第1包</w:t>
                  </w:r>
                </w:p>
              </w:tc>
              <w:tc>
                <w:tcPr>
                  <w:tcW w:w="1824" w:type="dxa"/>
                  <w:vAlign w:val="center"/>
                </w:tcPr>
                <w:p w14:paraId="7B94C3FE">
                  <w:pPr>
                    <w:keepNext w:val="0"/>
                    <w:keepLines w:val="0"/>
                    <w:widowControl/>
                    <w:suppressLineNumbers w:val="0"/>
                    <w:spacing w:line="240" w:lineRule="auto"/>
                    <w:jc w:val="center"/>
                    <w:rPr>
                      <w:rFonts w:hint="eastAsia" w:ascii="宋体" w:hAnsi="宋体" w:eastAsia="宋体" w:cs="宋体"/>
                      <w:i w:val="0"/>
                      <w:iCs w:val="0"/>
                      <w:color w:val="auto"/>
                      <w:kern w:val="0"/>
                      <w:sz w:val="21"/>
                      <w:szCs w:val="21"/>
                      <w:highlight w:val="none"/>
                      <w:vertAlign w:val="baseline"/>
                      <w:lang w:val="en-US" w:eastAsia="zh-CN" w:bidi="ar"/>
                    </w:rPr>
                  </w:pPr>
                  <w:r>
                    <w:rPr>
                      <w:rFonts w:hint="eastAsia" w:ascii="宋体" w:hAnsi="宋体" w:eastAsia="宋体" w:cs="宋体"/>
                      <w:i w:val="0"/>
                      <w:iCs w:val="0"/>
                      <w:color w:val="auto"/>
                      <w:kern w:val="0"/>
                      <w:sz w:val="21"/>
                      <w:szCs w:val="21"/>
                      <w:highlight w:val="none"/>
                      <w:vertAlign w:val="baseline"/>
                      <w:lang w:val="en-US" w:eastAsia="zh-CN" w:bidi="ar"/>
                    </w:rPr>
                    <w:t>巴州巩乃斯国有林管理局2025年林业草原改革发展资金森林草原防火项目</w:t>
                  </w:r>
                </w:p>
              </w:tc>
              <w:tc>
                <w:tcPr>
                  <w:tcW w:w="3245" w:type="dxa"/>
                  <w:vAlign w:val="center"/>
                </w:tcPr>
                <w:p w14:paraId="33535D95">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b/>
                      <w:bCs/>
                      <w:i w:val="0"/>
                      <w:iCs w:val="0"/>
                      <w:color w:val="auto"/>
                      <w:kern w:val="0"/>
                      <w:sz w:val="24"/>
                      <w:szCs w:val="24"/>
                      <w:highlight w:val="none"/>
                      <w:vertAlign w:val="baseline"/>
                      <w:lang w:val="en-US" w:eastAsia="zh-CN" w:bidi="ar"/>
                    </w:rPr>
                    <w:t>建筑业</w:t>
                  </w:r>
                </w:p>
              </w:tc>
            </w:tr>
          </w:tbl>
          <w:p w14:paraId="4176FC14">
            <w:pPr>
              <w:pStyle w:val="44"/>
              <w:rPr>
                <w:rFonts w:hint="eastAsia" w:ascii="宋体" w:hAnsi="宋体" w:eastAsia="宋体" w:cs="宋体"/>
                <w:i w:val="0"/>
                <w:iCs w:val="0"/>
                <w:color w:val="auto"/>
                <w:sz w:val="24"/>
                <w:szCs w:val="24"/>
                <w:highlight w:val="none"/>
              </w:rPr>
            </w:pPr>
          </w:p>
        </w:tc>
      </w:tr>
      <w:tr w14:paraId="02EBB6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30"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2A432A49">
            <w:pPr>
              <w:pStyle w:val="4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40.5</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045319EF">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优先采购创新节能环保产品</w:t>
            </w:r>
          </w:p>
        </w:tc>
        <w:tc>
          <w:tcPr>
            <w:tcW w:w="6663" w:type="dxa"/>
            <w:tcBorders>
              <w:top w:val="single" w:color="auto" w:sz="2" w:space="0"/>
              <w:left w:val="single" w:color="auto" w:sz="2" w:space="0"/>
              <w:bottom w:val="single" w:color="auto" w:sz="2" w:space="0"/>
              <w:right w:val="single" w:color="auto" w:sz="2" w:space="0"/>
            </w:tcBorders>
            <w:shd w:val="clear" w:color="auto" w:fill="auto"/>
            <w:vAlign w:val="center"/>
          </w:tcPr>
          <w:p w14:paraId="1F559201">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产品纳入创新产品应用示范推荐目录内企业、所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产品获得节能产品或环境标志产品认证证书的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报价给予</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的价格扣除。</w:t>
            </w:r>
          </w:p>
        </w:tc>
      </w:tr>
      <w:tr w14:paraId="5DE88C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2786DB02">
            <w:pPr>
              <w:pStyle w:val="4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1F7BC457">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政府采购</w:t>
            </w:r>
          </w:p>
          <w:p w14:paraId="2BEF7B44">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合同融资政策</w:t>
            </w:r>
          </w:p>
        </w:tc>
        <w:tc>
          <w:tcPr>
            <w:tcW w:w="6663" w:type="dxa"/>
            <w:tcBorders>
              <w:top w:val="single" w:color="auto" w:sz="2" w:space="0"/>
              <w:left w:val="single" w:color="auto" w:sz="2" w:space="0"/>
              <w:bottom w:val="single" w:color="auto" w:sz="2" w:space="0"/>
              <w:right w:val="single" w:color="auto" w:sz="2" w:space="0"/>
            </w:tcBorders>
            <w:shd w:val="clear" w:color="auto" w:fill="auto"/>
            <w:vAlign w:val="center"/>
          </w:tcPr>
          <w:p w14:paraId="26C388BA">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1.</w:t>
            </w:r>
            <w:r>
              <w:rPr>
                <w:rFonts w:hint="eastAsia" w:ascii="宋体" w:hAnsi="宋体" w:eastAsia="宋体" w:cs="宋体"/>
                <w:i w:val="0"/>
                <w:iCs w:val="0"/>
                <w:color w:val="auto"/>
                <w:sz w:val="24"/>
                <w:szCs w:val="24"/>
                <w:highlight w:val="none"/>
              </w:rPr>
              <w:t>有融资需求的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人在获得政府采购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通知书后，即可向开展“政采贷”业务的金融机构提出申请，金融机构依据政府采购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通知书和政府采购合同，为中小微企业提供融资服务。</w:t>
            </w:r>
          </w:p>
          <w:p w14:paraId="3C6F71B4">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渠道和方式：</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u w:val="single"/>
              </w:rPr>
              <w:t>根据项目情况自行补充</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rPr>
              <w:t>。</w:t>
            </w:r>
          </w:p>
          <w:p w14:paraId="6795BCBE">
            <w:pPr>
              <w:pStyle w:val="4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 xml:space="preserve">  2.</w:t>
            </w:r>
            <w:r>
              <w:rPr>
                <w:rFonts w:hint="eastAsia" w:ascii="宋体" w:hAnsi="宋体" w:eastAsia="宋体" w:cs="宋体"/>
                <w:i w:val="0"/>
                <w:iCs w:val="0"/>
                <w:color w:val="auto"/>
                <w:sz w:val="24"/>
                <w:szCs w:val="24"/>
                <w:highlight w:val="none"/>
                <w:lang w:eastAsia="zh-CN"/>
              </w:rPr>
              <w:t>“政采贷”融资指引：在取得政府采购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lang w:eastAsia="zh-CN"/>
              </w:rPr>
              <w:t>通知书后，可访问“</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eastAsia="zh-CN"/>
              </w:rPr>
              <w:t>政采贷</w:t>
            </w:r>
            <w:r>
              <w:rPr>
                <w:rFonts w:hint="eastAsia" w:ascii="宋体" w:hAnsi="宋体" w:eastAsia="宋体" w:cs="宋体"/>
                <w:i w:val="0"/>
                <w:iCs w:val="0"/>
                <w:color w:val="auto"/>
                <w:sz w:val="24"/>
                <w:szCs w:val="24"/>
                <w:highlight w:val="none"/>
                <w:lang w:val="en-US" w:eastAsia="zh-CN"/>
              </w:rPr>
              <w:t>融资服务平台”</w:t>
            </w:r>
            <w:r>
              <w:rPr>
                <w:rFonts w:hint="eastAsia" w:ascii="宋体" w:hAnsi="宋体" w:eastAsia="宋体" w:cs="宋体"/>
                <w:i w:val="0"/>
                <w:iCs w:val="0"/>
                <w:color w:val="auto"/>
                <w:sz w:val="24"/>
                <w:szCs w:val="24"/>
                <w:highlight w:val="none"/>
                <w:lang w:eastAsia="zh-CN"/>
              </w:rPr>
              <w:t>，查看和联系第三方平台或者金融机构，商洽融资事项，确定融资意向。</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lang w:eastAsia="zh-CN"/>
              </w:rPr>
              <w:t>人签署政府采购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lang w:eastAsia="zh-CN"/>
              </w:rPr>
              <w:t>合同后，登录“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eastAsia="zh-CN"/>
              </w:rPr>
              <w:t>政采贷</w:t>
            </w:r>
            <w:r>
              <w:rPr>
                <w:rFonts w:hint="eastAsia" w:ascii="宋体" w:hAnsi="宋体" w:eastAsia="宋体" w:cs="宋体"/>
                <w:i w:val="0"/>
                <w:iCs w:val="0"/>
                <w:color w:val="auto"/>
                <w:sz w:val="24"/>
                <w:szCs w:val="24"/>
                <w:highlight w:val="none"/>
                <w:lang w:val="en-US" w:eastAsia="zh-CN"/>
              </w:rPr>
              <w:t>融资服务平台”</w:t>
            </w:r>
            <w:r>
              <w:rPr>
                <w:rFonts w:hint="eastAsia" w:ascii="宋体" w:hAnsi="宋体" w:eastAsia="宋体" w:cs="宋体"/>
                <w:i w:val="0"/>
                <w:iCs w:val="0"/>
                <w:color w:val="auto"/>
                <w:sz w:val="24"/>
                <w:szCs w:val="24"/>
                <w:highlight w:val="none"/>
                <w:lang w:eastAsia="zh-CN"/>
              </w:rPr>
              <w:t>，选择意向产品进行申请，并填写相关信息，“</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eastAsia="zh-CN"/>
              </w:rPr>
              <w:t>政采贷</w:t>
            </w:r>
            <w:r>
              <w:rPr>
                <w:rFonts w:hint="eastAsia" w:ascii="宋体" w:hAnsi="宋体" w:eastAsia="宋体" w:cs="宋体"/>
                <w:i w:val="0"/>
                <w:iCs w:val="0"/>
                <w:color w:val="auto"/>
                <w:sz w:val="24"/>
                <w:szCs w:val="24"/>
                <w:highlight w:val="none"/>
                <w:lang w:val="en-US" w:eastAsia="zh-CN"/>
              </w:rPr>
              <w:t>融资服务平台”</w:t>
            </w:r>
            <w:r>
              <w:rPr>
                <w:rFonts w:hint="eastAsia" w:ascii="宋体" w:hAnsi="宋体" w:eastAsia="宋体" w:cs="宋体"/>
                <w:i w:val="0"/>
                <w:iCs w:val="0"/>
                <w:color w:val="auto"/>
                <w:sz w:val="24"/>
                <w:szCs w:val="24"/>
                <w:highlight w:val="none"/>
                <w:lang w:eastAsia="zh-CN"/>
              </w:rPr>
              <w:t>将中标人融资申请信息推送第三方平台、意向金融机构。</w:t>
            </w:r>
          </w:p>
        </w:tc>
      </w:tr>
      <w:tr w14:paraId="54F8D0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812" w:hRule="atLeast"/>
        </w:trPr>
        <w:tc>
          <w:tcPr>
            <w:tcW w:w="970" w:type="dxa"/>
            <w:tcBorders>
              <w:top w:val="single" w:color="auto" w:sz="2" w:space="0"/>
              <w:left w:val="single" w:color="auto" w:sz="2" w:space="0"/>
              <w:bottom w:val="single" w:color="auto" w:sz="2" w:space="0"/>
              <w:right w:val="single" w:color="auto" w:sz="4" w:space="0"/>
            </w:tcBorders>
            <w:vAlign w:val="center"/>
          </w:tcPr>
          <w:p w14:paraId="342D37A4">
            <w:pPr>
              <w:pStyle w:val="4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4" w:space="0"/>
            </w:tcBorders>
            <w:vAlign w:val="center"/>
          </w:tcPr>
          <w:p w14:paraId="57A459C3">
            <w:pPr>
              <w:pStyle w:val="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需要补充的其他内容</w:t>
            </w:r>
          </w:p>
        </w:tc>
        <w:tc>
          <w:tcPr>
            <w:tcW w:w="6663" w:type="dxa"/>
            <w:tcBorders>
              <w:top w:val="single" w:color="auto" w:sz="2" w:space="0"/>
              <w:left w:val="single" w:color="auto" w:sz="4" w:space="0"/>
              <w:bottom w:val="single" w:color="auto" w:sz="2" w:space="0"/>
              <w:right w:val="single" w:color="auto" w:sz="2" w:space="0"/>
            </w:tcBorders>
            <w:vAlign w:val="center"/>
          </w:tcPr>
          <w:p w14:paraId="023E5C1C">
            <w:pPr>
              <w:pStyle w:val="44"/>
              <w:rPr>
                <w:rFonts w:hint="eastAsia" w:cs="宋体"/>
                <w:szCs w:val="24"/>
                <w:highlight w:val="none"/>
              </w:rPr>
            </w:pPr>
            <w:r>
              <w:rPr>
                <w:rFonts w:hint="eastAsia" w:cs="宋体"/>
                <w:szCs w:val="24"/>
                <w:highlight w:val="none"/>
              </w:rPr>
              <w:t>1.评标委员会的组成：评标委员会构成：</w:t>
            </w:r>
            <w:r>
              <w:rPr>
                <w:rFonts w:hint="eastAsia" w:cs="宋体"/>
                <w:szCs w:val="24"/>
                <w:highlight w:val="none"/>
                <w:lang w:val="en-US" w:eastAsia="zh-CN"/>
              </w:rPr>
              <w:t>3</w:t>
            </w:r>
            <w:r>
              <w:rPr>
                <w:rFonts w:hint="eastAsia" w:cs="宋体"/>
                <w:szCs w:val="24"/>
                <w:highlight w:val="none"/>
              </w:rPr>
              <w:t>人，其中采购人代表</w:t>
            </w:r>
            <w:r>
              <w:rPr>
                <w:rFonts w:hint="eastAsia" w:cs="宋体"/>
                <w:szCs w:val="24"/>
                <w:highlight w:val="none"/>
                <w:lang w:val="en-US" w:eastAsia="zh-CN"/>
              </w:rPr>
              <w:t>1</w:t>
            </w:r>
            <w:r>
              <w:rPr>
                <w:rFonts w:hint="eastAsia" w:cs="宋体"/>
                <w:szCs w:val="24"/>
                <w:highlight w:val="none"/>
              </w:rPr>
              <w:t>人，其他评委</w:t>
            </w:r>
            <w:r>
              <w:rPr>
                <w:rFonts w:hint="eastAsia" w:cs="宋体"/>
                <w:szCs w:val="24"/>
                <w:highlight w:val="none"/>
                <w:lang w:val="en-US" w:eastAsia="zh-CN"/>
              </w:rPr>
              <w:t>2</w:t>
            </w:r>
            <w:r>
              <w:rPr>
                <w:rFonts w:hint="eastAsia" w:cs="宋体"/>
                <w:szCs w:val="24"/>
                <w:highlight w:val="none"/>
              </w:rPr>
              <w:t xml:space="preserve">人。 </w:t>
            </w:r>
          </w:p>
          <w:p w14:paraId="2D60625C">
            <w:pPr>
              <w:pStyle w:val="44"/>
              <w:rPr>
                <w:rFonts w:hint="eastAsia" w:cs="宋体"/>
                <w:szCs w:val="24"/>
                <w:highlight w:val="none"/>
              </w:rPr>
            </w:pPr>
            <w:r>
              <w:rPr>
                <w:rFonts w:hint="eastAsia" w:cs="宋体"/>
                <w:szCs w:val="24"/>
                <w:highlight w:val="none"/>
              </w:rPr>
              <w:t>评委确定方式：随机抽取通知方式（从</w:t>
            </w:r>
            <w:r>
              <w:rPr>
                <w:rFonts w:hint="eastAsia" w:cs="宋体"/>
                <w:szCs w:val="24"/>
                <w:highlight w:val="none"/>
                <w:lang w:val="en-US" w:eastAsia="zh-CN"/>
              </w:rPr>
              <w:t>政府采购</w:t>
            </w:r>
            <w:r>
              <w:rPr>
                <w:rFonts w:hint="eastAsia" w:cs="宋体"/>
                <w:szCs w:val="24"/>
                <w:highlight w:val="none"/>
              </w:rPr>
              <w:t xml:space="preserve">专家库中随机抽取） </w:t>
            </w:r>
          </w:p>
          <w:p w14:paraId="02271783">
            <w:pPr>
              <w:pStyle w:val="44"/>
              <w:numPr>
                <w:ilvl w:val="0"/>
                <w:numId w:val="0"/>
              </w:numPr>
              <w:ind w:leftChars="0"/>
              <w:rPr>
                <w:rFonts w:hint="eastAsia" w:cs="宋体"/>
                <w:szCs w:val="24"/>
                <w:highlight w:val="none"/>
              </w:rPr>
            </w:pPr>
            <w:r>
              <w:rPr>
                <w:rFonts w:hint="eastAsia" w:cs="宋体"/>
                <w:szCs w:val="24"/>
                <w:highlight w:val="none"/>
                <w:lang w:val="en-US" w:eastAsia="zh-CN"/>
              </w:rPr>
              <w:t>2</w:t>
            </w:r>
            <w:r>
              <w:rPr>
                <w:rFonts w:hint="eastAsia" w:cs="宋体"/>
                <w:szCs w:val="24"/>
                <w:highlight w:val="none"/>
              </w:rPr>
              <w:t xml:space="preserve">.争议的解决：采购人所在地的法院起诉 </w:t>
            </w:r>
          </w:p>
          <w:p w14:paraId="14FA99A0">
            <w:pPr>
              <w:pStyle w:val="44"/>
              <w:rPr>
                <w:rFonts w:hint="eastAsia" w:cs="宋体"/>
                <w:szCs w:val="24"/>
                <w:highlight w:val="none"/>
              </w:rPr>
            </w:pPr>
            <w:r>
              <w:rPr>
                <w:rFonts w:hint="eastAsia" w:cs="宋体"/>
                <w:szCs w:val="24"/>
                <w:highlight w:val="none"/>
                <w:lang w:val="en-US" w:eastAsia="zh-CN"/>
              </w:rPr>
              <w:t>3</w:t>
            </w:r>
            <w:r>
              <w:rPr>
                <w:rFonts w:hint="eastAsia" w:cs="宋体"/>
                <w:szCs w:val="24"/>
                <w:highlight w:val="none"/>
              </w:rPr>
              <w:t>.知识产权要求：</w:t>
            </w:r>
          </w:p>
          <w:p w14:paraId="30BDB922">
            <w:pPr>
              <w:pStyle w:val="44"/>
              <w:rPr>
                <w:rFonts w:hint="eastAsia" w:cs="宋体"/>
                <w:szCs w:val="24"/>
                <w:highlight w:val="none"/>
              </w:rPr>
            </w:pPr>
            <w:r>
              <w:rPr>
                <w:rFonts w:hint="eastAsia" w:cs="宋体"/>
                <w:szCs w:val="24"/>
                <w:highlight w:val="none"/>
              </w:rPr>
              <w:t xml:space="preserve">1）投标供应商须保证，采购人在中华人民共和国境内使用投标货物、资料、技术、服务或其任何一部分时，享有不受限制的无偿使用权，不会产生因第三方提出侵犯其专利权、商标权或其它知识产权而引起的法律或经济纠纷。如投标供应商不拥有相应的知识产权，则在投标报价中必须包括合法获取该知识产权的一切相关费用。如因此导致采购人损失的，投标供应商须承担全部赔偿责任。 </w:t>
            </w:r>
          </w:p>
          <w:p w14:paraId="79741E33">
            <w:pPr>
              <w:pStyle w:val="44"/>
              <w:rPr>
                <w:rFonts w:hint="eastAsia" w:cs="宋体"/>
                <w:szCs w:val="24"/>
                <w:highlight w:val="none"/>
              </w:rPr>
            </w:pPr>
            <w:r>
              <w:rPr>
                <w:rFonts w:hint="eastAsia" w:cs="宋体"/>
                <w:szCs w:val="24"/>
                <w:highlight w:val="none"/>
              </w:rPr>
              <w:t xml:space="preserve">2）投标供应商如欲在项目实施过程中采用自有知识成果，须在响应文件中声明，并提供相关知识产权证明文件。使用该知识成果后，投标供应商须提供开发接口和开发手册等技术文档。 </w:t>
            </w:r>
          </w:p>
          <w:p w14:paraId="76B77AFE">
            <w:pPr>
              <w:pStyle w:val="44"/>
              <w:rPr>
                <w:rFonts w:hint="eastAsia" w:cs="宋体"/>
                <w:szCs w:val="24"/>
                <w:highlight w:val="none"/>
              </w:rPr>
            </w:pPr>
            <w:r>
              <w:rPr>
                <w:rFonts w:hint="eastAsia" w:cs="宋体"/>
                <w:szCs w:val="24"/>
                <w:highlight w:val="none"/>
                <w:lang w:val="en-US" w:eastAsia="zh-CN"/>
              </w:rPr>
              <w:t>4</w:t>
            </w:r>
            <w:r>
              <w:rPr>
                <w:rFonts w:hint="eastAsia" w:cs="宋体"/>
                <w:szCs w:val="24"/>
                <w:highlight w:val="none"/>
              </w:rPr>
              <w:t xml:space="preserve">.无违法犯罪记录声明务必如实提供，采购人在开标时可通过网络查验供应商违法犯罪记录，如提供虚假声明，将报监管部门处理。 </w:t>
            </w:r>
          </w:p>
          <w:p w14:paraId="77F654D6">
            <w:pPr>
              <w:pStyle w:val="44"/>
              <w:rPr>
                <w:rFonts w:hint="eastAsia" w:cs="宋体"/>
                <w:szCs w:val="24"/>
                <w:highlight w:val="none"/>
              </w:rPr>
            </w:pPr>
            <w:r>
              <w:rPr>
                <w:rFonts w:hint="eastAsia" w:cs="宋体"/>
                <w:szCs w:val="24"/>
                <w:highlight w:val="none"/>
                <w:lang w:val="en-US" w:eastAsia="zh-CN"/>
              </w:rPr>
              <w:t>5</w:t>
            </w:r>
            <w:r>
              <w:rPr>
                <w:rFonts w:hint="eastAsia" w:cs="宋体"/>
                <w:szCs w:val="24"/>
                <w:highlight w:val="none"/>
              </w:rPr>
              <w:t xml:space="preserve">.供应商参加“不见面”开标项目，可通过账号密码或CA登录政采云电子交易客户端严格按采购文件模板要求进行投标文件的制作。在投标截止时间前完成经过CA数字证书电子签章并加密的投标文件上传至平台指定位置（加密和解密须用同一数字证书）。参与不见面开标的供应商应当按照规定使用CA数字证书及电子签章，其在系统中所有操作均具有法律效力，并承 </w:t>
            </w:r>
          </w:p>
          <w:p w14:paraId="40218B9B">
            <w:pPr>
              <w:pStyle w:val="44"/>
              <w:rPr>
                <w:rFonts w:hint="eastAsia" w:cs="宋体"/>
                <w:szCs w:val="24"/>
                <w:highlight w:val="none"/>
              </w:rPr>
            </w:pPr>
            <w:r>
              <w:rPr>
                <w:rFonts w:hint="eastAsia" w:cs="宋体"/>
                <w:szCs w:val="24"/>
                <w:highlight w:val="none"/>
              </w:rPr>
              <w:t xml:space="preserve">担相应责任。 </w:t>
            </w:r>
          </w:p>
          <w:p w14:paraId="61F58882">
            <w:pPr>
              <w:pStyle w:val="44"/>
              <w:rPr>
                <w:rFonts w:hint="eastAsia" w:cs="宋体"/>
                <w:szCs w:val="24"/>
                <w:highlight w:val="none"/>
              </w:rPr>
            </w:pPr>
            <w:r>
              <w:rPr>
                <w:rFonts w:hint="eastAsia" w:cs="宋体"/>
                <w:szCs w:val="24"/>
                <w:highlight w:val="none"/>
                <w:lang w:val="en-US" w:eastAsia="zh-CN"/>
              </w:rPr>
              <w:t>6</w:t>
            </w:r>
            <w:r>
              <w:rPr>
                <w:rFonts w:hint="eastAsia" w:cs="宋体"/>
                <w:szCs w:val="24"/>
                <w:highlight w:val="none"/>
              </w:rPr>
              <w:t xml:space="preserve">.供应商自行准备好项目约定的开标方式，所需的硬件及软件，因自身原因导致不能正常参与投标的，自行承担后果。 </w:t>
            </w:r>
          </w:p>
          <w:p w14:paraId="2382BCD8">
            <w:pPr>
              <w:pStyle w:val="44"/>
              <w:rPr>
                <w:rFonts w:hint="eastAsia" w:cs="宋体"/>
                <w:szCs w:val="24"/>
                <w:highlight w:val="none"/>
              </w:rPr>
            </w:pPr>
            <w:r>
              <w:rPr>
                <w:rFonts w:hint="eastAsia" w:cs="宋体"/>
                <w:szCs w:val="24"/>
                <w:highlight w:val="none"/>
                <w:lang w:val="en-US" w:eastAsia="zh-CN"/>
              </w:rPr>
              <w:t>7</w:t>
            </w:r>
            <w:r>
              <w:rPr>
                <w:rFonts w:hint="eastAsia" w:cs="宋体"/>
                <w:szCs w:val="24"/>
                <w:highlight w:val="none"/>
              </w:rPr>
              <w:t xml:space="preserve">.各供应商在项目开标、评标期间应随时保持在线状态，及时通过交易系统接受评标委员会发出的询标信息，并在规定时间内做出答复，未能按时答复的，评标委员会将视同其放弃澄清。 </w:t>
            </w:r>
          </w:p>
          <w:p w14:paraId="6993673C">
            <w:pPr>
              <w:pStyle w:val="44"/>
              <w:rPr>
                <w:rFonts w:hint="eastAsia" w:cs="宋体"/>
                <w:szCs w:val="24"/>
                <w:highlight w:val="none"/>
              </w:rPr>
            </w:pPr>
            <w:r>
              <w:rPr>
                <w:rFonts w:hint="eastAsia" w:cs="宋体"/>
                <w:szCs w:val="24"/>
                <w:highlight w:val="none"/>
                <w:lang w:val="en-US" w:eastAsia="zh-CN"/>
              </w:rPr>
              <w:t>8</w:t>
            </w:r>
            <w:r>
              <w:rPr>
                <w:rFonts w:hint="eastAsia" w:cs="宋体"/>
                <w:szCs w:val="24"/>
                <w:highlight w:val="none"/>
              </w:rPr>
              <w:t>.</w:t>
            </w:r>
            <w:r>
              <w:rPr>
                <w:rFonts w:hint="eastAsia" w:cs="宋体"/>
                <w:szCs w:val="24"/>
                <w:highlight w:val="none"/>
                <w:lang w:eastAsia="zh-CN"/>
              </w:rPr>
              <w:t>磋商文件</w:t>
            </w:r>
            <w:r>
              <w:rPr>
                <w:rFonts w:hint="eastAsia" w:cs="宋体"/>
                <w:szCs w:val="24"/>
                <w:highlight w:val="none"/>
              </w:rPr>
              <w:t xml:space="preserve">中要求供应商提供的所有证明材料均为原件的扫描件，放置投标文件内，且清晰可辩。供应商提供的证明材料模糊或有瑕疵的自行承担评审后果。 </w:t>
            </w:r>
          </w:p>
          <w:p w14:paraId="56EC4E8C">
            <w:pPr>
              <w:pStyle w:val="44"/>
              <w:rPr>
                <w:rFonts w:hint="eastAsia" w:cs="宋体"/>
                <w:szCs w:val="24"/>
                <w:highlight w:val="none"/>
              </w:rPr>
            </w:pPr>
            <w:r>
              <w:rPr>
                <w:rFonts w:hint="eastAsia" w:cs="宋体"/>
                <w:szCs w:val="24"/>
                <w:highlight w:val="none"/>
                <w:lang w:val="en-US" w:eastAsia="zh-CN"/>
              </w:rPr>
              <w:t>9</w:t>
            </w:r>
            <w:r>
              <w:rPr>
                <w:rFonts w:hint="eastAsia" w:cs="宋体"/>
                <w:szCs w:val="24"/>
                <w:highlight w:val="none"/>
              </w:rPr>
              <w:t xml:space="preserve">.开标结束后，取消复会环节，请各供应商登录新疆政府采购网（http://ccgp-bingtuan.gov.cn/）查看中标结果。 </w:t>
            </w:r>
          </w:p>
          <w:p w14:paraId="428E4453">
            <w:pPr>
              <w:pStyle w:val="44"/>
              <w:rPr>
                <w:rFonts w:hint="eastAsia" w:cs="宋体"/>
                <w:szCs w:val="24"/>
                <w:highlight w:val="none"/>
              </w:rPr>
            </w:pPr>
            <w:r>
              <w:rPr>
                <w:rFonts w:hint="eastAsia" w:cs="宋体"/>
                <w:szCs w:val="24"/>
                <w:highlight w:val="none"/>
                <w:lang w:val="en-US" w:eastAsia="zh-CN"/>
              </w:rPr>
              <w:t>10</w:t>
            </w:r>
            <w:r>
              <w:rPr>
                <w:rFonts w:hint="eastAsia" w:cs="宋体"/>
                <w:szCs w:val="24"/>
                <w:highlight w:val="none"/>
              </w:rPr>
              <w:t xml:space="preserve">.在评标过程直至签订合同前的任何时间，如经证实发现供应商提供虚假投标资料(包括技术支持资料)或信息骗取中标的，将取消其中标资格，没收其投标保证金，并报行政主管部门备案。 </w:t>
            </w:r>
          </w:p>
          <w:p w14:paraId="2C0A2B30">
            <w:pPr>
              <w:pStyle w:val="44"/>
              <w:numPr>
                <w:ilvl w:val="0"/>
                <w:numId w:val="0"/>
              </w:numPr>
              <w:rPr>
                <w:rFonts w:hint="eastAsia" w:cs="宋体"/>
                <w:szCs w:val="24"/>
                <w:highlight w:val="none"/>
                <w:lang w:val="en-US" w:eastAsia="zh-CN"/>
              </w:rPr>
            </w:pPr>
            <w:r>
              <w:rPr>
                <w:rFonts w:hint="eastAsia" w:cs="宋体"/>
                <w:szCs w:val="24"/>
                <w:highlight w:val="none"/>
                <w:lang w:val="en-US" w:eastAsia="zh-CN"/>
              </w:rPr>
              <w:t>11.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如本项目评标委员会要求提供相关证明材料，则须提供 2024 年 12 月 31 日之前的与本项目采购需求相同内容的成本发票作为证明材料）</w:t>
            </w:r>
          </w:p>
          <w:p w14:paraId="5264E966">
            <w:pPr>
              <w:pStyle w:val="44"/>
              <w:numPr>
                <w:ilvl w:val="0"/>
                <w:numId w:val="0"/>
              </w:numPr>
              <w:rPr>
                <w:rFonts w:hint="eastAsia" w:cs="宋体"/>
                <w:szCs w:val="24"/>
                <w:highlight w:val="none"/>
                <w:lang w:val="en-US" w:eastAsia="zh-CN"/>
              </w:rPr>
            </w:pPr>
            <w:r>
              <w:rPr>
                <w:rFonts w:hint="eastAsia" w:cs="宋体"/>
                <w:szCs w:val="24"/>
                <w:highlight w:val="none"/>
                <w:lang w:val="en-US" w:eastAsia="zh-CN"/>
              </w:rPr>
              <w:t>12.磋商文件中要求投标人提供的所有证明材料均为原件的扫描件，放置投标文件内，且清晰可辩。投标人提供的证明材料模糊或有瑕疵的自行承担评审后果。</w:t>
            </w:r>
          </w:p>
          <w:p w14:paraId="1D8CCE76">
            <w:pPr>
              <w:pStyle w:val="44"/>
              <w:rPr>
                <w:rFonts w:hint="eastAsia" w:cs="宋体"/>
                <w:szCs w:val="24"/>
                <w:highlight w:val="none"/>
              </w:rPr>
            </w:pPr>
            <w:r>
              <w:rPr>
                <w:rFonts w:hint="eastAsia" w:cs="宋体"/>
                <w:szCs w:val="24"/>
                <w:highlight w:val="none"/>
              </w:rPr>
              <w:t>本</w:t>
            </w:r>
            <w:r>
              <w:rPr>
                <w:rFonts w:hint="eastAsia" w:cs="宋体"/>
                <w:szCs w:val="24"/>
                <w:highlight w:val="none"/>
                <w:lang w:eastAsia="zh-CN"/>
              </w:rPr>
              <w:t>磋商文件</w:t>
            </w:r>
            <w:r>
              <w:rPr>
                <w:rFonts w:hint="eastAsia" w:cs="宋体"/>
                <w:szCs w:val="24"/>
                <w:highlight w:val="none"/>
              </w:rPr>
              <w:t>中所有黑体字部分为投标供应商注意事项，且将做为是否成交的重要因素。</w:t>
            </w:r>
          </w:p>
          <w:p w14:paraId="66DFFA78">
            <w:pPr>
              <w:pStyle w:val="44"/>
              <w:rPr>
                <w:rFonts w:hint="eastAsia" w:cs="宋体"/>
                <w:szCs w:val="24"/>
                <w:highlight w:val="none"/>
              </w:rPr>
            </w:pPr>
            <w:r>
              <w:rPr>
                <w:rFonts w:hint="eastAsia" w:cs="宋体"/>
                <w:szCs w:val="24"/>
                <w:highlight w:val="none"/>
                <w:lang w:val="en-US" w:eastAsia="zh-CN"/>
              </w:rPr>
              <w:t>13.成交供应商中标后需要向招标代理机构提供纸制版投标文件一正一副，U盘（加盖公章的投标文件电子版)一个。领取成交通知书时送达招标代理机构。</w:t>
            </w:r>
            <w:r>
              <w:rPr>
                <w:rFonts w:hint="eastAsia" w:cs="宋体"/>
                <w:szCs w:val="24"/>
                <w:highlight w:val="none"/>
              </w:rPr>
              <w:t xml:space="preserve"> </w:t>
            </w:r>
          </w:p>
          <w:p w14:paraId="23592268">
            <w:pPr>
              <w:pStyle w:val="44"/>
              <w:rPr>
                <w:rFonts w:hint="eastAsia" w:ascii="宋体" w:hAnsi="宋体" w:eastAsia="宋体" w:cs="宋体"/>
                <w:i w:val="0"/>
                <w:iCs w:val="0"/>
                <w:color w:val="auto"/>
                <w:sz w:val="24"/>
                <w:szCs w:val="24"/>
                <w:highlight w:val="none"/>
              </w:rPr>
            </w:pPr>
            <w:r>
              <w:rPr>
                <w:rFonts w:hint="eastAsia" w:cs="宋体"/>
                <w:szCs w:val="24"/>
                <w:highlight w:val="none"/>
              </w:rPr>
              <w:t>温馨提示：由于政采云响应文件编制软件的原因，供应商的响应文件会被政采云系统分割成几个部分，供应商在制作响应文件时应积极与政采云平台联系，确保响应文件每部分及整体内容均完善齐全。如资格审查阶段时，评标委员会仅对资格审查模块中的内容进行评审，若供应商未按照投标文件要求和政采云平台上的标签提示制作导入和关联，由此造成的一切后果由供应商自行承担。</w:t>
            </w:r>
          </w:p>
        </w:tc>
      </w:tr>
      <w:tr w14:paraId="1707FD3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354" w:type="dxa"/>
            <w:gridSpan w:val="3"/>
            <w:tcBorders>
              <w:top w:val="single" w:color="auto" w:sz="2" w:space="0"/>
              <w:left w:val="single" w:color="auto" w:sz="2" w:space="0"/>
              <w:bottom w:val="single" w:color="auto" w:sz="2" w:space="0"/>
              <w:right w:val="single" w:color="auto" w:sz="2" w:space="0"/>
            </w:tcBorders>
            <w:vAlign w:val="center"/>
          </w:tcPr>
          <w:p w14:paraId="1C180A48">
            <w:pPr>
              <w:pStyle w:val="44"/>
              <w:rPr>
                <w:rFonts w:hint="eastAsia" w:cs="宋体"/>
                <w:szCs w:val="24"/>
                <w:highlight w:val="none"/>
              </w:rPr>
            </w:pPr>
            <w:r>
              <w:rPr>
                <w:rFonts w:hint="eastAsia" w:ascii="宋体" w:hAnsi="宋体" w:eastAsia="宋体" w:cs="宋体"/>
                <w:i w:val="0"/>
                <w:iCs w:val="0"/>
                <w:color w:val="auto"/>
                <w:sz w:val="24"/>
                <w:szCs w:val="24"/>
                <w:highlight w:val="none"/>
              </w:rPr>
              <w:t>1. 除本竞争性磋商文件另有规定外，竞争性磋商文件中出现的类似于“近三年”或“前</w:t>
            </w:r>
            <w:r>
              <w:rPr>
                <w:rFonts w:hint="eastAsia" w:cs="宋体"/>
                <w:szCs w:val="24"/>
                <w:highlight w:val="none"/>
              </w:rPr>
              <w:t>备注:</w:t>
            </w:r>
          </w:p>
          <w:p w14:paraId="0BFEDE4E">
            <w:pPr>
              <w:pStyle w:val="44"/>
              <w:rPr>
                <w:rFonts w:hint="eastAsia" w:cs="宋体"/>
                <w:szCs w:val="24"/>
                <w:highlight w:val="none"/>
              </w:rPr>
            </w:pPr>
            <w:r>
              <w:rPr>
                <w:rFonts w:hint="eastAsia" w:cs="宋体"/>
                <w:szCs w:val="24"/>
                <w:highlight w:val="none"/>
              </w:rPr>
              <w:t>1. 除本招标文件另有规定外，招标文件中出现的类似于“近三年”或“前三年”、“近五年”或“前五年”均指递交投标文件截止时间之前三年或前五年，以此类推。</w:t>
            </w:r>
          </w:p>
          <w:p w14:paraId="7EB7B4A4">
            <w:pPr>
              <w:pStyle w:val="44"/>
              <w:rPr>
                <w:rFonts w:hint="eastAsia" w:cs="宋体"/>
                <w:szCs w:val="24"/>
                <w:highlight w:val="none"/>
              </w:rPr>
            </w:pPr>
            <w:r>
              <w:rPr>
                <w:rFonts w:hint="eastAsia" w:cs="宋体"/>
                <w:szCs w:val="24"/>
                <w:highlight w:val="none"/>
              </w:rPr>
              <w:t>如：递交投标文件时间为 2025 年 1 月 1 日，则“近三年”是指 2022 年 1 月 1 日至2024 年 12 月 31 日。</w:t>
            </w:r>
          </w:p>
          <w:p w14:paraId="14468AD2">
            <w:pPr>
              <w:pStyle w:val="44"/>
              <w:rPr>
                <w:rFonts w:hint="eastAsia" w:cs="宋体"/>
                <w:szCs w:val="24"/>
                <w:highlight w:val="none"/>
              </w:rPr>
            </w:pPr>
            <w:r>
              <w:rPr>
                <w:rFonts w:hint="eastAsia" w:cs="宋体"/>
                <w:szCs w:val="24"/>
                <w:highlight w:val="none"/>
              </w:rPr>
              <w:t>2. 本招标文件所称的“以上”、“以下”、“内”、“以内”，包括本数；所称的</w:t>
            </w:r>
          </w:p>
          <w:p w14:paraId="10F7B4F4">
            <w:pPr>
              <w:pStyle w:val="44"/>
              <w:rPr>
                <w:rFonts w:hint="eastAsia" w:ascii="宋体" w:hAnsi="宋体" w:eastAsia="宋体" w:cs="宋体"/>
                <w:i w:val="0"/>
                <w:iCs w:val="0"/>
                <w:color w:val="auto"/>
                <w:sz w:val="24"/>
                <w:szCs w:val="24"/>
                <w:highlight w:val="none"/>
              </w:rPr>
            </w:pPr>
            <w:r>
              <w:rPr>
                <w:rFonts w:hint="eastAsia" w:cs="宋体"/>
                <w:szCs w:val="24"/>
                <w:highlight w:val="none"/>
              </w:rPr>
              <w:t>“不足”，不包括本数</w:t>
            </w:r>
          </w:p>
        </w:tc>
      </w:tr>
      <w:bookmarkEnd w:id="96"/>
    </w:tbl>
    <w:p w14:paraId="4C6172FD">
      <w:pPr>
        <w:rPr>
          <w:i w:val="0"/>
          <w:iCs w:val="0"/>
          <w:color w:val="auto"/>
          <w:highlight w:val="none"/>
        </w:rPr>
      </w:pPr>
    </w:p>
    <w:p w14:paraId="5B2E3DC1">
      <w:pPr>
        <w:rPr>
          <w:i w:val="0"/>
          <w:iCs w:val="0"/>
          <w:color w:val="auto"/>
          <w:highlight w:val="none"/>
        </w:rPr>
      </w:pPr>
    </w:p>
    <w:p w14:paraId="7B9E70A1">
      <w:pPr>
        <w:rPr>
          <w:i w:val="0"/>
          <w:iCs w:val="0"/>
          <w:color w:val="auto"/>
          <w:highlight w:val="none"/>
        </w:rPr>
      </w:pPr>
    </w:p>
    <w:p w14:paraId="7759F29C">
      <w:pPr>
        <w:rPr>
          <w:i w:val="0"/>
          <w:iCs w:val="0"/>
          <w:color w:val="auto"/>
          <w:highlight w:val="none"/>
        </w:rPr>
      </w:pPr>
    </w:p>
    <w:p w14:paraId="049B5A4B">
      <w:pPr>
        <w:rPr>
          <w:i w:val="0"/>
          <w:iCs w:val="0"/>
          <w:color w:val="auto"/>
          <w:highlight w:val="none"/>
        </w:rPr>
      </w:pPr>
    </w:p>
    <w:p w14:paraId="416F7BB9">
      <w:pPr>
        <w:rPr>
          <w:i w:val="0"/>
          <w:iCs w:val="0"/>
          <w:color w:val="auto"/>
          <w:highlight w:val="none"/>
        </w:rPr>
      </w:pPr>
    </w:p>
    <w:p w14:paraId="5AE857D0">
      <w:pPr>
        <w:rPr>
          <w:i w:val="0"/>
          <w:iCs w:val="0"/>
          <w:color w:val="auto"/>
          <w:highlight w:val="none"/>
        </w:rPr>
      </w:pPr>
    </w:p>
    <w:p w14:paraId="4501CE43">
      <w:pPr>
        <w:rPr>
          <w:i w:val="0"/>
          <w:iCs w:val="0"/>
          <w:color w:val="auto"/>
          <w:highlight w:val="none"/>
        </w:rPr>
      </w:pPr>
    </w:p>
    <w:p w14:paraId="73618301">
      <w:pPr>
        <w:rPr>
          <w:i w:val="0"/>
          <w:iCs w:val="0"/>
          <w:color w:val="auto"/>
          <w:highlight w:val="none"/>
        </w:rPr>
      </w:pPr>
    </w:p>
    <w:p w14:paraId="7265D74E">
      <w:pPr>
        <w:rPr>
          <w:i w:val="0"/>
          <w:iCs w:val="0"/>
          <w:color w:val="auto"/>
          <w:highlight w:val="none"/>
        </w:rPr>
      </w:pPr>
    </w:p>
    <w:p w14:paraId="411EC051">
      <w:pPr>
        <w:rPr>
          <w:i w:val="0"/>
          <w:iCs w:val="0"/>
          <w:color w:val="auto"/>
          <w:highlight w:val="none"/>
        </w:rPr>
      </w:pPr>
    </w:p>
    <w:p w14:paraId="2327D56E">
      <w:pPr>
        <w:rPr>
          <w:i w:val="0"/>
          <w:iCs w:val="0"/>
          <w:color w:val="auto"/>
          <w:highlight w:val="none"/>
        </w:rPr>
      </w:pPr>
    </w:p>
    <w:p w14:paraId="16AFED4A">
      <w:pPr>
        <w:rPr>
          <w:i w:val="0"/>
          <w:iCs w:val="0"/>
          <w:color w:val="auto"/>
          <w:highlight w:val="none"/>
        </w:rPr>
      </w:pPr>
    </w:p>
    <w:p w14:paraId="477C55A0">
      <w:pPr>
        <w:rPr>
          <w:i w:val="0"/>
          <w:iCs w:val="0"/>
          <w:color w:val="auto"/>
          <w:highlight w:val="none"/>
        </w:rPr>
      </w:pPr>
    </w:p>
    <w:p w14:paraId="0358D732">
      <w:pPr>
        <w:rPr>
          <w:i w:val="0"/>
          <w:iCs w:val="0"/>
          <w:color w:val="auto"/>
          <w:highlight w:val="none"/>
        </w:rPr>
      </w:pPr>
    </w:p>
    <w:p w14:paraId="091A7C3A">
      <w:pPr>
        <w:rPr>
          <w:i w:val="0"/>
          <w:iCs w:val="0"/>
          <w:color w:val="auto"/>
          <w:highlight w:val="none"/>
        </w:rPr>
      </w:pPr>
    </w:p>
    <w:p w14:paraId="369AE561">
      <w:pPr>
        <w:rPr>
          <w:i w:val="0"/>
          <w:iCs w:val="0"/>
          <w:color w:val="auto"/>
          <w:highlight w:val="none"/>
        </w:rPr>
      </w:pPr>
    </w:p>
    <w:p w14:paraId="6276DB70">
      <w:pPr>
        <w:rPr>
          <w:i w:val="0"/>
          <w:iCs w:val="0"/>
          <w:color w:val="auto"/>
          <w:highlight w:val="none"/>
        </w:rPr>
      </w:pPr>
    </w:p>
    <w:p w14:paraId="15BC368D">
      <w:pPr>
        <w:rPr>
          <w:i w:val="0"/>
          <w:iCs w:val="0"/>
          <w:color w:val="auto"/>
          <w:highlight w:val="none"/>
        </w:rPr>
      </w:pPr>
    </w:p>
    <w:p w14:paraId="3B163BB4">
      <w:pPr>
        <w:rPr>
          <w:i w:val="0"/>
          <w:iCs w:val="0"/>
          <w:color w:val="auto"/>
          <w:highlight w:val="none"/>
        </w:rPr>
      </w:pPr>
    </w:p>
    <w:p w14:paraId="78E66728">
      <w:pPr>
        <w:rPr>
          <w:i w:val="0"/>
          <w:iCs w:val="0"/>
          <w:color w:val="auto"/>
          <w:highlight w:val="none"/>
        </w:rPr>
      </w:pPr>
    </w:p>
    <w:p w14:paraId="40A47906">
      <w:pPr>
        <w:rPr>
          <w:i w:val="0"/>
          <w:iCs w:val="0"/>
          <w:color w:val="auto"/>
          <w:highlight w:val="none"/>
        </w:rPr>
      </w:pPr>
    </w:p>
    <w:p w14:paraId="35CC51C0">
      <w:pPr>
        <w:rPr>
          <w:i w:val="0"/>
          <w:iCs w:val="0"/>
          <w:color w:val="auto"/>
          <w:highlight w:val="none"/>
        </w:rPr>
      </w:pPr>
    </w:p>
    <w:p w14:paraId="1CF0D4F4">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8" w:name="_Toc28828"/>
      <w:r>
        <w:rPr>
          <w:rFonts w:hint="eastAsia" w:eastAsia="宋体" w:asciiTheme="majorHAnsi" w:hAnsiTheme="majorHAnsi" w:cstheme="majorBidi"/>
          <w:b/>
          <w:bCs/>
          <w:color w:val="auto"/>
          <w:kern w:val="2"/>
          <w:sz w:val="28"/>
          <w:szCs w:val="28"/>
          <w:highlight w:val="none"/>
          <w:lang w:val="en-US" w:eastAsia="zh-CN" w:bidi="ar-SA"/>
        </w:rPr>
        <w:t>二、供应商须知</w:t>
      </w:r>
      <w:bookmarkEnd w:id="98"/>
    </w:p>
    <w:p w14:paraId="04978FCD">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99" w:name="_Toc109899951"/>
      <w:bookmarkStart w:id="100" w:name="_Toc3921"/>
      <w:bookmarkStart w:id="101" w:name="_Toc109897433"/>
      <w:bookmarkStart w:id="102" w:name="_Toc46771638"/>
      <w:bookmarkStart w:id="103" w:name="_Toc109899532"/>
      <w:bookmarkStart w:id="104" w:name="_Toc163493611"/>
      <w:bookmarkStart w:id="105" w:name="_Toc109900370"/>
      <w:bookmarkStart w:id="106" w:name="_Toc470172694"/>
      <w:r>
        <w:rPr>
          <w:rFonts w:hint="eastAsia" w:ascii="宋体" w:hAnsi="宋体" w:eastAsia="宋体" w:cs="宋体"/>
          <w:b/>
          <w:bCs/>
          <w:color w:val="auto"/>
          <w:kern w:val="2"/>
          <w:sz w:val="24"/>
          <w:szCs w:val="24"/>
          <w:highlight w:val="none"/>
          <w:lang w:val="en-US" w:eastAsia="zh-CN" w:bidi="ar-SA"/>
        </w:rPr>
        <w:t>（一）总则</w:t>
      </w:r>
      <w:bookmarkEnd w:id="99"/>
      <w:bookmarkEnd w:id="100"/>
      <w:bookmarkEnd w:id="101"/>
      <w:bookmarkEnd w:id="102"/>
      <w:bookmarkEnd w:id="103"/>
      <w:bookmarkEnd w:id="104"/>
      <w:bookmarkEnd w:id="105"/>
    </w:p>
    <w:p w14:paraId="18977FAF">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07" w:name="_Toc52962726"/>
      <w:bookmarkStart w:id="108" w:name="_Toc109900371"/>
      <w:bookmarkStart w:id="109" w:name="_Toc48688788"/>
      <w:bookmarkStart w:id="110" w:name="_Toc109899533"/>
      <w:bookmarkStart w:id="111" w:name="_Toc52960552"/>
      <w:bookmarkStart w:id="112" w:name="_Toc51674210"/>
      <w:bookmarkStart w:id="113" w:name="_Toc27243"/>
      <w:bookmarkStart w:id="114" w:name="_Toc109897434"/>
      <w:bookmarkStart w:id="115" w:name="_Toc46771639"/>
      <w:bookmarkStart w:id="116" w:name="_Toc48846108"/>
      <w:bookmarkStart w:id="117" w:name="_Toc470172664"/>
      <w:bookmarkStart w:id="118" w:name="_Toc46772240"/>
      <w:bookmarkStart w:id="119" w:name="_Toc109899952"/>
      <w:r>
        <w:rPr>
          <w:rFonts w:hint="eastAsia" w:ascii="宋体" w:hAnsi="宋体" w:eastAsia="宋体" w:cs="宋体"/>
          <w:b/>
          <w:bCs/>
          <w:color w:val="auto"/>
          <w:kern w:val="2"/>
          <w:sz w:val="24"/>
          <w:szCs w:val="24"/>
          <w:highlight w:val="none"/>
          <w:lang w:val="en-US" w:eastAsia="zh-CN" w:bidi="ar-SA"/>
        </w:rPr>
        <w:t>1.适用范围</w:t>
      </w:r>
      <w:bookmarkEnd w:id="107"/>
      <w:bookmarkEnd w:id="108"/>
      <w:bookmarkEnd w:id="109"/>
      <w:bookmarkEnd w:id="110"/>
      <w:bookmarkEnd w:id="111"/>
      <w:bookmarkEnd w:id="112"/>
      <w:bookmarkEnd w:id="113"/>
      <w:bookmarkEnd w:id="114"/>
      <w:bookmarkEnd w:id="115"/>
      <w:bookmarkEnd w:id="116"/>
      <w:bookmarkEnd w:id="117"/>
      <w:bookmarkEnd w:id="118"/>
      <w:bookmarkEnd w:id="119"/>
    </w:p>
    <w:p w14:paraId="3FAC17DD">
      <w:pPr>
        <w:pStyle w:val="33"/>
        <w:keepNext w:val="0"/>
        <w:keepLines w:val="0"/>
        <w:pageBreakBefore w:val="0"/>
        <w:widowControl w:val="0"/>
        <w:kinsoku/>
        <w:overflowPunct/>
        <w:topLinePunct w:val="0"/>
        <w:bidi w:val="0"/>
        <w:ind w:firstLine="480"/>
        <w:textAlignment w:val="auto"/>
        <w:rPr>
          <w:i w:val="0"/>
          <w:iCs w:val="0"/>
          <w:snapToGrid w:val="0"/>
          <w:color w:val="auto"/>
          <w:highlight w:val="none"/>
        </w:rPr>
      </w:pPr>
      <w:r>
        <w:rPr>
          <w:rFonts w:hint="eastAsia"/>
          <w:i w:val="0"/>
          <w:iCs w:val="0"/>
          <w:snapToGrid w:val="0"/>
          <w:color w:val="auto"/>
          <w:highlight w:val="none"/>
        </w:rPr>
        <w:t>1.1本竞争性磋商文件</w:t>
      </w:r>
      <w:r>
        <w:rPr>
          <w:rFonts w:hint="eastAsia" w:cs="宋体"/>
          <w:i w:val="0"/>
          <w:iCs w:val="0"/>
          <w:snapToGrid w:val="0"/>
          <w:color w:val="auto"/>
          <w:highlight w:val="none"/>
        </w:rPr>
        <w:t>（也称磋商文件或采购文件）</w:t>
      </w:r>
      <w:r>
        <w:rPr>
          <w:rFonts w:hint="eastAsia"/>
          <w:i w:val="0"/>
          <w:iCs w:val="0"/>
          <w:snapToGrid w:val="0"/>
          <w:color w:val="auto"/>
          <w:highlight w:val="none"/>
        </w:rPr>
        <w:t>仅适用于本次竞争性磋商中所述项目的采购活动。</w:t>
      </w:r>
    </w:p>
    <w:p w14:paraId="34F08411">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0" w:name="_Toc163492824"/>
      <w:r>
        <w:rPr>
          <w:rFonts w:hint="eastAsia" w:ascii="宋体" w:hAnsi="宋体" w:eastAsia="宋体" w:cs="宋体"/>
          <w:b/>
          <w:bCs/>
          <w:color w:val="auto"/>
          <w:kern w:val="2"/>
          <w:sz w:val="24"/>
          <w:szCs w:val="24"/>
          <w:highlight w:val="none"/>
          <w:lang w:val="en-US" w:eastAsia="zh-CN" w:bidi="ar-SA"/>
        </w:rPr>
        <w:t>2.基本定义</w:t>
      </w:r>
      <w:bookmarkEnd w:id="120"/>
    </w:p>
    <w:p w14:paraId="768D70C2">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2.1根据《中华人民共和国政府采购法》及其实施条例等有关法律、法规和规章的规定，制定本竞争性磋商文件。</w:t>
      </w:r>
    </w:p>
    <w:p w14:paraId="342EC44E">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i w:val="0"/>
          <w:iCs w:val="0"/>
          <w:color w:val="auto"/>
          <w:highlight w:val="none"/>
        </w:rPr>
      </w:pPr>
      <w:r>
        <w:rPr>
          <w:rFonts w:hint="eastAsia"/>
          <w:i w:val="0"/>
          <w:iCs w:val="0"/>
          <w:color w:val="auto"/>
          <w:highlight w:val="none"/>
        </w:rPr>
        <w:t>2.2采购人：</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i w:val="0"/>
          <w:iCs w:val="0"/>
          <w:color w:val="auto"/>
          <w:highlight w:val="none"/>
        </w:rPr>
        <w:t>。</w:t>
      </w:r>
    </w:p>
    <w:p w14:paraId="429A3EF6">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i w:val="0"/>
          <w:iCs w:val="0"/>
          <w:color w:val="auto"/>
          <w:highlight w:val="none"/>
        </w:rPr>
      </w:pPr>
      <w:r>
        <w:rPr>
          <w:rFonts w:hint="eastAsia"/>
          <w:i w:val="0"/>
          <w:iCs w:val="0"/>
          <w:color w:val="auto"/>
          <w:highlight w:val="none"/>
        </w:rPr>
        <w:t>2.3采购代理机构：</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i w:val="0"/>
          <w:iCs w:val="0"/>
          <w:color w:val="auto"/>
          <w:highlight w:val="none"/>
          <w:lang w:val="en-US" w:eastAsia="zh-CN"/>
        </w:rPr>
        <w:t>委托的采购代理机构</w:t>
      </w:r>
      <w:r>
        <w:rPr>
          <w:rFonts w:hint="eastAsia"/>
          <w:i w:val="0"/>
          <w:iCs w:val="0"/>
          <w:color w:val="auto"/>
          <w:highlight w:val="none"/>
        </w:rPr>
        <w:t>。</w:t>
      </w:r>
    </w:p>
    <w:p w14:paraId="26D50742">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41307B6">
      <w:pPr>
        <w:spacing w:line="360" w:lineRule="auto"/>
        <w:ind w:firstLine="480" w:firstLineChars="200"/>
        <w:rPr>
          <w:rFonts w:ascii="宋体" w:hAnsi="宋体" w:eastAsia="宋体"/>
          <w:i w:val="0"/>
          <w:iCs w:val="0"/>
          <w:color w:val="auto"/>
          <w:sz w:val="24"/>
          <w:highlight w:val="none"/>
        </w:rPr>
      </w:pPr>
      <w:r>
        <w:rPr>
          <w:rFonts w:hint="eastAsia"/>
          <w:i w:val="0"/>
          <w:iCs w:val="0"/>
          <w:color w:val="auto"/>
          <w:highlight w:val="none"/>
          <w:lang w:val="en-US" w:eastAsia="zh-CN"/>
        </w:rPr>
        <w:t>2.5供应商（也称“申请人”）：指向采购人提供货物、工程或者服务的法人、其他组织或者自然人。</w:t>
      </w:r>
      <w:r>
        <w:rPr>
          <w:rFonts w:hint="eastAsia" w:ascii="宋体" w:hAnsi="宋体" w:eastAsia="宋体"/>
          <w:i w:val="0"/>
          <w:iCs w:val="0"/>
          <w:color w:val="auto"/>
          <w:sz w:val="24"/>
          <w:highlight w:val="none"/>
        </w:rPr>
        <w:t>分支机构不得参加政府采购活动，</w:t>
      </w:r>
      <w:r>
        <w:rPr>
          <w:rFonts w:hint="eastAsia"/>
          <w:i w:val="0"/>
          <w:iCs w:val="0"/>
          <w:color w:val="auto"/>
          <w:highlight w:val="none"/>
        </w:rPr>
        <w:t>但银行、保险、石油石化、电力、电信等</w:t>
      </w:r>
      <w:r>
        <w:rPr>
          <w:rFonts w:hint="eastAsia"/>
          <w:i w:val="0"/>
          <w:iCs w:val="0"/>
          <w:color w:val="auto"/>
          <w:highlight w:val="none"/>
          <w:lang w:val="en-US" w:eastAsia="zh-CN"/>
        </w:rPr>
        <w:t>有</w:t>
      </w:r>
      <w:r>
        <w:rPr>
          <w:rFonts w:hint="eastAsia"/>
          <w:i w:val="0"/>
          <w:iCs w:val="0"/>
          <w:color w:val="auto"/>
          <w:highlight w:val="none"/>
        </w:rPr>
        <w:t>行业特殊</w:t>
      </w:r>
      <w:r>
        <w:rPr>
          <w:rFonts w:hint="eastAsia"/>
          <w:i w:val="0"/>
          <w:iCs w:val="0"/>
          <w:color w:val="auto"/>
          <w:highlight w:val="none"/>
          <w:lang w:val="en-US" w:eastAsia="zh-CN"/>
        </w:rPr>
        <w:t>情况的</w:t>
      </w:r>
      <w:r>
        <w:rPr>
          <w:rFonts w:hint="eastAsia"/>
          <w:i w:val="0"/>
          <w:iCs w:val="0"/>
          <w:color w:val="auto"/>
          <w:highlight w:val="none"/>
        </w:rPr>
        <w:t>除外。</w:t>
      </w:r>
      <w:r>
        <w:rPr>
          <w:rFonts w:ascii="宋体" w:hAnsi="宋体" w:eastAsia="宋体"/>
          <w:i w:val="0"/>
          <w:iCs w:val="0"/>
          <w:color w:val="auto"/>
          <w:sz w:val="24"/>
          <w:highlight w:val="none"/>
        </w:rPr>
        <w:t>本项目的</w:t>
      </w:r>
      <w:r>
        <w:rPr>
          <w:rFonts w:hint="eastAsia"/>
          <w:i w:val="0"/>
          <w:iCs w:val="0"/>
          <w:color w:val="auto"/>
          <w:sz w:val="24"/>
          <w:highlight w:val="none"/>
          <w:lang w:val="en-US" w:eastAsia="zh-CN"/>
        </w:rPr>
        <w:t>供应商</w:t>
      </w:r>
      <w:r>
        <w:rPr>
          <w:rFonts w:ascii="宋体" w:hAnsi="宋体" w:eastAsia="宋体"/>
          <w:i w:val="0"/>
          <w:iCs w:val="0"/>
          <w:color w:val="auto"/>
          <w:sz w:val="24"/>
          <w:highlight w:val="none"/>
        </w:rPr>
        <w:t>须满足以下条件：</w:t>
      </w:r>
    </w:p>
    <w:p w14:paraId="11EA4CC6">
      <w:pPr>
        <w:spacing w:line="360" w:lineRule="auto"/>
        <w:ind w:firstLine="480" w:firstLineChars="200"/>
        <w:rPr>
          <w:rFonts w:ascii="宋体" w:hAnsi="宋体" w:eastAsia="宋体"/>
          <w:i w:val="0"/>
          <w:iCs w:val="0"/>
          <w:color w:val="auto"/>
          <w:sz w:val="24"/>
          <w:highlight w:val="none"/>
        </w:rPr>
      </w:pPr>
      <w:r>
        <w:rPr>
          <w:rFonts w:hint="eastAsia"/>
          <w:i w:val="0"/>
          <w:iCs w:val="0"/>
          <w:color w:val="auto"/>
          <w:sz w:val="24"/>
          <w:highlight w:val="none"/>
          <w:lang w:val="en-US" w:eastAsia="zh-CN"/>
        </w:rPr>
        <w:t>2</w:t>
      </w:r>
      <w:r>
        <w:rPr>
          <w:rFonts w:hint="eastAsia" w:ascii="宋体" w:hAnsi="宋体" w:eastAsia="宋体"/>
          <w:i w:val="0"/>
          <w:iCs w:val="0"/>
          <w:color w:val="auto"/>
          <w:sz w:val="24"/>
          <w:highlight w:val="none"/>
          <w:lang w:eastAsia="zh-CN"/>
        </w:rPr>
        <w:t>.</w:t>
      </w:r>
      <w:r>
        <w:rPr>
          <w:rFonts w:hint="eastAsia"/>
          <w:i w:val="0"/>
          <w:iCs w:val="0"/>
          <w:color w:val="auto"/>
          <w:sz w:val="24"/>
          <w:highlight w:val="none"/>
          <w:lang w:val="en-US" w:eastAsia="zh-CN"/>
        </w:rPr>
        <w:t>5</w:t>
      </w:r>
      <w:r>
        <w:rPr>
          <w:rFonts w:ascii="宋体" w:hAnsi="宋体" w:eastAsia="宋体"/>
          <w:i w:val="0"/>
          <w:iCs w:val="0"/>
          <w:color w:val="auto"/>
          <w:sz w:val="24"/>
          <w:highlight w:val="none"/>
        </w:rPr>
        <w:t>.</w:t>
      </w:r>
      <w:r>
        <w:rPr>
          <w:rFonts w:hint="eastAsia" w:ascii="宋体" w:hAnsi="宋体" w:eastAsia="宋体"/>
          <w:i w:val="0"/>
          <w:iCs w:val="0"/>
          <w:color w:val="auto"/>
          <w:sz w:val="24"/>
          <w:highlight w:val="none"/>
          <w:lang w:val="en-US" w:eastAsia="zh-CN"/>
        </w:rPr>
        <w:t>1</w:t>
      </w:r>
      <w:r>
        <w:rPr>
          <w:rFonts w:ascii="宋体" w:hAnsi="宋体" w:eastAsia="宋体"/>
          <w:i w:val="0"/>
          <w:iCs w:val="0"/>
          <w:color w:val="auto"/>
          <w:sz w:val="24"/>
          <w:highlight w:val="none"/>
        </w:rPr>
        <w:t>具备《中华人民共和国政府采购法》第二十二条规定的</w:t>
      </w:r>
      <w:r>
        <w:rPr>
          <w:rFonts w:hint="eastAsia"/>
          <w:i w:val="0"/>
          <w:iCs w:val="0"/>
          <w:color w:val="auto"/>
          <w:sz w:val="24"/>
          <w:highlight w:val="none"/>
          <w:lang w:val="en-US" w:eastAsia="zh-CN"/>
        </w:rPr>
        <w:t>条件</w:t>
      </w:r>
      <w:r>
        <w:rPr>
          <w:rFonts w:ascii="宋体" w:hAnsi="宋体" w:eastAsia="宋体"/>
          <w:i w:val="0"/>
          <w:iCs w:val="0"/>
          <w:color w:val="auto"/>
          <w:sz w:val="24"/>
          <w:highlight w:val="none"/>
        </w:rPr>
        <w:t>，遵守本项目采购人本级和上级财政部门政府采购的有关规定。</w:t>
      </w:r>
    </w:p>
    <w:p w14:paraId="766B5509">
      <w:pPr>
        <w:pStyle w:val="33"/>
        <w:keepNext w:val="0"/>
        <w:keepLines w:val="0"/>
        <w:pageBreakBefore w:val="0"/>
        <w:widowControl w:val="0"/>
        <w:kinsoku/>
        <w:overflowPunct/>
        <w:topLinePunct w:val="0"/>
        <w:bidi w:val="0"/>
        <w:ind w:firstLine="480"/>
        <w:textAlignment w:val="auto"/>
        <w:rPr>
          <w:rFonts w:ascii="宋体" w:hAnsi="宋体" w:eastAsia="宋体"/>
          <w:i w:val="0"/>
          <w:iCs w:val="0"/>
          <w:color w:val="auto"/>
          <w:sz w:val="24"/>
          <w:highlight w:val="none"/>
        </w:rPr>
      </w:pPr>
      <w:r>
        <w:rPr>
          <w:rFonts w:hint="eastAsia"/>
          <w:i w:val="0"/>
          <w:iCs w:val="0"/>
          <w:color w:val="auto"/>
          <w:sz w:val="24"/>
          <w:highlight w:val="none"/>
          <w:lang w:val="en-US" w:eastAsia="zh-CN"/>
        </w:rPr>
        <w:t>2</w:t>
      </w:r>
      <w:r>
        <w:rPr>
          <w:rFonts w:hint="eastAsia" w:ascii="宋体" w:hAnsi="宋体" w:eastAsia="宋体"/>
          <w:i w:val="0"/>
          <w:iCs w:val="0"/>
          <w:color w:val="auto"/>
          <w:sz w:val="24"/>
          <w:highlight w:val="none"/>
          <w:lang w:eastAsia="zh-CN"/>
        </w:rPr>
        <w:t>.</w:t>
      </w:r>
      <w:r>
        <w:rPr>
          <w:rFonts w:hint="eastAsia"/>
          <w:i w:val="0"/>
          <w:iCs w:val="0"/>
          <w:color w:val="auto"/>
          <w:sz w:val="24"/>
          <w:highlight w:val="none"/>
          <w:lang w:val="en-US" w:eastAsia="zh-CN"/>
        </w:rPr>
        <w:t>5</w:t>
      </w:r>
      <w:r>
        <w:rPr>
          <w:rFonts w:ascii="宋体" w:hAnsi="宋体" w:eastAsia="宋体"/>
          <w:i w:val="0"/>
          <w:iCs w:val="0"/>
          <w:color w:val="auto"/>
          <w:sz w:val="24"/>
          <w:highlight w:val="none"/>
        </w:rPr>
        <w:t>.</w:t>
      </w:r>
      <w:r>
        <w:rPr>
          <w:rFonts w:hint="eastAsia" w:ascii="宋体" w:hAnsi="宋体" w:eastAsia="宋体"/>
          <w:i w:val="0"/>
          <w:iCs w:val="0"/>
          <w:color w:val="auto"/>
          <w:sz w:val="24"/>
          <w:highlight w:val="none"/>
          <w:lang w:val="en-US" w:eastAsia="zh-CN"/>
        </w:rPr>
        <w:t>2</w:t>
      </w:r>
      <w:r>
        <w:rPr>
          <w:rFonts w:ascii="宋体" w:hAnsi="宋体" w:eastAsia="宋体"/>
          <w:i w:val="0"/>
          <w:iCs w:val="0"/>
          <w:color w:val="auto"/>
          <w:sz w:val="24"/>
          <w:highlight w:val="none"/>
        </w:rPr>
        <w:t>以</w:t>
      </w:r>
      <w:r>
        <w:rPr>
          <w:rFonts w:hint="eastAsia"/>
          <w:i w:val="0"/>
          <w:iCs w:val="0"/>
          <w:color w:val="auto"/>
          <w:sz w:val="24"/>
          <w:highlight w:val="none"/>
          <w:lang w:val="en-US" w:eastAsia="zh-CN"/>
        </w:rPr>
        <w:t>竞争性磋商公告中发布</w:t>
      </w:r>
      <w:r>
        <w:rPr>
          <w:rFonts w:ascii="宋体" w:hAnsi="宋体" w:eastAsia="宋体"/>
          <w:i w:val="0"/>
          <w:iCs w:val="0"/>
          <w:color w:val="auto"/>
          <w:sz w:val="24"/>
          <w:highlight w:val="none"/>
        </w:rPr>
        <w:t>的方式</w:t>
      </w:r>
      <w:r>
        <w:rPr>
          <w:rFonts w:hint="eastAsia"/>
          <w:i w:val="0"/>
          <w:iCs w:val="0"/>
          <w:color w:val="auto"/>
          <w:sz w:val="24"/>
          <w:highlight w:val="none"/>
          <w:lang w:eastAsia="zh-CN"/>
        </w:rPr>
        <w:t>依法</w:t>
      </w:r>
      <w:r>
        <w:rPr>
          <w:rFonts w:ascii="宋体" w:hAnsi="宋体" w:eastAsia="宋体"/>
          <w:i w:val="0"/>
          <w:iCs w:val="0"/>
          <w:color w:val="auto"/>
          <w:sz w:val="24"/>
          <w:highlight w:val="none"/>
        </w:rPr>
        <w:t>获得了本项目的</w:t>
      </w:r>
      <w:r>
        <w:rPr>
          <w:rFonts w:hint="eastAsia"/>
          <w:i w:val="0"/>
          <w:iCs w:val="0"/>
          <w:color w:val="auto"/>
          <w:sz w:val="24"/>
          <w:highlight w:val="none"/>
          <w:lang w:val="en-US" w:eastAsia="zh-CN"/>
        </w:rPr>
        <w:t>竞争性磋商</w:t>
      </w:r>
      <w:r>
        <w:rPr>
          <w:rFonts w:ascii="宋体" w:hAnsi="宋体" w:eastAsia="宋体"/>
          <w:i w:val="0"/>
          <w:iCs w:val="0"/>
          <w:color w:val="auto"/>
          <w:sz w:val="24"/>
          <w:highlight w:val="none"/>
        </w:rPr>
        <w:t>文件。</w:t>
      </w:r>
    </w:p>
    <w:p w14:paraId="07B83632">
      <w:pPr>
        <w:ind w:firstLine="480" w:firstLineChars="200"/>
        <w:rPr>
          <w:rFonts w:hint="eastAsia"/>
          <w:i w:val="0"/>
          <w:iCs w:val="0"/>
          <w:color w:val="auto"/>
          <w:highlight w:val="none"/>
          <w:lang w:val="en-US" w:eastAsia="zh-CN"/>
        </w:rPr>
      </w:pPr>
      <w:r>
        <w:rPr>
          <w:rFonts w:hint="eastAsia"/>
          <w:i w:val="0"/>
          <w:iCs w:val="0"/>
          <w:color w:val="auto"/>
          <w:highlight w:val="none"/>
          <w:lang w:val="en-US" w:eastAsia="zh-CN"/>
        </w:rPr>
        <w:t>2.5.3符合本磋商文件规定并参加磋商的供应商。</w:t>
      </w:r>
    </w:p>
    <w:p w14:paraId="323DC0B9">
      <w:pPr>
        <w:pStyle w:val="33"/>
        <w:keepNext w:val="0"/>
        <w:keepLines w:val="0"/>
        <w:pageBreakBefore w:val="0"/>
        <w:widowControl w:val="0"/>
        <w:kinsoku/>
        <w:overflowPunct/>
        <w:topLinePunct w:val="0"/>
        <w:bidi w:val="0"/>
        <w:ind w:firstLine="480"/>
        <w:textAlignment w:val="auto"/>
        <w:rPr>
          <w:rFonts w:hint="default" w:eastAsia="宋体" w:cs="宋体"/>
          <w:i w:val="0"/>
          <w:iCs w:val="0"/>
          <w:snapToGrid w:val="0"/>
          <w:color w:val="auto"/>
          <w:highlight w:val="none"/>
          <w:lang w:val="en-US" w:eastAsia="zh-CN"/>
        </w:rPr>
      </w:pPr>
      <w:r>
        <w:rPr>
          <w:rFonts w:hint="eastAsia"/>
          <w:i w:val="0"/>
          <w:iCs w:val="0"/>
          <w:color w:val="auto"/>
          <w:highlight w:val="none"/>
          <w:lang w:val="en-US" w:eastAsia="zh-CN"/>
        </w:rPr>
        <w:t>2.6</w:t>
      </w:r>
      <w:r>
        <w:rPr>
          <w:rFonts w:hint="eastAsia"/>
          <w:i w:val="0"/>
          <w:iCs w:val="0"/>
          <w:color w:val="auto"/>
          <w:highlight w:val="none"/>
          <w:shd w:val="clear" w:color="auto" w:fill="FFFFFF" w:themeFill="background1"/>
        </w:rPr>
        <w:t>潜在供应商</w:t>
      </w:r>
      <w:r>
        <w:rPr>
          <w:rFonts w:hint="eastAsia"/>
          <w:i w:val="0"/>
          <w:iCs w:val="0"/>
          <w:color w:val="auto"/>
          <w:highlight w:val="none"/>
          <w:shd w:val="clear" w:color="auto" w:fill="FFFFFF" w:themeFill="background1"/>
          <w:lang w:eastAsia="zh-CN"/>
        </w:rPr>
        <w:t>：</w:t>
      </w:r>
      <w:r>
        <w:rPr>
          <w:rFonts w:hint="eastAsia"/>
          <w:i w:val="0"/>
          <w:iCs w:val="0"/>
          <w:color w:val="auto"/>
          <w:highlight w:val="none"/>
          <w:shd w:val="clear" w:color="auto" w:fill="FFFFFF" w:themeFill="background1"/>
          <w:lang w:val="en-US" w:eastAsia="zh-CN"/>
        </w:rPr>
        <w:t>指</w:t>
      </w:r>
      <w:r>
        <w:rPr>
          <w:rFonts w:hint="eastAsia"/>
          <w:i w:val="0"/>
          <w:iCs w:val="0"/>
          <w:color w:val="auto"/>
          <w:highlight w:val="none"/>
          <w:lang w:val="en-US" w:eastAsia="zh-CN"/>
        </w:rPr>
        <w:t>符合本磋商文件规定的供应商</w:t>
      </w:r>
      <w:r>
        <w:rPr>
          <w:rFonts w:ascii="宋体" w:hAnsi="宋体" w:eastAsia="宋体"/>
          <w:i w:val="0"/>
          <w:iCs w:val="0"/>
          <w:color w:val="auto"/>
          <w:sz w:val="24"/>
          <w:highlight w:val="none"/>
        </w:rPr>
        <w:t>。</w:t>
      </w:r>
    </w:p>
    <w:p w14:paraId="4FFEB4B0">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1" w:name="_Toc46772243"/>
      <w:bookmarkStart w:id="122" w:name="_Toc9974"/>
      <w:bookmarkStart w:id="123" w:name="_Toc52960555"/>
      <w:bookmarkStart w:id="124" w:name="_Toc109899955"/>
      <w:bookmarkStart w:id="125" w:name="_Toc109900374"/>
      <w:bookmarkStart w:id="126" w:name="_Toc470172667"/>
      <w:bookmarkStart w:id="127" w:name="_Toc52962729"/>
      <w:bookmarkStart w:id="128" w:name="_Toc51674213"/>
      <w:bookmarkStart w:id="129" w:name="_Toc48688791"/>
      <w:bookmarkStart w:id="130" w:name="_Toc46771642"/>
      <w:bookmarkStart w:id="131" w:name="_Toc109899536"/>
      <w:bookmarkStart w:id="132" w:name="_Toc109897437"/>
      <w:bookmarkStart w:id="133" w:name="_Toc48846111"/>
      <w:r>
        <w:rPr>
          <w:rFonts w:hint="eastAsia" w:ascii="宋体" w:hAnsi="宋体" w:eastAsia="宋体" w:cs="宋体"/>
          <w:b/>
          <w:bCs/>
          <w:color w:val="auto"/>
          <w:kern w:val="2"/>
          <w:sz w:val="24"/>
          <w:szCs w:val="24"/>
          <w:highlight w:val="none"/>
          <w:lang w:val="en-US" w:eastAsia="zh-CN" w:bidi="ar-SA"/>
        </w:rPr>
        <w:t>3.资金来源</w:t>
      </w:r>
    </w:p>
    <w:p w14:paraId="7E10FE0B">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3.1资金来源：</w:t>
      </w:r>
      <w:r>
        <w:rPr>
          <w:rFonts w:hint="eastAsia"/>
          <w:i w:val="0"/>
          <w:iCs w:val="0"/>
          <w:color w:val="auto"/>
          <w:highlight w:val="none"/>
          <w:lang w:val="en-US" w:eastAsia="zh-CN"/>
        </w:rPr>
        <w:t>为财政性资金即</w:t>
      </w:r>
      <w:r>
        <w:rPr>
          <w:rFonts w:hint="eastAsia"/>
          <w:i w:val="0"/>
          <w:iCs w:val="0"/>
          <w:color w:val="auto"/>
          <w:highlight w:val="none"/>
        </w:rPr>
        <w:t>纳入预算管理的资金</w:t>
      </w:r>
      <w:r>
        <w:rPr>
          <w:rFonts w:hint="eastAsia"/>
          <w:i w:val="0"/>
          <w:iCs w:val="0"/>
          <w:color w:val="auto"/>
          <w:highlight w:val="none"/>
          <w:lang w:eastAsia="zh-CN"/>
        </w:rPr>
        <w:t>。</w:t>
      </w:r>
      <w:r>
        <w:rPr>
          <w:rFonts w:hint="eastAsia"/>
          <w:i w:val="0"/>
          <w:iCs w:val="0"/>
          <w:color w:val="auto"/>
          <w:highlight w:val="none"/>
        </w:rPr>
        <w:t>以财政性资金作为还款来源的借贷资金，视同财政性资金。财政性资金与非财政性资金无法分割采购的，统一适用《中华人民共和国政府采购法》及其实施条例。</w:t>
      </w:r>
    </w:p>
    <w:p w14:paraId="5B4402E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4.供应商资格要求</w:t>
      </w:r>
    </w:p>
    <w:p w14:paraId="13F68FEF">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4.1</w:t>
      </w:r>
      <w:r>
        <w:rPr>
          <w:rFonts w:hint="eastAsia"/>
          <w:i w:val="0"/>
          <w:iCs w:val="0"/>
          <w:color w:val="auto"/>
          <w:highlight w:val="none"/>
          <w:lang w:val="en-US" w:eastAsia="zh-CN"/>
        </w:rPr>
        <w:t>供应商</w:t>
      </w:r>
      <w:r>
        <w:rPr>
          <w:rFonts w:hint="eastAsia"/>
          <w:i w:val="0"/>
          <w:iCs w:val="0"/>
          <w:color w:val="auto"/>
          <w:highlight w:val="none"/>
        </w:rPr>
        <w:t>资格要求：见“</w:t>
      </w:r>
      <w:r>
        <w:rPr>
          <w:rFonts w:hint="eastAsia"/>
          <w:i w:val="0"/>
          <w:iCs w:val="0"/>
          <w:color w:val="auto"/>
          <w:highlight w:val="none"/>
          <w:lang w:val="en-US" w:eastAsia="zh-CN"/>
        </w:rPr>
        <w:t>第一章 竞争性磋商公告</w:t>
      </w:r>
      <w:r>
        <w:rPr>
          <w:rFonts w:hint="eastAsia"/>
          <w:i w:val="0"/>
          <w:iCs w:val="0"/>
          <w:color w:val="auto"/>
          <w:highlight w:val="none"/>
        </w:rPr>
        <w:t>”；</w:t>
      </w:r>
    </w:p>
    <w:p w14:paraId="3F55018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zh-CN" w:eastAsia="zh-CN"/>
        </w:rPr>
      </w:pPr>
      <w:r>
        <w:rPr>
          <w:rFonts w:hint="eastAsia"/>
          <w:i w:val="0"/>
          <w:iCs w:val="0"/>
          <w:color w:val="auto"/>
          <w:highlight w:val="none"/>
          <w:lang w:val="en-US" w:eastAsia="zh-CN"/>
        </w:rPr>
        <w:t>4</w:t>
      </w:r>
      <w:r>
        <w:rPr>
          <w:rFonts w:hint="eastAsia"/>
          <w:i w:val="0"/>
          <w:iCs w:val="0"/>
          <w:color w:val="auto"/>
          <w:highlight w:val="none"/>
          <w:lang w:val="zh-CN" w:eastAsia="zh-CN"/>
        </w:rPr>
        <w:t>.</w:t>
      </w:r>
      <w:r>
        <w:rPr>
          <w:rFonts w:hint="eastAsia"/>
          <w:i w:val="0"/>
          <w:iCs w:val="0"/>
          <w:color w:val="auto"/>
          <w:highlight w:val="none"/>
          <w:lang w:val="en-US" w:eastAsia="zh-CN"/>
        </w:rPr>
        <w:t>2</w:t>
      </w:r>
      <w:r>
        <w:rPr>
          <w:rFonts w:hint="eastAsia"/>
          <w:i w:val="0"/>
          <w:iCs w:val="0"/>
          <w:color w:val="auto"/>
          <w:highlight w:val="none"/>
          <w:lang w:val="zh-CN" w:eastAsia="zh-CN"/>
        </w:rPr>
        <w:t>“</w:t>
      </w:r>
      <w:r>
        <w:rPr>
          <w:rFonts w:hint="eastAsia"/>
          <w:i w:val="0"/>
          <w:iCs w:val="0"/>
          <w:color w:val="auto"/>
          <w:highlight w:val="none"/>
          <w:lang w:val="en-US" w:eastAsia="zh-CN"/>
        </w:rPr>
        <w:t>第一章 竞争性磋商公告</w:t>
      </w:r>
      <w:r>
        <w:rPr>
          <w:rFonts w:hint="eastAsia"/>
          <w:i w:val="0"/>
          <w:iCs w:val="0"/>
          <w:color w:val="auto"/>
          <w:highlight w:val="none"/>
          <w:lang w:val="zh-CN" w:eastAsia="zh-CN"/>
        </w:rPr>
        <w:t>”规定接受联合体</w:t>
      </w:r>
      <w:r>
        <w:rPr>
          <w:rFonts w:hint="eastAsia"/>
          <w:i w:val="0"/>
          <w:iCs w:val="0"/>
          <w:color w:val="auto"/>
          <w:highlight w:val="none"/>
          <w:lang w:val="en-US" w:eastAsia="zh-CN"/>
        </w:rPr>
        <w:t>磋商</w:t>
      </w:r>
      <w:r>
        <w:rPr>
          <w:rFonts w:hint="eastAsia"/>
          <w:i w:val="0"/>
          <w:iCs w:val="0"/>
          <w:color w:val="auto"/>
          <w:highlight w:val="none"/>
          <w:lang w:val="zh-CN" w:eastAsia="zh-CN"/>
        </w:rPr>
        <w:t>的，还应遵守以下规定：</w:t>
      </w:r>
    </w:p>
    <w:p w14:paraId="56632A0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i w:val="0"/>
          <w:iCs w:val="0"/>
          <w:color w:val="auto"/>
          <w:highlight w:val="none"/>
          <w:lang w:val="en-US" w:eastAsia="zh-CN"/>
        </w:rPr>
        <w:t>4</w:t>
      </w:r>
      <w:r>
        <w:rPr>
          <w:rFonts w:hint="eastAsia"/>
          <w:i w:val="0"/>
          <w:iCs w:val="0"/>
          <w:color w:val="auto"/>
          <w:highlight w:val="none"/>
          <w:lang w:val="zh-CN" w:eastAsia="zh-CN"/>
        </w:rPr>
        <w:t>.</w:t>
      </w:r>
      <w:r>
        <w:rPr>
          <w:rFonts w:hint="eastAsia"/>
          <w:i w:val="0"/>
          <w:iCs w:val="0"/>
          <w:color w:val="auto"/>
          <w:highlight w:val="none"/>
          <w:lang w:val="en-US" w:eastAsia="zh-CN"/>
        </w:rPr>
        <w:t>2.</w:t>
      </w:r>
      <w:r>
        <w:rPr>
          <w:rFonts w:hint="eastAsia"/>
          <w:i w:val="0"/>
          <w:iCs w:val="0"/>
          <w:color w:val="auto"/>
          <w:highlight w:val="none"/>
          <w:lang w:val="zh-CN" w:eastAsia="zh-CN"/>
        </w:rPr>
        <w:t>1两个以上的自然人、法人或者其他组织可以组成一个联合体，以一个供应商的身份共同参加政府采购。</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以联合体形式进行政府采购的，参加联合体的供应商均应当具备《政府采购法》第二十二条规定的条件。</w:t>
      </w:r>
    </w:p>
    <w:p w14:paraId="4A0EFAD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2.</w:t>
      </w:r>
      <w:r>
        <w:rPr>
          <w:rFonts w:hint="eastAsia" w:cstheme="minorBidi"/>
          <w:i w:val="0"/>
          <w:iCs w:val="0"/>
          <w:color w:val="auto"/>
          <w:kern w:val="2"/>
          <w:sz w:val="24"/>
          <w:szCs w:val="22"/>
          <w:highlight w:val="none"/>
          <w:shd w:val="clear" w:color="auto" w:fill="FFFFFF" w:themeFill="background1"/>
          <w:lang w:val="en-US" w:eastAsia="zh-CN" w:bidi="ar-SA"/>
        </w:rPr>
        <w:t>2</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联合体各方应按竞争性磋商文件提供的格式签订联合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作为</w:t>
      </w:r>
      <w:r>
        <w:rPr>
          <w:rFonts w:hint="eastAsia" w:cstheme="minorBidi"/>
          <w:i w:val="0"/>
          <w:iCs w:val="0"/>
          <w:color w:val="auto"/>
          <w:kern w:val="2"/>
          <w:sz w:val="24"/>
          <w:szCs w:val="22"/>
          <w:highlight w:val="none"/>
          <w:shd w:val="clear" w:color="auto" w:fill="FFFFFF" w:themeFill="background1"/>
          <w:lang w:val="en-US" w:eastAsia="zh-CN" w:bidi="ar-SA"/>
        </w:rPr>
        <w:t>响应</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文件的一部分提交，该协议书对联合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体所有成员</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均具有法律约束力。</w:t>
      </w:r>
    </w:p>
    <w:p w14:paraId="078D2F2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4.2.</w:t>
      </w:r>
      <w:r>
        <w:rPr>
          <w:rFonts w:hint="eastAsia" w:cstheme="minorBidi"/>
          <w:i w:val="0"/>
          <w:iCs w:val="0"/>
          <w:color w:val="auto"/>
          <w:kern w:val="2"/>
          <w:sz w:val="24"/>
          <w:szCs w:val="22"/>
          <w:highlight w:val="none"/>
          <w:shd w:val="clear" w:color="auto" w:fill="FFFFFF" w:themeFill="background1"/>
          <w:lang w:val="en-US" w:eastAsia="zh-CN" w:bidi="ar-SA"/>
        </w:rPr>
        <w:t>3</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5FA7C08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4.2</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r>
        <w:rPr>
          <w:rFonts w:hint="eastAsia" w:cstheme="minorBidi"/>
          <w:i w:val="0"/>
          <w:iCs w:val="0"/>
          <w:color w:val="auto"/>
          <w:kern w:val="2"/>
          <w:sz w:val="24"/>
          <w:szCs w:val="22"/>
          <w:highlight w:val="none"/>
          <w:shd w:val="clear" w:color="auto" w:fill="FFFFFF" w:themeFill="background1"/>
          <w:lang w:val="en-US" w:eastAsia="zh-CN" w:bidi="ar-SA"/>
        </w:rPr>
        <w:t>4</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cstheme="minorBidi"/>
          <w:i w:val="0"/>
          <w:iCs w:val="0"/>
          <w:color w:val="auto"/>
          <w:kern w:val="2"/>
          <w:sz w:val="24"/>
          <w:szCs w:val="22"/>
          <w:highlight w:val="none"/>
          <w:shd w:val="clear" w:color="auto" w:fill="FFFFFF" w:themeFill="background1"/>
          <w:lang w:val="en-US" w:eastAsia="zh-CN" w:bidi="ar-SA"/>
        </w:rPr>
        <w:t>同一合同项下的磋商</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，否则相关</w:t>
      </w:r>
      <w:r>
        <w:rPr>
          <w:rFonts w:hint="eastAsia" w:cstheme="minorBidi"/>
          <w:i w:val="0"/>
          <w:iCs w:val="0"/>
          <w:color w:val="auto"/>
          <w:kern w:val="2"/>
          <w:sz w:val="24"/>
          <w:szCs w:val="22"/>
          <w:highlight w:val="none"/>
          <w:shd w:val="clear" w:color="auto" w:fill="FFFFFF" w:themeFill="background1"/>
          <w:lang w:val="en-US" w:eastAsia="zh-CN" w:bidi="ar-SA"/>
        </w:rPr>
        <w:t>响应</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将被认定为</w:t>
      </w:r>
      <w:r>
        <w:rPr>
          <w:rFonts w:hint="eastAsia" w:cstheme="minorBidi"/>
          <w:b/>
          <w:bCs/>
          <w:i w:val="0"/>
          <w:iCs w:val="0"/>
          <w:color w:val="auto"/>
          <w:kern w:val="2"/>
          <w:sz w:val="24"/>
          <w:szCs w:val="22"/>
          <w:highlight w:val="none"/>
          <w:shd w:val="clear" w:color="auto" w:fill="FFFFFF" w:themeFill="background1"/>
          <w:lang w:val="en-US" w:eastAsia="zh-CN" w:bidi="ar-SA"/>
        </w:rPr>
        <w:t>响应</w:t>
      </w:r>
      <w:r>
        <w:rPr>
          <w:rFonts w:hint="eastAsia" w:ascii="宋体" w:hAnsi="宋体" w:eastAsia="宋体" w:cstheme="minorBidi"/>
          <w:b/>
          <w:bCs/>
          <w:i w:val="0"/>
          <w:iCs w:val="0"/>
          <w:color w:val="auto"/>
          <w:kern w:val="2"/>
          <w:sz w:val="24"/>
          <w:szCs w:val="22"/>
          <w:highlight w:val="none"/>
          <w:shd w:val="clear" w:color="auto" w:fill="FFFFFF" w:themeFill="background1"/>
          <w:lang w:val="zh-CN" w:eastAsia="zh-CN" w:bidi="ar-SA"/>
        </w:rPr>
        <w:t>无效</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p>
    <w:p w14:paraId="6F80539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4.2</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.5大中型企业、其他自然人、法人或者非法人组织与小型、微型企业组成联合体共同参加</w:t>
      </w:r>
      <w:r>
        <w:rPr>
          <w:rFonts w:hint="eastAsia" w:cstheme="minorBidi"/>
          <w:i w:val="0"/>
          <w:iCs w:val="0"/>
          <w:color w:val="auto"/>
          <w:kern w:val="2"/>
          <w:sz w:val="24"/>
          <w:szCs w:val="22"/>
          <w:highlight w:val="none"/>
          <w:shd w:val="clear" w:color="auto" w:fill="FFFFFF" w:themeFill="background1"/>
          <w:lang w:val="en-US" w:eastAsia="zh-CN" w:bidi="ar-SA"/>
        </w:rPr>
        <w:t>磋商</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，联合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中应写明小型、微型企业的合同金额占到联合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体</w:t>
      </w:r>
      <w:r>
        <w:rPr>
          <w:rFonts w:hint="eastAsia" w:cstheme="minorBidi"/>
          <w:i w:val="0"/>
          <w:iCs w:val="0"/>
          <w:color w:val="auto"/>
          <w:kern w:val="2"/>
          <w:sz w:val="24"/>
          <w:szCs w:val="22"/>
          <w:highlight w:val="none"/>
          <w:shd w:val="clear" w:color="auto" w:fill="FFFFFF" w:themeFill="background1"/>
          <w:lang w:val="en-US" w:eastAsia="zh-CN" w:bidi="ar-SA"/>
        </w:rPr>
        <w:t>磋商</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合同</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总金额的比例。</w:t>
      </w:r>
    </w:p>
    <w:p w14:paraId="4BC56E5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4.2</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eastAsia" w:cstheme="minorBidi"/>
          <w:i w:val="0"/>
          <w:iCs w:val="0"/>
          <w:color w:val="auto"/>
          <w:kern w:val="2"/>
          <w:sz w:val="24"/>
          <w:szCs w:val="22"/>
          <w:highlight w:val="none"/>
          <w:shd w:val="clear" w:color="auto" w:fill="FFFFFF" w:themeFill="background1"/>
          <w:lang w:val="en-US" w:eastAsia="zh-CN" w:bidi="ar-SA"/>
        </w:rPr>
        <w:t>6</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联合体</w:t>
      </w:r>
      <w:r>
        <w:rPr>
          <w:rFonts w:hint="eastAsia" w:cstheme="minorBidi"/>
          <w:i w:val="0"/>
          <w:iCs w:val="0"/>
          <w:color w:val="auto"/>
          <w:kern w:val="2"/>
          <w:sz w:val="24"/>
          <w:szCs w:val="22"/>
          <w:highlight w:val="none"/>
          <w:shd w:val="clear" w:color="auto" w:fill="FFFFFF" w:themeFill="background1"/>
          <w:lang w:val="en-US" w:eastAsia="zh-CN" w:bidi="ar-SA"/>
        </w:rPr>
        <w:t>成交的</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采购</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合同应由</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联合体</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各成员的合法授权代表签字</w:t>
      </w:r>
      <w:r>
        <w:rPr>
          <w:rFonts w:hint="eastAsia" w:cstheme="minorBidi"/>
          <w:i w:val="0"/>
          <w:iCs w:val="0"/>
          <w:color w:val="auto"/>
          <w:kern w:val="2"/>
          <w:sz w:val="24"/>
          <w:szCs w:val="22"/>
          <w:highlight w:val="none"/>
          <w:shd w:val="clear" w:color="auto" w:fill="FFFFFF" w:themeFill="background1"/>
          <w:lang w:val="en-US" w:eastAsia="zh-CN" w:bidi="ar-SA"/>
        </w:rPr>
        <w:t>及</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加盖</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联合体</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各成员公章，</w:t>
      </w:r>
      <w:r>
        <w:rPr>
          <w:rFonts w:hint="eastAsia" w:cstheme="minorBidi"/>
          <w:i w:val="0"/>
          <w:iCs w:val="0"/>
          <w:color w:val="auto"/>
          <w:kern w:val="2"/>
          <w:sz w:val="24"/>
          <w:szCs w:val="22"/>
          <w:highlight w:val="none"/>
          <w:shd w:val="clear" w:color="auto" w:fill="FFFFFF" w:themeFill="background1"/>
          <w:lang w:val="en-US" w:eastAsia="zh-CN" w:bidi="ar-SA"/>
        </w:rPr>
        <w:t>并</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6EEFD99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4.2</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.7</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人</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书面同意并且须遵守相关法律、法规、本次</w:t>
      </w:r>
      <w:r>
        <w:rPr>
          <w:rFonts w:hint="eastAsia" w:cstheme="minorBidi"/>
          <w:i w:val="0"/>
          <w:iCs w:val="0"/>
          <w:color w:val="auto"/>
          <w:kern w:val="2"/>
          <w:sz w:val="24"/>
          <w:szCs w:val="22"/>
          <w:highlight w:val="none"/>
          <w:shd w:val="clear" w:color="auto" w:fill="FFFFFF" w:themeFill="background1"/>
          <w:lang w:val="en-US" w:eastAsia="zh-CN" w:bidi="ar-SA"/>
        </w:rPr>
        <w:t>磋商</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的全部相关规定。</w:t>
      </w:r>
    </w:p>
    <w:p w14:paraId="1C0E489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4.2</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8</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对联合体</w:t>
      </w:r>
      <w:r>
        <w:rPr>
          <w:rFonts w:hint="eastAsia" w:cstheme="minorBidi"/>
          <w:i w:val="0"/>
          <w:iCs w:val="0"/>
          <w:color w:val="auto"/>
          <w:kern w:val="2"/>
          <w:sz w:val="24"/>
          <w:szCs w:val="22"/>
          <w:highlight w:val="none"/>
          <w:shd w:val="clear" w:color="auto" w:fill="FFFFFF" w:themeFill="background1"/>
          <w:lang w:val="en-US" w:eastAsia="zh-CN" w:bidi="ar-SA"/>
        </w:rPr>
        <w:t>磋商</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的其他资格要求见“</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第一章 竞争性磋商公告</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中的“二、</w:t>
      </w:r>
      <w:r>
        <w:rPr>
          <w:rFonts w:hint="eastAsia" w:cstheme="minorBidi"/>
          <w:i w:val="0"/>
          <w:iCs w:val="0"/>
          <w:color w:val="auto"/>
          <w:kern w:val="2"/>
          <w:sz w:val="24"/>
          <w:szCs w:val="22"/>
          <w:highlight w:val="none"/>
          <w:shd w:val="clear" w:color="auto" w:fill="FFFFFF" w:themeFill="background1"/>
          <w:lang w:val="en-US" w:eastAsia="zh-CN" w:bidi="ar-SA"/>
        </w:rPr>
        <w:t>供应商</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资格</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要求”</w:t>
      </w:r>
      <w:r>
        <w:rPr>
          <w:rFonts w:hint="eastAsia" w:ascii="宋体" w:hAnsi="宋体" w:eastAsia="宋体" w:cstheme="minorBidi"/>
          <w:i w:val="0"/>
          <w:iCs w:val="0"/>
          <w:color w:val="auto"/>
          <w:kern w:val="2"/>
          <w:sz w:val="24"/>
          <w:szCs w:val="22"/>
          <w:highlight w:val="none"/>
          <w:shd w:val="clear" w:color="auto" w:fill="FFFFFF" w:themeFill="background1"/>
          <w:lang w:val="zh-CN" w:eastAsia="zh-CN" w:bidi="ar-SA"/>
        </w:rPr>
        <w:t>。</w:t>
      </w:r>
    </w:p>
    <w:p w14:paraId="485F496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5.费用</w:t>
      </w:r>
      <w:bookmarkEnd w:id="121"/>
      <w:bookmarkEnd w:id="122"/>
      <w:bookmarkEnd w:id="123"/>
      <w:bookmarkEnd w:id="124"/>
      <w:bookmarkEnd w:id="125"/>
      <w:bookmarkEnd w:id="126"/>
      <w:bookmarkEnd w:id="127"/>
      <w:bookmarkEnd w:id="128"/>
      <w:bookmarkEnd w:id="129"/>
      <w:bookmarkEnd w:id="130"/>
      <w:bookmarkEnd w:id="131"/>
      <w:bookmarkEnd w:id="132"/>
      <w:bookmarkEnd w:id="133"/>
      <w:r>
        <w:rPr>
          <w:rFonts w:hint="eastAsia" w:ascii="宋体" w:hAnsi="宋体" w:eastAsia="宋体" w:cs="宋体"/>
          <w:b/>
          <w:bCs/>
          <w:color w:val="auto"/>
          <w:kern w:val="2"/>
          <w:sz w:val="24"/>
          <w:szCs w:val="24"/>
          <w:highlight w:val="none"/>
          <w:lang w:val="en-US" w:eastAsia="zh-CN" w:bidi="ar-SA"/>
        </w:rPr>
        <w:t>承担</w:t>
      </w:r>
    </w:p>
    <w:p w14:paraId="3C6741ED">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rFonts w:hint="eastAsia"/>
          <w:i w:val="0"/>
          <w:iCs w:val="0"/>
          <w:snapToGrid w:val="0"/>
          <w:color w:val="auto"/>
          <w:highlight w:val="none"/>
          <w:lang w:val="zh-CN"/>
        </w:rPr>
        <w:t>5.1</w:t>
      </w:r>
      <w:r>
        <w:rPr>
          <w:rFonts w:hint="eastAsia"/>
          <w:i w:val="0"/>
          <w:iCs w:val="0"/>
          <w:snapToGrid w:val="0"/>
          <w:color w:val="auto"/>
          <w:highlight w:val="none"/>
          <w:lang w:val="zh-CN" w:eastAsia="zh-CN"/>
        </w:rPr>
        <w:t>不论</w:t>
      </w:r>
      <w:r>
        <w:rPr>
          <w:rFonts w:hint="eastAsia"/>
          <w:i w:val="0"/>
          <w:iCs w:val="0"/>
          <w:snapToGrid w:val="0"/>
          <w:color w:val="auto"/>
          <w:highlight w:val="none"/>
          <w:lang w:val="en-US" w:eastAsia="zh-CN"/>
        </w:rPr>
        <w:t>磋商</w:t>
      </w:r>
      <w:r>
        <w:rPr>
          <w:rFonts w:hint="eastAsia"/>
          <w:i w:val="0"/>
          <w:iCs w:val="0"/>
          <w:snapToGrid w:val="0"/>
          <w:color w:val="auto"/>
          <w:highlight w:val="none"/>
          <w:lang w:val="zh-CN" w:eastAsia="zh-CN"/>
        </w:rPr>
        <w:t>的结果如何，</w:t>
      </w:r>
      <w:r>
        <w:rPr>
          <w:rFonts w:hint="eastAsia"/>
          <w:i w:val="0"/>
          <w:iCs w:val="0"/>
          <w:snapToGrid w:val="0"/>
          <w:color w:val="auto"/>
          <w:highlight w:val="none"/>
          <w:lang w:val="en-US" w:eastAsia="zh-CN"/>
        </w:rPr>
        <w:t>供应商</w:t>
      </w:r>
      <w:r>
        <w:rPr>
          <w:rFonts w:hint="eastAsia"/>
          <w:i w:val="0"/>
          <w:iCs w:val="0"/>
          <w:snapToGrid w:val="0"/>
          <w:color w:val="auto"/>
          <w:highlight w:val="none"/>
          <w:lang w:val="zh-CN" w:eastAsia="zh-CN"/>
        </w:rPr>
        <w:t>应承担所有与准备和参加</w:t>
      </w:r>
      <w:r>
        <w:rPr>
          <w:rFonts w:hint="eastAsia"/>
          <w:i w:val="0"/>
          <w:iCs w:val="0"/>
          <w:snapToGrid w:val="0"/>
          <w:color w:val="auto"/>
          <w:highlight w:val="none"/>
          <w:lang w:val="en-US" w:eastAsia="zh-CN"/>
        </w:rPr>
        <w:t>磋商</w:t>
      </w:r>
      <w:r>
        <w:rPr>
          <w:rFonts w:hint="eastAsia"/>
          <w:i w:val="0"/>
          <w:iCs w:val="0"/>
          <w:snapToGrid w:val="0"/>
          <w:color w:val="auto"/>
          <w:highlight w:val="none"/>
          <w:lang w:val="zh-CN" w:eastAsia="zh-CN"/>
        </w:rPr>
        <w:t>有关的费用。</w:t>
      </w:r>
    </w:p>
    <w:p w14:paraId="6DDD89B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4" w:name="_Toc161600293"/>
      <w:bookmarkStart w:id="135" w:name="_Toc140132761"/>
      <w:r>
        <w:rPr>
          <w:rFonts w:hint="eastAsia" w:ascii="宋体" w:hAnsi="宋体" w:eastAsia="宋体" w:cs="宋体"/>
          <w:b/>
          <w:bCs/>
          <w:color w:val="auto"/>
          <w:kern w:val="2"/>
          <w:sz w:val="24"/>
          <w:szCs w:val="24"/>
          <w:highlight w:val="none"/>
          <w:lang w:val="en-US" w:eastAsia="zh-CN" w:bidi="ar-SA"/>
        </w:rPr>
        <w:t>6.保密</w:t>
      </w:r>
      <w:bookmarkEnd w:id="134"/>
      <w:bookmarkEnd w:id="135"/>
    </w:p>
    <w:p w14:paraId="6F561E2B">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rFonts w:hint="eastAsia"/>
          <w:i w:val="0"/>
          <w:iCs w:val="0"/>
          <w:color w:val="auto"/>
          <w:highlight w:val="none"/>
        </w:rPr>
        <w:t>6.1</w:t>
      </w:r>
      <w:r>
        <w:rPr>
          <w:rFonts w:hint="eastAsia"/>
          <w:i w:val="0"/>
          <w:iCs w:val="0"/>
          <w:color w:val="auto"/>
          <w:highlight w:val="none"/>
          <w:lang w:val="en-US" w:eastAsia="zh-CN"/>
        </w:rPr>
        <w:t xml:space="preserve"> </w:t>
      </w:r>
      <w:r>
        <w:rPr>
          <w:rFonts w:hint="eastAsia"/>
          <w:i w:val="0"/>
          <w:iCs w:val="0"/>
          <w:color w:val="auto"/>
          <w:highlight w:val="none"/>
        </w:rPr>
        <w:t>参与磋商活动的各方应对竞争</w:t>
      </w:r>
      <w:r>
        <w:rPr>
          <w:rFonts w:hint="eastAsia"/>
          <w:i w:val="0"/>
          <w:iCs w:val="0"/>
          <w:color w:val="auto"/>
          <w:highlight w:val="none"/>
          <w:lang w:val="en-US" w:eastAsia="zh-CN"/>
        </w:rPr>
        <w:t>性</w:t>
      </w:r>
      <w:r>
        <w:rPr>
          <w:rFonts w:hint="eastAsia"/>
          <w:i w:val="0"/>
          <w:iCs w:val="0"/>
          <w:color w:val="auto"/>
          <w:highlight w:val="none"/>
        </w:rPr>
        <w:t>磋商文件和响应文件中的商业和技术等秘密保密，否则应承担相应的法律责任。</w:t>
      </w:r>
    </w:p>
    <w:p w14:paraId="577DB7C4">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rPr>
      </w:pPr>
      <w:r>
        <w:rPr>
          <w:rFonts w:hint="eastAsia" w:ascii="宋体" w:hAnsi="宋体" w:eastAsia="宋体" w:cs="宋体"/>
          <w:i w:val="0"/>
          <w:iCs w:val="0"/>
          <w:color w:val="auto"/>
          <w:kern w:val="2"/>
          <w:sz w:val="24"/>
          <w:szCs w:val="22"/>
          <w:highlight w:val="none"/>
          <w:lang w:val="en-US" w:eastAsia="zh-CN"/>
        </w:rPr>
        <w:t>6</w:t>
      </w:r>
      <w:r>
        <w:rPr>
          <w:rFonts w:hint="eastAsia" w:ascii="宋体" w:hAnsi="宋体" w:eastAsia="宋体" w:cs="宋体"/>
          <w:i w:val="0"/>
          <w:iCs w:val="0"/>
          <w:color w:val="auto"/>
          <w:kern w:val="2"/>
          <w:sz w:val="24"/>
          <w:szCs w:val="22"/>
          <w:highlight w:val="none"/>
        </w:rPr>
        <w:t>.</w:t>
      </w:r>
      <w:r>
        <w:rPr>
          <w:rFonts w:hint="eastAsia" w:ascii="宋体" w:hAnsi="宋体" w:eastAsia="宋体" w:cs="宋体"/>
          <w:i w:val="0"/>
          <w:iCs w:val="0"/>
          <w:color w:val="auto"/>
          <w:kern w:val="2"/>
          <w:sz w:val="24"/>
          <w:szCs w:val="22"/>
          <w:highlight w:val="none"/>
          <w:lang w:val="en-US" w:eastAsia="zh-CN"/>
        </w:rPr>
        <w:t>2 供应商</w:t>
      </w:r>
      <w:r>
        <w:rPr>
          <w:rFonts w:hint="eastAsia" w:ascii="宋体" w:hAnsi="宋体" w:eastAsia="宋体" w:cs="宋体"/>
          <w:i w:val="0"/>
          <w:iCs w:val="0"/>
          <w:color w:val="auto"/>
          <w:kern w:val="2"/>
          <w:sz w:val="24"/>
          <w:szCs w:val="22"/>
          <w:highlight w:val="none"/>
        </w:rPr>
        <w:t>自领取竞争</w:t>
      </w:r>
      <w:r>
        <w:rPr>
          <w:rFonts w:hint="eastAsia" w:ascii="宋体" w:hAnsi="宋体" w:eastAsia="宋体" w:cs="宋体"/>
          <w:i w:val="0"/>
          <w:iCs w:val="0"/>
          <w:color w:val="auto"/>
          <w:kern w:val="2"/>
          <w:sz w:val="24"/>
          <w:szCs w:val="22"/>
          <w:highlight w:val="none"/>
          <w:lang w:val="en-US" w:eastAsia="zh-CN"/>
        </w:rPr>
        <w:t>性</w:t>
      </w:r>
      <w:r>
        <w:rPr>
          <w:rFonts w:hint="eastAsia" w:ascii="宋体" w:hAnsi="宋体" w:eastAsia="宋体" w:cs="宋体"/>
          <w:i w:val="0"/>
          <w:iCs w:val="0"/>
          <w:color w:val="auto"/>
          <w:kern w:val="2"/>
          <w:sz w:val="24"/>
          <w:szCs w:val="22"/>
          <w:highlight w:val="none"/>
        </w:rPr>
        <w:t>磋商文件之日起，须承担本竞争</w:t>
      </w:r>
      <w:r>
        <w:rPr>
          <w:rFonts w:hint="eastAsia" w:ascii="宋体" w:hAnsi="宋体" w:eastAsia="宋体" w:cs="宋体"/>
          <w:i w:val="0"/>
          <w:iCs w:val="0"/>
          <w:color w:val="auto"/>
          <w:kern w:val="2"/>
          <w:sz w:val="24"/>
          <w:szCs w:val="22"/>
          <w:highlight w:val="none"/>
          <w:lang w:val="en-US" w:eastAsia="zh-CN"/>
        </w:rPr>
        <w:t>性</w:t>
      </w:r>
      <w:r>
        <w:rPr>
          <w:rFonts w:hint="eastAsia" w:ascii="宋体" w:hAnsi="宋体" w:eastAsia="宋体" w:cs="宋体"/>
          <w:i w:val="0"/>
          <w:iCs w:val="0"/>
          <w:color w:val="auto"/>
          <w:kern w:val="2"/>
          <w:sz w:val="24"/>
          <w:szCs w:val="22"/>
          <w:highlight w:val="none"/>
        </w:rPr>
        <w:t>磋商项目保密义务，不得将因本次竞争</w:t>
      </w:r>
      <w:r>
        <w:rPr>
          <w:rFonts w:hint="eastAsia" w:ascii="宋体" w:hAnsi="宋体" w:eastAsia="宋体" w:cs="宋体"/>
          <w:i w:val="0"/>
          <w:iCs w:val="0"/>
          <w:color w:val="auto"/>
          <w:kern w:val="2"/>
          <w:sz w:val="24"/>
          <w:szCs w:val="22"/>
          <w:highlight w:val="none"/>
          <w:lang w:val="en-US" w:eastAsia="zh-CN"/>
        </w:rPr>
        <w:t>性</w:t>
      </w:r>
      <w:r>
        <w:rPr>
          <w:rFonts w:hint="eastAsia" w:ascii="宋体" w:hAnsi="宋体" w:eastAsia="宋体" w:cs="宋体"/>
          <w:i w:val="0"/>
          <w:iCs w:val="0"/>
          <w:color w:val="auto"/>
          <w:kern w:val="2"/>
          <w:sz w:val="24"/>
          <w:szCs w:val="22"/>
          <w:highlight w:val="none"/>
        </w:rPr>
        <w:t>磋商获得的信息向第三人外传。由采购人向</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提供的图纸、详细资料、样品、模型、模件和所有其它资料，被视为保密资料，仅被用于它所规定的用途。除非得到采购人的同意，不能向任何第三方透露。竞争</w:t>
      </w:r>
      <w:r>
        <w:rPr>
          <w:rFonts w:hint="eastAsia" w:ascii="宋体" w:hAnsi="宋体" w:eastAsia="宋体" w:cs="宋体"/>
          <w:i w:val="0"/>
          <w:iCs w:val="0"/>
          <w:color w:val="auto"/>
          <w:kern w:val="2"/>
          <w:sz w:val="24"/>
          <w:szCs w:val="22"/>
          <w:highlight w:val="none"/>
          <w:lang w:val="en-US" w:eastAsia="zh-CN"/>
        </w:rPr>
        <w:t>性</w:t>
      </w:r>
      <w:r>
        <w:rPr>
          <w:rFonts w:hint="eastAsia" w:ascii="宋体" w:hAnsi="宋体" w:eastAsia="宋体" w:cs="宋体"/>
          <w:i w:val="0"/>
          <w:iCs w:val="0"/>
          <w:color w:val="auto"/>
          <w:kern w:val="2"/>
          <w:sz w:val="24"/>
          <w:szCs w:val="22"/>
          <w:highlight w:val="none"/>
        </w:rPr>
        <w:t>磋商结束后，应采购人要求，</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应归还所有从采购人处获得的保密资料。</w:t>
      </w:r>
    </w:p>
    <w:p w14:paraId="108AE9C4">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rPr>
      </w:pPr>
      <w:r>
        <w:rPr>
          <w:rFonts w:hint="eastAsia" w:ascii="宋体" w:hAnsi="宋体" w:eastAsia="宋体" w:cs="宋体"/>
          <w:i w:val="0"/>
          <w:iCs w:val="0"/>
          <w:color w:val="auto"/>
          <w:kern w:val="2"/>
          <w:sz w:val="24"/>
          <w:szCs w:val="22"/>
          <w:highlight w:val="none"/>
          <w:lang w:val="en-US" w:eastAsia="zh-CN"/>
        </w:rPr>
        <w:t>6</w:t>
      </w:r>
      <w:r>
        <w:rPr>
          <w:rFonts w:hint="eastAsia" w:ascii="宋体" w:hAnsi="宋体" w:eastAsia="宋体" w:cs="宋体"/>
          <w:i w:val="0"/>
          <w:iCs w:val="0"/>
          <w:color w:val="auto"/>
          <w:kern w:val="2"/>
          <w:sz w:val="24"/>
          <w:szCs w:val="22"/>
          <w:highlight w:val="none"/>
        </w:rPr>
        <w:t>.</w:t>
      </w:r>
      <w:r>
        <w:rPr>
          <w:rFonts w:hint="eastAsia" w:ascii="宋体" w:hAnsi="宋体" w:eastAsia="宋体" w:cs="宋体"/>
          <w:i w:val="0"/>
          <w:iCs w:val="0"/>
          <w:color w:val="auto"/>
          <w:kern w:val="2"/>
          <w:sz w:val="24"/>
          <w:szCs w:val="22"/>
          <w:highlight w:val="none"/>
          <w:lang w:val="en-US" w:eastAsia="zh-CN"/>
        </w:rPr>
        <w:t xml:space="preserve">3 </w:t>
      </w:r>
      <w:r>
        <w:rPr>
          <w:rFonts w:hint="eastAsia" w:ascii="宋体" w:hAnsi="宋体" w:eastAsia="宋体" w:cs="宋体"/>
          <w:i w:val="0"/>
          <w:iCs w:val="0"/>
          <w:color w:val="auto"/>
          <w:kern w:val="2"/>
          <w:sz w:val="24"/>
          <w:szCs w:val="22"/>
          <w:highlight w:val="none"/>
        </w:rPr>
        <w:t>采购代理机构有权将</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提供的所有资料向有关政府部门或竞争</w:t>
      </w:r>
      <w:r>
        <w:rPr>
          <w:rFonts w:hint="eastAsia" w:ascii="宋体" w:hAnsi="宋体" w:eastAsia="宋体" w:cs="宋体"/>
          <w:i w:val="0"/>
          <w:iCs w:val="0"/>
          <w:color w:val="auto"/>
          <w:kern w:val="2"/>
          <w:sz w:val="24"/>
          <w:szCs w:val="22"/>
          <w:highlight w:val="none"/>
          <w:lang w:val="en-US" w:eastAsia="zh-CN"/>
        </w:rPr>
        <w:t>性</w:t>
      </w:r>
      <w:r>
        <w:rPr>
          <w:rFonts w:hint="eastAsia" w:ascii="宋体" w:hAnsi="宋体" w:eastAsia="宋体" w:cs="宋体"/>
          <w:i w:val="0"/>
          <w:iCs w:val="0"/>
          <w:color w:val="auto"/>
          <w:kern w:val="2"/>
          <w:sz w:val="24"/>
          <w:szCs w:val="22"/>
          <w:highlight w:val="none"/>
        </w:rPr>
        <w:t>磋商的有关人员披露。</w:t>
      </w:r>
    </w:p>
    <w:p w14:paraId="232A1AD6">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ascii="宋体" w:hAnsi="宋体" w:eastAsia="宋体" w:cs="宋体"/>
          <w:i w:val="0"/>
          <w:iCs w:val="0"/>
          <w:color w:val="auto"/>
          <w:kern w:val="2"/>
          <w:sz w:val="24"/>
          <w:szCs w:val="22"/>
          <w:highlight w:val="none"/>
          <w:lang w:val="en-US" w:eastAsia="zh-CN"/>
        </w:rPr>
        <w:t>6</w:t>
      </w:r>
      <w:r>
        <w:rPr>
          <w:rFonts w:hint="eastAsia" w:ascii="宋体" w:hAnsi="宋体" w:eastAsia="宋体" w:cs="宋体"/>
          <w:i w:val="0"/>
          <w:iCs w:val="0"/>
          <w:color w:val="auto"/>
          <w:kern w:val="2"/>
          <w:sz w:val="24"/>
          <w:szCs w:val="22"/>
          <w:highlight w:val="none"/>
        </w:rPr>
        <w:t>.</w:t>
      </w:r>
      <w:r>
        <w:rPr>
          <w:rFonts w:hint="eastAsia" w:ascii="宋体" w:hAnsi="宋体" w:eastAsia="宋体" w:cs="宋体"/>
          <w:i w:val="0"/>
          <w:iCs w:val="0"/>
          <w:color w:val="auto"/>
          <w:kern w:val="2"/>
          <w:sz w:val="24"/>
          <w:szCs w:val="22"/>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i w:val="0"/>
          <w:iCs w:val="0"/>
          <w:color w:val="auto"/>
          <w:kern w:val="2"/>
          <w:sz w:val="24"/>
          <w:szCs w:val="22"/>
          <w:highlight w:val="none"/>
        </w:rPr>
        <w:t>。</w:t>
      </w:r>
      <w:r>
        <w:rPr>
          <w:rFonts w:hint="eastAsia"/>
          <w:i w:val="0"/>
          <w:iCs w:val="0"/>
          <w:color w:val="auto"/>
          <w:highlight w:val="none"/>
        </w:rPr>
        <w:t xml:space="preserve"> </w:t>
      </w:r>
    </w:p>
    <w:p w14:paraId="47EBAEFC">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6" w:name="_Toc161600294"/>
      <w:bookmarkStart w:id="137" w:name="_Toc140132762"/>
      <w:r>
        <w:rPr>
          <w:rFonts w:hint="eastAsia" w:ascii="宋体" w:hAnsi="宋体" w:eastAsia="宋体" w:cs="宋体"/>
          <w:b/>
          <w:bCs/>
          <w:color w:val="auto"/>
          <w:kern w:val="2"/>
          <w:sz w:val="24"/>
          <w:szCs w:val="24"/>
          <w:highlight w:val="none"/>
          <w:lang w:val="en-US" w:eastAsia="zh-CN" w:bidi="ar-SA"/>
        </w:rPr>
        <w:t>7.语言文字</w:t>
      </w:r>
      <w:bookmarkEnd w:id="136"/>
      <w:bookmarkEnd w:id="137"/>
    </w:p>
    <w:p w14:paraId="3121AAFC">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7.1竞争</w:t>
      </w:r>
      <w:r>
        <w:rPr>
          <w:rFonts w:hint="eastAsia"/>
          <w:i w:val="0"/>
          <w:iCs w:val="0"/>
          <w:color w:val="auto"/>
          <w:highlight w:val="none"/>
          <w:lang w:val="en-US" w:eastAsia="zh-CN"/>
        </w:rPr>
        <w:t>性</w:t>
      </w:r>
      <w:r>
        <w:rPr>
          <w:rFonts w:hint="eastAsia"/>
          <w:i w:val="0"/>
          <w:iCs w:val="0"/>
          <w:color w:val="auto"/>
          <w:highlight w:val="none"/>
        </w:rPr>
        <w:t>磋商</w:t>
      </w:r>
      <w:r>
        <w:rPr>
          <w:rFonts w:hint="eastAsia"/>
          <w:i w:val="0"/>
          <w:iCs w:val="0"/>
          <w:color w:val="auto"/>
          <w:highlight w:val="none"/>
          <w:lang w:val="en-US" w:eastAsia="zh-CN"/>
        </w:rPr>
        <w:t>文件及响应</w:t>
      </w:r>
      <w:r>
        <w:rPr>
          <w:rFonts w:hint="eastAsia"/>
          <w:i w:val="0"/>
          <w:iCs w:val="0"/>
          <w:color w:val="auto"/>
          <w:highlight w:val="none"/>
        </w:rPr>
        <w:t>文件使用的语言文字为中文。专用术语使用外文的，应附有中文注释。</w:t>
      </w:r>
      <w:r>
        <w:rPr>
          <w:rFonts w:hint="eastAsia"/>
          <w:i w:val="0"/>
          <w:iCs w:val="0"/>
          <w:color w:val="auto"/>
          <w:highlight w:val="none"/>
          <w:lang w:val="en-US" w:eastAsia="zh-CN"/>
        </w:rPr>
        <w:t>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5670762F">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8" w:name="_Toc161600295"/>
      <w:bookmarkStart w:id="139" w:name="_Toc140132763"/>
      <w:r>
        <w:rPr>
          <w:rFonts w:hint="eastAsia" w:ascii="宋体" w:hAnsi="宋体" w:eastAsia="宋体" w:cs="宋体"/>
          <w:b/>
          <w:bCs/>
          <w:color w:val="auto"/>
          <w:kern w:val="2"/>
          <w:sz w:val="24"/>
          <w:szCs w:val="24"/>
          <w:highlight w:val="none"/>
          <w:lang w:val="en-US" w:eastAsia="zh-CN" w:bidi="ar-SA"/>
        </w:rPr>
        <w:t>8.计量单位</w:t>
      </w:r>
      <w:bookmarkEnd w:id="138"/>
      <w:bookmarkEnd w:id="139"/>
    </w:p>
    <w:p w14:paraId="0DC441D4">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8.1所有计量均采用中华人民共和国法定计量单位。</w:t>
      </w:r>
    </w:p>
    <w:p w14:paraId="37E10A0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0" w:name="_Toc140132764"/>
      <w:bookmarkStart w:id="141" w:name="_Toc161600296"/>
      <w:r>
        <w:rPr>
          <w:rFonts w:hint="eastAsia" w:ascii="宋体" w:hAnsi="宋体" w:eastAsia="宋体" w:cs="宋体"/>
          <w:b/>
          <w:bCs/>
          <w:color w:val="auto"/>
          <w:kern w:val="2"/>
          <w:sz w:val="24"/>
          <w:szCs w:val="24"/>
          <w:highlight w:val="none"/>
          <w:lang w:val="en-US" w:eastAsia="zh-CN" w:bidi="ar-SA"/>
        </w:rPr>
        <w:t>9.现场考察和答疑会</w:t>
      </w:r>
      <w:bookmarkEnd w:id="140"/>
      <w:bookmarkEnd w:id="141"/>
    </w:p>
    <w:p w14:paraId="70E7733A">
      <w:pPr>
        <w:pStyle w:val="33"/>
        <w:keepNext w:val="0"/>
        <w:keepLines w:val="0"/>
        <w:pageBreakBefore w:val="0"/>
        <w:widowControl w:val="0"/>
        <w:kinsoku/>
        <w:overflowPunct/>
        <w:topLinePunct w:val="0"/>
        <w:bidi w:val="0"/>
        <w:ind w:firstLine="480"/>
        <w:textAlignment w:val="auto"/>
        <w:rPr>
          <w:i w:val="0"/>
          <w:iCs w:val="0"/>
          <w:color w:val="auto"/>
          <w:highlight w:val="none"/>
        </w:rPr>
      </w:pPr>
      <w:bookmarkStart w:id="142" w:name="_Hlk143529198"/>
      <w:r>
        <w:rPr>
          <w:rFonts w:hint="eastAsia"/>
          <w:i w:val="0"/>
          <w:iCs w:val="0"/>
          <w:color w:val="auto"/>
          <w:highlight w:val="none"/>
        </w:rPr>
        <w:t xml:space="preserve">9.1 “供应商须知前附表”规定组织现场考察的，采购代理机构按“供应商须知前附表”规定的时间、地点组织供应商项目现场考察。 </w:t>
      </w:r>
    </w:p>
    <w:p w14:paraId="473C15DA">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9.2 供应商现场考察发生的费用自理。</w:t>
      </w:r>
    </w:p>
    <w:p w14:paraId="417B1E0B">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9.3 在现场考察中，因供应商自身原因发生的人员伤亡和财产损失，由供应商自行负责。</w:t>
      </w:r>
    </w:p>
    <w:p w14:paraId="2BF7B5CD">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9.4 采购人在现场考察中介绍的项目场地和相关的周边环境情况，仅供供应商在编制响应文件时参考，采购人和采购代理机构不对供应商据此作出的判断和决策负责。</w:t>
      </w:r>
    </w:p>
    <w:p w14:paraId="521951E4">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rFonts w:hint="eastAsia"/>
          <w:i w:val="0"/>
          <w:iCs w:val="0"/>
          <w:color w:val="auto"/>
          <w:highlight w:val="none"/>
        </w:rPr>
        <w:t>9.5 “供应商须知前附表”规定召开答疑会的，采购代理机构按“供应商须知前附表”规定的时间和地点召开答疑会，澄清供应商提出的问题。</w:t>
      </w:r>
    </w:p>
    <w:p w14:paraId="7BC8ED9F">
      <w:pPr>
        <w:pStyle w:val="33"/>
        <w:keepNext w:val="0"/>
        <w:keepLines w:val="0"/>
        <w:pageBreakBefore w:val="0"/>
        <w:widowControl w:val="0"/>
        <w:kinsoku/>
        <w:overflowPunct/>
        <w:topLinePunct w:val="0"/>
        <w:autoSpaceDE/>
        <w:autoSpaceDN/>
        <w:bidi w:val="0"/>
        <w:adjustRightInd/>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9.6 由于未参加现场考察或未参加答疑会而导致对项目实际情况不了解，影响响应文件编制、磋商报价准确性、综合因素响应不全面等问题的，由供应商自行承担不利评审后果。</w:t>
      </w:r>
    </w:p>
    <w:bookmarkEnd w:id="142"/>
    <w:p w14:paraId="020D8BF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3" w:name="_Toc161600298"/>
      <w:bookmarkStart w:id="144" w:name="_Toc155185858"/>
      <w:r>
        <w:rPr>
          <w:rFonts w:hint="eastAsia" w:ascii="宋体" w:hAnsi="宋体" w:eastAsia="宋体" w:cs="宋体"/>
          <w:b/>
          <w:bCs/>
          <w:color w:val="auto"/>
          <w:kern w:val="2"/>
          <w:sz w:val="24"/>
          <w:szCs w:val="24"/>
          <w:highlight w:val="none"/>
          <w:lang w:val="en-US" w:eastAsia="zh-CN" w:bidi="ar-SA"/>
        </w:rPr>
        <w:t>10.电子标说明</w:t>
      </w:r>
      <w:bookmarkEnd w:id="143"/>
      <w:bookmarkEnd w:id="144"/>
    </w:p>
    <w:p w14:paraId="24EABCAC">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10.1 本次采购采用电子交易方式，电子交易平台为</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电子交易云平台（网址：https://www.zcygov.cn/）。</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参与本项目电子交易活动前，</w:t>
      </w:r>
      <w:r>
        <w:rPr>
          <w:rFonts w:hint="eastAsia" w:ascii="宋体" w:hAnsi="宋体" w:eastAsia="宋体"/>
          <w:i w:val="0"/>
          <w:iCs w:val="0"/>
          <w:color w:val="auto"/>
          <w:highlight w:val="none"/>
        </w:rPr>
        <w:t>应</w:t>
      </w:r>
      <w:r>
        <w:rPr>
          <w:rFonts w:hint="eastAsia"/>
          <w:i w:val="0"/>
          <w:iCs w:val="0"/>
          <w:color w:val="auto"/>
          <w:highlight w:val="none"/>
          <w:lang w:val="en-US" w:eastAsia="zh-CN"/>
        </w:rPr>
        <w:t>在</w:t>
      </w:r>
      <w:r>
        <w:rPr>
          <w:rFonts w:hint="eastAsia" w:ascii="宋体" w:hAnsi="宋体" w:eastAsia="宋体"/>
          <w:i w:val="0"/>
          <w:iCs w:val="0"/>
          <w:color w:val="auto"/>
          <w:highlight w:val="none"/>
        </w:rPr>
        <w:t>政</w:t>
      </w:r>
      <w:r>
        <w:rPr>
          <w:rFonts w:hint="eastAsia"/>
          <w:i w:val="0"/>
          <w:iCs w:val="0"/>
          <w:color w:val="auto"/>
          <w:highlight w:val="none"/>
          <w:lang w:val="en-US" w:eastAsia="zh-CN"/>
        </w:rPr>
        <w:t>采</w:t>
      </w:r>
      <w:r>
        <w:rPr>
          <w:rFonts w:hint="eastAsia" w:ascii="宋体" w:hAnsi="宋体" w:eastAsia="宋体"/>
          <w:i w:val="0"/>
          <w:iCs w:val="0"/>
          <w:color w:val="auto"/>
          <w:highlight w:val="none"/>
          <w:lang w:val="en-US"/>
        </w:rPr>
        <w:t>云</w:t>
      </w:r>
      <w:r>
        <w:rPr>
          <w:rFonts w:hint="eastAsia" w:ascii="宋体" w:hAnsi="宋体" w:eastAsia="宋体"/>
          <w:i w:val="0"/>
          <w:iCs w:val="0"/>
          <w:color w:val="auto"/>
          <w:highlight w:val="none"/>
        </w:rPr>
        <w:t>平台</w:t>
      </w:r>
      <w:r>
        <w:rPr>
          <w:rFonts w:hint="eastAsia"/>
          <w:i w:val="0"/>
          <w:iCs w:val="0"/>
          <w:color w:val="auto"/>
          <w:highlight w:val="none"/>
          <w:lang w:val="en-US" w:eastAsia="zh-CN"/>
        </w:rPr>
        <w:t>上</w:t>
      </w:r>
      <w:r>
        <w:rPr>
          <w:rFonts w:hint="eastAsia" w:ascii="宋体" w:hAnsi="宋体" w:eastAsia="宋体"/>
          <w:i w:val="0"/>
          <w:iCs w:val="0"/>
          <w:color w:val="auto"/>
          <w:highlight w:val="none"/>
        </w:rPr>
        <w:t>注册</w:t>
      </w:r>
      <w:r>
        <w:rPr>
          <w:rFonts w:hint="eastAsia"/>
          <w:i w:val="0"/>
          <w:iCs w:val="0"/>
          <w:color w:val="auto"/>
          <w:highlight w:val="none"/>
          <w:lang w:val="en-US" w:eastAsia="zh-CN"/>
        </w:rPr>
        <w:t>供应商账号</w:t>
      </w:r>
      <w:r>
        <w:rPr>
          <w:rFonts w:hint="eastAsia" w:ascii="宋体" w:hAnsi="宋体" w:eastAsia="宋体"/>
          <w:i w:val="0"/>
          <w:iCs w:val="0"/>
          <w:color w:val="auto"/>
          <w:highlight w:val="none"/>
        </w:rPr>
        <w:t>。</w:t>
      </w:r>
      <w:r>
        <w:rPr>
          <w:rFonts w:hint="eastAsia" w:ascii="宋体" w:hAnsi="宋体" w:eastAsia="宋体"/>
          <w:i w:val="0"/>
          <w:iCs w:val="0"/>
          <w:color w:val="auto"/>
          <w:highlight w:val="none"/>
          <w:lang w:val="en-US" w:eastAsia="zh-CN"/>
        </w:rPr>
        <w:t>编制电子</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文件前还需申领CA证书并绑定帐号。</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应充分考虑完成平台注册、申领CA证书等所需的时间。潜在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领取文件须提前完成注册、CA证书和电子签章申领和绑定、下载投标客户端。因未办理CA数字证书、CA证书故障、操作不当等原因造成无法</w:t>
      </w:r>
      <w:r>
        <w:rPr>
          <w:rFonts w:hint="eastAsia"/>
          <w:i w:val="0"/>
          <w:iCs w:val="0"/>
          <w:color w:val="auto"/>
          <w:highlight w:val="none"/>
          <w:lang w:val="en-US" w:eastAsia="zh-CN"/>
        </w:rPr>
        <w:t>磋商</w:t>
      </w:r>
      <w:r>
        <w:rPr>
          <w:rFonts w:hint="eastAsia" w:ascii="宋体" w:hAnsi="宋体" w:eastAsia="宋体"/>
          <w:i w:val="0"/>
          <w:iCs w:val="0"/>
          <w:color w:val="auto"/>
          <w:highlight w:val="none"/>
          <w:lang w:val="en-US" w:eastAsia="zh-CN"/>
        </w:rPr>
        <w:t>或</w:t>
      </w:r>
      <w:r>
        <w:rPr>
          <w:rFonts w:hint="eastAsia"/>
          <w:i w:val="0"/>
          <w:iCs w:val="0"/>
          <w:color w:val="auto"/>
          <w:highlight w:val="none"/>
          <w:lang w:val="en-US" w:eastAsia="zh-CN"/>
        </w:rPr>
        <w:t>磋商</w:t>
      </w:r>
      <w:r>
        <w:rPr>
          <w:rFonts w:hint="eastAsia" w:ascii="宋体" w:hAnsi="宋体" w:eastAsia="宋体"/>
          <w:i w:val="0"/>
          <w:iCs w:val="0"/>
          <w:color w:val="auto"/>
          <w:highlight w:val="none"/>
          <w:lang w:val="en-US" w:eastAsia="zh-CN"/>
        </w:rPr>
        <w:t>失败等后果由</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自行承担。供应商登录</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网“供应商注册”—“新疆生产建设</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供应商入驻登记”—“立即登记”进行自助注册绑定。</w:t>
      </w:r>
    </w:p>
    <w:p w14:paraId="1D724A82">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 xml:space="preserve">10.2 </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将</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电子交易云平台电子交易客户端下载、安装完成后，可通过账号密码或CA登录客户端进行</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文件制作。在使用政采云投标客户端时，建议使用WIN7及以上操作系统。供应商登录</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网“下载专区”—“电子招投标客户端下载”下载相关客户端，如有问题可拨打政采云客户服务热线95763进行咨询。</w:t>
      </w:r>
    </w:p>
    <w:p w14:paraId="39742A0A">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10.3 加密的电子</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文件应在</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文件递交截止时间前通过政采云平台上传完成。逾期上传或者未上传指定地点的</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文件，不予受理。</w:t>
      </w:r>
    </w:p>
    <w:p w14:paraId="03850AD3">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 xml:space="preserve">10.4 </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在</w:t>
      </w:r>
      <w:r>
        <w:rPr>
          <w:rFonts w:hint="eastAsia"/>
          <w:i w:val="0"/>
          <w:iCs w:val="0"/>
          <w:color w:val="auto"/>
          <w:highlight w:val="none"/>
          <w:lang w:val="en-US" w:eastAsia="zh-CN"/>
        </w:rPr>
        <w:t>磋商</w:t>
      </w:r>
      <w:r>
        <w:rPr>
          <w:rFonts w:hint="eastAsia" w:ascii="宋体" w:hAnsi="宋体" w:eastAsia="宋体"/>
          <w:i w:val="0"/>
          <w:iCs w:val="0"/>
          <w:color w:val="auto"/>
          <w:highlight w:val="none"/>
          <w:lang w:val="en-US" w:eastAsia="zh-CN"/>
        </w:rPr>
        <w:t>前须提前配置好电脑</w:t>
      </w:r>
      <w:r>
        <w:rPr>
          <w:rFonts w:hint="eastAsia"/>
          <w:i w:val="0"/>
          <w:iCs w:val="0"/>
          <w:color w:val="auto"/>
          <w:highlight w:val="none"/>
          <w:lang w:val="en-US" w:eastAsia="zh-CN"/>
        </w:rPr>
        <w:t>及</w:t>
      </w:r>
      <w:r>
        <w:rPr>
          <w:rFonts w:hint="eastAsia" w:ascii="宋体" w:hAnsi="宋体" w:eastAsia="宋体"/>
          <w:i w:val="0"/>
          <w:iCs w:val="0"/>
          <w:color w:val="auto"/>
          <w:highlight w:val="none"/>
          <w:lang w:val="en-US" w:eastAsia="zh-CN"/>
        </w:rPr>
        <w:t>浏览器，</w:t>
      </w:r>
      <w:r>
        <w:rPr>
          <w:rFonts w:hint="eastAsia"/>
          <w:i w:val="0"/>
          <w:iCs w:val="0"/>
          <w:color w:val="auto"/>
          <w:highlight w:val="none"/>
          <w:lang w:val="en-US" w:eastAsia="zh-CN"/>
        </w:rPr>
        <w:t>磋商</w:t>
      </w:r>
      <w:r>
        <w:rPr>
          <w:rFonts w:hint="eastAsia" w:ascii="宋体" w:hAnsi="宋体" w:eastAsia="宋体"/>
          <w:i w:val="0"/>
          <w:iCs w:val="0"/>
          <w:color w:val="auto"/>
          <w:highlight w:val="none"/>
          <w:lang w:val="en-US" w:eastAsia="zh-CN"/>
        </w:rPr>
        <w:t>时请使用制作加密电子</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文件的CA锁进行解密及报价确认。本项目</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文件解密时间详“</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须知前附表”，如因自身原因导致无法正常解密，后果由</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自行承担。</w:t>
      </w:r>
    </w:p>
    <w:p w14:paraId="13D1898E">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10.5 如遇“</w:t>
      </w:r>
      <w:r>
        <w:rPr>
          <w:rFonts w:hint="eastAsia"/>
          <w:i w:val="0"/>
          <w:iCs w:val="0"/>
          <w:color w:val="auto"/>
          <w:highlight w:val="none"/>
          <w:lang w:val="en-US" w:eastAsia="zh-CN"/>
        </w:rPr>
        <w:t>新疆政府采购</w:t>
      </w:r>
      <w:r>
        <w:rPr>
          <w:rFonts w:hint="eastAsia" w:ascii="宋体" w:hAnsi="宋体" w:eastAsia="宋体"/>
          <w:i w:val="0"/>
          <w:iCs w:val="0"/>
          <w:color w:val="auto"/>
          <w:highlight w:val="none"/>
          <w:lang w:val="en-US" w:eastAsia="zh-CN"/>
        </w:rPr>
        <w:t>电子交易云平台（网址：https://www.zcygov.cn/）”电子交易规则调整，以最新要求为准。</w:t>
      </w:r>
    </w:p>
    <w:p w14:paraId="287E4256">
      <w:pPr>
        <w:pStyle w:val="33"/>
        <w:keepNext w:val="0"/>
        <w:keepLines w:val="0"/>
        <w:pageBreakBefore w:val="0"/>
        <w:widowControl w:val="0"/>
        <w:kinsoku/>
        <w:overflowPunct/>
        <w:topLinePunct w:val="0"/>
        <w:bidi w:val="0"/>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10.6 电子交易系统咨询：</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应当充分考虑到电子</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可能会发生的各种问题和风险，特别是</w:t>
      </w:r>
      <w:r>
        <w:rPr>
          <w:rFonts w:hint="eastAsia"/>
          <w:i w:val="0"/>
          <w:iCs w:val="0"/>
          <w:color w:val="auto"/>
          <w:highlight w:val="none"/>
          <w:lang w:val="en-US" w:eastAsia="zh-CN"/>
        </w:rPr>
        <w:t>响应</w:t>
      </w:r>
      <w:r>
        <w:rPr>
          <w:rFonts w:hint="eastAsia" w:ascii="宋体" w:hAnsi="宋体" w:eastAsia="宋体"/>
          <w:i w:val="0"/>
          <w:iCs w:val="0"/>
          <w:color w:val="auto"/>
          <w:highlight w:val="none"/>
          <w:lang w:val="en-US" w:eastAsia="zh-CN"/>
        </w:rPr>
        <w:t xml:space="preserve">文件签署、提交等问题，可按照“第一章 </w:t>
      </w:r>
      <w:r>
        <w:rPr>
          <w:rFonts w:hint="eastAsia"/>
          <w:i w:val="0"/>
          <w:iCs w:val="0"/>
          <w:color w:val="auto"/>
          <w:highlight w:val="none"/>
          <w:lang w:val="en-US" w:eastAsia="zh-CN"/>
        </w:rPr>
        <w:t>竞争性磋商</w:t>
      </w:r>
      <w:r>
        <w:rPr>
          <w:rFonts w:hint="eastAsia" w:ascii="宋体" w:hAnsi="宋体" w:eastAsia="宋体"/>
          <w:i w:val="0"/>
          <w:iCs w:val="0"/>
          <w:color w:val="auto"/>
          <w:highlight w:val="none"/>
          <w:lang w:val="en-US" w:eastAsia="zh-CN"/>
        </w:rPr>
        <w:t>公告”的联系方式咨询相关人员。</w:t>
      </w:r>
    </w:p>
    <w:p w14:paraId="2B30589C">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rFonts w:hint="eastAsia" w:ascii="宋体" w:hAnsi="宋体" w:eastAsia="宋体"/>
          <w:i w:val="0"/>
          <w:iCs w:val="0"/>
          <w:color w:val="auto"/>
          <w:highlight w:val="none"/>
          <w:lang w:val="en-US" w:eastAsia="zh-CN"/>
        </w:rPr>
        <w:t>10.7 由于本项目采用电子</w:t>
      </w:r>
      <w:r>
        <w:rPr>
          <w:rFonts w:hint="eastAsia"/>
          <w:i w:val="0"/>
          <w:iCs w:val="0"/>
          <w:color w:val="auto"/>
          <w:highlight w:val="none"/>
          <w:lang w:val="en-US" w:eastAsia="zh-CN"/>
        </w:rPr>
        <w:t>磋商</w:t>
      </w:r>
      <w:r>
        <w:rPr>
          <w:rFonts w:hint="eastAsia" w:ascii="宋体" w:hAnsi="宋体" w:eastAsia="宋体"/>
          <w:i w:val="0"/>
          <w:iCs w:val="0"/>
          <w:color w:val="auto"/>
          <w:highlight w:val="none"/>
          <w:lang w:val="en-US" w:eastAsia="zh-CN"/>
        </w:rPr>
        <w:t>方式，潜在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的名单将在</w:t>
      </w:r>
      <w:r>
        <w:rPr>
          <w:rFonts w:hint="eastAsia"/>
          <w:i w:val="0"/>
          <w:iCs w:val="0"/>
          <w:color w:val="auto"/>
          <w:highlight w:val="none"/>
          <w:lang w:val="en-US" w:eastAsia="zh-CN"/>
        </w:rPr>
        <w:t>递交响应</w:t>
      </w:r>
      <w:r>
        <w:rPr>
          <w:rFonts w:hint="eastAsia" w:ascii="宋体" w:hAnsi="宋体" w:eastAsia="宋体"/>
          <w:i w:val="0"/>
          <w:iCs w:val="0"/>
          <w:color w:val="auto"/>
          <w:highlight w:val="none"/>
          <w:lang w:val="en-US" w:eastAsia="zh-CN"/>
        </w:rPr>
        <w:t>文件截止时间后才会解密。因此，采购人或采购代理机构无法通过传统的传真或邮件方式，将</w:t>
      </w:r>
      <w:r>
        <w:rPr>
          <w:rFonts w:hint="eastAsia"/>
          <w:i w:val="0"/>
          <w:iCs w:val="0"/>
          <w:color w:val="auto"/>
          <w:highlight w:val="none"/>
          <w:lang w:val="en-US" w:eastAsia="zh-CN"/>
        </w:rPr>
        <w:t>竞争性磋商</w:t>
      </w:r>
      <w:r>
        <w:rPr>
          <w:rFonts w:hint="eastAsia" w:ascii="宋体" w:hAnsi="宋体" w:eastAsia="宋体"/>
          <w:i w:val="0"/>
          <w:iCs w:val="0"/>
          <w:color w:val="auto"/>
          <w:highlight w:val="none"/>
          <w:lang w:val="en-US" w:eastAsia="zh-CN"/>
        </w:rPr>
        <w:t>文件的澄清或修改内容逐一通知到每位已获取</w:t>
      </w:r>
      <w:r>
        <w:rPr>
          <w:rFonts w:hint="eastAsia"/>
          <w:i w:val="0"/>
          <w:iCs w:val="0"/>
          <w:color w:val="auto"/>
          <w:highlight w:val="none"/>
          <w:lang w:val="en-US" w:eastAsia="zh-CN"/>
        </w:rPr>
        <w:t>竞争性磋商</w:t>
      </w:r>
      <w:r>
        <w:rPr>
          <w:rFonts w:hint="eastAsia" w:ascii="宋体" w:hAnsi="宋体" w:eastAsia="宋体"/>
          <w:i w:val="0"/>
          <w:iCs w:val="0"/>
          <w:color w:val="auto"/>
          <w:highlight w:val="none"/>
          <w:lang w:val="en-US" w:eastAsia="zh-CN"/>
        </w:rPr>
        <w:t>文件的潜在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。为确保信息的及时性和准确性，澄清或修改的内容将仅在政采云平台以更正公告的形式发布。潜在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需密切关注该网站，及时查看并下载相关更正公告。若因潜在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未能及时查看或下载相关更正公告，而导致的一切后果，将由潜在</w:t>
      </w:r>
      <w:r>
        <w:rPr>
          <w:rFonts w:hint="eastAsia"/>
          <w:i w:val="0"/>
          <w:iCs w:val="0"/>
          <w:color w:val="auto"/>
          <w:highlight w:val="none"/>
          <w:lang w:val="en-US" w:eastAsia="zh-CN"/>
        </w:rPr>
        <w:t>供应商</w:t>
      </w:r>
      <w:r>
        <w:rPr>
          <w:rFonts w:hint="eastAsia" w:ascii="宋体" w:hAnsi="宋体" w:eastAsia="宋体"/>
          <w:i w:val="0"/>
          <w:iCs w:val="0"/>
          <w:color w:val="auto"/>
          <w:highlight w:val="none"/>
          <w:lang w:val="en-US" w:eastAsia="zh-CN"/>
        </w:rPr>
        <w:t>自行承担。</w:t>
      </w:r>
    </w:p>
    <w:p w14:paraId="17FBA29F">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5" w:name="_Toc109899956"/>
      <w:bookmarkStart w:id="146" w:name="_Toc109899537"/>
      <w:bookmarkStart w:id="147" w:name="_Toc109897438"/>
      <w:bookmarkStart w:id="148" w:name="_Toc21248"/>
      <w:bookmarkStart w:id="149" w:name="_Toc470172668"/>
      <w:bookmarkStart w:id="150" w:name="_Toc109900375"/>
      <w:bookmarkStart w:id="151" w:name="_Toc46771643"/>
      <w:bookmarkStart w:id="152" w:name="_Toc163493612"/>
      <w:r>
        <w:rPr>
          <w:rFonts w:hint="eastAsia" w:ascii="宋体" w:hAnsi="宋体" w:eastAsia="宋体" w:cs="宋体"/>
          <w:b/>
          <w:bCs/>
          <w:color w:val="auto"/>
          <w:kern w:val="2"/>
          <w:sz w:val="24"/>
          <w:szCs w:val="24"/>
          <w:highlight w:val="none"/>
          <w:lang w:val="en-US" w:eastAsia="zh-CN" w:bidi="ar-SA"/>
        </w:rPr>
        <w:t>（二）磋商文件</w:t>
      </w:r>
      <w:bookmarkEnd w:id="145"/>
      <w:bookmarkEnd w:id="146"/>
      <w:bookmarkEnd w:id="147"/>
      <w:bookmarkEnd w:id="148"/>
      <w:bookmarkEnd w:id="149"/>
      <w:bookmarkEnd w:id="150"/>
      <w:bookmarkEnd w:id="151"/>
      <w:bookmarkEnd w:id="152"/>
    </w:p>
    <w:p w14:paraId="02C7475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53" w:name="_Toc470172669"/>
      <w:bookmarkStart w:id="154" w:name="_Toc52962731"/>
      <w:bookmarkStart w:id="155" w:name="_Toc46771644"/>
      <w:bookmarkStart w:id="156" w:name="_Toc48846113"/>
      <w:bookmarkStart w:id="157" w:name="_Toc48688793"/>
      <w:bookmarkStart w:id="158" w:name="_Toc46772245"/>
      <w:bookmarkStart w:id="159" w:name="_Toc109900376"/>
      <w:bookmarkStart w:id="160" w:name="_Toc51674215"/>
      <w:bookmarkStart w:id="161" w:name="_Toc109897439"/>
      <w:bookmarkStart w:id="162" w:name="_Toc4547"/>
      <w:bookmarkStart w:id="163" w:name="_Toc109899957"/>
      <w:bookmarkStart w:id="164" w:name="_Toc52960557"/>
      <w:bookmarkStart w:id="165" w:name="_Toc109899538"/>
      <w:r>
        <w:rPr>
          <w:rFonts w:hint="eastAsia" w:ascii="宋体" w:hAnsi="宋体" w:eastAsia="宋体" w:cs="宋体"/>
          <w:b/>
          <w:bCs/>
          <w:color w:val="auto"/>
          <w:kern w:val="2"/>
          <w:sz w:val="24"/>
          <w:szCs w:val="24"/>
          <w:highlight w:val="none"/>
          <w:lang w:val="en-US" w:eastAsia="zh-CN" w:bidi="ar-SA"/>
        </w:rPr>
        <w:t>11.磋商文件的构成</w:t>
      </w:r>
      <w:bookmarkEnd w:id="153"/>
      <w:bookmarkEnd w:id="154"/>
      <w:bookmarkEnd w:id="155"/>
      <w:bookmarkEnd w:id="156"/>
      <w:bookmarkEnd w:id="157"/>
      <w:bookmarkEnd w:id="158"/>
      <w:bookmarkEnd w:id="159"/>
      <w:bookmarkEnd w:id="160"/>
      <w:bookmarkEnd w:id="161"/>
      <w:bookmarkEnd w:id="162"/>
      <w:bookmarkEnd w:id="163"/>
      <w:bookmarkEnd w:id="164"/>
      <w:bookmarkEnd w:id="165"/>
    </w:p>
    <w:p w14:paraId="54909DE4">
      <w:pPr>
        <w:keepNext w:val="0"/>
        <w:keepLines w:val="0"/>
        <w:pageBreakBefore w:val="0"/>
        <w:widowControl w:val="0"/>
        <w:kinsoku/>
        <w:overflowPunct/>
        <w:topLinePunct w:val="0"/>
        <w:bidi w:val="0"/>
        <w:ind w:firstLine="480" w:firstLineChars="200"/>
        <w:textAlignment w:val="auto"/>
        <w:rPr>
          <w:rFonts w:hint="eastAsia" w:eastAsia="宋体" w:cs="仿宋_GB2312"/>
          <w:i w:val="0"/>
          <w:iCs w:val="0"/>
          <w:color w:val="auto"/>
          <w:szCs w:val="24"/>
          <w:highlight w:val="none"/>
          <w:lang w:eastAsia="zh-CN"/>
        </w:rPr>
      </w:pPr>
      <w:bookmarkStart w:id="166" w:name="_Toc109897440"/>
      <w:bookmarkStart w:id="167" w:name="_Toc109899539"/>
      <w:bookmarkStart w:id="168" w:name="_Toc52962732"/>
      <w:bookmarkStart w:id="169" w:name="_Toc478415174"/>
      <w:bookmarkStart w:id="170" w:name="_Toc52960558"/>
      <w:bookmarkStart w:id="171" w:name="_Toc46771645"/>
      <w:bookmarkStart w:id="172" w:name="_Toc48846114"/>
      <w:bookmarkStart w:id="173" w:name="_Toc46772246"/>
      <w:bookmarkStart w:id="174" w:name="_Toc109899958"/>
      <w:bookmarkStart w:id="175" w:name="_Toc51674216"/>
      <w:bookmarkStart w:id="176" w:name="_Toc48688794"/>
      <w:bookmarkStart w:id="177" w:name="_Toc109900377"/>
      <w:r>
        <w:rPr>
          <w:rFonts w:hint="eastAsia" w:cs="仿宋_GB2312"/>
          <w:i w:val="0"/>
          <w:iCs w:val="0"/>
          <w:color w:val="auto"/>
          <w:szCs w:val="24"/>
          <w:highlight w:val="none"/>
        </w:rPr>
        <w:t>第一章 竞争性磋商</w:t>
      </w:r>
      <w:r>
        <w:rPr>
          <w:rFonts w:hint="eastAsia" w:cs="仿宋_GB2312"/>
          <w:i w:val="0"/>
          <w:iCs w:val="0"/>
          <w:color w:val="auto"/>
          <w:szCs w:val="24"/>
          <w:highlight w:val="none"/>
          <w:lang w:val="en-US" w:eastAsia="zh-CN"/>
        </w:rPr>
        <w:t>公告</w:t>
      </w:r>
    </w:p>
    <w:p w14:paraId="7147E8B4">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第二章 供应商须知</w:t>
      </w:r>
    </w:p>
    <w:p w14:paraId="61D89D76">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 xml:space="preserve">第三章 </w:t>
      </w:r>
      <w:r>
        <w:rPr>
          <w:rFonts w:hint="eastAsia" w:cs="仿宋_GB2312"/>
          <w:i w:val="0"/>
          <w:iCs w:val="0"/>
          <w:color w:val="auto"/>
          <w:szCs w:val="24"/>
          <w:highlight w:val="none"/>
          <w:lang w:val="en-US" w:eastAsia="zh-CN"/>
        </w:rPr>
        <w:t>项目</w:t>
      </w:r>
      <w:r>
        <w:rPr>
          <w:rFonts w:hint="eastAsia" w:cs="仿宋_GB2312"/>
          <w:i w:val="0"/>
          <w:iCs w:val="0"/>
          <w:color w:val="auto"/>
          <w:szCs w:val="24"/>
          <w:highlight w:val="none"/>
        </w:rPr>
        <w:t>采购需求</w:t>
      </w:r>
    </w:p>
    <w:p w14:paraId="6D7BF4EF">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第四章 评审</w:t>
      </w:r>
      <w:r>
        <w:rPr>
          <w:rFonts w:hint="eastAsia" w:cs="仿宋_GB2312"/>
          <w:i w:val="0"/>
          <w:iCs w:val="0"/>
          <w:color w:val="auto"/>
          <w:szCs w:val="24"/>
          <w:highlight w:val="none"/>
          <w:lang w:val="en-US" w:eastAsia="zh-CN"/>
        </w:rPr>
        <w:t>方</w:t>
      </w:r>
      <w:r>
        <w:rPr>
          <w:rFonts w:hint="eastAsia" w:cs="仿宋_GB2312"/>
          <w:i w:val="0"/>
          <w:iCs w:val="0"/>
          <w:color w:val="auto"/>
          <w:szCs w:val="24"/>
          <w:highlight w:val="none"/>
        </w:rPr>
        <w:t>法及标准</w:t>
      </w:r>
    </w:p>
    <w:p w14:paraId="47AC85E7">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第五章 合同草案</w:t>
      </w:r>
    </w:p>
    <w:p w14:paraId="5706B4C2">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第六章 响应文件的格式</w:t>
      </w:r>
    </w:p>
    <w:p w14:paraId="2FA3C6F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12.磋商文件的澄清或修改</w:t>
      </w:r>
      <w:bookmarkEnd w:id="166"/>
      <w:bookmarkEnd w:id="167"/>
      <w:bookmarkEnd w:id="168"/>
      <w:bookmarkEnd w:id="169"/>
      <w:bookmarkEnd w:id="170"/>
      <w:bookmarkEnd w:id="171"/>
      <w:bookmarkEnd w:id="172"/>
      <w:bookmarkEnd w:id="173"/>
      <w:bookmarkEnd w:id="174"/>
      <w:bookmarkEnd w:id="175"/>
      <w:bookmarkEnd w:id="176"/>
      <w:bookmarkEnd w:id="177"/>
    </w:p>
    <w:p w14:paraId="2DDD06DE">
      <w:pPr>
        <w:keepNext w:val="0"/>
        <w:keepLines w:val="0"/>
        <w:pageBreakBefore w:val="0"/>
        <w:widowControl w:val="0"/>
        <w:kinsoku/>
        <w:overflowPunct/>
        <w:topLinePunct w:val="0"/>
        <w:autoSpaceDE/>
        <w:autoSpaceDN/>
        <w:bidi w:val="0"/>
        <w:adjustRightInd/>
        <w:ind w:firstLine="480" w:firstLineChars="200"/>
        <w:textAlignment w:val="auto"/>
        <w:rPr>
          <w:rFonts w:hint="eastAsia" w:cs="仿宋_GB2312"/>
          <w:i w:val="0"/>
          <w:iCs w:val="0"/>
          <w:color w:val="auto"/>
          <w:szCs w:val="24"/>
          <w:highlight w:val="none"/>
        </w:rPr>
      </w:pPr>
      <w:r>
        <w:rPr>
          <w:rFonts w:cs="仿宋_GB2312"/>
          <w:i w:val="0"/>
          <w:iCs w:val="0"/>
          <w:color w:val="auto"/>
          <w:szCs w:val="24"/>
          <w:highlight w:val="none"/>
        </w:rPr>
        <w:t>1</w:t>
      </w:r>
      <w:r>
        <w:rPr>
          <w:rFonts w:hint="eastAsia" w:cs="仿宋_GB2312"/>
          <w:i w:val="0"/>
          <w:iCs w:val="0"/>
          <w:color w:val="auto"/>
          <w:szCs w:val="24"/>
          <w:highlight w:val="none"/>
          <w:lang w:val="en-US" w:eastAsia="zh-CN"/>
        </w:rPr>
        <w:t>2</w:t>
      </w:r>
      <w:r>
        <w:rPr>
          <w:rFonts w:hint="eastAsia" w:cs="仿宋_GB2312"/>
          <w:i w:val="0"/>
          <w:iCs w:val="0"/>
          <w:color w:val="auto"/>
          <w:szCs w:val="24"/>
          <w:highlight w:val="none"/>
        </w:rPr>
        <w:t>.</w:t>
      </w:r>
      <w:r>
        <w:rPr>
          <w:rFonts w:cs="仿宋_GB2312"/>
          <w:i w:val="0"/>
          <w:iCs w:val="0"/>
          <w:color w:val="auto"/>
          <w:szCs w:val="24"/>
          <w:highlight w:val="none"/>
        </w:rPr>
        <w:t>1</w:t>
      </w:r>
      <w:r>
        <w:rPr>
          <w:rFonts w:hint="eastAsia" w:cs="仿宋_GB2312"/>
          <w:i w:val="0"/>
          <w:iCs w:val="0"/>
          <w:color w:val="auto"/>
          <w:szCs w:val="24"/>
          <w:highlight w:val="none"/>
        </w:rPr>
        <w:t xml:space="preserve">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w:t>
      </w:r>
      <w:r>
        <w:rPr>
          <w:rFonts w:hint="eastAsia" w:cs="仿宋_GB2312"/>
          <w:i w:val="0"/>
          <w:iCs w:val="0"/>
          <w:color w:val="auto"/>
          <w:szCs w:val="24"/>
          <w:highlight w:val="none"/>
          <w:lang w:val="en-US" w:eastAsia="zh-CN"/>
        </w:rPr>
        <w:t>磋商</w:t>
      </w:r>
      <w:r>
        <w:rPr>
          <w:rFonts w:hint="eastAsia" w:cs="仿宋_GB2312"/>
          <w:i w:val="0"/>
          <w:iCs w:val="0"/>
          <w:color w:val="auto"/>
          <w:szCs w:val="24"/>
          <w:highlight w:val="none"/>
        </w:rPr>
        <w:t>文件询问的答复，在必要时将以澄清形式推送给每个获取竞争性</w:t>
      </w:r>
      <w:r>
        <w:rPr>
          <w:rFonts w:hint="eastAsia" w:cs="仿宋_GB2312"/>
          <w:i w:val="0"/>
          <w:iCs w:val="0"/>
          <w:color w:val="auto"/>
          <w:szCs w:val="24"/>
          <w:highlight w:val="none"/>
          <w:lang w:val="en-US" w:eastAsia="zh-CN"/>
        </w:rPr>
        <w:t>磋商</w:t>
      </w:r>
      <w:r>
        <w:rPr>
          <w:rFonts w:hint="eastAsia" w:cs="仿宋_GB2312"/>
          <w:i w:val="0"/>
          <w:iCs w:val="0"/>
          <w:color w:val="auto"/>
          <w:szCs w:val="24"/>
          <w:highlight w:val="none"/>
        </w:rPr>
        <w:t>文件的潜在</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(答复中不包括问题的来源)。</w:t>
      </w:r>
    </w:p>
    <w:p w14:paraId="79F14C28">
      <w:pPr>
        <w:keepNext w:val="0"/>
        <w:keepLines w:val="0"/>
        <w:pageBreakBefore w:val="0"/>
        <w:widowControl w:val="0"/>
        <w:kinsoku/>
        <w:overflowPunct/>
        <w:topLinePunct w:val="0"/>
        <w:autoSpaceDE/>
        <w:autoSpaceDN/>
        <w:bidi w:val="0"/>
        <w:adjustRightInd/>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供应商在规定的时间内未对竞争性</w:t>
      </w:r>
      <w:r>
        <w:rPr>
          <w:rFonts w:hint="eastAsia" w:cs="仿宋_GB2312"/>
          <w:i w:val="0"/>
          <w:iCs w:val="0"/>
          <w:color w:val="auto"/>
          <w:szCs w:val="24"/>
          <w:highlight w:val="none"/>
          <w:lang w:val="en-US" w:eastAsia="zh-CN"/>
        </w:rPr>
        <w:t>磋商</w:t>
      </w:r>
      <w:r>
        <w:rPr>
          <w:rFonts w:hint="eastAsia" w:cs="仿宋_GB2312"/>
          <w:i w:val="0"/>
          <w:iCs w:val="0"/>
          <w:color w:val="auto"/>
          <w:szCs w:val="24"/>
          <w:highlight w:val="none"/>
        </w:rPr>
        <w:t>文件提出疑问或要求澄清的，采购代理机构将视其为同意，对在“供应商须知前附表”中“</w:t>
      </w:r>
      <w:r>
        <w:rPr>
          <w:rFonts w:hint="eastAsia" w:cs="仿宋_GB2312"/>
          <w:i w:val="0"/>
          <w:iCs w:val="0"/>
          <w:color w:val="auto"/>
          <w:szCs w:val="24"/>
          <w:highlight w:val="none"/>
          <w:lang w:val="en-US" w:eastAsia="zh-CN"/>
        </w:rPr>
        <w:t>提出询问的</w:t>
      </w:r>
      <w:r>
        <w:rPr>
          <w:rFonts w:hint="eastAsia" w:cs="仿宋_GB2312"/>
          <w:i w:val="0"/>
          <w:iCs w:val="0"/>
          <w:color w:val="auto"/>
          <w:szCs w:val="24"/>
          <w:highlight w:val="none"/>
        </w:rPr>
        <w:t>时间</w:t>
      </w:r>
      <w:r>
        <w:rPr>
          <w:rFonts w:hint="eastAsia" w:cs="仿宋_GB2312"/>
          <w:i w:val="0"/>
          <w:iCs w:val="0"/>
          <w:color w:val="auto"/>
          <w:szCs w:val="24"/>
          <w:highlight w:val="none"/>
          <w:lang w:val="en-US" w:eastAsia="zh-CN"/>
        </w:rPr>
        <w:t>要求</w:t>
      </w:r>
      <w:r>
        <w:rPr>
          <w:rFonts w:hint="eastAsia" w:cs="仿宋_GB2312"/>
          <w:i w:val="0"/>
          <w:iCs w:val="0"/>
          <w:color w:val="auto"/>
          <w:szCs w:val="24"/>
          <w:highlight w:val="none"/>
        </w:rPr>
        <w:t>”</w:t>
      </w:r>
      <w:r>
        <w:rPr>
          <w:rFonts w:hint="eastAsia" w:cs="仿宋_GB2312"/>
          <w:i w:val="0"/>
          <w:iCs w:val="0"/>
          <w:color w:val="auto"/>
          <w:szCs w:val="24"/>
          <w:highlight w:val="none"/>
          <w:lang w:val="en-US" w:eastAsia="zh-CN"/>
        </w:rPr>
        <w:t>之</w:t>
      </w:r>
      <w:r>
        <w:rPr>
          <w:rFonts w:hint="eastAsia" w:cs="仿宋_GB2312"/>
          <w:i w:val="0"/>
          <w:iCs w:val="0"/>
          <w:color w:val="auto"/>
          <w:szCs w:val="24"/>
          <w:highlight w:val="none"/>
        </w:rPr>
        <w:t>后就竞争性</w:t>
      </w:r>
      <w:r>
        <w:rPr>
          <w:rFonts w:hint="eastAsia" w:cs="仿宋_GB2312"/>
          <w:i w:val="0"/>
          <w:iCs w:val="0"/>
          <w:color w:val="auto"/>
          <w:szCs w:val="24"/>
          <w:highlight w:val="none"/>
          <w:lang w:val="en-US" w:eastAsia="zh-CN"/>
        </w:rPr>
        <w:t>磋商</w:t>
      </w:r>
      <w:r>
        <w:rPr>
          <w:rFonts w:hint="eastAsia" w:cs="仿宋_GB2312"/>
          <w:i w:val="0"/>
          <w:iCs w:val="0"/>
          <w:color w:val="auto"/>
          <w:szCs w:val="24"/>
          <w:highlight w:val="none"/>
        </w:rPr>
        <w:t>文件内容提出的疑问及澄清要求将不予受理。</w:t>
      </w:r>
    </w:p>
    <w:p w14:paraId="56DEAB23">
      <w:pPr>
        <w:keepNext w:val="0"/>
        <w:keepLines w:val="0"/>
        <w:pageBreakBefore w:val="0"/>
        <w:widowControl w:val="0"/>
        <w:kinsoku/>
        <w:overflowPunct/>
        <w:topLinePunct w:val="0"/>
        <w:autoSpaceDE/>
        <w:autoSpaceDN/>
        <w:bidi w:val="0"/>
        <w:adjustRightInd/>
        <w:ind w:firstLine="480" w:firstLineChars="200"/>
        <w:textAlignment w:val="auto"/>
        <w:rPr>
          <w:rFonts w:hint="eastAsia"/>
          <w:i w:val="0"/>
          <w:iCs w:val="0"/>
          <w:color w:val="auto"/>
          <w:highlight w:val="none"/>
        </w:rPr>
      </w:pPr>
      <w:r>
        <w:rPr>
          <w:rFonts w:cs="仿宋_GB2312"/>
          <w:i w:val="0"/>
          <w:iCs w:val="0"/>
          <w:color w:val="auto"/>
          <w:szCs w:val="24"/>
          <w:highlight w:val="none"/>
        </w:rPr>
        <w:t>1</w:t>
      </w:r>
      <w:r>
        <w:rPr>
          <w:rFonts w:hint="eastAsia" w:cs="仿宋_GB2312"/>
          <w:i w:val="0"/>
          <w:iCs w:val="0"/>
          <w:color w:val="auto"/>
          <w:szCs w:val="24"/>
          <w:highlight w:val="none"/>
          <w:lang w:val="en-US" w:eastAsia="zh-CN"/>
        </w:rPr>
        <w:t>2</w:t>
      </w:r>
      <w:r>
        <w:rPr>
          <w:rFonts w:hint="eastAsia" w:cs="仿宋_GB2312"/>
          <w:i w:val="0"/>
          <w:iCs w:val="0"/>
          <w:color w:val="auto"/>
          <w:szCs w:val="24"/>
          <w:highlight w:val="none"/>
        </w:rPr>
        <w:t>.2 采购人或者采购代理机构可以对已发出的竞争性</w:t>
      </w:r>
      <w:r>
        <w:rPr>
          <w:rFonts w:hint="eastAsia" w:cs="仿宋_GB2312"/>
          <w:i w:val="0"/>
          <w:iCs w:val="0"/>
          <w:color w:val="auto"/>
          <w:szCs w:val="24"/>
          <w:highlight w:val="none"/>
          <w:lang w:val="en-US" w:eastAsia="zh-CN"/>
        </w:rPr>
        <w:t>磋商</w:t>
      </w:r>
      <w:r>
        <w:rPr>
          <w:rFonts w:hint="eastAsia" w:cs="仿宋_GB2312"/>
          <w:i w:val="0"/>
          <w:iCs w:val="0"/>
          <w:color w:val="auto"/>
          <w:szCs w:val="24"/>
          <w:highlight w:val="none"/>
        </w:rPr>
        <w:t>文件进行必要的澄清或者修改。</w:t>
      </w:r>
      <w:r>
        <w:rPr>
          <w:rFonts w:hint="eastAsia"/>
          <w:i w:val="0"/>
          <w:iCs w:val="0"/>
          <w:color w:val="auto"/>
          <w:highlight w:val="none"/>
        </w:rPr>
        <w:t>澄清或修改的内容为</w:t>
      </w:r>
      <w:r>
        <w:rPr>
          <w:rFonts w:hint="eastAsia" w:cs="仿宋_GB2312"/>
          <w:i w:val="0"/>
          <w:iCs w:val="0"/>
          <w:color w:val="auto"/>
          <w:szCs w:val="24"/>
          <w:highlight w:val="none"/>
        </w:rPr>
        <w:t>竞争性</w:t>
      </w:r>
      <w:r>
        <w:rPr>
          <w:rFonts w:hint="eastAsia"/>
          <w:i w:val="0"/>
          <w:iCs w:val="0"/>
          <w:color w:val="auto"/>
          <w:highlight w:val="none"/>
          <w:lang w:val="en-US" w:eastAsia="zh-CN"/>
        </w:rPr>
        <w:t>磋商</w:t>
      </w:r>
      <w:r>
        <w:rPr>
          <w:rFonts w:hint="eastAsia"/>
          <w:i w:val="0"/>
          <w:iCs w:val="0"/>
          <w:color w:val="auto"/>
          <w:highlight w:val="none"/>
        </w:rPr>
        <w:t>文件的组成部分，并对所有获取</w:t>
      </w:r>
      <w:r>
        <w:rPr>
          <w:rFonts w:hint="eastAsia" w:cs="仿宋_GB2312"/>
          <w:i w:val="0"/>
          <w:iCs w:val="0"/>
          <w:color w:val="auto"/>
          <w:szCs w:val="24"/>
          <w:highlight w:val="none"/>
        </w:rPr>
        <w:t>竞争性</w:t>
      </w:r>
      <w:r>
        <w:rPr>
          <w:rFonts w:hint="eastAsia"/>
          <w:i w:val="0"/>
          <w:iCs w:val="0"/>
          <w:color w:val="auto"/>
          <w:highlight w:val="none"/>
          <w:lang w:val="en-US" w:eastAsia="zh-CN"/>
        </w:rPr>
        <w:t>磋商</w:t>
      </w:r>
      <w:r>
        <w:rPr>
          <w:rFonts w:hint="eastAsia"/>
          <w:i w:val="0"/>
          <w:iCs w:val="0"/>
          <w:color w:val="auto"/>
          <w:highlight w:val="none"/>
        </w:rPr>
        <w:t>文件的潜在</w:t>
      </w:r>
      <w:r>
        <w:rPr>
          <w:rFonts w:hint="eastAsia" w:cs="仿宋_GB2312"/>
          <w:i w:val="0"/>
          <w:iCs w:val="0"/>
          <w:color w:val="auto"/>
          <w:szCs w:val="24"/>
          <w:highlight w:val="none"/>
        </w:rPr>
        <w:t>供应商</w:t>
      </w:r>
      <w:r>
        <w:rPr>
          <w:rFonts w:hint="eastAsia"/>
          <w:i w:val="0"/>
          <w:iCs w:val="0"/>
          <w:color w:val="auto"/>
          <w:highlight w:val="none"/>
        </w:rPr>
        <w:t>具有约束力。</w:t>
      </w:r>
    </w:p>
    <w:p w14:paraId="2EE78435">
      <w:pPr>
        <w:keepNext w:val="0"/>
        <w:keepLines w:val="0"/>
        <w:pageBreakBefore w:val="0"/>
        <w:widowControl w:val="0"/>
        <w:kinsoku/>
        <w:overflowPunct/>
        <w:topLinePunct w:val="0"/>
        <w:bidi w:val="0"/>
        <w:ind w:firstLine="480" w:firstLineChars="200"/>
        <w:textAlignment w:val="auto"/>
        <w:rPr>
          <w:rFonts w:hint="eastAsia" w:cs="仿宋_GB2312"/>
          <w:i w:val="0"/>
          <w:iCs w:val="0"/>
          <w:color w:val="auto"/>
          <w:szCs w:val="24"/>
          <w:highlight w:val="none"/>
        </w:rPr>
      </w:pP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2</w:t>
      </w:r>
      <w:r>
        <w:rPr>
          <w:rFonts w:hint="eastAsia" w:cs="仿宋_GB2312"/>
          <w:i w:val="0"/>
          <w:iCs w:val="0"/>
          <w:color w:val="auto"/>
          <w:szCs w:val="24"/>
          <w:highlight w:val="none"/>
        </w:rPr>
        <w:t>.3 竞争性磋商文件的澄清或者修</w:t>
      </w:r>
      <w:r>
        <w:rPr>
          <w:rFonts w:hint="eastAsia"/>
          <w:i w:val="0"/>
          <w:iCs w:val="0"/>
          <w:snapToGrid w:val="0"/>
          <w:color w:val="auto"/>
          <w:highlight w:val="none"/>
          <w:lang w:val="zh-CN"/>
        </w:rPr>
        <w:t>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w:t>
      </w:r>
      <w:r>
        <w:rPr>
          <w:rFonts w:hint="eastAsia" w:cs="仿宋_GB2312"/>
          <w:i w:val="0"/>
          <w:iCs w:val="0"/>
          <w:color w:val="auto"/>
          <w:szCs w:val="24"/>
          <w:highlight w:val="none"/>
        </w:rPr>
        <w:t>竞争性</w:t>
      </w:r>
      <w:r>
        <w:rPr>
          <w:rFonts w:hint="eastAsia"/>
          <w:i w:val="0"/>
          <w:iCs w:val="0"/>
          <w:snapToGrid w:val="0"/>
          <w:color w:val="auto"/>
          <w:highlight w:val="none"/>
          <w:lang w:val="zh-CN"/>
        </w:rPr>
        <w:t>磋商文件的供应商，不足5日的，应当顺延提交首次响应文件</w:t>
      </w:r>
      <w:r>
        <w:rPr>
          <w:rFonts w:hint="eastAsia"/>
          <w:i w:val="0"/>
          <w:iCs w:val="0"/>
          <w:snapToGrid w:val="0"/>
          <w:color w:val="auto"/>
          <w:highlight w:val="none"/>
          <w:lang w:val="en-US" w:eastAsia="zh-CN"/>
        </w:rPr>
        <w:t>的</w:t>
      </w:r>
      <w:r>
        <w:rPr>
          <w:rFonts w:hint="eastAsia"/>
          <w:i w:val="0"/>
          <w:iCs w:val="0"/>
          <w:snapToGrid w:val="0"/>
          <w:color w:val="auto"/>
          <w:highlight w:val="none"/>
          <w:lang w:val="zh-CN"/>
        </w:rPr>
        <w:t>截止时间</w:t>
      </w:r>
      <w:r>
        <w:rPr>
          <w:rFonts w:hint="eastAsia" w:cs="仿宋_GB2312"/>
          <w:i w:val="0"/>
          <w:iCs w:val="0"/>
          <w:color w:val="auto"/>
          <w:szCs w:val="24"/>
          <w:highlight w:val="none"/>
        </w:rPr>
        <w:t>。</w:t>
      </w:r>
    </w:p>
    <w:p w14:paraId="30FE311B">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i w:val="0"/>
          <w:iCs w:val="0"/>
          <w:color w:val="auto"/>
          <w:highlight w:val="none"/>
        </w:rPr>
        <w:t>1</w:t>
      </w:r>
      <w:r>
        <w:rPr>
          <w:rFonts w:hint="eastAsia"/>
          <w:i w:val="0"/>
          <w:iCs w:val="0"/>
          <w:color w:val="auto"/>
          <w:highlight w:val="none"/>
          <w:lang w:val="en-US" w:eastAsia="zh-CN"/>
        </w:rPr>
        <w:t>2</w:t>
      </w:r>
      <w:r>
        <w:rPr>
          <w:i w:val="0"/>
          <w:iCs w:val="0"/>
          <w:color w:val="auto"/>
          <w:highlight w:val="none"/>
        </w:rPr>
        <w:t>.</w:t>
      </w:r>
      <w:r>
        <w:rPr>
          <w:rFonts w:hint="eastAsia"/>
          <w:i w:val="0"/>
          <w:iCs w:val="0"/>
          <w:color w:val="auto"/>
          <w:highlight w:val="none"/>
        </w:rPr>
        <w:t xml:space="preserve">4 </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须知”所称“</w:t>
      </w:r>
      <w:r>
        <w:rPr>
          <w:rFonts w:hint="eastAsia"/>
          <w:i w:val="0"/>
          <w:iCs w:val="0"/>
          <w:color w:val="auto"/>
          <w:highlight w:val="none"/>
        </w:rPr>
        <w:t>书面形式</w:t>
      </w:r>
      <w:r>
        <w:rPr>
          <w:rFonts w:hint="eastAsia" w:cs="仿宋_GB2312"/>
          <w:i w:val="0"/>
          <w:iCs w:val="0"/>
          <w:color w:val="auto"/>
          <w:szCs w:val="24"/>
          <w:highlight w:val="none"/>
        </w:rPr>
        <w:t>”</w:t>
      </w:r>
      <w:r>
        <w:rPr>
          <w:rFonts w:hint="eastAsia"/>
          <w:i w:val="0"/>
          <w:iCs w:val="0"/>
          <w:color w:val="auto"/>
          <w:highlight w:val="none"/>
        </w:rPr>
        <w:t>包括系统消息、政府采购</w:t>
      </w:r>
      <w:r>
        <w:rPr>
          <w:rFonts w:hint="eastAsia"/>
          <w:i w:val="0"/>
          <w:iCs w:val="0"/>
          <w:color w:val="auto"/>
          <w:highlight w:val="none"/>
          <w:lang w:val="en-US" w:eastAsia="zh-CN"/>
        </w:rPr>
        <w:t>云平台</w:t>
      </w:r>
      <w:r>
        <w:rPr>
          <w:rFonts w:hint="eastAsia"/>
          <w:i w:val="0"/>
          <w:iCs w:val="0"/>
          <w:color w:val="auto"/>
          <w:highlight w:val="none"/>
        </w:rPr>
        <w:t>发布的公告。</w:t>
      </w:r>
    </w:p>
    <w:p w14:paraId="028E5469">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rPr>
      </w:pPr>
      <w:r>
        <w:rPr>
          <w:rFonts w:hint="eastAsia" w:ascii="宋体" w:hAnsi="宋体" w:eastAsia="宋体" w:cs="宋体"/>
          <w:i w:val="0"/>
          <w:iCs w:val="0"/>
          <w:color w:val="auto"/>
          <w:kern w:val="2"/>
          <w:sz w:val="24"/>
          <w:szCs w:val="22"/>
          <w:highlight w:val="none"/>
        </w:rPr>
        <w:t>1</w:t>
      </w:r>
      <w:r>
        <w:rPr>
          <w:rFonts w:hint="eastAsia" w:ascii="宋体" w:hAnsi="宋体" w:eastAsia="宋体" w:cs="宋体"/>
          <w:i w:val="0"/>
          <w:iCs w:val="0"/>
          <w:color w:val="auto"/>
          <w:kern w:val="2"/>
          <w:sz w:val="24"/>
          <w:szCs w:val="22"/>
          <w:highlight w:val="none"/>
          <w:lang w:val="en-US" w:eastAsia="zh-CN"/>
        </w:rPr>
        <w:t>2</w:t>
      </w:r>
      <w:r>
        <w:rPr>
          <w:rFonts w:hint="eastAsia" w:ascii="宋体" w:hAnsi="宋体" w:eastAsia="宋体" w:cs="宋体"/>
          <w:i w:val="0"/>
          <w:iCs w:val="0"/>
          <w:color w:val="auto"/>
          <w:kern w:val="2"/>
          <w:sz w:val="24"/>
          <w:szCs w:val="22"/>
          <w:highlight w:val="none"/>
        </w:rPr>
        <w:t>.</w:t>
      </w:r>
      <w:r>
        <w:rPr>
          <w:rFonts w:hint="eastAsia" w:ascii="宋体" w:hAnsi="宋体" w:eastAsia="宋体" w:cs="宋体"/>
          <w:i w:val="0"/>
          <w:iCs w:val="0"/>
          <w:color w:val="auto"/>
          <w:kern w:val="2"/>
          <w:sz w:val="24"/>
          <w:szCs w:val="22"/>
          <w:highlight w:val="none"/>
          <w:lang w:val="en-US" w:eastAsia="zh-CN"/>
        </w:rPr>
        <w:t>5</w:t>
      </w:r>
      <w:r>
        <w:rPr>
          <w:rFonts w:hint="eastAsia" w:ascii="宋体" w:hAnsi="宋体" w:eastAsia="宋体" w:cs="宋体"/>
          <w:i w:val="0"/>
          <w:iCs w:val="0"/>
          <w:color w:val="auto"/>
          <w:kern w:val="2"/>
          <w:sz w:val="24"/>
          <w:szCs w:val="22"/>
          <w:highlight w:val="none"/>
        </w:rPr>
        <w:t>采购代理机构一旦对竞争性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文件作出了澄清、修改，即刻发生效力，采购代理机构有关的澄清、修改文件，将作为竞争性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文件的组成部分，对所有现实的或潜在的</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均具有约束力，而无论是否已经实际收到上述文件。同时，采购代理机构和</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的权利及义务将受到新的截止期的约束。</w:t>
      </w:r>
    </w:p>
    <w:p w14:paraId="6E542BA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2"/>
          <w:highlight w:val="none"/>
        </w:rPr>
      </w:pPr>
      <w:r>
        <w:rPr>
          <w:rFonts w:hint="eastAsia" w:ascii="宋体" w:hAnsi="宋体" w:eastAsia="宋体" w:cs="宋体"/>
          <w:i w:val="0"/>
          <w:iCs w:val="0"/>
          <w:color w:val="auto"/>
          <w:kern w:val="2"/>
          <w:sz w:val="24"/>
          <w:szCs w:val="22"/>
          <w:highlight w:val="none"/>
        </w:rPr>
        <w:t>1</w:t>
      </w:r>
      <w:r>
        <w:rPr>
          <w:rFonts w:hint="eastAsia" w:ascii="宋体" w:hAnsi="宋体" w:eastAsia="宋体" w:cs="宋体"/>
          <w:i w:val="0"/>
          <w:iCs w:val="0"/>
          <w:color w:val="auto"/>
          <w:kern w:val="2"/>
          <w:sz w:val="24"/>
          <w:szCs w:val="22"/>
          <w:highlight w:val="none"/>
          <w:lang w:val="en-US" w:eastAsia="zh-CN"/>
        </w:rPr>
        <w:t>2</w:t>
      </w:r>
      <w:r>
        <w:rPr>
          <w:rFonts w:hint="eastAsia" w:ascii="宋体" w:hAnsi="宋体" w:eastAsia="宋体" w:cs="宋体"/>
          <w:i w:val="0"/>
          <w:iCs w:val="0"/>
          <w:color w:val="auto"/>
          <w:kern w:val="2"/>
          <w:sz w:val="24"/>
          <w:szCs w:val="22"/>
          <w:highlight w:val="none"/>
        </w:rPr>
        <w:t>.</w:t>
      </w:r>
      <w:r>
        <w:rPr>
          <w:rFonts w:hint="eastAsia" w:ascii="宋体" w:hAnsi="宋体" w:eastAsia="宋体" w:cs="宋体"/>
          <w:i w:val="0"/>
          <w:iCs w:val="0"/>
          <w:color w:val="auto"/>
          <w:kern w:val="2"/>
          <w:sz w:val="24"/>
          <w:szCs w:val="22"/>
          <w:highlight w:val="none"/>
          <w:lang w:val="en-US" w:eastAsia="zh-CN"/>
        </w:rPr>
        <w:t>6</w:t>
      </w:r>
      <w:r>
        <w:rPr>
          <w:rFonts w:hint="eastAsia" w:ascii="宋体" w:hAnsi="宋体" w:eastAsia="宋体" w:cs="宋体"/>
          <w:i w:val="0"/>
          <w:iCs w:val="0"/>
          <w:color w:val="auto"/>
          <w:kern w:val="2"/>
          <w:sz w:val="24"/>
          <w:szCs w:val="22"/>
          <w:highlight w:val="none"/>
        </w:rPr>
        <w:t>采购代理机构对竞争性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文件作出的澄清、修改在平台内进行披露，请</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及时关注并获取相关资料。因登记有误、线路故障或其它任何意外情形，导致</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未及时获取的，采购代理机构不因此承担任何责任，且有关的</w:t>
      </w:r>
      <w:r>
        <w:rPr>
          <w:rFonts w:hint="eastAsia" w:ascii="宋体" w:hAnsi="宋体" w:eastAsia="宋体" w:cs="宋体"/>
          <w:i w:val="0"/>
          <w:iCs w:val="0"/>
          <w:color w:val="auto"/>
          <w:kern w:val="2"/>
          <w:sz w:val="24"/>
          <w:szCs w:val="22"/>
          <w:highlight w:val="none"/>
          <w:lang w:val="en-US" w:eastAsia="zh-CN"/>
        </w:rPr>
        <w:t>磋商</w:t>
      </w:r>
      <w:r>
        <w:rPr>
          <w:rFonts w:hint="eastAsia" w:ascii="宋体" w:hAnsi="宋体" w:eastAsia="宋体" w:cs="宋体"/>
          <w:i w:val="0"/>
          <w:iCs w:val="0"/>
          <w:color w:val="auto"/>
          <w:kern w:val="2"/>
          <w:sz w:val="24"/>
          <w:szCs w:val="22"/>
          <w:highlight w:val="none"/>
        </w:rPr>
        <w:t>活动继续有效地进行。当竞争性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文件的澄清、修改及进行其他答复等就同一内容的表述不一致时，以最后发布的内容为准。</w:t>
      </w:r>
    </w:p>
    <w:p w14:paraId="7D17D0F6">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78" w:name="_Toc163493613"/>
      <w:bookmarkStart w:id="179" w:name="_Toc109899541"/>
      <w:bookmarkStart w:id="180" w:name="_Toc109897442"/>
      <w:bookmarkStart w:id="181" w:name="_Toc109900379"/>
      <w:bookmarkStart w:id="182" w:name="_Toc109899960"/>
      <w:bookmarkStart w:id="183" w:name="_Toc46771647"/>
      <w:bookmarkStart w:id="184" w:name="_Toc470172672"/>
      <w:bookmarkStart w:id="185" w:name="_Toc32059"/>
      <w:r>
        <w:rPr>
          <w:rFonts w:hint="eastAsia" w:ascii="宋体" w:hAnsi="宋体" w:eastAsia="宋体" w:cs="宋体"/>
          <w:b/>
          <w:bCs/>
          <w:color w:val="auto"/>
          <w:kern w:val="2"/>
          <w:sz w:val="24"/>
          <w:szCs w:val="24"/>
          <w:highlight w:val="none"/>
          <w:lang w:val="en-US" w:eastAsia="zh-CN" w:bidi="ar-SA"/>
        </w:rPr>
        <w:t>（三）响应文件</w:t>
      </w:r>
      <w:bookmarkEnd w:id="178"/>
      <w:bookmarkEnd w:id="179"/>
      <w:bookmarkEnd w:id="180"/>
      <w:bookmarkEnd w:id="181"/>
      <w:bookmarkEnd w:id="182"/>
      <w:bookmarkEnd w:id="183"/>
      <w:bookmarkEnd w:id="184"/>
      <w:bookmarkEnd w:id="185"/>
    </w:p>
    <w:p w14:paraId="3A231C5B">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86" w:name="_Toc48688798"/>
      <w:bookmarkStart w:id="187" w:name="_Toc48846118"/>
      <w:bookmarkStart w:id="188" w:name="_Toc46771649"/>
      <w:bookmarkStart w:id="189" w:name="_Toc46772250"/>
      <w:bookmarkStart w:id="190" w:name="_Toc109899543"/>
      <w:bookmarkStart w:id="191" w:name="_Toc32272"/>
      <w:bookmarkStart w:id="192" w:name="_Toc51674220"/>
      <w:bookmarkStart w:id="193" w:name="_Toc109900381"/>
      <w:bookmarkStart w:id="194" w:name="_Toc52962736"/>
      <w:bookmarkStart w:id="195" w:name="_Toc109899962"/>
      <w:bookmarkStart w:id="196" w:name="_Toc109897444"/>
      <w:bookmarkStart w:id="197" w:name="_Toc470172674"/>
      <w:bookmarkStart w:id="198" w:name="_Toc52960562"/>
      <w:r>
        <w:rPr>
          <w:rFonts w:hint="eastAsia" w:ascii="宋体" w:hAnsi="宋体" w:eastAsia="宋体" w:cs="宋体"/>
          <w:b/>
          <w:bCs/>
          <w:color w:val="auto"/>
          <w:kern w:val="2"/>
          <w:sz w:val="24"/>
          <w:szCs w:val="24"/>
          <w:highlight w:val="none"/>
          <w:lang w:val="en-US" w:eastAsia="zh-CN" w:bidi="ar-SA"/>
        </w:rPr>
        <w:t>13.响应文件的</w:t>
      </w:r>
      <w:bookmarkEnd w:id="186"/>
      <w:bookmarkEnd w:id="187"/>
      <w:bookmarkEnd w:id="188"/>
      <w:bookmarkEnd w:id="189"/>
      <w:bookmarkEnd w:id="190"/>
      <w:bookmarkEnd w:id="191"/>
      <w:bookmarkEnd w:id="192"/>
      <w:bookmarkEnd w:id="193"/>
      <w:bookmarkEnd w:id="194"/>
      <w:bookmarkEnd w:id="195"/>
      <w:bookmarkEnd w:id="196"/>
      <w:bookmarkEnd w:id="197"/>
      <w:bookmarkEnd w:id="198"/>
      <w:r>
        <w:rPr>
          <w:rFonts w:hint="eastAsia" w:ascii="宋体" w:hAnsi="宋体" w:eastAsia="宋体" w:cs="宋体"/>
          <w:b/>
          <w:bCs/>
          <w:color w:val="auto"/>
          <w:kern w:val="2"/>
          <w:sz w:val="24"/>
          <w:szCs w:val="24"/>
          <w:highlight w:val="none"/>
          <w:lang w:val="en-US" w:eastAsia="zh-CN" w:bidi="ar-SA"/>
        </w:rPr>
        <w:t>组成</w:t>
      </w:r>
    </w:p>
    <w:p w14:paraId="174A0A3D">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rPr>
      </w:pPr>
      <w:r>
        <w:rPr>
          <w:rFonts w:hint="eastAsia" w:ascii="宋体" w:hAnsi="宋体" w:eastAsia="宋体" w:cs="宋体"/>
          <w:i w:val="0"/>
          <w:iCs w:val="0"/>
          <w:color w:val="auto"/>
          <w:kern w:val="2"/>
          <w:sz w:val="24"/>
          <w:szCs w:val="22"/>
          <w:highlight w:val="none"/>
          <w:lang w:val="en-US" w:eastAsia="zh-CN"/>
        </w:rPr>
        <w:t>13</w:t>
      </w:r>
      <w:r>
        <w:rPr>
          <w:rFonts w:hint="eastAsia" w:ascii="宋体" w:hAnsi="宋体" w:eastAsia="宋体" w:cs="宋体"/>
          <w:i w:val="0"/>
          <w:iCs w:val="0"/>
          <w:color w:val="auto"/>
          <w:kern w:val="2"/>
          <w:sz w:val="24"/>
          <w:szCs w:val="22"/>
          <w:highlight w:val="none"/>
        </w:rPr>
        <w:t>.1</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应完整地按竞争性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文件提供的</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文件格式及要求编写</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文件，具体内容详见</w:t>
      </w:r>
      <w:r>
        <w:rPr>
          <w:rFonts w:hint="eastAsia" w:ascii="宋体" w:hAnsi="宋体" w:eastAsia="宋体" w:cs="宋体"/>
          <w:i w:val="0"/>
          <w:iCs w:val="0"/>
          <w:color w:val="auto"/>
          <w:kern w:val="2"/>
          <w:sz w:val="24"/>
          <w:szCs w:val="22"/>
          <w:highlight w:val="none"/>
          <w:lang w:eastAsia="zh-CN"/>
        </w:rPr>
        <w:t>“</w:t>
      </w:r>
      <w:r>
        <w:rPr>
          <w:rFonts w:hint="eastAsia" w:ascii="宋体" w:hAnsi="宋体" w:eastAsia="宋体" w:cs="宋体"/>
          <w:i w:val="0"/>
          <w:iCs w:val="0"/>
          <w:color w:val="auto"/>
          <w:kern w:val="2"/>
          <w:sz w:val="24"/>
          <w:szCs w:val="22"/>
          <w:highlight w:val="none"/>
          <w:lang w:val="en-US" w:eastAsia="zh-CN"/>
        </w:rPr>
        <w:t>第六章 响应</w:t>
      </w:r>
      <w:r>
        <w:rPr>
          <w:rFonts w:hint="eastAsia" w:ascii="宋体" w:hAnsi="宋体" w:eastAsia="宋体" w:cs="宋体"/>
          <w:i w:val="0"/>
          <w:iCs w:val="0"/>
          <w:color w:val="auto"/>
          <w:kern w:val="2"/>
          <w:sz w:val="24"/>
          <w:szCs w:val="22"/>
          <w:highlight w:val="none"/>
        </w:rPr>
        <w:t>文件</w:t>
      </w:r>
      <w:r>
        <w:rPr>
          <w:rFonts w:hint="eastAsia" w:ascii="宋体" w:hAnsi="宋体" w:eastAsia="宋体" w:cs="宋体"/>
          <w:i w:val="0"/>
          <w:iCs w:val="0"/>
          <w:color w:val="auto"/>
          <w:kern w:val="2"/>
          <w:sz w:val="24"/>
          <w:szCs w:val="22"/>
          <w:highlight w:val="none"/>
          <w:lang w:val="en-US" w:eastAsia="zh-CN"/>
        </w:rPr>
        <w:t>的</w:t>
      </w:r>
      <w:r>
        <w:rPr>
          <w:rFonts w:hint="eastAsia" w:ascii="宋体" w:hAnsi="宋体" w:eastAsia="宋体" w:cs="宋体"/>
          <w:i w:val="0"/>
          <w:iCs w:val="0"/>
          <w:color w:val="auto"/>
          <w:kern w:val="2"/>
          <w:sz w:val="24"/>
          <w:szCs w:val="22"/>
          <w:highlight w:val="none"/>
        </w:rPr>
        <w:t>格式</w:t>
      </w:r>
      <w:r>
        <w:rPr>
          <w:rFonts w:hint="eastAsia" w:ascii="宋体" w:hAnsi="宋体" w:eastAsia="宋体" w:cs="宋体"/>
          <w:i w:val="0"/>
          <w:iCs w:val="0"/>
          <w:color w:val="auto"/>
          <w:kern w:val="2"/>
          <w:sz w:val="24"/>
          <w:szCs w:val="22"/>
          <w:highlight w:val="none"/>
          <w:lang w:eastAsia="zh-CN"/>
        </w:rPr>
        <w:t>”</w:t>
      </w:r>
      <w:r>
        <w:rPr>
          <w:rFonts w:hint="eastAsia" w:ascii="宋体" w:hAnsi="宋体" w:eastAsia="宋体" w:cs="宋体"/>
          <w:i w:val="0"/>
          <w:iCs w:val="0"/>
          <w:color w:val="auto"/>
          <w:kern w:val="2"/>
          <w:sz w:val="24"/>
          <w:szCs w:val="22"/>
          <w:highlight w:val="none"/>
        </w:rPr>
        <w:t>的相关内容。</w:t>
      </w:r>
    </w:p>
    <w:p w14:paraId="3BB3A0B7">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lang w:val="en-US" w:eastAsia="zh-CN"/>
        </w:rPr>
      </w:pPr>
      <w:r>
        <w:rPr>
          <w:rFonts w:hint="eastAsia" w:ascii="宋体" w:hAnsi="宋体" w:eastAsia="宋体" w:cs="宋体"/>
          <w:i w:val="0"/>
          <w:iCs w:val="0"/>
          <w:color w:val="auto"/>
          <w:kern w:val="2"/>
          <w:sz w:val="24"/>
          <w:szCs w:val="22"/>
          <w:highlight w:val="none"/>
          <w:lang w:val="en-US" w:eastAsia="zh-CN"/>
        </w:rPr>
        <w:t>13.2供应商</w:t>
      </w:r>
      <w:r>
        <w:rPr>
          <w:rFonts w:hint="eastAsia" w:ascii="宋体" w:hAnsi="宋体" w:eastAsia="宋体" w:cs="宋体"/>
          <w:i w:val="0"/>
          <w:iCs w:val="0"/>
          <w:color w:val="auto"/>
          <w:kern w:val="2"/>
          <w:sz w:val="24"/>
          <w:szCs w:val="22"/>
          <w:highlight w:val="none"/>
        </w:rPr>
        <w:t>应提交竞争性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文件要求的证明文件，证明其</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内容符合竞争性</w:t>
      </w:r>
      <w:r>
        <w:rPr>
          <w:rFonts w:hint="eastAsia" w:ascii="宋体" w:hAnsi="宋体" w:eastAsia="宋体" w:cs="宋体"/>
          <w:i w:val="0"/>
          <w:iCs w:val="0"/>
          <w:color w:val="auto"/>
          <w:kern w:val="2"/>
          <w:sz w:val="24"/>
          <w:szCs w:val="22"/>
          <w:highlight w:val="none"/>
          <w:lang w:val="zh-CN"/>
        </w:rPr>
        <w:t>磋商</w:t>
      </w:r>
      <w:r>
        <w:rPr>
          <w:rFonts w:hint="eastAsia" w:ascii="宋体" w:hAnsi="宋体" w:eastAsia="宋体" w:cs="宋体"/>
          <w:i w:val="0"/>
          <w:iCs w:val="0"/>
          <w:color w:val="auto"/>
          <w:kern w:val="2"/>
          <w:sz w:val="24"/>
          <w:szCs w:val="22"/>
          <w:highlight w:val="none"/>
        </w:rPr>
        <w:t>文件规定</w:t>
      </w:r>
      <w:r>
        <w:rPr>
          <w:rFonts w:hint="eastAsia" w:ascii="宋体" w:hAnsi="宋体" w:eastAsia="宋体" w:cs="宋体"/>
          <w:i w:val="0"/>
          <w:iCs w:val="0"/>
          <w:color w:val="auto"/>
          <w:kern w:val="2"/>
          <w:sz w:val="24"/>
          <w:szCs w:val="22"/>
          <w:highlight w:val="none"/>
          <w:lang w:eastAsia="zh-CN"/>
        </w:rPr>
        <w:t>，</w:t>
      </w:r>
      <w:r>
        <w:rPr>
          <w:rFonts w:hint="eastAsia" w:ascii="宋体" w:hAnsi="宋体" w:eastAsia="宋体" w:cs="宋体"/>
          <w:i w:val="0"/>
          <w:iCs w:val="0"/>
          <w:color w:val="auto"/>
          <w:kern w:val="2"/>
          <w:sz w:val="24"/>
          <w:szCs w:val="22"/>
          <w:highlight w:val="none"/>
        </w:rPr>
        <w:t>该证明文件是</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文件的一部分</w:t>
      </w:r>
      <w:r>
        <w:rPr>
          <w:rFonts w:hint="eastAsia" w:ascii="宋体" w:hAnsi="宋体" w:eastAsia="宋体" w:cs="宋体"/>
          <w:i w:val="0"/>
          <w:iCs w:val="0"/>
          <w:color w:val="auto"/>
          <w:kern w:val="2"/>
          <w:sz w:val="24"/>
          <w:szCs w:val="22"/>
          <w:highlight w:val="none"/>
          <w:lang w:eastAsia="zh-CN"/>
        </w:rPr>
        <w:t>。</w:t>
      </w:r>
      <w:r>
        <w:rPr>
          <w:rFonts w:hint="eastAsia" w:ascii="宋体" w:hAnsi="宋体" w:eastAsia="宋体" w:cs="宋体"/>
          <w:i w:val="0"/>
          <w:iCs w:val="0"/>
          <w:color w:val="auto"/>
          <w:kern w:val="2"/>
          <w:sz w:val="24"/>
          <w:szCs w:val="22"/>
          <w:highlight w:val="none"/>
        </w:rPr>
        <w:t>证明文件</w:t>
      </w:r>
      <w:r>
        <w:rPr>
          <w:rFonts w:hint="eastAsia" w:ascii="宋体" w:hAnsi="宋体" w:eastAsia="宋体" w:cs="宋体"/>
          <w:i w:val="0"/>
          <w:iCs w:val="0"/>
          <w:color w:val="auto"/>
          <w:kern w:val="2"/>
          <w:sz w:val="24"/>
          <w:szCs w:val="22"/>
          <w:highlight w:val="none"/>
          <w:lang w:val="en-US" w:eastAsia="zh-CN"/>
        </w:rPr>
        <w:t>形式</w:t>
      </w:r>
      <w:r>
        <w:rPr>
          <w:rFonts w:hint="eastAsia" w:ascii="宋体" w:hAnsi="宋体" w:eastAsia="宋体" w:cs="宋体"/>
          <w:i w:val="0"/>
          <w:iCs w:val="0"/>
          <w:color w:val="auto"/>
          <w:kern w:val="2"/>
          <w:sz w:val="24"/>
          <w:szCs w:val="22"/>
          <w:highlight w:val="none"/>
        </w:rPr>
        <w:t>可以是文字资料、图纸和数据</w:t>
      </w:r>
      <w:bookmarkStart w:id="199" w:name="_Hlk11703583"/>
      <w:r>
        <w:rPr>
          <w:rFonts w:hint="eastAsia" w:ascii="宋体" w:hAnsi="宋体" w:eastAsia="宋体" w:cs="宋体"/>
          <w:i w:val="0"/>
          <w:iCs w:val="0"/>
          <w:color w:val="auto"/>
          <w:kern w:val="2"/>
          <w:sz w:val="24"/>
          <w:szCs w:val="22"/>
          <w:highlight w:val="none"/>
          <w:lang w:val="en-US" w:eastAsia="zh-CN"/>
        </w:rPr>
        <w:t>等。</w:t>
      </w:r>
    </w:p>
    <w:bookmarkEnd w:id="199"/>
    <w:p w14:paraId="781BBAEB">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2"/>
          <w:highlight w:val="none"/>
          <w:lang w:val="en-US" w:eastAsia="zh-CN"/>
        </w:rPr>
      </w:pPr>
      <w:r>
        <w:rPr>
          <w:rFonts w:hint="eastAsia" w:ascii="宋体" w:hAnsi="宋体" w:eastAsia="宋体" w:cs="宋体"/>
          <w:i w:val="0"/>
          <w:iCs w:val="0"/>
          <w:color w:val="auto"/>
          <w:kern w:val="2"/>
          <w:sz w:val="24"/>
          <w:szCs w:val="22"/>
          <w:highlight w:val="none"/>
          <w:lang w:val="en-US" w:eastAsia="zh-CN"/>
        </w:rPr>
        <w:t>13.3</w:t>
      </w:r>
      <w:r>
        <w:rPr>
          <w:rFonts w:hint="eastAsia" w:ascii="宋体" w:hAnsi="宋体" w:eastAsia="宋体" w:cs="宋体"/>
          <w:i w:val="0"/>
          <w:iCs w:val="0"/>
          <w:color w:val="auto"/>
          <w:kern w:val="2"/>
          <w:sz w:val="24"/>
          <w:szCs w:val="22"/>
          <w:highlight w:val="none"/>
        </w:rPr>
        <w:t>为保证公平公正，除非</w:t>
      </w:r>
      <w:r>
        <w:rPr>
          <w:rFonts w:hint="eastAsia" w:ascii="宋体" w:hAnsi="宋体" w:eastAsia="宋体" w:cs="宋体"/>
          <w:i w:val="0"/>
          <w:iCs w:val="0"/>
          <w:color w:val="auto"/>
          <w:kern w:val="2"/>
          <w:sz w:val="24"/>
          <w:szCs w:val="22"/>
          <w:highlight w:val="none"/>
          <w:lang w:val="en-US" w:eastAsia="zh-CN"/>
        </w:rPr>
        <w:t>本磋商文件</w:t>
      </w:r>
      <w:r>
        <w:rPr>
          <w:rFonts w:hint="eastAsia" w:ascii="宋体" w:hAnsi="宋体" w:eastAsia="宋体" w:cs="宋体"/>
          <w:i w:val="0"/>
          <w:iCs w:val="0"/>
          <w:color w:val="auto"/>
          <w:kern w:val="2"/>
          <w:sz w:val="24"/>
          <w:szCs w:val="22"/>
          <w:highlight w:val="none"/>
        </w:rPr>
        <w:t>另有规定或说明，</w:t>
      </w:r>
      <w:r>
        <w:rPr>
          <w:rFonts w:hint="eastAsia" w:ascii="宋体" w:hAnsi="宋体" w:eastAsia="宋体" w:cs="宋体"/>
          <w:i w:val="0"/>
          <w:iCs w:val="0"/>
          <w:color w:val="auto"/>
          <w:kern w:val="2"/>
          <w:sz w:val="24"/>
          <w:szCs w:val="22"/>
          <w:highlight w:val="none"/>
          <w:lang w:val="en-US" w:eastAsia="zh-CN"/>
        </w:rPr>
        <w:t>供应商</w:t>
      </w:r>
      <w:r>
        <w:rPr>
          <w:rFonts w:hint="eastAsia" w:ascii="宋体" w:hAnsi="宋体" w:eastAsia="宋体" w:cs="宋体"/>
          <w:i w:val="0"/>
          <w:iCs w:val="0"/>
          <w:color w:val="auto"/>
          <w:kern w:val="2"/>
          <w:sz w:val="24"/>
          <w:szCs w:val="22"/>
          <w:highlight w:val="none"/>
        </w:rPr>
        <w:t>对同一项目</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时，不得同时提供备选</w:t>
      </w:r>
      <w:r>
        <w:rPr>
          <w:rFonts w:hint="eastAsia" w:ascii="宋体" w:hAnsi="宋体" w:eastAsia="宋体" w:cs="宋体"/>
          <w:i w:val="0"/>
          <w:iCs w:val="0"/>
          <w:color w:val="auto"/>
          <w:kern w:val="2"/>
          <w:sz w:val="24"/>
          <w:szCs w:val="22"/>
          <w:highlight w:val="none"/>
          <w:lang w:val="en-US" w:eastAsia="zh-CN"/>
        </w:rPr>
        <w:t>响应</w:t>
      </w:r>
      <w:r>
        <w:rPr>
          <w:rFonts w:hint="eastAsia" w:ascii="宋体" w:hAnsi="宋体" w:eastAsia="宋体" w:cs="宋体"/>
          <w:i w:val="0"/>
          <w:iCs w:val="0"/>
          <w:color w:val="auto"/>
          <w:kern w:val="2"/>
          <w:sz w:val="24"/>
          <w:szCs w:val="22"/>
          <w:highlight w:val="none"/>
        </w:rPr>
        <w:t>方案。</w:t>
      </w:r>
    </w:p>
    <w:p w14:paraId="5C8E7CA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00" w:name="_Toc24544"/>
      <w:bookmarkStart w:id="201" w:name="_Toc109899545"/>
      <w:bookmarkStart w:id="202" w:name="_Toc52960564"/>
      <w:bookmarkStart w:id="203" w:name="_Toc46772252"/>
      <w:bookmarkStart w:id="204" w:name="_Toc470172676"/>
      <w:bookmarkStart w:id="205" w:name="_Toc109900383"/>
      <w:bookmarkStart w:id="206" w:name="_Toc48688800"/>
      <w:bookmarkStart w:id="207" w:name="_Toc46771651"/>
      <w:bookmarkStart w:id="208" w:name="_Toc48846120"/>
      <w:bookmarkStart w:id="209" w:name="_Toc109897446"/>
      <w:bookmarkStart w:id="210" w:name="_Toc51674222"/>
      <w:bookmarkStart w:id="211" w:name="_Toc52962738"/>
      <w:bookmarkStart w:id="212" w:name="_Toc109899964"/>
      <w:bookmarkStart w:id="213" w:name="_Toc51674221"/>
      <w:bookmarkStart w:id="214" w:name="_Toc470172675"/>
      <w:bookmarkStart w:id="215" w:name="_Toc109897445"/>
      <w:bookmarkStart w:id="216" w:name="_Toc46771650"/>
      <w:bookmarkStart w:id="217" w:name="_Toc48846119"/>
      <w:bookmarkStart w:id="218" w:name="_Toc52960563"/>
      <w:bookmarkStart w:id="219" w:name="_Toc48688799"/>
      <w:bookmarkStart w:id="220" w:name="_Toc25217"/>
      <w:bookmarkStart w:id="221" w:name="_Toc109899544"/>
      <w:bookmarkStart w:id="222" w:name="_Toc46772251"/>
      <w:bookmarkStart w:id="223" w:name="_Toc52962737"/>
      <w:bookmarkStart w:id="224" w:name="_Toc109899963"/>
      <w:bookmarkStart w:id="225" w:name="_Toc109900382"/>
      <w:r>
        <w:rPr>
          <w:rFonts w:hint="eastAsia" w:ascii="宋体" w:hAnsi="宋体" w:eastAsia="宋体" w:cs="宋体"/>
          <w:b/>
          <w:bCs/>
          <w:color w:val="auto"/>
          <w:kern w:val="2"/>
          <w:sz w:val="24"/>
          <w:szCs w:val="24"/>
          <w:highlight w:val="none"/>
          <w:lang w:val="en-US" w:eastAsia="zh-CN" w:bidi="ar-SA"/>
        </w:rPr>
        <w:t>14.磋商报价</w:t>
      </w:r>
      <w:bookmarkEnd w:id="200"/>
      <w:bookmarkEnd w:id="201"/>
      <w:bookmarkEnd w:id="202"/>
      <w:bookmarkEnd w:id="203"/>
      <w:bookmarkEnd w:id="204"/>
      <w:bookmarkEnd w:id="205"/>
      <w:bookmarkEnd w:id="206"/>
      <w:bookmarkEnd w:id="207"/>
      <w:bookmarkEnd w:id="208"/>
      <w:bookmarkEnd w:id="209"/>
      <w:bookmarkEnd w:id="210"/>
      <w:bookmarkEnd w:id="211"/>
      <w:bookmarkEnd w:id="212"/>
    </w:p>
    <w:p w14:paraId="0640D6E7">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i w:val="0"/>
          <w:iCs w:val="0"/>
          <w:snapToGrid w:val="0"/>
          <w:color w:val="auto"/>
          <w:highlight w:val="none"/>
          <w:lang w:val="zh-CN"/>
        </w:rPr>
        <w:t>1</w:t>
      </w:r>
      <w:r>
        <w:rPr>
          <w:rFonts w:hint="eastAsia"/>
          <w:i w:val="0"/>
          <w:iCs w:val="0"/>
          <w:snapToGrid w:val="0"/>
          <w:color w:val="auto"/>
          <w:highlight w:val="none"/>
          <w:lang w:val="en-US" w:eastAsia="zh-CN"/>
        </w:rPr>
        <w:t>4</w:t>
      </w:r>
      <w:r>
        <w:rPr>
          <w:rFonts w:hint="eastAsia"/>
          <w:i w:val="0"/>
          <w:iCs w:val="0"/>
          <w:snapToGrid w:val="0"/>
          <w:color w:val="auto"/>
          <w:highlight w:val="none"/>
          <w:lang w:val="zh-CN"/>
        </w:rPr>
        <w:t>.1磋商供应商的报价均应以人民币报价。磋商报价包括磋商供应商在首次提交的响应文件中的报价、磋商过程中的报价和最后报价，</w:t>
      </w:r>
      <w:r>
        <w:rPr>
          <w:rFonts w:hint="eastAsia"/>
          <w:i w:val="0"/>
          <w:iCs w:val="0"/>
          <w:snapToGrid w:val="0"/>
          <w:color w:val="auto"/>
          <w:highlight w:val="none"/>
          <w:lang w:val="en-US" w:eastAsia="zh-CN"/>
        </w:rPr>
        <w:t>且均</w:t>
      </w:r>
      <w:r>
        <w:rPr>
          <w:rFonts w:hint="eastAsia"/>
          <w:i w:val="0"/>
          <w:iCs w:val="0"/>
          <w:snapToGrid w:val="0"/>
          <w:color w:val="auto"/>
          <w:highlight w:val="none"/>
          <w:lang w:val="zh-CN"/>
        </w:rPr>
        <w:t>不得超过</w:t>
      </w:r>
      <w:bookmarkStart w:id="226" w:name="_Hlk161703672"/>
      <w:r>
        <w:rPr>
          <w:rFonts w:hint="eastAsia"/>
          <w:i w:val="0"/>
          <w:iCs w:val="0"/>
          <w:snapToGrid w:val="0"/>
          <w:color w:val="auto"/>
          <w:highlight w:val="none"/>
          <w:lang w:val="zh-CN"/>
        </w:rPr>
        <w:t>“</w:t>
      </w:r>
      <w:r>
        <w:rPr>
          <w:rFonts w:hint="eastAsia"/>
          <w:i w:val="0"/>
          <w:iCs w:val="0"/>
          <w:snapToGrid w:val="0"/>
          <w:color w:val="auto"/>
          <w:highlight w:val="none"/>
          <w:lang w:val="en-US" w:eastAsia="zh-CN"/>
        </w:rPr>
        <w:t>第一章 竞争性磋商公告</w:t>
      </w:r>
      <w:r>
        <w:rPr>
          <w:rFonts w:hint="eastAsia"/>
          <w:i w:val="0"/>
          <w:iCs w:val="0"/>
          <w:snapToGrid w:val="0"/>
          <w:color w:val="auto"/>
          <w:highlight w:val="none"/>
          <w:lang w:val="zh-CN"/>
        </w:rPr>
        <w:t>”中规定</w:t>
      </w:r>
      <w:bookmarkEnd w:id="226"/>
      <w:r>
        <w:rPr>
          <w:rFonts w:hint="eastAsia"/>
          <w:i w:val="0"/>
          <w:iCs w:val="0"/>
          <w:snapToGrid w:val="0"/>
          <w:color w:val="auto"/>
          <w:highlight w:val="none"/>
          <w:lang w:val="zh-CN"/>
        </w:rPr>
        <w:t>的</w:t>
      </w:r>
      <w:r>
        <w:rPr>
          <w:rFonts w:hint="eastAsia"/>
          <w:i w:val="0"/>
          <w:iCs w:val="0"/>
          <w:snapToGrid w:val="0"/>
          <w:color w:val="auto"/>
          <w:highlight w:val="none"/>
          <w:lang w:val="zh-CN" w:eastAsia="zh-CN"/>
        </w:rPr>
        <w:t>最高限价或者预算金额</w:t>
      </w:r>
      <w:r>
        <w:rPr>
          <w:rFonts w:hint="eastAsia"/>
          <w:i w:val="0"/>
          <w:iCs w:val="0"/>
          <w:snapToGrid w:val="0"/>
          <w:color w:val="auto"/>
          <w:highlight w:val="none"/>
          <w:lang w:val="zh-CN"/>
        </w:rPr>
        <w:t>，否则其响应文件将被视为</w:t>
      </w:r>
      <w:r>
        <w:rPr>
          <w:rFonts w:hint="eastAsia"/>
          <w:b/>
          <w:bCs/>
          <w:i w:val="0"/>
          <w:iCs w:val="0"/>
          <w:snapToGrid w:val="0"/>
          <w:color w:val="auto"/>
          <w:highlight w:val="none"/>
          <w:lang w:val="zh-CN"/>
        </w:rPr>
        <w:t>无效文件</w:t>
      </w:r>
      <w:r>
        <w:rPr>
          <w:rFonts w:hint="eastAsia"/>
          <w:i w:val="0"/>
          <w:iCs w:val="0"/>
          <w:snapToGrid w:val="0"/>
          <w:color w:val="auto"/>
          <w:highlight w:val="none"/>
          <w:lang w:val="zh-CN"/>
        </w:rPr>
        <w:t>。</w:t>
      </w:r>
    </w:p>
    <w:p w14:paraId="300639DC">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i w:val="0"/>
          <w:iCs w:val="0"/>
          <w:snapToGrid w:val="0"/>
          <w:color w:val="auto"/>
          <w:highlight w:val="none"/>
          <w:lang w:val="zh-CN"/>
        </w:rPr>
        <w:t>1</w:t>
      </w:r>
      <w:r>
        <w:rPr>
          <w:rFonts w:hint="eastAsia"/>
          <w:i w:val="0"/>
          <w:iCs w:val="0"/>
          <w:snapToGrid w:val="0"/>
          <w:color w:val="auto"/>
          <w:highlight w:val="none"/>
          <w:lang w:val="en-US" w:eastAsia="zh-CN"/>
        </w:rPr>
        <w:t>4</w:t>
      </w:r>
      <w:r>
        <w:rPr>
          <w:rFonts w:hint="eastAsia"/>
          <w:i w:val="0"/>
          <w:iCs w:val="0"/>
          <w:snapToGrid w:val="0"/>
          <w:color w:val="auto"/>
          <w:highlight w:val="none"/>
          <w:lang w:val="zh-CN"/>
        </w:rPr>
        <w:t>.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w:t>
      </w:r>
      <w:r>
        <w:rPr>
          <w:rFonts w:hint="eastAsia"/>
          <w:b/>
          <w:bCs/>
          <w:i w:val="0"/>
          <w:iCs w:val="0"/>
          <w:snapToGrid w:val="0"/>
          <w:color w:val="auto"/>
          <w:highlight w:val="none"/>
          <w:lang w:val="zh-CN"/>
        </w:rPr>
        <w:t>无效文件</w:t>
      </w:r>
      <w:r>
        <w:rPr>
          <w:rFonts w:hint="eastAsia"/>
          <w:i w:val="0"/>
          <w:iCs w:val="0"/>
          <w:snapToGrid w:val="0"/>
          <w:color w:val="auto"/>
          <w:highlight w:val="none"/>
          <w:lang w:val="zh-CN"/>
        </w:rPr>
        <w:t>。</w:t>
      </w:r>
    </w:p>
    <w:p w14:paraId="487FB398">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theme="minorBidi"/>
          <w:i w:val="0"/>
          <w:iCs w:val="0"/>
          <w:snapToGrid w:val="0"/>
          <w:color w:val="auto"/>
          <w:kern w:val="2"/>
          <w:sz w:val="24"/>
          <w:szCs w:val="22"/>
          <w:highlight w:val="none"/>
          <w:lang w:val="zh-CN" w:eastAsia="zh-CN" w:bidi="ar-SA"/>
        </w:rPr>
      </w:pP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的报价应包括为完成本项目所发生的一切费用和税费，采购人将不再支付报价以外的任何费用。</w:t>
      </w:r>
      <w:r>
        <w:rPr>
          <w:rFonts w:hint="eastAsia" w:ascii="宋体" w:hAnsi="宋体" w:eastAsia="宋体" w:cstheme="minorBidi"/>
          <w:i w:val="0"/>
          <w:iCs w:val="0"/>
          <w:snapToGrid w:val="0"/>
          <w:color w:val="auto"/>
          <w:kern w:val="2"/>
          <w:sz w:val="24"/>
          <w:szCs w:val="22"/>
          <w:highlight w:val="none"/>
          <w:lang w:val="zh-CN" w:eastAsia="zh-CN" w:bidi="ar-SA"/>
        </w:rPr>
        <w:t>只要投报了一个确定数额的总价，无论分项价格是否全部填报了相应的金额或免费字样，报价应被视为已经包含了但并不限于各</w:t>
      </w:r>
      <w:r>
        <w:rPr>
          <w:rFonts w:hint="eastAsia" w:ascii="宋体" w:hAnsi="宋体" w:eastAsia="宋体" w:cstheme="minorBidi"/>
          <w:i w:val="0"/>
          <w:iCs w:val="0"/>
          <w:snapToGrid w:val="0"/>
          <w:color w:val="auto"/>
          <w:kern w:val="2"/>
          <w:sz w:val="24"/>
          <w:szCs w:val="22"/>
          <w:highlight w:val="none"/>
          <w:lang w:val="en-US" w:eastAsia="zh-CN" w:bidi="ar-SA"/>
        </w:rPr>
        <w:t>分</w:t>
      </w:r>
      <w:r>
        <w:rPr>
          <w:rFonts w:hint="eastAsia" w:ascii="宋体" w:hAnsi="宋体" w:eastAsia="宋体" w:cstheme="minorBidi"/>
          <w:i w:val="0"/>
          <w:iCs w:val="0"/>
          <w:snapToGrid w:val="0"/>
          <w:color w:val="auto"/>
          <w:kern w:val="2"/>
          <w:sz w:val="24"/>
          <w:szCs w:val="22"/>
          <w:highlight w:val="none"/>
          <w:lang w:val="zh-CN" w:eastAsia="zh-CN" w:bidi="ar-SA"/>
        </w:rPr>
        <w:t>项</w:t>
      </w:r>
      <w:r>
        <w:rPr>
          <w:rFonts w:hint="eastAsia" w:ascii="宋体" w:hAnsi="宋体" w:eastAsia="宋体" w:cstheme="minorBidi"/>
          <w:i w:val="0"/>
          <w:iCs w:val="0"/>
          <w:snapToGrid w:val="0"/>
          <w:color w:val="auto"/>
          <w:kern w:val="2"/>
          <w:sz w:val="24"/>
          <w:szCs w:val="22"/>
          <w:highlight w:val="none"/>
          <w:lang w:val="en-US" w:eastAsia="zh-CN" w:bidi="ar-SA"/>
        </w:rPr>
        <w:t>工程费用及</w:t>
      </w:r>
      <w:r>
        <w:rPr>
          <w:rFonts w:hint="eastAsia" w:ascii="宋体" w:hAnsi="宋体" w:eastAsia="宋体" w:cstheme="minorBidi"/>
          <w:i w:val="0"/>
          <w:iCs w:val="0"/>
          <w:snapToGrid w:val="0"/>
          <w:color w:val="auto"/>
          <w:kern w:val="2"/>
          <w:sz w:val="24"/>
          <w:szCs w:val="22"/>
          <w:highlight w:val="none"/>
          <w:lang w:val="zh-CN" w:eastAsia="zh-CN" w:bidi="ar-SA"/>
        </w:rPr>
        <w:t>购买货物及其运送、安装、调试、验收、保险和相关服务等的费用和所需缴纳的所有价格、税、费。在其他情况下，由于</w:t>
      </w:r>
      <w:r>
        <w:rPr>
          <w:rFonts w:hint="eastAsia" w:cstheme="minorBidi"/>
          <w:i w:val="0"/>
          <w:iCs w:val="0"/>
          <w:snapToGrid w:val="0"/>
          <w:color w:val="auto"/>
          <w:kern w:val="2"/>
          <w:sz w:val="24"/>
          <w:szCs w:val="22"/>
          <w:highlight w:val="none"/>
          <w:lang w:val="en-US" w:eastAsia="zh-CN" w:bidi="ar-SA"/>
        </w:rPr>
        <w:t>已标价工程量清单</w:t>
      </w:r>
      <w:r>
        <w:rPr>
          <w:rFonts w:hint="eastAsia" w:ascii="宋体" w:hAnsi="宋体" w:eastAsia="宋体" w:cstheme="minorBidi"/>
          <w:i w:val="0"/>
          <w:iCs w:val="0"/>
          <w:snapToGrid w:val="0"/>
          <w:color w:val="auto"/>
          <w:kern w:val="2"/>
          <w:sz w:val="24"/>
          <w:szCs w:val="22"/>
          <w:highlight w:val="none"/>
          <w:lang w:val="zh-CN" w:eastAsia="zh-CN" w:bidi="ar-SA"/>
        </w:rPr>
        <w:t>填报不完整、不清楚或存在其他任何失误，所导致的任何不利后果均应当由供应商自行承担。</w:t>
      </w:r>
    </w:p>
    <w:p w14:paraId="009FDB1D">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 xml:space="preserve">的报价应包括但不限于下列内容： </w:t>
      </w:r>
    </w:p>
    <w:p w14:paraId="058AFCD3">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 xml:space="preserve">14.2.1 磋商工程费用及相关货物（含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2ACD190C">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zh-CN"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14.2.2 按照磋商文件要求完成本项目的全部相关费用。</w:t>
      </w:r>
    </w:p>
    <w:p w14:paraId="11C9B78F">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i w:val="0"/>
          <w:iCs w:val="0"/>
          <w:snapToGrid w:val="0"/>
          <w:color w:val="auto"/>
          <w:highlight w:val="none"/>
          <w:lang w:val="zh-CN"/>
        </w:rPr>
        <w:t>1</w:t>
      </w:r>
      <w:r>
        <w:rPr>
          <w:rFonts w:hint="eastAsia"/>
          <w:i w:val="0"/>
          <w:iCs w:val="0"/>
          <w:snapToGrid w:val="0"/>
          <w:color w:val="auto"/>
          <w:highlight w:val="none"/>
          <w:lang w:val="en-US" w:eastAsia="zh-CN"/>
        </w:rPr>
        <w:t>4</w:t>
      </w:r>
      <w:r>
        <w:rPr>
          <w:rFonts w:hint="eastAsia"/>
          <w:i w:val="0"/>
          <w:iCs w:val="0"/>
          <w:snapToGrid w:val="0"/>
          <w:color w:val="auto"/>
          <w:highlight w:val="none"/>
          <w:lang w:val="zh-CN"/>
        </w:rPr>
        <w:t>.3</w:t>
      </w:r>
      <w:r>
        <w:rPr>
          <w:rFonts w:hint="eastAsia"/>
          <w:i w:val="0"/>
          <w:iCs w:val="0"/>
          <w:snapToGrid w:val="0"/>
          <w:color w:val="auto"/>
          <w:highlight w:val="none"/>
          <w:lang w:val="en-US" w:eastAsia="zh-CN"/>
        </w:rPr>
        <w:t>供应商</w:t>
      </w:r>
      <w:r>
        <w:rPr>
          <w:rFonts w:hint="eastAsia"/>
          <w:i w:val="0"/>
          <w:iCs w:val="0"/>
          <w:snapToGrid w:val="0"/>
          <w:color w:val="auto"/>
          <w:highlight w:val="none"/>
          <w:lang w:val="zh-CN"/>
        </w:rPr>
        <w:t>须严格按照</w:t>
      </w:r>
      <w:r>
        <w:rPr>
          <w:rFonts w:hint="eastAsia"/>
          <w:i w:val="0"/>
          <w:iCs w:val="0"/>
          <w:snapToGrid w:val="0"/>
          <w:color w:val="auto"/>
          <w:highlight w:val="none"/>
          <w:lang w:val="en-US" w:eastAsia="zh-CN"/>
        </w:rPr>
        <w:t>工程量清单</w:t>
      </w:r>
      <w:r>
        <w:rPr>
          <w:rFonts w:hint="eastAsia"/>
          <w:i w:val="0"/>
          <w:iCs w:val="0"/>
          <w:snapToGrid w:val="0"/>
          <w:color w:val="auto"/>
          <w:highlight w:val="none"/>
          <w:lang w:val="zh-CN"/>
        </w:rPr>
        <w:t>规定的内容填写单价、</w:t>
      </w:r>
      <w:r>
        <w:rPr>
          <w:rFonts w:hint="eastAsia"/>
          <w:i w:val="0"/>
          <w:iCs w:val="0"/>
          <w:snapToGrid w:val="0"/>
          <w:color w:val="auto"/>
          <w:highlight w:val="none"/>
          <w:lang w:val="en-US" w:eastAsia="zh-CN"/>
        </w:rPr>
        <w:t>合价</w:t>
      </w:r>
      <w:r>
        <w:rPr>
          <w:rFonts w:hint="eastAsia"/>
          <w:i w:val="0"/>
          <w:iCs w:val="0"/>
          <w:snapToGrid w:val="0"/>
          <w:color w:val="auto"/>
          <w:highlight w:val="none"/>
          <w:lang w:val="zh-CN"/>
        </w:rPr>
        <w:t>以及其他事项。供应商应根据本磋商文件的规定和要求、市场价格水平及其走势、磋商供应商的管理水平、磋商供应商的方案和由这些因素决定的磋商供应商之于本项目的成本水平等提出自己的报价。报价应合理，并包含完成本磋商文件采购需求全部内容的所有费用，所有根据本磋商文件或其它原因应由磋商供应商支付的税款和其他应交纳的费用都应包括在报价中。</w:t>
      </w:r>
    </w:p>
    <w:p w14:paraId="3DB7F190">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zh-CN" w:eastAsia="zh-CN" w:bidi="ar-SA"/>
        </w:rPr>
      </w:pPr>
      <w:r>
        <w:rPr>
          <w:rFonts w:hint="eastAsia" w:ascii="宋体" w:hAnsi="宋体" w:eastAsia="宋体" w:cstheme="minorBidi"/>
          <w:i w:val="0"/>
          <w:iCs w:val="0"/>
          <w:snapToGrid w:val="0"/>
          <w:color w:val="auto"/>
          <w:kern w:val="2"/>
          <w:sz w:val="24"/>
          <w:szCs w:val="22"/>
          <w:highlight w:val="none"/>
          <w:lang w:val="zh-CN" w:eastAsia="zh-CN" w:bidi="ar-SA"/>
        </w:rPr>
        <w:t>1</w:t>
      </w:r>
      <w:r>
        <w:rPr>
          <w:rFonts w:hint="eastAsia" w:ascii="宋体" w:hAnsi="宋体" w:eastAsia="宋体" w:cstheme="minorBidi"/>
          <w:i w:val="0"/>
          <w:iCs w:val="0"/>
          <w:snapToGrid w:val="0"/>
          <w:color w:val="auto"/>
          <w:kern w:val="2"/>
          <w:sz w:val="24"/>
          <w:szCs w:val="22"/>
          <w:highlight w:val="none"/>
          <w:lang w:val="en-US" w:eastAsia="zh-CN" w:bidi="ar-SA"/>
        </w:rPr>
        <w:t>4</w:t>
      </w:r>
      <w:r>
        <w:rPr>
          <w:rFonts w:hint="eastAsia" w:ascii="宋体" w:hAnsi="宋体" w:eastAsia="宋体" w:cstheme="minorBidi"/>
          <w:i w:val="0"/>
          <w:iCs w:val="0"/>
          <w:snapToGrid w:val="0"/>
          <w:color w:val="auto"/>
          <w:kern w:val="2"/>
          <w:sz w:val="24"/>
          <w:szCs w:val="22"/>
          <w:highlight w:val="none"/>
          <w:lang w:val="zh-CN" w:eastAsia="zh-CN" w:bidi="ar-SA"/>
        </w:rPr>
        <w:t>.4供应商在响应文件中注明免费的项目将视为包含在报价中。</w:t>
      </w:r>
    </w:p>
    <w:p w14:paraId="5A2E805F">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zh-CN" w:eastAsia="zh-CN" w:bidi="ar-SA"/>
        </w:rPr>
      </w:pPr>
      <w:r>
        <w:rPr>
          <w:rFonts w:hint="eastAsia" w:ascii="宋体" w:hAnsi="宋体" w:eastAsia="宋体" w:cstheme="minorBidi"/>
          <w:i w:val="0"/>
          <w:iCs w:val="0"/>
          <w:snapToGrid w:val="0"/>
          <w:color w:val="auto"/>
          <w:kern w:val="2"/>
          <w:sz w:val="24"/>
          <w:szCs w:val="22"/>
          <w:highlight w:val="none"/>
          <w:lang w:val="zh-CN" w:eastAsia="zh-CN" w:bidi="ar-SA"/>
        </w:rPr>
        <w:t>1</w:t>
      </w:r>
      <w:r>
        <w:rPr>
          <w:rFonts w:hint="eastAsia" w:ascii="宋体" w:hAnsi="宋体" w:eastAsia="宋体" w:cstheme="minorBidi"/>
          <w:i w:val="0"/>
          <w:iCs w:val="0"/>
          <w:snapToGrid w:val="0"/>
          <w:color w:val="auto"/>
          <w:kern w:val="2"/>
          <w:sz w:val="24"/>
          <w:szCs w:val="22"/>
          <w:highlight w:val="none"/>
          <w:lang w:val="en-US" w:eastAsia="zh-CN" w:bidi="ar-SA"/>
        </w:rPr>
        <w:t>4</w:t>
      </w:r>
      <w:r>
        <w:rPr>
          <w:rFonts w:hint="eastAsia" w:ascii="宋体" w:hAnsi="宋体" w:eastAsia="宋体" w:cstheme="minorBidi"/>
          <w:i w:val="0"/>
          <w:iCs w:val="0"/>
          <w:snapToGrid w:val="0"/>
          <w:color w:val="auto"/>
          <w:kern w:val="2"/>
          <w:sz w:val="24"/>
          <w:szCs w:val="22"/>
          <w:highlight w:val="none"/>
          <w:lang w:val="zh-CN" w:eastAsia="zh-CN" w:bidi="ar-SA"/>
        </w:rPr>
        <w:t>.5每一种采购内容只允许有一个报价，否则其响应文件将被视为</w:t>
      </w:r>
      <w:r>
        <w:rPr>
          <w:rFonts w:hint="eastAsia" w:ascii="宋体" w:hAnsi="宋体" w:eastAsia="宋体" w:cstheme="minorBidi"/>
          <w:b/>
          <w:bCs/>
          <w:i w:val="0"/>
          <w:iCs w:val="0"/>
          <w:snapToGrid w:val="0"/>
          <w:color w:val="auto"/>
          <w:kern w:val="2"/>
          <w:sz w:val="24"/>
          <w:szCs w:val="22"/>
          <w:highlight w:val="none"/>
          <w:lang w:val="zh-CN" w:eastAsia="zh-CN" w:bidi="ar-SA"/>
        </w:rPr>
        <w:t>无效文件</w:t>
      </w:r>
      <w:r>
        <w:rPr>
          <w:rFonts w:hint="eastAsia" w:ascii="宋体" w:hAnsi="宋体" w:eastAsia="宋体" w:cstheme="minorBidi"/>
          <w:i w:val="0"/>
          <w:iCs w:val="0"/>
          <w:snapToGrid w:val="0"/>
          <w:color w:val="auto"/>
          <w:kern w:val="2"/>
          <w:sz w:val="24"/>
          <w:szCs w:val="22"/>
          <w:highlight w:val="none"/>
          <w:lang w:val="zh-CN" w:eastAsia="zh-CN" w:bidi="ar-SA"/>
        </w:rPr>
        <w:t>。</w:t>
      </w:r>
      <w:r>
        <w:rPr>
          <w:rFonts w:hint="eastAsia" w:ascii="宋体" w:hAnsi="宋体" w:eastAsia="宋体" w:cstheme="minorBidi"/>
          <w:i w:val="0"/>
          <w:iCs w:val="0"/>
          <w:snapToGrid w:val="0"/>
          <w:color w:val="auto"/>
          <w:kern w:val="2"/>
          <w:sz w:val="24"/>
          <w:szCs w:val="22"/>
          <w:highlight w:val="none"/>
          <w:lang w:val="en-US" w:eastAsia="zh-CN" w:bidi="ar-SA"/>
        </w:rPr>
        <w:t>除非磋商文件另有规定，不接受可选择或可调整的磋商方案和报价，任何有选择的或可调整的磋商方案和报价将</w:t>
      </w:r>
      <w:r>
        <w:rPr>
          <w:rFonts w:hint="eastAsia" w:ascii="宋体" w:hAnsi="宋体" w:eastAsia="宋体" w:cstheme="minorBidi"/>
          <w:b/>
          <w:bCs/>
          <w:i w:val="0"/>
          <w:iCs w:val="0"/>
          <w:snapToGrid w:val="0"/>
          <w:color w:val="auto"/>
          <w:kern w:val="2"/>
          <w:sz w:val="24"/>
          <w:szCs w:val="22"/>
          <w:highlight w:val="none"/>
          <w:lang w:val="en-US" w:eastAsia="zh-CN" w:bidi="ar-SA"/>
        </w:rPr>
        <w:t>被视为非响应性磋商而被拒绝</w:t>
      </w:r>
      <w:r>
        <w:rPr>
          <w:rFonts w:hint="eastAsia" w:ascii="宋体" w:hAnsi="宋体" w:eastAsia="宋体" w:cstheme="minorBidi"/>
          <w:i w:val="0"/>
          <w:iCs w:val="0"/>
          <w:snapToGrid w:val="0"/>
          <w:color w:val="auto"/>
          <w:kern w:val="2"/>
          <w:sz w:val="24"/>
          <w:szCs w:val="22"/>
          <w:highlight w:val="none"/>
          <w:lang w:val="en-US" w:eastAsia="zh-CN" w:bidi="ar-SA"/>
        </w:rPr>
        <w:t>。</w:t>
      </w:r>
    </w:p>
    <w:p w14:paraId="2D8474D4">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 xml:space="preserve">14.6 </w:t>
      </w: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对磋商报价若有说明应在响应文件中显著处注明。</w:t>
      </w:r>
    </w:p>
    <w:p w14:paraId="1719007D">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除政策性文件规定以外，</w:t>
      </w: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所报价格在合同实施期间不因市场变化因素而变动。</w:t>
      </w:r>
    </w:p>
    <w:p w14:paraId="749D37C5">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14.7 对于有配件、耗材、选件、备件和特殊工具的货物，还应填报磋商货物配件、耗材、选件表和备件及特殊工具清单，注明品牌、型号、产地、功能、单价、批量折扣等内容，该表格格式由</w:t>
      </w: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自行设计。</w:t>
      </w:r>
      <w:r>
        <w:rPr>
          <w:rFonts w:hint="eastAsia" w:ascii="宋体" w:hAnsi="宋体" w:eastAsia="宋体" w:cstheme="minorBidi"/>
          <w:i w:val="0"/>
          <w:iCs w:val="0"/>
          <w:snapToGrid w:val="0"/>
          <w:color w:val="auto"/>
          <w:kern w:val="2"/>
          <w:sz w:val="24"/>
          <w:szCs w:val="22"/>
          <w:highlight w:val="none"/>
          <w:lang w:val="zh-CN" w:eastAsia="zh-CN" w:bidi="ar-SA"/>
        </w:rPr>
        <w:t>供应商</w:t>
      </w:r>
      <w:r>
        <w:rPr>
          <w:rFonts w:hint="eastAsia" w:ascii="宋体" w:hAnsi="宋体" w:eastAsia="宋体" w:cstheme="minorBidi"/>
          <w:i w:val="0"/>
          <w:iCs w:val="0"/>
          <w:snapToGrid w:val="0"/>
          <w:color w:val="auto"/>
          <w:kern w:val="2"/>
          <w:sz w:val="24"/>
          <w:szCs w:val="22"/>
          <w:highlight w:val="none"/>
          <w:lang w:val="en-US" w:eastAsia="zh-CN" w:bidi="ar-SA"/>
        </w:rPr>
        <w:t>按照上述要求分类报价，其目的是便于评审，但在任何情况下并不限制采购人以其他条款签订合同的权利。</w:t>
      </w:r>
    </w:p>
    <w:p w14:paraId="0B64FFBB">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14.8 最低报价不能作为成交的保证。</w:t>
      </w:r>
    </w:p>
    <w:p w14:paraId="0A894227">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cs="宋体"/>
          <w:i w:val="0"/>
          <w:iCs w:val="0"/>
          <w:color w:val="auto"/>
          <w:kern w:val="0"/>
          <w:sz w:val="24"/>
          <w:szCs w:val="24"/>
          <w:highlight w:val="none"/>
          <w:lang w:val="en-US" w:eastAsia="zh-CN" w:bidi="ar"/>
        </w:rPr>
        <w:t>14.9供应商</w:t>
      </w:r>
      <w:r>
        <w:rPr>
          <w:rFonts w:hint="eastAsia" w:ascii="宋体" w:hAnsi="宋体" w:eastAsia="宋体" w:cs="宋体"/>
          <w:i w:val="0"/>
          <w:iCs w:val="0"/>
          <w:color w:val="auto"/>
          <w:kern w:val="0"/>
          <w:sz w:val="24"/>
          <w:szCs w:val="24"/>
          <w:highlight w:val="none"/>
          <w:lang w:val="en-US" w:eastAsia="zh-CN" w:bidi="ar"/>
        </w:rPr>
        <w:t>不能提供任何有选择性或可调整的报价（</w:t>
      </w:r>
      <w:r>
        <w:rPr>
          <w:rFonts w:hint="eastAsia" w:cs="宋体"/>
          <w:i w:val="0"/>
          <w:iCs w:val="0"/>
          <w:color w:val="auto"/>
          <w:kern w:val="0"/>
          <w:sz w:val="24"/>
          <w:szCs w:val="24"/>
          <w:highlight w:val="none"/>
          <w:lang w:val="en-US" w:eastAsia="zh-CN" w:bidi="ar"/>
        </w:rPr>
        <w:t>磋商</w:t>
      </w:r>
      <w:r>
        <w:rPr>
          <w:rFonts w:hint="eastAsia" w:ascii="宋体" w:hAnsi="宋体" w:eastAsia="宋体" w:cs="宋体"/>
          <w:i w:val="0"/>
          <w:iCs w:val="0"/>
          <w:color w:val="auto"/>
          <w:kern w:val="0"/>
          <w:sz w:val="24"/>
          <w:szCs w:val="24"/>
          <w:highlight w:val="none"/>
          <w:lang w:val="en-US" w:eastAsia="zh-CN" w:bidi="ar"/>
        </w:rPr>
        <w:t>文件另有规定的除外），否则其</w:t>
      </w:r>
      <w:r>
        <w:rPr>
          <w:rFonts w:hint="eastAsia" w:cs="宋体"/>
          <w:b/>
          <w:bCs/>
          <w:i w:val="0"/>
          <w:iCs w:val="0"/>
          <w:color w:val="auto"/>
          <w:kern w:val="0"/>
          <w:sz w:val="24"/>
          <w:szCs w:val="24"/>
          <w:highlight w:val="none"/>
          <w:lang w:val="en-US" w:eastAsia="zh-CN" w:bidi="ar"/>
        </w:rPr>
        <w:t>响应</w:t>
      </w:r>
      <w:r>
        <w:rPr>
          <w:rFonts w:hint="eastAsia" w:ascii="宋体" w:hAnsi="宋体" w:eastAsia="宋体" w:cs="宋体"/>
          <w:b/>
          <w:bCs/>
          <w:i w:val="0"/>
          <w:iCs w:val="0"/>
          <w:color w:val="auto"/>
          <w:kern w:val="0"/>
          <w:sz w:val="24"/>
          <w:szCs w:val="24"/>
          <w:highlight w:val="none"/>
          <w:lang w:val="en-US" w:eastAsia="zh-CN" w:bidi="ar"/>
        </w:rPr>
        <w:t>无效</w:t>
      </w:r>
      <w:r>
        <w:rPr>
          <w:rFonts w:hint="eastAsia" w:ascii="宋体" w:hAnsi="宋体" w:eastAsia="宋体" w:cs="宋体"/>
          <w:i w:val="0"/>
          <w:iCs w:val="0"/>
          <w:color w:val="auto"/>
          <w:kern w:val="0"/>
          <w:sz w:val="24"/>
          <w:szCs w:val="24"/>
          <w:highlight w:val="none"/>
          <w:lang w:val="en-US" w:eastAsia="zh-CN" w:bidi="ar"/>
        </w:rPr>
        <w:t>。</w:t>
      </w:r>
    </w:p>
    <w:p w14:paraId="2AA144BC">
      <w:pPr>
        <w:pStyle w:val="33"/>
        <w:keepNext w:val="0"/>
        <w:keepLines w:val="0"/>
        <w:pageBreakBefore w:val="0"/>
        <w:widowControl w:val="0"/>
        <w:kinsoku/>
        <w:overflowPunct/>
        <w:topLinePunct w:val="0"/>
        <w:bidi w:val="0"/>
        <w:ind w:firstLine="480"/>
        <w:textAlignment w:val="auto"/>
        <w:rPr>
          <w:rFonts w:hint="eastAsia"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14.10采购人不得向供应商索要或者接受其给予的赠品、回扣或者与采购无关的其他商品、服务。</w:t>
      </w:r>
    </w:p>
    <w:p w14:paraId="0CD8AEF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27" w:name="_Toc109899969"/>
      <w:bookmarkStart w:id="228" w:name="_Toc46772258"/>
      <w:bookmarkStart w:id="229" w:name="_Toc470172682"/>
      <w:bookmarkStart w:id="230" w:name="_Toc5668"/>
      <w:bookmarkStart w:id="231" w:name="_Toc109899550"/>
      <w:bookmarkStart w:id="232" w:name="_Toc52962744"/>
      <w:bookmarkStart w:id="233" w:name="_Toc109897451"/>
      <w:bookmarkStart w:id="234" w:name="_Toc48846126"/>
      <w:bookmarkStart w:id="235" w:name="_Toc51674228"/>
      <w:bookmarkStart w:id="236" w:name="_Toc109900388"/>
      <w:bookmarkStart w:id="237" w:name="_Toc46771657"/>
      <w:bookmarkStart w:id="238" w:name="_Toc48688806"/>
      <w:bookmarkStart w:id="239" w:name="_Toc52960570"/>
      <w:bookmarkStart w:id="240" w:name="_Toc51674224"/>
      <w:bookmarkStart w:id="241" w:name="_Toc52960566"/>
      <w:bookmarkStart w:id="242" w:name="_Toc109899966"/>
      <w:bookmarkStart w:id="243" w:name="_Toc109899547"/>
      <w:bookmarkStart w:id="244" w:name="_Toc470172678"/>
      <w:bookmarkStart w:id="245" w:name="_Toc46772254"/>
      <w:bookmarkStart w:id="246" w:name="_Toc48688802"/>
      <w:bookmarkStart w:id="247" w:name="_Toc109900385"/>
      <w:bookmarkStart w:id="248" w:name="_Toc46771653"/>
      <w:bookmarkStart w:id="249" w:name="_Toc3324"/>
      <w:bookmarkStart w:id="250" w:name="_Toc109897448"/>
      <w:bookmarkStart w:id="251" w:name="_Toc48846122"/>
      <w:bookmarkStart w:id="252" w:name="_Toc52962740"/>
      <w:r>
        <w:rPr>
          <w:rFonts w:hint="eastAsia" w:ascii="宋体" w:hAnsi="宋体" w:eastAsia="宋体" w:cs="宋体"/>
          <w:b/>
          <w:bCs/>
          <w:color w:val="auto"/>
          <w:kern w:val="2"/>
          <w:sz w:val="24"/>
          <w:szCs w:val="24"/>
          <w:highlight w:val="none"/>
          <w:lang w:val="en-US" w:eastAsia="zh-CN" w:bidi="ar-SA"/>
        </w:rPr>
        <w:t>15.响应文件有效期</w:t>
      </w:r>
      <w:bookmarkEnd w:id="227"/>
      <w:bookmarkEnd w:id="228"/>
      <w:bookmarkEnd w:id="229"/>
      <w:bookmarkEnd w:id="230"/>
      <w:bookmarkEnd w:id="231"/>
      <w:bookmarkEnd w:id="232"/>
      <w:bookmarkEnd w:id="233"/>
      <w:bookmarkEnd w:id="234"/>
      <w:bookmarkEnd w:id="235"/>
      <w:bookmarkEnd w:id="236"/>
      <w:bookmarkEnd w:id="237"/>
      <w:bookmarkEnd w:id="238"/>
      <w:bookmarkEnd w:id="239"/>
    </w:p>
    <w:p w14:paraId="6C3E470C">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i w:val="0"/>
          <w:iCs w:val="0"/>
          <w:snapToGrid w:val="0"/>
          <w:color w:val="auto"/>
          <w:highlight w:val="none"/>
          <w:lang w:val="zh-CN"/>
        </w:rPr>
        <w:t>1</w:t>
      </w:r>
      <w:r>
        <w:rPr>
          <w:rFonts w:hint="eastAsia"/>
          <w:i w:val="0"/>
          <w:iCs w:val="0"/>
          <w:snapToGrid w:val="0"/>
          <w:color w:val="auto"/>
          <w:highlight w:val="none"/>
          <w:lang w:val="en-US" w:eastAsia="zh-CN"/>
        </w:rPr>
        <w:t>5</w:t>
      </w:r>
      <w:r>
        <w:rPr>
          <w:rFonts w:hint="eastAsia"/>
          <w:i w:val="0"/>
          <w:iCs w:val="0"/>
          <w:snapToGrid w:val="0"/>
          <w:color w:val="auto"/>
          <w:highlight w:val="none"/>
          <w:lang w:val="zh-CN"/>
        </w:rPr>
        <w:t>.1</w:t>
      </w:r>
      <w:r>
        <w:rPr>
          <w:rFonts w:hint="eastAsia"/>
          <w:i w:val="0"/>
          <w:iCs w:val="0"/>
          <w:snapToGrid w:val="0"/>
          <w:color w:val="auto"/>
          <w:highlight w:val="none"/>
          <w:lang w:val="en-US" w:eastAsia="zh-CN"/>
        </w:rPr>
        <w:t>供应商提交的</w:t>
      </w:r>
      <w:r>
        <w:rPr>
          <w:rFonts w:hint="eastAsia"/>
          <w:i w:val="0"/>
          <w:iCs w:val="0"/>
          <w:snapToGrid w:val="0"/>
          <w:color w:val="auto"/>
          <w:highlight w:val="none"/>
          <w:lang w:val="zh-CN"/>
        </w:rPr>
        <w:t>响应文件有效期见“供应商须知前附表”，磋商供应商承诺的响应文件</w:t>
      </w:r>
      <w:r>
        <w:rPr>
          <w:rFonts w:hint="eastAsia"/>
          <w:i w:val="0"/>
          <w:iCs w:val="0"/>
          <w:snapToGrid w:val="0"/>
          <w:color w:val="auto"/>
          <w:highlight w:val="none"/>
          <w:lang w:val="zh-CN" w:eastAsia="zh-CN"/>
        </w:rPr>
        <w:t>有效期少于</w:t>
      </w:r>
      <w:r>
        <w:rPr>
          <w:rFonts w:hint="eastAsia"/>
          <w:i w:val="0"/>
          <w:iCs w:val="0"/>
          <w:snapToGrid w:val="0"/>
          <w:color w:val="auto"/>
          <w:highlight w:val="none"/>
          <w:lang w:val="en-US" w:eastAsia="zh-CN"/>
        </w:rPr>
        <w:t>磋商</w:t>
      </w:r>
      <w:r>
        <w:rPr>
          <w:rFonts w:hint="eastAsia"/>
          <w:i w:val="0"/>
          <w:iCs w:val="0"/>
          <w:snapToGrid w:val="0"/>
          <w:color w:val="auto"/>
          <w:highlight w:val="none"/>
          <w:lang w:val="zh-CN" w:eastAsia="zh-CN"/>
        </w:rPr>
        <w:t>文件规定期限的，其</w:t>
      </w:r>
      <w:r>
        <w:rPr>
          <w:rFonts w:hint="eastAsia"/>
          <w:b/>
          <w:bCs/>
          <w:i w:val="0"/>
          <w:iCs w:val="0"/>
          <w:snapToGrid w:val="0"/>
          <w:color w:val="auto"/>
          <w:highlight w:val="none"/>
          <w:lang w:val="en-US" w:eastAsia="zh-CN"/>
        </w:rPr>
        <w:t>响应</w:t>
      </w:r>
      <w:r>
        <w:rPr>
          <w:rFonts w:hint="eastAsia"/>
          <w:b/>
          <w:bCs/>
          <w:i w:val="0"/>
          <w:iCs w:val="0"/>
          <w:snapToGrid w:val="0"/>
          <w:color w:val="auto"/>
          <w:highlight w:val="none"/>
          <w:lang w:val="zh-CN" w:eastAsia="zh-CN"/>
        </w:rPr>
        <w:t>无效</w:t>
      </w:r>
      <w:r>
        <w:rPr>
          <w:rFonts w:hint="eastAsia"/>
          <w:i w:val="0"/>
          <w:iCs w:val="0"/>
          <w:snapToGrid w:val="0"/>
          <w:color w:val="auto"/>
          <w:highlight w:val="none"/>
          <w:lang w:val="zh-CN" w:eastAsia="zh-CN"/>
        </w:rPr>
        <w:t>。</w:t>
      </w:r>
    </w:p>
    <w:p w14:paraId="4DFC2505">
      <w:pPr>
        <w:keepNext w:val="0"/>
        <w:keepLines w:val="0"/>
        <w:pageBreakBefore w:val="0"/>
        <w:widowControl w:val="0"/>
        <w:kinsoku/>
        <w:overflowPunct/>
        <w:topLinePunct w:val="0"/>
        <w:autoSpaceDE/>
        <w:autoSpaceDN/>
        <w:bidi w:val="0"/>
        <w:adjustRightInd/>
        <w:ind w:firstLine="480" w:firstLineChars="200"/>
        <w:textAlignment w:val="auto"/>
        <w:rPr>
          <w:rFonts w:hint="default" w:ascii="宋体" w:hAnsi="宋体" w:eastAsia="宋体" w:cstheme="minorBidi"/>
          <w:i w:val="0"/>
          <w:iCs w:val="0"/>
          <w:snapToGrid w:val="0"/>
          <w:color w:val="auto"/>
          <w:kern w:val="2"/>
          <w:sz w:val="24"/>
          <w:szCs w:val="22"/>
          <w:highlight w:val="none"/>
          <w:lang w:val="en-US" w:eastAsia="zh-CN" w:bidi="ar-SA"/>
        </w:rPr>
      </w:pPr>
      <w:r>
        <w:rPr>
          <w:rFonts w:hint="eastAsia" w:ascii="宋体" w:hAnsi="宋体" w:eastAsia="宋体" w:cstheme="minorBidi"/>
          <w:i w:val="0"/>
          <w:iCs w:val="0"/>
          <w:snapToGrid w:val="0"/>
          <w:color w:val="auto"/>
          <w:kern w:val="2"/>
          <w:sz w:val="24"/>
          <w:szCs w:val="22"/>
          <w:highlight w:val="none"/>
          <w:lang w:val="en-US" w:eastAsia="zh-CN" w:bidi="ar-SA"/>
        </w:rPr>
        <w:t>15.2 响应文件有效期从</w:t>
      </w:r>
      <w:r>
        <w:rPr>
          <w:rFonts w:hint="eastAsia" w:cstheme="minorBidi"/>
          <w:i w:val="0"/>
          <w:iCs w:val="0"/>
          <w:snapToGrid w:val="0"/>
          <w:color w:val="auto"/>
          <w:kern w:val="2"/>
          <w:sz w:val="24"/>
          <w:szCs w:val="22"/>
          <w:highlight w:val="none"/>
          <w:lang w:val="en-US" w:eastAsia="zh-CN" w:bidi="ar-SA"/>
        </w:rPr>
        <w:t>递交</w:t>
      </w:r>
      <w:r>
        <w:rPr>
          <w:rFonts w:hint="eastAsia" w:ascii="宋体" w:hAnsi="宋体" w:eastAsia="宋体" w:cstheme="minorBidi"/>
          <w:i w:val="0"/>
          <w:iCs w:val="0"/>
          <w:snapToGrid w:val="0"/>
          <w:color w:val="auto"/>
          <w:kern w:val="2"/>
          <w:sz w:val="24"/>
          <w:szCs w:val="22"/>
          <w:highlight w:val="none"/>
          <w:lang w:val="en-US" w:eastAsia="zh-CN" w:bidi="ar-SA"/>
        </w:rPr>
        <w:t>响应文件的截止之日起算。响应文件中承诺的有效期应当不少于竞争性磋商文件中载明的响应文件有效期。响应文件有效期内供应商撤销响应文件的，采购人或者采购代理机构可以不退还磋商保证金。</w:t>
      </w:r>
    </w:p>
    <w:p w14:paraId="414B33F5">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rFonts w:hint="eastAsia" w:ascii="宋体" w:hAnsi="宋体" w:eastAsia="宋体" w:cstheme="minorBidi"/>
          <w:i w:val="0"/>
          <w:iCs w:val="0"/>
          <w:snapToGrid w:val="0"/>
          <w:color w:val="auto"/>
          <w:kern w:val="2"/>
          <w:sz w:val="24"/>
          <w:szCs w:val="22"/>
          <w:highlight w:val="none"/>
          <w:lang w:val="zh-CN" w:eastAsia="zh-CN" w:bidi="ar-SA"/>
        </w:rPr>
        <w:t>1</w:t>
      </w:r>
      <w:r>
        <w:rPr>
          <w:rFonts w:hint="eastAsia" w:ascii="宋体" w:hAnsi="宋体" w:eastAsia="宋体" w:cstheme="minorBidi"/>
          <w:i w:val="0"/>
          <w:iCs w:val="0"/>
          <w:snapToGrid w:val="0"/>
          <w:color w:val="auto"/>
          <w:kern w:val="2"/>
          <w:sz w:val="24"/>
          <w:szCs w:val="22"/>
          <w:highlight w:val="none"/>
          <w:lang w:val="en-US" w:eastAsia="zh-CN" w:bidi="ar-SA"/>
        </w:rPr>
        <w:t>5</w:t>
      </w:r>
      <w:r>
        <w:rPr>
          <w:rFonts w:hint="eastAsia" w:ascii="宋体" w:hAnsi="宋体" w:eastAsia="宋体" w:cstheme="minorBidi"/>
          <w:i w:val="0"/>
          <w:iCs w:val="0"/>
          <w:snapToGrid w:val="0"/>
          <w:color w:val="auto"/>
          <w:kern w:val="2"/>
          <w:sz w:val="24"/>
          <w:szCs w:val="22"/>
          <w:highlight w:val="none"/>
          <w:lang w:val="zh-CN" w:eastAsia="zh-CN" w:bidi="ar-SA"/>
        </w:rPr>
        <w:t>.</w:t>
      </w:r>
      <w:r>
        <w:rPr>
          <w:rFonts w:hint="eastAsia" w:ascii="宋体" w:hAnsi="宋体" w:eastAsia="宋体" w:cstheme="minorBidi"/>
          <w:i w:val="0"/>
          <w:iCs w:val="0"/>
          <w:snapToGrid w:val="0"/>
          <w:color w:val="auto"/>
          <w:kern w:val="2"/>
          <w:sz w:val="24"/>
          <w:szCs w:val="22"/>
          <w:highlight w:val="none"/>
          <w:lang w:val="en-US" w:eastAsia="zh-CN" w:bidi="ar-SA"/>
        </w:rPr>
        <w:t>3</w:t>
      </w:r>
      <w:r>
        <w:rPr>
          <w:rFonts w:hint="eastAsia" w:ascii="宋体" w:hAnsi="宋体" w:eastAsia="宋体" w:cstheme="minorBidi"/>
          <w:i w:val="0"/>
          <w:iCs w:val="0"/>
          <w:snapToGrid w:val="0"/>
          <w:color w:val="auto"/>
          <w:kern w:val="2"/>
          <w:sz w:val="24"/>
          <w:szCs w:val="22"/>
          <w:highlight w:val="none"/>
          <w:lang w:val="zh-CN" w:eastAsia="zh-CN" w:bidi="ar-SA"/>
        </w:rPr>
        <w:t>特殊情况下，在原响应文件有效期截止之前，采购代理机构或采购人</w:t>
      </w:r>
      <w:r>
        <w:rPr>
          <w:rFonts w:hint="eastAsia"/>
          <w:i w:val="0"/>
          <w:iCs w:val="0"/>
          <w:snapToGrid w:val="0"/>
          <w:color w:val="auto"/>
          <w:highlight w:val="none"/>
          <w:lang w:val="zh-CN"/>
        </w:rPr>
        <w:t>可要求供应商延长响应文件有效期。需要延长响应文件有效期时，采购代理机构或采购人将以书面形式通知所有磋商供应商，供应商应以书面形式答复是否同意延长响应文件有效期。</w:t>
      </w:r>
    </w:p>
    <w:p w14:paraId="3803927F">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cs="宋体"/>
          <w:i w:val="0"/>
          <w:iCs w:val="0"/>
          <w:snapToGrid w:val="0"/>
          <w:color w:val="auto"/>
          <w:szCs w:val="24"/>
          <w:highlight w:val="none"/>
          <w:lang w:val="zh-CN"/>
        </w:rPr>
      </w:pPr>
      <w:r>
        <w:rPr>
          <w:rFonts w:hint="eastAsia" w:ascii="宋体" w:hAnsi="宋体" w:eastAsia="宋体" w:cstheme="minorBidi"/>
          <w:i w:val="0"/>
          <w:iCs w:val="0"/>
          <w:snapToGrid w:val="0"/>
          <w:color w:val="auto"/>
          <w:kern w:val="2"/>
          <w:sz w:val="24"/>
          <w:szCs w:val="22"/>
          <w:highlight w:val="none"/>
          <w:lang w:val="zh-CN" w:eastAsia="zh-CN" w:bidi="ar-SA"/>
        </w:rPr>
        <w:t>1</w:t>
      </w:r>
      <w:r>
        <w:rPr>
          <w:rFonts w:hint="eastAsia" w:ascii="宋体" w:hAnsi="宋体" w:eastAsia="宋体" w:cstheme="minorBidi"/>
          <w:i w:val="0"/>
          <w:iCs w:val="0"/>
          <w:snapToGrid w:val="0"/>
          <w:color w:val="auto"/>
          <w:kern w:val="2"/>
          <w:sz w:val="24"/>
          <w:szCs w:val="22"/>
          <w:highlight w:val="none"/>
          <w:lang w:val="en-US" w:eastAsia="zh-CN" w:bidi="ar-SA"/>
        </w:rPr>
        <w:t>5</w:t>
      </w:r>
      <w:r>
        <w:rPr>
          <w:rFonts w:hint="eastAsia" w:ascii="宋体" w:hAnsi="宋体" w:eastAsia="宋体" w:cstheme="minorBidi"/>
          <w:i w:val="0"/>
          <w:iCs w:val="0"/>
          <w:snapToGrid w:val="0"/>
          <w:color w:val="auto"/>
          <w:kern w:val="2"/>
          <w:sz w:val="24"/>
          <w:szCs w:val="22"/>
          <w:highlight w:val="none"/>
          <w:lang w:val="zh-CN" w:eastAsia="zh-CN" w:bidi="ar-SA"/>
        </w:rPr>
        <w:t>.</w:t>
      </w:r>
      <w:r>
        <w:rPr>
          <w:rFonts w:hint="eastAsia" w:ascii="宋体" w:hAnsi="宋体" w:eastAsia="宋体" w:cstheme="minorBidi"/>
          <w:i w:val="0"/>
          <w:iCs w:val="0"/>
          <w:snapToGrid w:val="0"/>
          <w:color w:val="auto"/>
          <w:kern w:val="2"/>
          <w:sz w:val="24"/>
          <w:szCs w:val="22"/>
          <w:highlight w:val="none"/>
          <w:lang w:val="en-US" w:eastAsia="zh-CN" w:bidi="ar-SA"/>
        </w:rPr>
        <w:t>4</w:t>
      </w:r>
      <w:r>
        <w:rPr>
          <w:rFonts w:hint="eastAsia" w:ascii="宋体" w:hAnsi="宋体" w:eastAsia="宋体" w:cstheme="minorBidi"/>
          <w:i w:val="0"/>
          <w:iCs w:val="0"/>
          <w:snapToGrid w:val="0"/>
          <w:color w:val="auto"/>
          <w:kern w:val="2"/>
          <w:sz w:val="24"/>
          <w:szCs w:val="22"/>
          <w:highlight w:val="none"/>
          <w:lang w:val="zh-CN" w:eastAsia="zh-CN" w:bidi="ar-SA"/>
        </w:rPr>
        <w:t>供应商同意延长的，</w:t>
      </w:r>
      <w:r>
        <w:rPr>
          <w:rFonts w:hint="eastAsia" w:ascii="宋体" w:hAnsi="宋体" w:eastAsia="宋体" w:cstheme="minorBidi"/>
          <w:i w:val="0"/>
          <w:iCs w:val="0"/>
          <w:snapToGrid w:val="0"/>
          <w:color w:val="auto"/>
          <w:kern w:val="2"/>
          <w:sz w:val="24"/>
          <w:szCs w:val="22"/>
          <w:highlight w:val="none"/>
          <w:lang w:val="en-US" w:eastAsia="zh-CN" w:bidi="ar-SA"/>
        </w:rPr>
        <w:t>其磋商</w:t>
      </w:r>
      <w:r>
        <w:rPr>
          <w:rFonts w:hint="eastAsia" w:ascii="宋体" w:hAnsi="宋体" w:eastAsia="宋体" w:cs="宋体"/>
          <w:i w:val="0"/>
          <w:iCs w:val="0"/>
          <w:snapToGrid w:val="0"/>
          <w:color w:val="auto"/>
          <w:szCs w:val="24"/>
          <w:highlight w:val="none"/>
          <w:lang w:val="zh-CN"/>
        </w:rPr>
        <w:t>保证金的有效期也相应延长</w:t>
      </w:r>
      <w:r>
        <w:rPr>
          <w:rFonts w:hint="eastAsia" w:ascii="宋体" w:hAnsi="宋体" w:eastAsia="宋体" w:cs="宋体"/>
          <w:i w:val="0"/>
          <w:iCs w:val="0"/>
          <w:snapToGrid w:val="0"/>
          <w:color w:val="auto"/>
          <w:szCs w:val="24"/>
          <w:highlight w:val="none"/>
          <w:lang w:val="zh-CN" w:eastAsia="zh-CN"/>
        </w:rPr>
        <w:t>，</w:t>
      </w:r>
      <w:r>
        <w:rPr>
          <w:rFonts w:hint="eastAsia" w:cs="宋体"/>
          <w:i w:val="0"/>
          <w:iCs w:val="0"/>
          <w:snapToGrid w:val="0"/>
          <w:color w:val="auto"/>
          <w:szCs w:val="24"/>
          <w:highlight w:val="none"/>
          <w:lang w:val="zh-CN"/>
        </w:rPr>
        <w:t>不得要求或被允许修改或撤销其响应文件；供应商拒绝延长的，其响应文件在原响应文件有效期满后将不再有效</w:t>
      </w:r>
      <w:r>
        <w:rPr>
          <w:rFonts w:hint="eastAsia" w:cs="仿宋_GB2312"/>
          <w:i w:val="0"/>
          <w:iCs w:val="0"/>
          <w:color w:val="auto"/>
          <w:szCs w:val="24"/>
          <w:highlight w:val="none"/>
          <w:lang w:eastAsia="zh-CN"/>
        </w:rPr>
        <w:t>，</w:t>
      </w:r>
      <w:r>
        <w:rPr>
          <w:rFonts w:hint="eastAsia" w:cs="仿宋_GB2312"/>
          <w:i w:val="0"/>
          <w:iCs w:val="0"/>
          <w:color w:val="auto"/>
          <w:szCs w:val="24"/>
          <w:highlight w:val="none"/>
          <w:lang w:val="en-US" w:eastAsia="zh-CN"/>
        </w:rPr>
        <w:t>但其提交的磋商保证金可予以退还</w:t>
      </w:r>
      <w:r>
        <w:rPr>
          <w:rFonts w:hint="eastAsia" w:cs="宋体"/>
          <w:i w:val="0"/>
          <w:iCs w:val="0"/>
          <w:snapToGrid w:val="0"/>
          <w:color w:val="auto"/>
          <w:szCs w:val="24"/>
          <w:highlight w:val="none"/>
          <w:lang w:val="zh-CN"/>
        </w:rPr>
        <w:t>。</w:t>
      </w:r>
    </w:p>
    <w:bookmarkEnd w:id="240"/>
    <w:bookmarkEnd w:id="241"/>
    <w:bookmarkEnd w:id="242"/>
    <w:bookmarkEnd w:id="243"/>
    <w:bookmarkEnd w:id="244"/>
    <w:bookmarkEnd w:id="245"/>
    <w:bookmarkEnd w:id="246"/>
    <w:bookmarkEnd w:id="247"/>
    <w:bookmarkEnd w:id="248"/>
    <w:bookmarkEnd w:id="249"/>
    <w:bookmarkEnd w:id="250"/>
    <w:bookmarkEnd w:id="251"/>
    <w:bookmarkEnd w:id="252"/>
    <w:p w14:paraId="26D695E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16.响应文件的编制</w:t>
      </w:r>
      <w:bookmarkEnd w:id="213"/>
      <w:bookmarkEnd w:id="214"/>
      <w:bookmarkEnd w:id="215"/>
      <w:bookmarkEnd w:id="216"/>
      <w:bookmarkEnd w:id="217"/>
      <w:bookmarkEnd w:id="218"/>
      <w:bookmarkEnd w:id="219"/>
      <w:bookmarkEnd w:id="220"/>
      <w:bookmarkEnd w:id="221"/>
      <w:bookmarkEnd w:id="222"/>
      <w:bookmarkEnd w:id="223"/>
      <w:bookmarkEnd w:id="224"/>
      <w:bookmarkEnd w:id="225"/>
    </w:p>
    <w:p w14:paraId="710ABAB7">
      <w:pPr>
        <w:keepNext w:val="0"/>
        <w:keepLines w:val="0"/>
        <w:pageBreakBefore w:val="0"/>
        <w:widowControl w:val="0"/>
        <w:kinsoku/>
        <w:overflowPunct/>
        <w:topLinePunct w:val="0"/>
        <w:autoSpaceDE/>
        <w:autoSpaceDN/>
        <w:bidi w:val="0"/>
        <w:adjustRightInd/>
        <w:ind w:firstLine="480" w:firstLineChars="200"/>
        <w:textAlignment w:val="auto"/>
        <w:rPr>
          <w:rFonts w:cs="仿宋_GB2312"/>
          <w:i w:val="0"/>
          <w:iCs w:val="0"/>
          <w:color w:val="auto"/>
          <w:szCs w:val="24"/>
          <w:highlight w:val="none"/>
        </w:rPr>
      </w:pPr>
      <w:r>
        <w:rPr>
          <w:rFonts w:cs="仿宋_GB2312"/>
          <w:i w:val="0"/>
          <w:iCs w:val="0"/>
          <w:color w:val="auto"/>
          <w:szCs w:val="24"/>
          <w:highlight w:val="none"/>
        </w:rPr>
        <w:t>1</w:t>
      </w:r>
      <w:r>
        <w:rPr>
          <w:rFonts w:hint="eastAsia" w:cs="仿宋_GB2312"/>
          <w:i w:val="0"/>
          <w:iCs w:val="0"/>
          <w:color w:val="auto"/>
          <w:szCs w:val="24"/>
          <w:highlight w:val="none"/>
          <w:lang w:val="en-US" w:eastAsia="zh-CN"/>
        </w:rPr>
        <w:t>6</w:t>
      </w: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文件应在供应商客户端中进行编制，在</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文件中要求加盖印章的，除有特殊说明之外，</w:t>
      </w:r>
      <w:r>
        <w:rPr>
          <w:rFonts w:hint="eastAsia" w:cs="仿宋_GB2312"/>
          <w:i w:val="0"/>
          <w:iCs w:val="0"/>
          <w:color w:val="auto"/>
          <w:szCs w:val="24"/>
          <w:highlight w:val="none"/>
          <w:lang w:val="en-US" w:eastAsia="zh-CN"/>
        </w:rPr>
        <w:t>可</w:t>
      </w:r>
      <w:r>
        <w:rPr>
          <w:rFonts w:hint="eastAsia" w:cs="仿宋_GB2312"/>
          <w:i w:val="0"/>
          <w:iCs w:val="0"/>
          <w:color w:val="auto"/>
          <w:szCs w:val="24"/>
          <w:highlight w:val="none"/>
        </w:rPr>
        <w:t>使用电子签章签署。</w:t>
      </w:r>
    </w:p>
    <w:p w14:paraId="6FD5FFC6">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i w:val="0"/>
          <w:iCs w:val="0"/>
          <w:color w:val="auto"/>
          <w:highlight w:val="none"/>
        </w:rPr>
        <w:t>1</w:t>
      </w:r>
      <w:r>
        <w:rPr>
          <w:rFonts w:hint="eastAsia"/>
          <w:i w:val="0"/>
          <w:iCs w:val="0"/>
          <w:color w:val="auto"/>
          <w:highlight w:val="none"/>
          <w:lang w:val="en-US" w:eastAsia="zh-CN"/>
        </w:rPr>
        <w:t>6</w:t>
      </w:r>
      <w:r>
        <w:rPr>
          <w:rFonts w:hint="eastAsia"/>
          <w:i w:val="0"/>
          <w:iCs w:val="0"/>
          <w:color w:val="auto"/>
          <w:highlight w:val="none"/>
        </w:rPr>
        <w:t>.</w:t>
      </w:r>
      <w:r>
        <w:rPr>
          <w:i w:val="0"/>
          <w:iCs w:val="0"/>
          <w:color w:val="auto"/>
          <w:highlight w:val="none"/>
        </w:rPr>
        <w:t>2</w:t>
      </w:r>
      <w:r>
        <w:rPr>
          <w:rFonts w:hint="eastAsia"/>
          <w:i w:val="0"/>
          <w:iCs w:val="0"/>
          <w:color w:val="auto"/>
          <w:highlight w:val="none"/>
          <w:lang w:val="en-US" w:eastAsia="zh-CN"/>
        </w:rPr>
        <w:t>供应商</w:t>
      </w:r>
      <w:r>
        <w:rPr>
          <w:rFonts w:hint="eastAsia"/>
          <w:i w:val="0"/>
          <w:iCs w:val="0"/>
          <w:color w:val="auto"/>
          <w:highlight w:val="none"/>
        </w:rPr>
        <w:t>在供应商客户端中按照供应商客户端中的格式要求填写响应内容后，生成</w:t>
      </w:r>
      <w:r>
        <w:rPr>
          <w:rFonts w:hint="eastAsia" w:cs="仿宋_GB2312"/>
          <w:i w:val="0"/>
          <w:iCs w:val="0"/>
          <w:color w:val="auto"/>
          <w:szCs w:val="24"/>
          <w:highlight w:val="none"/>
          <w:lang w:val="en-US" w:eastAsia="zh-CN"/>
        </w:rPr>
        <w:t>响应</w:t>
      </w:r>
      <w:r>
        <w:rPr>
          <w:rFonts w:hint="eastAsia"/>
          <w:i w:val="0"/>
          <w:iCs w:val="0"/>
          <w:color w:val="auto"/>
          <w:highlight w:val="none"/>
        </w:rPr>
        <w:t>文件。</w:t>
      </w:r>
      <w:r>
        <w:rPr>
          <w:rFonts w:hint="eastAsia"/>
          <w:i w:val="0"/>
          <w:iCs w:val="0"/>
          <w:color w:val="auto"/>
          <w:highlight w:val="none"/>
          <w:lang w:val="en-US" w:eastAsia="zh-CN"/>
        </w:rPr>
        <w:t>供应商</w:t>
      </w:r>
      <w:r>
        <w:rPr>
          <w:rFonts w:hint="eastAsia"/>
          <w:i w:val="0"/>
          <w:iCs w:val="0"/>
          <w:color w:val="auto"/>
          <w:highlight w:val="none"/>
        </w:rPr>
        <w:t>须按照</w:t>
      </w:r>
      <w:r>
        <w:rPr>
          <w:rFonts w:hint="eastAsia"/>
          <w:i w:val="0"/>
          <w:iCs w:val="0"/>
          <w:color w:val="auto"/>
          <w:highlight w:val="none"/>
          <w:lang w:val="en-US" w:eastAsia="zh-CN"/>
        </w:rPr>
        <w:t>竞争性磋商</w:t>
      </w:r>
      <w:r>
        <w:rPr>
          <w:rFonts w:hint="eastAsia"/>
          <w:i w:val="0"/>
          <w:iCs w:val="0"/>
          <w:color w:val="auto"/>
          <w:highlight w:val="none"/>
        </w:rPr>
        <w:t>文件的要求对要求加盖印章的部分逐一进行签章。</w:t>
      </w:r>
    </w:p>
    <w:p w14:paraId="4BB9824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rPr>
        <w:t>.</w:t>
      </w:r>
      <w:r>
        <w:rPr>
          <w:rFonts w:hint="eastAsia" w:ascii="宋体" w:hAnsi="宋体" w:eastAsia="宋体"/>
          <w:i w:val="0"/>
          <w:iCs w:val="0"/>
          <w:color w:val="auto"/>
          <w:highlight w:val="none"/>
          <w:lang w:val="en-US" w:eastAsia="zh-CN"/>
        </w:rPr>
        <w:t>3供应商</w:t>
      </w:r>
      <w:r>
        <w:rPr>
          <w:rFonts w:hint="eastAsia" w:ascii="宋体" w:hAnsi="宋体" w:eastAsia="宋体"/>
          <w:i w:val="0"/>
          <w:iCs w:val="0"/>
          <w:color w:val="auto"/>
          <w:highlight w:val="none"/>
        </w:rPr>
        <w:t>应详细阅读</w:t>
      </w:r>
      <w:r>
        <w:rPr>
          <w:rFonts w:hint="eastAsia"/>
          <w:i w:val="0"/>
          <w:iCs w:val="0"/>
          <w:color w:val="auto"/>
          <w:highlight w:val="none"/>
          <w:lang w:val="en-US" w:eastAsia="zh-CN"/>
        </w:rPr>
        <w:t>竞争性磋商</w:t>
      </w:r>
      <w:r>
        <w:rPr>
          <w:rFonts w:hint="eastAsia" w:ascii="宋体" w:hAnsi="宋体" w:eastAsia="宋体"/>
          <w:i w:val="0"/>
          <w:iCs w:val="0"/>
          <w:color w:val="auto"/>
          <w:highlight w:val="none"/>
        </w:rPr>
        <w:t>文件的全部内容。</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文件须对</w:t>
      </w:r>
      <w:r>
        <w:rPr>
          <w:rFonts w:hint="eastAsia"/>
          <w:i w:val="0"/>
          <w:iCs w:val="0"/>
          <w:color w:val="auto"/>
          <w:highlight w:val="none"/>
          <w:lang w:val="en-US" w:eastAsia="zh-CN"/>
        </w:rPr>
        <w:t>竞争性磋商</w:t>
      </w:r>
      <w:r>
        <w:rPr>
          <w:rFonts w:hint="eastAsia" w:ascii="宋体" w:hAnsi="宋体" w:eastAsia="宋体"/>
          <w:i w:val="0"/>
          <w:iCs w:val="0"/>
          <w:color w:val="auto"/>
          <w:highlight w:val="none"/>
        </w:rPr>
        <w:t>文件中的内容作出实质性和完整的响应，如果</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文件填报的内容不详，或没有提供</w:t>
      </w:r>
      <w:r>
        <w:rPr>
          <w:rFonts w:hint="eastAsia"/>
          <w:i w:val="0"/>
          <w:iCs w:val="0"/>
          <w:color w:val="auto"/>
          <w:highlight w:val="none"/>
          <w:lang w:val="en-US" w:eastAsia="zh-CN"/>
        </w:rPr>
        <w:t>竞争性磋商</w:t>
      </w:r>
      <w:r>
        <w:rPr>
          <w:rFonts w:hint="eastAsia" w:ascii="宋体" w:hAnsi="宋体" w:eastAsia="宋体"/>
          <w:i w:val="0"/>
          <w:iCs w:val="0"/>
          <w:color w:val="auto"/>
          <w:highlight w:val="none"/>
        </w:rPr>
        <w:t>文件中所要求的全部资料及数据，</w:t>
      </w:r>
      <w:r>
        <w:rPr>
          <w:rFonts w:hint="eastAsia" w:ascii="宋体" w:hAnsi="宋体" w:eastAsia="宋体"/>
          <w:b w:val="0"/>
          <w:bCs w:val="0"/>
          <w:i w:val="0"/>
          <w:iCs w:val="0"/>
          <w:color w:val="auto"/>
          <w:highlight w:val="none"/>
        </w:rPr>
        <w:t>将可能</w:t>
      </w:r>
      <w:r>
        <w:rPr>
          <w:rFonts w:hint="eastAsia" w:ascii="宋体" w:hAnsi="宋体" w:eastAsia="宋体"/>
          <w:b/>
          <w:bCs/>
          <w:i w:val="0"/>
          <w:iCs w:val="0"/>
          <w:color w:val="auto"/>
          <w:highlight w:val="none"/>
        </w:rPr>
        <w:t>导致</w:t>
      </w:r>
      <w:r>
        <w:rPr>
          <w:rFonts w:hint="eastAsia"/>
          <w:b/>
          <w:bCs/>
          <w:i w:val="0"/>
          <w:iCs w:val="0"/>
          <w:color w:val="auto"/>
          <w:highlight w:val="none"/>
          <w:lang w:val="en-US" w:eastAsia="zh-CN"/>
        </w:rPr>
        <w:t>其</w:t>
      </w:r>
      <w:r>
        <w:rPr>
          <w:rFonts w:hint="eastAsia"/>
          <w:b/>
          <w:bCs/>
          <w:i w:val="0"/>
          <w:iCs w:val="0"/>
          <w:color w:val="auto"/>
          <w:highlight w:val="none"/>
          <w:lang w:eastAsia="zh-CN"/>
        </w:rPr>
        <w:t>响应</w:t>
      </w:r>
      <w:r>
        <w:rPr>
          <w:rFonts w:hint="eastAsia"/>
          <w:b/>
          <w:bCs/>
          <w:i w:val="0"/>
          <w:iCs w:val="0"/>
          <w:color w:val="auto"/>
          <w:highlight w:val="none"/>
          <w:lang w:val="en-US" w:eastAsia="zh-CN"/>
        </w:rPr>
        <w:t>无效</w:t>
      </w:r>
      <w:r>
        <w:rPr>
          <w:rFonts w:hint="eastAsia" w:ascii="宋体" w:hAnsi="宋体" w:eastAsia="宋体"/>
          <w:i w:val="0"/>
          <w:iCs w:val="0"/>
          <w:color w:val="auto"/>
          <w:highlight w:val="none"/>
        </w:rPr>
        <w:t>。</w:t>
      </w:r>
    </w:p>
    <w:p w14:paraId="2084E86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rPr>
        <w:t>.</w:t>
      </w:r>
      <w:r>
        <w:rPr>
          <w:rFonts w:hint="eastAsia" w:ascii="宋体" w:hAnsi="宋体" w:eastAsia="宋体"/>
          <w:i w:val="0"/>
          <w:iCs w:val="0"/>
          <w:color w:val="auto"/>
          <w:highlight w:val="none"/>
          <w:lang w:val="en-US" w:eastAsia="zh-CN"/>
        </w:rPr>
        <w:t>4响应</w:t>
      </w:r>
      <w:r>
        <w:rPr>
          <w:rFonts w:hint="eastAsia" w:ascii="宋体" w:hAnsi="宋体" w:eastAsia="宋体"/>
          <w:i w:val="0"/>
          <w:iCs w:val="0"/>
          <w:color w:val="auto"/>
          <w:highlight w:val="none"/>
        </w:rPr>
        <w:t>文件须严格按照</w:t>
      </w:r>
      <w:r>
        <w:rPr>
          <w:rFonts w:hint="eastAsia" w:ascii="宋体" w:hAnsi="宋体" w:eastAsia="宋体"/>
          <w:i w:val="0"/>
          <w:iCs w:val="0"/>
          <w:color w:val="auto"/>
          <w:highlight w:val="none"/>
          <w:lang w:val="en-US" w:eastAsia="zh-CN"/>
        </w:rPr>
        <w:t>本竞争性磋商</w:t>
      </w:r>
      <w:r>
        <w:rPr>
          <w:rFonts w:hint="eastAsia" w:ascii="宋体" w:hAnsi="宋体" w:eastAsia="宋体"/>
          <w:i w:val="0"/>
          <w:iCs w:val="0"/>
          <w:color w:val="auto"/>
          <w:highlight w:val="none"/>
        </w:rPr>
        <w:t>文件第</w:t>
      </w:r>
      <w:r>
        <w:rPr>
          <w:rFonts w:hint="eastAsia" w:ascii="宋体" w:hAnsi="宋体" w:eastAsia="宋体"/>
          <w:i w:val="0"/>
          <w:iCs w:val="0"/>
          <w:color w:val="auto"/>
          <w:highlight w:val="none"/>
          <w:lang w:val="en-US" w:eastAsia="zh-CN"/>
        </w:rPr>
        <w:t>六章</w:t>
      </w:r>
      <w:r>
        <w:rPr>
          <w:rFonts w:hint="eastAsia" w:ascii="宋体" w:hAnsi="宋体" w:eastAsia="宋体"/>
          <w:i w:val="0"/>
          <w:iCs w:val="0"/>
          <w:color w:val="auto"/>
          <w:highlight w:val="none"/>
        </w:rPr>
        <w:t>规定的格式提交，并按规定的统一格式逐项填写，不准有空项；无相应内容可填的项，应填写“无”、“未测试”、“没有相应指标”等明确的回答文字。由于编排混乱导致</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文件被误读或查找不到，其责任由</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承担。</w:t>
      </w:r>
    </w:p>
    <w:p w14:paraId="71265CA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rPr>
        <w:t>.</w:t>
      </w:r>
      <w:r>
        <w:rPr>
          <w:rFonts w:hint="eastAsia" w:ascii="宋体" w:hAnsi="宋体" w:eastAsia="宋体"/>
          <w:i w:val="0"/>
          <w:iCs w:val="0"/>
          <w:color w:val="auto"/>
          <w:highlight w:val="none"/>
          <w:lang w:val="en-US" w:eastAsia="zh-CN"/>
        </w:rPr>
        <w:t>5供应商</w:t>
      </w:r>
      <w:r>
        <w:rPr>
          <w:rFonts w:hint="eastAsia" w:ascii="宋体" w:hAnsi="宋体" w:eastAsia="宋体"/>
          <w:i w:val="0"/>
          <w:iCs w:val="0"/>
          <w:color w:val="auto"/>
          <w:highlight w:val="none"/>
        </w:rPr>
        <w:t>须注意：为合理节约政府采购评审成本，提倡诚实信用的</w:t>
      </w:r>
      <w:r>
        <w:rPr>
          <w:rFonts w:hint="eastAsia" w:ascii="宋体" w:hAnsi="宋体" w:eastAsia="宋体"/>
          <w:i w:val="0"/>
          <w:iCs w:val="0"/>
          <w:color w:val="auto"/>
          <w:highlight w:val="none"/>
          <w:lang w:val="en-US" w:eastAsia="zh-CN"/>
        </w:rPr>
        <w:t>磋商</w:t>
      </w:r>
      <w:r>
        <w:rPr>
          <w:rFonts w:hint="eastAsia" w:ascii="宋体" w:hAnsi="宋体" w:eastAsia="宋体"/>
          <w:i w:val="0"/>
          <w:iCs w:val="0"/>
          <w:color w:val="auto"/>
          <w:highlight w:val="none"/>
        </w:rPr>
        <w:t>行为，特别要求</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应本着诚信精神，在本次</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文件的偏离表中，均以审慎的态度明确、清楚地披露各项偏离。若</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对某一事项是否存在或是否属于偏离不能确定，亦必须在偏离表中清楚地表明该偏离事项，并可以注明不能确定的字样。任何情况下，对于</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没有在偏离表中明确、清楚地披露的事项，包括可能属于被</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在偏离表中遗漏披露的事项，一旦在评审中被发现存在偏离或被认定为属于偏离，则评</w:t>
      </w:r>
      <w:r>
        <w:rPr>
          <w:rFonts w:hint="eastAsia" w:ascii="宋体" w:hAnsi="宋体" w:eastAsia="宋体"/>
          <w:i w:val="0"/>
          <w:iCs w:val="0"/>
          <w:color w:val="auto"/>
          <w:highlight w:val="none"/>
          <w:lang w:val="en-US" w:eastAsia="zh-CN"/>
        </w:rPr>
        <w:t>审</w:t>
      </w:r>
      <w:r>
        <w:rPr>
          <w:rFonts w:hint="eastAsia" w:ascii="宋体" w:hAnsi="宋体" w:eastAsia="宋体"/>
          <w:i w:val="0"/>
          <w:iCs w:val="0"/>
          <w:color w:val="auto"/>
          <w:highlight w:val="none"/>
        </w:rPr>
        <w:t>委员会有权视具体情形评审时予以处理，</w:t>
      </w:r>
      <w:r>
        <w:rPr>
          <w:rFonts w:hint="eastAsia" w:ascii="宋体" w:hAnsi="宋体" w:eastAsia="宋体"/>
          <w:b/>
          <w:bCs/>
          <w:i w:val="0"/>
          <w:iCs w:val="0"/>
          <w:color w:val="auto"/>
          <w:highlight w:val="none"/>
        </w:rPr>
        <w:t>将可能导致</w:t>
      </w:r>
      <w:r>
        <w:rPr>
          <w:rFonts w:hint="eastAsia"/>
          <w:b/>
          <w:bCs/>
          <w:i w:val="0"/>
          <w:iCs w:val="0"/>
          <w:color w:val="auto"/>
          <w:highlight w:val="none"/>
          <w:lang w:eastAsia="zh-CN"/>
        </w:rPr>
        <w:t>响应</w:t>
      </w:r>
      <w:r>
        <w:rPr>
          <w:rFonts w:hint="eastAsia"/>
          <w:b/>
          <w:bCs/>
          <w:i w:val="0"/>
          <w:iCs w:val="0"/>
          <w:color w:val="auto"/>
          <w:highlight w:val="none"/>
          <w:lang w:val="en-US" w:eastAsia="zh-CN"/>
        </w:rPr>
        <w:t>无效</w:t>
      </w:r>
      <w:r>
        <w:rPr>
          <w:rFonts w:hint="eastAsia" w:ascii="宋体" w:hAnsi="宋体" w:eastAsia="宋体"/>
          <w:i w:val="0"/>
          <w:iCs w:val="0"/>
          <w:color w:val="auto"/>
          <w:highlight w:val="none"/>
        </w:rPr>
        <w:t>。</w:t>
      </w:r>
    </w:p>
    <w:p w14:paraId="76CE475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rPr>
        <w:t>.</w:t>
      </w:r>
      <w:r>
        <w:rPr>
          <w:rFonts w:hint="eastAsia"/>
          <w:i w:val="0"/>
          <w:iCs w:val="0"/>
          <w:color w:val="auto"/>
          <w:highlight w:val="none"/>
          <w:lang w:val="en-US" w:eastAsia="zh-CN"/>
        </w:rPr>
        <w:t>6</w:t>
      </w:r>
      <w:r>
        <w:rPr>
          <w:rFonts w:hint="eastAsia" w:ascii="宋体" w:hAnsi="宋体" w:eastAsia="宋体"/>
          <w:i w:val="0"/>
          <w:iCs w:val="0"/>
          <w:color w:val="auto"/>
          <w:highlight w:val="none"/>
          <w:lang w:val="en-US" w:eastAsia="zh-CN"/>
        </w:rPr>
        <w:t>供应商</w:t>
      </w:r>
      <w:r>
        <w:rPr>
          <w:rFonts w:hint="eastAsia" w:ascii="宋体" w:hAnsi="宋体" w:eastAsia="宋体"/>
          <w:i w:val="0"/>
          <w:iCs w:val="0"/>
          <w:color w:val="auto"/>
          <w:highlight w:val="none"/>
        </w:rPr>
        <w:t>必须保证</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文件所提供的全部资料</w:t>
      </w:r>
      <w:r>
        <w:rPr>
          <w:rFonts w:hint="eastAsia"/>
          <w:i w:val="0"/>
          <w:iCs w:val="0"/>
          <w:color w:val="auto"/>
          <w:highlight w:val="none"/>
          <w:lang w:eastAsia="zh-CN"/>
        </w:rPr>
        <w:t>合法、</w:t>
      </w:r>
      <w:r>
        <w:rPr>
          <w:rFonts w:hint="eastAsia" w:ascii="宋体" w:hAnsi="宋体" w:eastAsia="宋体"/>
          <w:i w:val="0"/>
          <w:iCs w:val="0"/>
          <w:color w:val="auto"/>
          <w:highlight w:val="none"/>
        </w:rPr>
        <w:t>真实可靠，并接受采购</w:t>
      </w:r>
      <w:r>
        <w:rPr>
          <w:rFonts w:hint="eastAsia" w:ascii="宋体" w:hAnsi="宋体" w:eastAsia="宋体"/>
          <w:i w:val="0"/>
          <w:iCs w:val="0"/>
          <w:color w:val="auto"/>
          <w:highlight w:val="none"/>
          <w:lang w:val="en-US" w:eastAsia="zh-CN"/>
        </w:rPr>
        <w:t>人、采购</w:t>
      </w:r>
      <w:r>
        <w:rPr>
          <w:rFonts w:hint="eastAsia" w:ascii="宋体" w:hAnsi="宋体" w:eastAsia="宋体"/>
          <w:i w:val="0"/>
          <w:iCs w:val="0"/>
          <w:color w:val="auto"/>
          <w:highlight w:val="none"/>
        </w:rPr>
        <w:t>代理机构或评</w:t>
      </w:r>
      <w:r>
        <w:rPr>
          <w:rFonts w:hint="eastAsia" w:ascii="宋体" w:hAnsi="宋体" w:eastAsia="宋体"/>
          <w:i w:val="0"/>
          <w:iCs w:val="0"/>
          <w:color w:val="auto"/>
          <w:highlight w:val="none"/>
          <w:lang w:val="en-US" w:eastAsia="zh-CN"/>
        </w:rPr>
        <w:t>审</w:t>
      </w:r>
      <w:r>
        <w:rPr>
          <w:rFonts w:hint="eastAsia" w:ascii="宋体" w:hAnsi="宋体" w:eastAsia="宋体"/>
          <w:i w:val="0"/>
          <w:iCs w:val="0"/>
          <w:color w:val="auto"/>
          <w:highlight w:val="none"/>
        </w:rPr>
        <w:t>委员会对其中任何资料进一步审查的要求。</w:t>
      </w:r>
    </w:p>
    <w:p w14:paraId="4AA7F60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rPr>
        <w:t>.</w:t>
      </w:r>
      <w:r>
        <w:rPr>
          <w:rFonts w:hint="eastAsia" w:ascii="宋体" w:hAnsi="宋体" w:eastAsia="宋体"/>
          <w:i w:val="0"/>
          <w:iCs w:val="0"/>
          <w:color w:val="auto"/>
          <w:highlight w:val="none"/>
          <w:lang w:val="en-US" w:eastAsia="zh-CN"/>
        </w:rPr>
        <w:t>7供应商</w:t>
      </w:r>
      <w:r>
        <w:rPr>
          <w:rFonts w:hint="eastAsia" w:ascii="宋体" w:hAnsi="宋体" w:eastAsia="宋体"/>
          <w:i w:val="0"/>
          <w:iCs w:val="0"/>
          <w:color w:val="auto"/>
          <w:highlight w:val="none"/>
        </w:rPr>
        <w:t>在</w:t>
      </w:r>
      <w:r>
        <w:rPr>
          <w:rFonts w:hint="eastAsia" w:ascii="宋体" w:hAnsi="宋体" w:eastAsia="宋体"/>
          <w:i w:val="0"/>
          <w:iCs w:val="0"/>
          <w:color w:val="auto"/>
          <w:highlight w:val="none"/>
          <w:lang w:val="en-US" w:eastAsia="zh-CN"/>
        </w:rPr>
        <w:t>响应</w:t>
      </w:r>
      <w:r>
        <w:rPr>
          <w:rFonts w:hint="eastAsia" w:ascii="宋体" w:hAnsi="宋体" w:eastAsia="宋体"/>
          <w:i w:val="0"/>
          <w:iCs w:val="0"/>
          <w:color w:val="auto"/>
          <w:highlight w:val="none"/>
        </w:rPr>
        <w:t>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b/>
          <w:bCs/>
          <w:i w:val="0"/>
          <w:iCs w:val="0"/>
          <w:color w:val="auto"/>
          <w:highlight w:val="none"/>
        </w:rPr>
        <w:t>无效</w:t>
      </w:r>
      <w:r>
        <w:rPr>
          <w:rFonts w:hint="eastAsia" w:ascii="宋体" w:hAnsi="宋体" w:eastAsia="宋体"/>
          <w:b/>
          <w:bCs/>
          <w:i w:val="0"/>
          <w:iCs w:val="0"/>
          <w:color w:val="auto"/>
          <w:highlight w:val="none"/>
          <w:lang w:val="en-US" w:eastAsia="zh-CN"/>
        </w:rPr>
        <w:t>响应</w:t>
      </w:r>
      <w:r>
        <w:rPr>
          <w:rFonts w:hint="eastAsia" w:ascii="宋体" w:hAnsi="宋体" w:eastAsia="宋体"/>
          <w:i w:val="0"/>
          <w:iCs w:val="0"/>
          <w:color w:val="auto"/>
          <w:highlight w:val="none"/>
        </w:rPr>
        <w:t>处理。</w:t>
      </w:r>
    </w:p>
    <w:p w14:paraId="1479B75C">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16.8电子响应文件的编制</w:t>
      </w:r>
    </w:p>
    <w:p w14:paraId="4E46BA5E">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14:paraId="1D4C561F">
      <w:pPr>
        <w:keepNext w:val="0"/>
        <w:keepLines w:val="0"/>
        <w:pageBreakBefore w:val="0"/>
        <w:widowControl w:val="0"/>
        <w:kinsoku/>
        <w:overflowPunct/>
        <w:topLinePunct w:val="0"/>
        <w:bidi w:val="0"/>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16.</w:t>
      </w:r>
      <w:r>
        <w:rPr>
          <w:rFonts w:hint="eastAsia" w:cstheme="minorBidi"/>
          <w:i w:val="0"/>
          <w:iCs w:val="0"/>
          <w:color w:val="auto"/>
          <w:kern w:val="2"/>
          <w:sz w:val="24"/>
          <w:szCs w:val="22"/>
          <w:highlight w:val="none"/>
          <w:shd w:val="clear" w:color="auto" w:fill="FFFFFF" w:themeFill="background1"/>
          <w:lang w:val="en-US" w:eastAsia="zh-CN" w:bidi="ar-SA"/>
        </w:rPr>
        <w:t>8</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w:t>
      </w:r>
      <w:r>
        <w:rPr>
          <w:rFonts w:hint="eastAsia" w:cstheme="minorBidi"/>
          <w:i w:val="0"/>
          <w:iCs w:val="0"/>
          <w:color w:val="auto"/>
          <w:kern w:val="2"/>
          <w:sz w:val="24"/>
          <w:szCs w:val="22"/>
          <w:highlight w:val="none"/>
          <w:shd w:val="clear" w:color="auto" w:fill="FFFFFF" w:themeFill="background1"/>
          <w:lang w:val="en-US" w:eastAsia="zh-CN" w:bidi="ar-SA"/>
        </w:rPr>
        <w:t>被</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视为无效响应文件，</w:t>
      </w:r>
      <w:r>
        <w:rPr>
          <w:rFonts w:hint="eastAsia" w:ascii="宋体" w:hAnsi="宋体" w:eastAsia="宋体" w:cstheme="minorBidi"/>
          <w:b/>
          <w:bCs/>
          <w:i w:val="0"/>
          <w:iCs w:val="0"/>
          <w:color w:val="auto"/>
          <w:kern w:val="2"/>
          <w:sz w:val="24"/>
          <w:szCs w:val="22"/>
          <w:highlight w:val="none"/>
          <w:shd w:val="clear" w:color="auto" w:fill="FFFFFF" w:themeFill="background1"/>
          <w:lang w:val="en-US" w:eastAsia="zh-CN" w:bidi="ar-SA"/>
        </w:rPr>
        <w:t>其响应无效</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w:t>
      </w:r>
    </w:p>
    <w:p w14:paraId="7285275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53" w:name="_Toc109897453"/>
      <w:bookmarkStart w:id="254" w:name="_Toc470172684"/>
      <w:bookmarkStart w:id="255" w:name="_Toc109899971"/>
      <w:bookmarkStart w:id="256" w:name="_Toc46771659"/>
      <w:bookmarkStart w:id="257" w:name="_Toc109900390"/>
      <w:bookmarkStart w:id="258" w:name="_Toc109899552"/>
      <w:bookmarkStart w:id="259" w:name="_Toc24738"/>
      <w:bookmarkStart w:id="260" w:name="_Toc163493614"/>
      <w:r>
        <w:rPr>
          <w:rFonts w:hint="eastAsia" w:ascii="宋体" w:hAnsi="宋体" w:eastAsia="宋体" w:cs="宋体"/>
          <w:b/>
          <w:bCs/>
          <w:color w:val="auto"/>
          <w:kern w:val="2"/>
          <w:sz w:val="24"/>
          <w:szCs w:val="24"/>
          <w:highlight w:val="none"/>
          <w:lang w:val="en-US" w:eastAsia="zh-CN" w:bidi="ar-SA"/>
        </w:rPr>
        <w:t>（四）响应文件的</w:t>
      </w:r>
      <w:bookmarkEnd w:id="253"/>
      <w:bookmarkEnd w:id="254"/>
      <w:bookmarkEnd w:id="255"/>
      <w:bookmarkEnd w:id="256"/>
      <w:bookmarkEnd w:id="257"/>
      <w:bookmarkEnd w:id="258"/>
      <w:r>
        <w:rPr>
          <w:rFonts w:hint="eastAsia" w:ascii="宋体" w:hAnsi="宋体" w:eastAsia="宋体" w:cs="宋体"/>
          <w:b/>
          <w:bCs/>
          <w:color w:val="auto"/>
          <w:kern w:val="2"/>
          <w:sz w:val="24"/>
          <w:szCs w:val="24"/>
          <w:highlight w:val="none"/>
          <w:lang w:val="en-US" w:eastAsia="zh-CN" w:bidi="ar-SA"/>
        </w:rPr>
        <w:t>递交</w:t>
      </w:r>
      <w:bookmarkEnd w:id="259"/>
      <w:bookmarkEnd w:id="260"/>
    </w:p>
    <w:p w14:paraId="0181012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61" w:name="_Toc109899651"/>
      <w:bookmarkStart w:id="262" w:name="_Toc109900489"/>
      <w:bookmarkStart w:id="263" w:name="_Toc109900070"/>
      <w:bookmarkStart w:id="264" w:name="_Toc109897552"/>
      <w:bookmarkStart w:id="265" w:name="_Toc156490296"/>
      <w:bookmarkStart w:id="266" w:name="_Toc155095707"/>
      <w:bookmarkStart w:id="267" w:name="_Toc109900490"/>
      <w:bookmarkStart w:id="268" w:name="_Toc109897553"/>
      <w:bookmarkStart w:id="269" w:name="_Toc109900071"/>
      <w:bookmarkStart w:id="270" w:name="_Toc109899652"/>
      <w:bookmarkStart w:id="271" w:name="_Toc156490297"/>
      <w:bookmarkStart w:id="272" w:name="_Toc155095708"/>
      <w:r>
        <w:rPr>
          <w:rFonts w:hint="eastAsia" w:ascii="宋体" w:hAnsi="宋体" w:eastAsia="宋体" w:cs="宋体"/>
          <w:b/>
          <w:bCs/>
          <w:color w:val="auto"/>
          <w:kern w:val="2"/>
          <w:sz w:val="24"/>
          <w:szCs w:val="24"/>
          <w:highlight w:val="none"/>
          <w:lang w:val="en-US" w:eastAsia="zh-CN" w:bidi="ar-SA"/>
        </w:rPr>
        <w:t>17.磋商保证金</w:t>
      </w:r>
    </w:p>
    <w:p w14:paraId="73827BBE">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17.1供应商应按照竞争性磋商文件“供应商须知前附表”规定的金额及要求交纳磋商保证金。供应商自愿超额缴纳磋商保证金的，响应文件不做无效处理。</w:t>
      </w:r>
    </w:p>
    <w:p w14:paraId="597B8774">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theme="minorBidi"/>
          <w:b/>
          <w:bCs/>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17.2交纳磋商保证金可采用的形式：政府采购法律法规接受的支票、汇票、本票、网上银行支付或者金融机构、担保机构出具的保函等非现金形式。未按</w:t>
      </w:r>
      <w:r>
        <w:rPr>
          <w:rFonts w:hint="eastAsia" w:cstheme="minorBidi"/>
          <w:i w:val="0"/>
          <w:iCs w:val="0"/>
          <w:color w:val="auto"/>
          <w:kern w:val="2"/>
          <w:sz w:val="24"/>
          <w:szCs w:val="22"/>
          <w:highlight w:val="none"/>
          <w:shd w:val="clear" w:color="auto" w:fill="FFFFFF" w:themeFill="background1"/>
          <w:lang w:val="en-US" w:eastAsia="zh-CN" w:bidi="ar-SA"/>
        </w:rPr>
        <w:t>磋商文件</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要求提交磋商保证金的，</w:t>
      </w:r>
      <w:r>
        <w:rPr>
          <w:rFonts w:hint="eastAsia" w:cstheme="minorBidi"/>
          <w:i w:val="0"/>
          <w:iCs w:val="0"/>
          <w:color w:val="auto"/>
          <w:kern w:val="2"/>
          <w:sz w:val="24"/>
          <w:szCs w:val="22"/>
          <w:highlight w:val="none"/>
          <w:shd w:val="clear" w:color="auto" w:fill="FFFFFF" w:themeFill="background1"/>
          <w:lang w:val="en-US" w:eastAsia="zh-CN" w:bidi="ar-SA"/>
        </w:rPr>
        <w:t>其</w:t>
      </w:r>
      <w:r>
        <w:rPr>
          <w:rFonts w:hint="eastAsia" w:ascii="宋体" w:hAnsi="宋体" w:eastAsia="宋体" w:cstheme="minorBidi"/>
          <w:b/>
          <w:bCs/>
          <w:i w:val="0"/>
          <w:iCs w:val="0"/>
          <w:color w:val="auto"/>
          <w:kern w:val="2"/>
          <w:sz w:val="24"/>
          <w:szCs w:val="22"/>
          <w:highlight w:val="none"/>
          <w:shd w:val="clear" w:color="auto" w:fill="FFFFFF" w:themeFill="background1"/>
          <w:lang w:val="en-US" w:eastAsia="zh-CN" w:bidi="ar-SA"/>
        </w:rPr>
        <w:t>响应无效。</w:t>
      </w:r>
      <w:r>
        <w:rPr>
          <w:rFonts w:hint="eastAsia"/>
          <w:i w:val="0"/>
          <w:iCs w:val="0"/>
          <w:color w:val="auto"/>
          <w:highlight w:val="none"/>
          <w:lang w:val="en-US" w:eastAsia="zh-CN"/>
        </w:rPr>
        <w:t>磋商保证金有效期同响应文件有效期。</w:t>
      </w:r>
    </w:p>
    <w:p w14:paraId="2C5506AD">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件扫描后作为响应文件的组成部分与响应文件一起上传。由于到账时间晚于响应文件递交截止时间，或者票据错误、印鉴不清等原因导致不能到账的</w:t>
      </w:r>
      <w:r>
        <w:rPr>
          <w:rFonts w:hint="eastAsia" w:ascii="宋体" w:hAnsi="宋体" w:eastAsia="宋体" w:cstheme="minorBidi"/>
          <w:b w:val="0"/>
          <w:bCs w:val="0"/>
          <w:i w:val="0"/>
          <w:iCs w:val="0"/>
          <w:color w:val="auto"/>
          <w:kern w:val="2"/>
          <w:sz w:val="24"/>
          <w:szCs w:val="22"/>
          <w:highlight w:val="none"/>
          <w:shd w:val="clear" w:color="auto" w:fill="FFFFFF" w:themeFill="background1"/>
          <w:lang w:val="en-US" w:eastAsia="zh-CN" w:bidi="ar-SA"/>
        </w:rPr>
        <w:t>，</w:t>
      </w:r>
      <w:r>
        <w:rPr>
          <w:rFonts w:hint="eastAsia" w:ascii="宋体" w:hAnsi="宋体" w:eastAsia="宋体" w:cstheme="minorBidi"/>
          <w:b/>
          <w:bCs/>
          <w:i w:val="0"/>
          <w:iCs w:val="0"/>
          <w:color w:val="auto"/>
          <w:kern w:val="2"/>
          <w:sz w:val="24"/>
          <w:szCs w:val="22"/>
          <w:highlight w:val="none"/>
          <w:shd w:val="clear" w:color="auto" w:fill="FFFFFF" w:themeFill="background1"/>
          <w:lang w:val="en-US" w:eastAsia="zh-CN" w:bidi="ar-SA"/>
        </w:rPr>
        <w:t>其响应无效。</w:t>
      </w:r>
    </w:p>
    <w:p w14:paraId="4AA52D7E">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1</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7</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4</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 </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供应商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为联合体的，可以由联合体中的一方或者多方共同交纳</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保证金，其交纳的</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保证金对联合体各方均具有约束力。</w:t>
      </w:r>
    </w:p>
    <w:p w14:paraId="25D6B141">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17.5</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采购人或者采购代理机构应当在采购活动结束后及时退还供应商的磋商保证金，采用银行保函、担保机构担保函等形式递交的</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保证金，经</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供应商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同意后采购人、采购代理机构可以不再退还，但因供应商自身原因导致无法及时退还的除外。未成交供应商的磋商保证金应当自</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成交</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通知书发出之日起 5 个工作日内退还，成交供应商的磋商保证金应当自采购合同签订之日起 5 个工作日内退还。 </w:t>
      </w:r>
    </w:p>
    <w:p w14:paraId="48C6EAF6">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1</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7</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6</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 </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供应商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在</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响应文件递交</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截止时间前撤回已</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提</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交的</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响应</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文件的，自收到</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供应商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书面撤回通知之日起 5 个工作日内，退还已收取的</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保证金，但因</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供应商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自身原因导致无法及时退还的除外</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 </w:t>
      </w:r>
    </w:p>
    <w:p w14:paraId="6C0BF0B3">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1</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7</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7</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 终止</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磋商的</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项目已经收取</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保证金的，自终止采购活动后5个工作日内退还已收取的</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磋商</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保证金及其在银行产生的孳息。</w:t>
      </w:r>
    </w:p>
    <w:p w14:paraId="4DB32745">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有下列情形之一的，磋商保证金不予退还</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w:t>
      </w:r>
      <w:r>
        <w:rPr>
          <w:rFonts w:hint="eastAsia" w:ascii="宋体" w:hAnsi="宋体" w:eastAsia="宋体" w:cs="宋体"/>
          <w:i w:val="0"/>
          <w:iCs w:val="0"/>
          <w:color w:val="auto"/>
          <w:kern w:val="2"/>
          <w:sz w:val="24"/>
          <w:szCs w:val="22"/>
          <w:highlight w:val="none"/>
        </w:rPr>
        <w:t>情节严重的将其列入不良记录名单</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 </w:t>
      </w:r>
    </w:p>
    <w:p w14:paraId="5C9DB4AF">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17.8.1</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供应商在提交响应文件截止时间后撤回响应文件的； </w:t>
      </w:r>
    </w:p>
    <w:p w14:paraId="6F6CEDEA">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17.8.2</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供应商在响应文件中提供虚假材料的； </w:t>
      </w:r>
    </w:p>
    <w:p w14:paraId="5E5A9216">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17.8.3</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除因不可抗力或磋商文件认可的情形以外，成交供应商不与采购人签订合同的； </w:t>
      </w:r>
    </w:p>
    <w:p w14:paraId="32224D53">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17.8.4</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 xml:space="preserve">供应商与采购人、其他供应商或者采购代理机构恶意串通的； </w:t>
      </w:r>
    </w:p>
    <w:p w14:paraId="224A39E4">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17.8.5</w:t>
      </w:r>
      <w:r>
        <w:rPr>
          <w:rFonts w:hint="default" w:ascii="宋体" w:hAnsi="宋体" w:eastAsia="宋体" w:cstheme="minorBidi"/>
          <w:i w:val="0"/>
          <w:iCs w:val="0"/>
          <w:color w:val="auto"/>
          <w:kern w:val="2"/>
          <w:sz w:val="24"/>
          <w:szCs w:val="22"/>
          <w:highlight w:val="none"/>
          <w:shd w:val="clear" w:color="auto" w:fill="FFFFFF" w:themeFill="background1"/>
          <w:lang w:val="en-US" w:eastAsia="zh-CN" w:bidi="ar-SA"/>
        </w:rPr>
        <w:t>磋商文件规定的其他</w:t>
      </w: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情形。</w:t>
      </w:r>
    </w:p>
    <w:p w14:paraId="69CC8DC7">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17.9如开启时供应商对本单位磋商保证金缴纳情况有疑义，供应商应在开启结束前向采购人提交书面申请核实保证金缴纳情况。由银行或保险公司核实后出具书面材料予以答复。</w:t>
      </w:r>
    </w:p>
    <w:p w14:paraId="7018BCE4">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新疆政府采购网”—顶部通栏“信用融资”或者“新疆政府采购网”首页“政采贷｜电子保函”快捷模块查看：</w:t>
      </w:r>
    </w:p>
    <w:p w14:paraId="1F3A8C5E">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直达链接（电子保函）：</w:t>
      </w:r>
    </w:p>
    <w:p w14:paraId="15E30E92">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5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pPr>
      <w:r>
        <w:rPr>
          <w:rFonts w:hint="eastAsia" w:ascii="宋体" w:hAnsi="宋体" w:eastAsia="宋体" w:cstheme="minorBidi"/>
          <w:i w:val="0"/>
          <w:iCs w:val="0"/>
          <w:color w:val="auto"/>
          <w:kern w:val="2"/>
          <w:sz w:val="24"/>
          <w:szCs w:val="22"/>
          <w:highlight w:val="none"/>
          <w:shd w:val="clear" w:color="auto" w:fill="FFFFFF" w:themeFill="background1"/>
          <w:lang w:val="en-US" w:eastAsia="zh-CN" w:bidi="ar-SA"/>
        </w:rPr>
        <w:t xml:space="preserve">金融服务支撑热线：0991-2661159     </w:t>
      </w:r>
    </w:p>
    <w:p w14:paraId="784B786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18.响应文件的</w:t>
      </w:r>
      <w:bookmarkEnd w:id="261"/>
      <w:bookmarkEnd w:id="262"/>
      <w:bookmarkEnd w:id="263"/>
      <w:bookmarkEnd w:id="264"/>
      <w:r>
        <w:rPr>
          <w:rFonts w:hint="eastAsia" w:ascii="宋体" w:hAnsi="宋体" w:eastAsia="宋体" w:cs="宋体"/>
          <w:b/>
          <w:bCs/>
          <w:color w:val="auto"/>
          <w:kern w:val="2"/>
          <w:sz w:val="24"/>
          <w:szCs w:val="24"/>
          <w:highlight w:val="none"/>
          <w:lang w:val="en-US" w:eastAsia="zh-CN" w:bidi="ar-SA"/>
        </w:rPr>
        <w:t>加密</w:t>
      </w:r>
      <w:bookmarkEnd w:id="265"/>
      <w:bookmarkEnd w:id="266"/>
    </w:p>
    <w:p w14:paraId="105C769D">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i w:val="0"/>
          <w:iCs w:val="0"/>
          <w:snapToGrid w:val="0"/>
          <w:color w:val="auto"/>
          <w:highlight w:val="none"/>
          <w:lang w:val="zh-CN"/>
        </w:rPr>
        <w:t xml:space="preserve">18.1 </w:t>
      </w:r>
      <w:r>
        <w:rPr>
          <w:rFonts w:hint="eastAsia"/>
          <w:i w:val="0"/>
          <w:iCs w:val="0"/>
          <w:snapToGrid w:val="0"/>
          <w:color w:val="auto"/>
          <w:highlight w:val="none"/>
          <w:lang w:val="zh-CN"/>
        </w:rPr>
        <w:t>供应商在供应商客户端中生成响应文件并完成签章之后，使用CA证书在供应商客户端中对响应文件进行加密。</w:t>
      </w:r>
    </w:p>
    <w:p w14:paraId="0AE412D5">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i w:val="0"/>
          <w:iCs w:val="0"/>
          <w:snapToGrid w:val="0"/>
          <w:color w:val="auto"/>
          <w:highlight w:val="none"/>
          <w:lang w:val="zh-CN"/>
        </w:rPr>
        <w:t xml:space="preserve">18.2 </w:t>
      </w:r>
      <w:r>
        <w:rPr>
          <w:rFonts w:hint="eastAsia"/>
          <w:i w:val="0"/>
          <w:iCs w:val="0"/>
          <w:snapToGrid w:val="0"/>
          <w:color w:val="auto"/>
          <w:highlight w:val="none"/>
          <w:lang w:val="zh-CN"/>
        </w:rPr>
        <w:t>供应商应在供应商客户端中对加密的响应文件进行解密验证，以防止响应文件加密异常，在开启时无法解密。</w:t>
      </w:r>
    </w:p>
    <w:p w14:paraId="79A877BA">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i w:val="0"/>
          <w:iCs w:val="0"/>
          <w:snapToGrid w:val="0"/>
          <w:color w:val="auto"/>
          <w:highlight w:val="none"/>
          <w:lang w:val="zh-CN"/>
        </w:rPr>
        <w:t xml:space="preserve">18.3 </w:t>
      </w:r>
      <w:r>
        <w:rPr>
          <w:rFonts w:hint="eastAsia"/>
          <w:i w:val="0"/>
          <w:iCs w:val="0"/>
          <w:snapToGrid w:val="0"/>
          <w:color w:val="auto"/>
          <w:highlight w:val="none"/>
          <w:lang w:val="zh-CN"/>
        </w:rPr>
        <w:t>供应商应保证加密响应文件的CA证书有效期在开启时间之前。若CA证书有效期临近开启时间，建议供应商提前办理CA证书续期，以免开启时无法进行解密。</w:t>
      </w:r>
    </w:p>
    <w:p w14:paraId="1CDCC9E5">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cs="仿宋_GB2312"/>
          <w:i w:val="0"/>
          <w:iCs w:val="0"/>
          <w:color w:val="auto"/>
          <w:szCs w:val="24"/>
          <w:highlight w:val="none"/>
        </w:rPr>
      </w:pP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8</w:t>
      </w:r>
      <w:r>
        <w:rPr>
          <w:rFonts w:hint="eastAsia" w:cs="仿宋_GB2312"/>
          <w:i w:val="0"/>
          <w:iCs w:val="0"/>
          <w:color w:val="auto"/>
          <w:szCs w:val="24"/>
          <w:highlight w:val="none"/>
        </w:rPr>
        <w:t>.</w:t>
      </w:r>
      <w:r>
        <w:rPr>
          <w:rFonts w:hint="eastAsia" w:cs="仿宋_GB2312"/>
          <w:i w:val="0"/>
          <w:iCs w:val="0"/>
          <w:color w:val="auto"/>
          <w:szCs w:val="24"/>
          <w:highlight w:val="none"/>
          <w:lang w:val="en-US" w:eastAsia="zh-CN"/>
        </w:rPr>
        <w:t>4</w:t>
      </w:r>
      <w:r>
        <w:rPr>
          <w:rFonts w:hint="eastAsia"/>
          <w:i w:val="0"/>
          <w:iCs w:val="0"/>
          <w:snapToGrid w:val="0"/>
          <w:color w:val="auto"/>
          <w:highlight w:val="none"/>
          <w:lang w:val="zh-CN"/>
        </w:rPr>
        <w:t>供应商</w:t>
      </w:r>
      <w:r>
        <w:rPr>
          <w:rFonts w:hint="eastAsia" w:cs="仿宋_GB2312"/>
          <w:i w:val="0"/>
          <w:iCs w:val="0"/>
          <w:color w:val="auto"/>
          <w:szCs w:val="24"/>
          <w:highlight w:val="none"/>
        </w:rPr>
        <w:t>在</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lang w:eastAsia="zh-CN"/>
        </w:rPr>
        <w:t>文件</w:t>
      </w:r>
      <w:r>
        <w:rPr>
          <w:rFonts w:hint="eastAsia" w:cs="仿宋_GB2312"/>
          <w:i w:val="0"/>
          <w:iCs w:val="0"/>
          <w:color w:val="auto"/>
          <w:szCs w:val="24"/>
          <w:highlight w:val="none"/>
        </w:rPr>
        <w:t>递交截</w:t>
      </w:r>
      <w:r>
        <w:rPr>
          <w:rFonts w:hint="eastAsia" w:cs="仿宋_GB2312"/>
          <w:i w:val="0"/>
          <w:iCs w:val="0"/>
          <w:color w:val="auto"/>
          <w:szCs w:val="24"/>
          <w:highlight w:val="none"/>
          <w:lang w:val="en-US" w:eastAsia="zh-CN"/>
        </w:rPr>
        <w:t>止</w:t>
      </w:r>
      <w:r>
        <w:rPr>
          <w:rFonts w:hint="eastAsia" w:cs="仿宋_GB2312"/>
          <w:i w:val="0"/>
          <w:iCs w:val="0"/>
          <w:color w:val="auto"/>
          <w:szCs w:val="24"/>
          <w:highlight w:val="none"/>
        </w:rPr>
        <w:t>时间前通过</w:t>
      </w:r>
      <w:r>
        <w:rPr>
          <w:rFonts w:hint="eastAsia" w:cs="仿宋_GB2312"/>
          <w:i w:val="0"/>
          <w:iCs w:val="0"/>
          <w:color w:val="auto"/>
          <w:szCs w:val="24"/>
          <w:highlight w:val="none"/>
          <w:lang w:val="en-US" w:eastAsia="zh-CN"/>
        </w:rPr>
        <w:t>新疆政府采购</w:t>
      </w:r>
      <w:r>
        <w:rPr>
          <w:rFonts w:hint="eastAsia" w:cs="仿宋_GB2312"/>
          <w:i w:val="0"/>
          <w:iCs w:val="0"/>
          <w:color w:val="auto"/>
          <w:szCs w:val="24"/>
          <w:highlight w:val="none"/>
        </w:rPr>
        <w:t>网（http://ccgp-bingtuan.gov.cn/）的”政采云登录入口”登录后，将加密电子</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lang w:eastAsia="zh-CN"/>
        </w:rPr>
        <w:t>文件</w:t>
      </w:r>
      <w:r>
        <w:rPr>
          <w:rFonts w:hint="eastAsia" w:ascii="宋体" w:hAnsi="宋体" w:eastAsia="宋体" w:cs="仿宋_GB2312"/>
          <w:i w:val="0"/>
          <w:iCs w:val="0"/>
          <w:color w:val="auto"/>
          <w:szCs w:val="24"/>
          <w:highlight w:val="none"/>
        </w:rPr>
        <w:t>（为.jmbs后缀格式）</w:t>
      </w:r>
      <w:r>
        <w:rPr>
          <w:rFonts w:hint="eastAsia" w:cs="仿宋_GB2312"/>
          <w:i w:val="0"/>
          <w:iCs w:val="0"/>
          <w:color w:val="auto"/>
          <w:szCs w:val="24"/>
          <w:highlight w:val="none"/>
        </w:rPr>
        <w:t>上传到对应项目的指定位置</w:t>
      </w:r>
      <w:r>
        <w:rPr>
          <w:rFonts w:hint="eastAsia" w:cs="仿宋_GB2312"/>
          <w:i w:val="0"/>
          <w:iCs w:val="0"/>
          <w:color w:val="auto"/>
          <w:szCs w:val="24"/>
          <w:highlight w:val="none"/>
          <w:lang w:eastAsia="zh-CN"/>
        </w:rPr>
        <w:t>，</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认为有必要提交的其他资料请于</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lang w:eastAsia="zh-CN"/>
        </w:rPr>
        <w:t>文件</w:t>
      </w:r>
      <w:r>
        <w:rPr>
          <w:rFonts w:hint="eastAsia" w:cs="仿宋_GB2312"/>
          <w:i w:val="0"/>
          <w:iCs w:val="0"/>
          <w:color w:val="auto"/>
          <w:szCs w:val="24"/>
          <w:highlight w:val="none"/>
        </w:rPr>
        <w:t>递交截止时间前一并提交。</w:t>
      </w:r>
    </w:p>
    <w:p w14:paraId="3896D475">
      <w:pPr>
        <w:keepNext w:val="0"/>
        <w:keepLines w:val="0"/>
        <w:pageBreakBefore w:val="0"/>
        <w:widowControl w:val="0"/>
        <w:kinsoku/>
        <w:overflowPunct/>
        <w:topLinePunct w:val="0"/>
        <w:autoSpaceDE/>
        <w:autoSpaceDN/>
        <w:bidi w:val="0"/>
        <w:adjustRightInd/>
        <w:ind w:firstLine="480" w:firstLineChars="200"/>
        <w:textAlignment w:val="auto"/>
        <w:rPr>
          <w:rFonts w:hint="eastAsia" w:cs="仿宋_GB2312"/>
          <w:i w:val="0"/>
          <w:iCs w:val="0"/>
          <w:color w:val="auto"/>
          <w:szCs w:val="24"/>
          <w:highlight w:val="none"/>
        </w:rPr>
      </w:pP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8</w:t>
      </w:r>
      <w:r>
        <w:rPr>
          <w:rFonts w:hint="eastAsia" w:cs="仿宋_GB2312"/>
          <w:i w:val="0"/>
          <w:iCs w:val="0"/>
          <w:color w:val="auto"/>
          <w:szCs w:val="24"/>
          <w:highlight w:val="none"/>
        </w:rPr>
        <w:t>.</w:t>
      </w:r>
      <w:r>
        <w:rPr>
          <w:rFonts w:hint="eastAsia" w:cs="仿宋_GB2312"/>
          <w:i w:val="0"/>
          <w:iCs w:val="0"/>
          <w:color w:val="auto"/>
          <w:szCs w:val="24"/>
          <w:highlight w:val="none"/>
          <w:lang w:val="en-US" w:eastAsia="zh-CN"/>
        </w:rPr>
        <w:t>5</w:t>
      </w:r>
      <w:r>
        <w:rPr>
          <w:rFonts w:hint="eastAsia" w:cs="仿宋_GB2312"/>
          <w:i w:val="0"/>
          <w:iCs w:val="0"/>
          <w:color w:val="auto"/>
          <w:szCs w:val="24"/>
          <w:highlight w:val="none"/>
        </w:rPr>
        <w:t>如果</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未按上述要求</w:t>
      </w:r>
      <w:r>
        <w:rPr>
          <w:rFonts w:hint="eastAsia" w:cs="仿宋_GB2312"/>
          <w:i w:val="0"/>
          <w:iCs w:val="0"/>
          <w:color w:val="auto"/>
          <w:szCs w:val="24"/>
          <w:highlight w:val="none"/>
          <w:lang w:val="en-US" w:eastAsia="zh-CN"/>
        </w:rPr>
        <w:t>加密并上传</w:t>
      </w:r>
      <w:r>
        <w:rPr>
          <w:rFonts w:hint="eastAsia" w:cs="仿宋_GB2312"/>
          <w:i w:val="0"/>
          <w:iCs w:val="0"/>
          <w:color w:val="auto"/>
          <w:szCs w:val="24"/>
          <w:highlight w:val="none"/>
        </w:rPr>
        <w:t>，采购代理机构对</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文件的误投</w:t>
      </w:r>
      <w:r>
        <w:rPr>
          <w:rFonts w:hint="eastAsia" w:cs="仿宋_GB2312"/>
          <w:i w:val="0"/>
          <w:iCs w:val="0"/>
          <w:color w:val="auto"/>
          <w:szCs w:val="24"/>
          <w:highlight w:val="none"/>
          <w:lang w:eastAsia="zh-CN"/>
        </w:rPr>
        <w:t>、</w:t>
      </w:r>
      <w:r>
        <w:rPr>
          <w:rFonts w:hint="eastAsia" w:cs="仿宋_GB2312"/>
          <w:i w:val="0"/>
          <w:iCs w:val="0"/>
          <w:color w:val="auto"/>
          <w:szCs w:val="24"/>
          <w:highlight w:val="none"/>
          <w:lang w:val="en-US" w:eastAsia="zh-CN"/>
        </w:rPr>
        <w:t>无法解密、传输错误等问题</w:t>
      </w:r>
      <w:r>
        <w:rPr>
          <w:rFonts w:hint="eastAsia" w:cs="仿宋_GB2312"/>
          <w:i w:val="0"/>
          <w:iCs w:val="0"/>
          <w:color w:val="auto"/>
          <w:szCs w:val="24"/>
          <w:highlight w:val="none"/>
        </w:rPr>
        <w:t>概不负责。对由此造成</w:t>
      </w:r>
      <w:r>
        <w:rPr>
          <w:rFonts w:hint="eastAsia" w:cs="仿宋_GB2312"/>
          <w:i w:val="0"/>
          <w:iCs w:val="0"/>
          <w:color w:val="auto"/>
          <w:szCs w:val="24"/>
          <w:highlight w:val="none"/>
          <w:lang w:val="en-US" w:eastAsia="zh-CN"/>
        </w:rPr>
        <w:t>无法正常开启</w:t>
      </w:r>
      <w:r>
        <w:rPr>
          <w:rFonts w:hint="eastAsia" w:cs="仿宋_GB2312"/>
          <w:i w:val="0"/>
          <w:iCs w:val="0"/>
          <w:color w:val="auto"/>
          <w:szCs w:val="24"/>
          <w:highlight w:val="none"/>
        </w:rPr>
        <w:t>的</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文件，采购代理机构有权予以拒绝，并退回</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w:t>
      </w:r>
    </w:p>
    <w:p w14:paraId="54A49319">
      <w:pPr>
        <w:pStyle w:val="33"/>
        <w:keepNext w:val="0"/>
        <w:keepLines w:val="0"/>
        <w:pageBreakBefore w:val="0"/>
        <w:widowControl w:val="0"/>
        <w:kinsoku/>
        <w:overflowPunct/>
        <w:topLinePunct w:val="0"/>
        <w:bidi w:val="0"/>
        <w:ind w:firstLine="480"/>
        <w:textAlignment w:val="auto"/>
        <w:rPr>
          <w:rFonts w:hint="eastAsia" w:cs="仿宋_GB2312"/>
          <w:i w:val="0"/>
          <w:iCs w:val="0"/>
          <w:color w:val="auto"/>
          <w:szCs w:val="24"/>
          <w:highlight w:val="none"/>
        </w:rPr>
      </w:pP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8</w:t>
      </w:r>
      <w:r>
        <w:rPr>
          <w:rFonts w:hint="eastAsia" w:cs="仿宋_GB2312"/>
          <w:i w:val="0"/>
          <w:iCs w:val="0"/>
          <w:color w:val="auto"/>
          <w:szCs w:val="24"/>
          <w:highlight w:val="none"/>
        </w:rPr>
        <w:t>.</w:t>
      </w:r>
      <w:r>
        <w:rPr>
          <w:rFonts w:hint="eastAsia" w:cs="仿宋_GB2312"/>
          <w:i w:val="0"/>
          <w:iCs w:val="0"/>
          <w:color w:val="auto"/>
          <w:szCs w:val="24"/>
          <w:highlight w:val="none"/>
          <w:lang w:val="en-US" w:eastAsia="zh-CN"/>
        </w:rPr>
        <w:t>6</w:t>
      </w:r>
      <w:r>
        <w:rPr>
          <w:rFonts w:hint="eastAsia" w:cs="仿宋_GB2312"/>
          <w:i w:val="0"/>
          <w:iCs w:val="0"/>
          <w:color w:val="auto"/>
          <w:szCs w:val="24"/>
          <w:highlight w:val="none"/>
        </w:rPr>
        <w:t>本项目采用不见面开</w:t>
      </w:r>
      <w:r>
        <w:rPr>
          <w:rFonts w:hint="eastAsia" w:cs="仿宋_GB2312"/>
          <w:i w:val="0"/>
          <w:iCs w:val="0"/>
          <w:color w:val="auto"/>
          <w:szCs w:val="24"/>
          <w:highlight w:val="none"/>
          <w:lang w:val="en-US" w:eastAsia="zh-CN"/>
        </w:rPr>
        <w:t>启</w:t>
      </w:r>
      <w:r>
        <w:rPr>
          <w:rFonts w:hint="eastAsia" w:cs="仿宋_GB2312"/>
          <w:i w:val="0"/>
          <w:iCs w:val="0"/>
          <w:color w:val="auto"/>
          <w:szCs w:val="24"/>
          <w:highlight w:val="none"/>
        </w:rPr>
        <w:t>方式，无需提供电子</w:t>
      </w:r>
      <w:r>
        <w:rPr>
          <w:rFonts w:hint="eastAsia" w:ascii="宋体" w:hAnsi="宋体" w:eastAsia="宋体" w:cs="仿宋_GB2312"/>
          <w:i w:val="0"/>
          <w:iCs w:val="0"/>
          <w:color w:val="auto"/>
          <w:szCs w:val="24"/>
          <w:highlight w:val="none"/>
          <w:lang w:val="en-US" w:eastAsia="zh-CN"/>
        </w:rPr>
        <w:t>响应</w:t>
      </w:r>
      <w:r>
        <w:rPr>
          <w:rFonts w:hint="eastAsia" w:ascii="宋体" w:hAnsi="宋体" w:eastAsia="宋体" w:cs="仿宋_GB2312"/>
          <w:i w:val="0"/>
          <w:iCs w:val="0"/>
          <w:color w:val="auto"/>
          <w:szCs w:val="24"/>
          <w:highlight w:val="none"/>
        </w:rPr>
        <w:t>文件U盘</w:t>
      </w:r>
      <w:r>
        <w:rPr>
          <w:rFonts w:hint="eastAsia" w:cs="仿宋_GB2312"/>
          <w:i w:val="0"/>
          <w:iCs w:val="0"/>
          <w:color w:val="auto"/>
          <w:szCs w:val="24"/>
          <w:highlight w:val="none"/>
        </w:rPr>
        <w:t>。</w:t>
      </w:r>
    </w:p>
    <w:p w14:paraId="0EEE0E8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19.响应文件的</w:t>
      </w:r>
      <w:bookmarkEnd w:id="267"/>
      <w:bookmarkEnd w:id="268"/>
      <w:bookmarkEnd w:id="269"/>
      <w:bookmarkEnd w:id="270"/>
      <w:r>
        <w:rPr>
          <w:rFonts w:hint="eastAsia" w:ascii="宋体" w:hAnsi="宋体" w:eastAsia="宋体" w:cs="宋体"/>
          <w:b/>
          <w:bCs/>
          <w:color w:val="auto"/>
          <w:kern w:val="2"/>
          <w:sz w:val="24"/>
          <w:szCs w:val="24"/>
          <w:highlight w:val="none"/>
          <w:lang w:val="en-US" w:eastAsia="zh-CN" w:bidi="ar-SA"/>
        </w:rPr>
        <w:t>递交</w:t>
      </w:r>
      <w:bookmarkEnd w:id="271"/>
      <w:bookmarkEnd w:id="272"/>
      <w:r>
        <w:rPr>
          <w:rFonts w:hint="eastAsia" w:ascii="宋体" w:hAnsi="宋体" w:eastAsia="宋体" w:cs="宋体"/>
          <w:b/>
          <w:bCs/>
          <w:color w:val="auto"/>
          <w:kern w:val="2"/>
          <w:sz w:val="24"/>
          <w:szCs w:val="24"/>
          <w:highlight w:val="none"/>
          <w:lang w:val="en-US" w:eastAsia="zh-CN" w:bidi="ar-SA"/>
        </w:rPr>
        <w:t>（上传）</w:t>
      </w:r>
    </w:p>
    <w:p w14:paraId="4BB721FA">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19.1 供应商应在“</w:t>
      </w:r>
      <w:r>
        <w:rPr>
          <w:rFonts w:hint="eastAsia" w:cs="仿宋_GB2312"/>
          <w:i w:val="0"/>
          <w:iCs w:val="0"/>
          <w:color w:val="auto"/>
          <w:szCs w:val="24"/>
          <w:highlight w:val="none"/>
          <w:lang w:val="en-US" w:eastAsia="zh-CN"/>
        </w:rPr>
        <w:t>第一章 竞争性磋商公告</w:t>
      </w:r>
      <w:r>
        <w:rPr>
          <w:rFonts w:hint="eastAsia" w:cs="仿宋_GB2312"/>
          <w:i w:val="0"/>
          <w:iCs w:val="0"/>
          <w:color w:val="auto"/>
          <w:szCs w:val="24"/>
          <w:highlight w:val="none"/>
        </w:rPr>
        <w:t>”规定的响应文件递交截止时间前递交（上传）响应文件。</w:t>
      </w:r>
    </w:p>
    <w:p w14:paraId="1788DDFE">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19.2 供应商递交（上传）响应文件的地点见“</w:t>
      </w:r>
      <w:r>
        <w:rPr>
          <w:rFonts w:hint="eastAsia" w:cs="仿宋_GB2312"/>
          <w:i w:val="0"/>
          <w:iCs w:val="0"/>
          <w:color w:val="auto"/>
          <w:szCs w:val="24"/>
          <w:highlight w:val="none"/>
          <w:lang w:val="en-US" w:eastAsia="zh-CN"/>
        </w:rPr>
        <w:t>第一章 竞争性磋商公告</w:t>
      </w:r>
      <w:r>
        <w:rPr>
          <w:rFonts w:hint="eastAsia" w:cs="仿宋_GB2312"/>
          <w:i w:val="0"/>
          <w:iCs w:val="0"/>
          <w:color w:val="auto"/>
          <w:szCs w:val="24"/>
          <w:highlight w:val="none"/>
        </w:rPr>
        <w:t>”。</w:t>
      </w:r>
    </w:p>
    <w:p w14:paraId="74B3F1A5">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19.3供应商应充分评估集中同时递交响应文件带来的网络影响，尽量避开递交响应文件高峰时间，错峰进行递交。供应商递交全部的响应文件后可在政采云平台（项目采购</w:t>
      </w:r>
      <w:r>
        <w:rPr>
          <w:rFonts w:hint="eastAsia" w:cs="仿宋_GB2312"/>
          <w:i w:val="0"/>
          <w:iCs w:val="0"/>
          <w:color w:val="auto"/>
          <w:szCs w:val="24"/>
          <w:highlight w:val="none"/>
          <w:lang w:eastAsia="zh-CN"/>
        </w:rPr>
        <w:t>—</w:t>
      </w:r>
      <w:r>
        <w:rPr>
          <w:rFonts w:hint="eastAsia" w:cs="仿宋_GB2312"/>
          <w:i w:val="0"/>
          <w:iCs w:val="0"/>
          <w:color w:val="auto"/>
          <w:szCs w:val="24"/>
          <w:highlight w:val="none"/>
        </w:rPr>
        <w:t>投标文件上传）中获取响应文件递交回执单。</w:t>
      </w:r>
    </w:p>
    <w:p w14:paraId="5634F607">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19.4 供应商应在供应商客户端中下载未加密且完成签章的响应文件妥善保存，以便启动应急开启程序时使用。</w:t>
      </w:r>
    </w:p>
    <w:p w14:paraId="6F8BD19B">
      <w:pPr>
        <w:keepNext w:val="0"/>
        <w:keepLines w:val="0"/>
        <w:pageBreakBefore w:val="0"/>
        <w:widowControl w:val="0"/>
        <w:kinsoku/>
        <w:overflowPunct/>
        <w:topLinePunct w:val="0"/>
        <w:bidi w:val="0"/>
        <w:ind w:firstLine="480" w:firstLineChars="200"/>
        <w:textAlignment w:val="auto"/>
        <w:rPr>
          <w:rFonts w:hint="eastAsia" w:cs="仿宋_GB2312"/>
          <w:i w:val="0"/>
          <w:iCs w:val="0"/>
          <w:color w:val="auto"/>
          <w:szCs w:val="24"/>
          <w:highlight w:val="none"/>
        </w:rPr>
      </w:pPr>
      <w:r>
        <w:rPr>
          <w:rFonts w:hint="eastAsia" w:cs="仿宋_GB2312"/>
          <w:i w:val="0"/>
          <w:iCs w:val="0"/>
          <w:color w:val="auto"/>
          <w:szCs w:val="24"/>
          <w:highlight w:val="none"/>
        </w:rPr>
        <w:t>19.5供应商所递交的响应文件不予退还。</w:t>
      </w:r>
    </w:p>
    <w:p w14:paraId="03DDA0A8">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3" w:name="_Toc155095709"/>
      <w:bookmarkStart w:id="274" w:name="_Toc156490298"/>
      <w:r>
        <w:rPr>
          <w:rFonts w:hint="eastAsia" w:ascii="宋体" w:hAnsi="宋体" w:eastAsia="宋体" w:cs="宋体"/>
          <w:b/>
          <w:bCs/>
          <w:color w:val="auto"/>
          <w:kern w:val="2"/>
          <w:sz w:val="24"/>
          <w:szCs w:val="24"/>
          <w:highlight w:val="none"/>
          <w:lang w:val="en-US" w:eastAsia="zh-CN" w:bidi="ar-SA"/>
        </w:rPr>
        <w:t>20.拒收</w:t>
      </w:r>
      <w:bookmarkEnd w:id="273"/>
      <w:bookmarkEnd w:id="274"/>
    </w:p>
    <w:p w14:paraId="6764A5C0">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i w:val="0"/>
          <w:iCs w:val="0"/>
          <w:snapToGrid w:val="0"/>
          <w:color w:val="auto"/>
          <w:highlight w:val="none"/>
          <w:lang w:val="zh-CN"/>
        </w:rPr>
        <w:t>20</w:t>
      </w:r>
      <w:r>
        <w:rPr>
          <w:rFonts w:hint="eastAsia"/>
          <w:i w:val="0"/>
          <w:iCs w:val="0"/>
          <w:snapToGrid w:val="0"/>
          <w:color w:val="auto"/>
          <w:highlight w:val="none"/>
          <w:lang w:val="zh-CN"/>
        </w:rPr>
        <w:t>.1超过递交响应文件的</w:t>
      </w:r>
      <w:r>
        <w:rPr>
          <w:i w:val="0"/>
          <w:iCs w:val="0"/>
          <w:snapToGrid w:val="0"/>
          <w:color w:val="auto"/>
          <w:highlight w:val="none"/>
          <w:lang w:val="zh-CN"/>
        </w:rPr>
        <w:t>截止时间</w:t>
      </w:r>
      <w:r>
        <w:rPr>
          <w:rFonts w:hint="eastAsia"/>
          <w:i w:val="0"/>
          <w:iCs w:val="0"/>
          <w:snapToGrid w:val="0"/>
          <w:color w:val="auto"/>
          <w:highlight w:val="none"/>
          <w:lang w:val="zh-CN"/>
        </w:rPr>
        <w:t>或者不按照本章要求加密的响应文件，交易系统应当拒收。</w:t>
      </w:r>
    </w:p>
    <w:p w14:paraId="03C096F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5" w:name="_Toc109899654"/>
      <w:bookmarkStart w:id="276" w:name="_Toc109897555"/>
      <w:bookmarkStart w:id="277" w:name="_Toc156490299"/>
      <w:bookmarkStart w:id="278" w:name="_Toc109900073"/>
      <w:bookmarkStart w:id="279" w:name="_Toc109900492"/>
      <w:bookmarkStart w:id="280" w:name="_Toc155095710"/>
      <w:r>
        <w:rPr>
          <w:rFonts w:hint="eastAsia" w:ascii="宋体" w:hAnsi="宋体" w:eastAsia="宋体" w:cs="宋体"/>
          <w:b/>
          <w:bCs/>
          <w:color w:val="auto"/>
          <w:kern w:val="2"/>
          <w:sz w:val="24"/>
          <w:szCs w:val="24"/>
          <w:highlight w:val="none"/>
          <w:lang w:val="en-US" w:eastAsia="zh-CN" w:bidi="ar-SA"/>
        </w:rPr>
        <w:t>21.响应文件的修改与撤回</w:t>
      </w:r>
      <w:bookmarkEnd w:id="275"/>
      <w:bookmarkEnd w:id="276"/>
      <w:bookmarkEnd w:id="277"/>
      <w:bookmarkEnd w:id="278"/>
      <w:bookmarkEnd w:id="279"/>
      <w:bookmarkEnd w:id="280"/>
    </w:p>
    <w:p w14:paraId="059E1BF2">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zh-CN"/>
        </w:rPr>
      </w:pPr>
      <w:r>
        <w:rPr>
          <w:rFonts w:hint="eastAsia"/>
          <w:i w:val="0"/>
          <w:iCs w:val="0"/>
          <w:snapToGrid w:val="0"/>
          <w:color w:val="auto"/>
          <w:highlight w:val="none"/>
          <w:lang w:val="zh-CN"/>
        </w:rPr>
        <w:t>2</w:t>
      </w:r>
      <w:r>
        <w:rPr>
          <w:rFonts w:hint="eastAsia"/>
          <w:i w:val="0"/>
          <w:iCs w:val="0"/>
          <w:snapToGrid w:val="0"/>
          <w:color w:val="auto"/>
          <w:highlight w:val="none"/>
          <w:lang w:val="zh-CN" w:eastAsia="zh-CN"/>
        </w:rPr>
        <w:t>1</w:t>
      </w:r>
      <w:r>
        <w:rPr>
          <w:rFonts w:hint="eastAsia"/>
          <w:i w:val="0"/>
          <w:iCs w:val="0"/>
          <w:snapToGrid w:val="0"/>
          <w:color w:val="auto"/>
          <w:highlight w:val="none"/>
          <w:lang w:val="zh-CN"/>
        </w:rPr>
        <w:t>.1</w:t>
      </w:r>
      <w:bookmarkStart w:id="281" w:name="_Hlk143532466"/>
      <w:r>
        <w:rPr>
          <w:rFonts w:hint="eastAsia"/>
          <w:i w:val="0"/>
          <w:iCs w:val="0"/>
          <w:snapToGrid w:val="0"/>
          <w:color w:val="auto"/>
          <w:highlight w:val="none"/>
          <w:lang w:val="zh-CN" w:eastAsia="zh-CN"/>
        </w:rPr>
        <w:t>供应商</w:t>
      </w:r>
      <w:r>
        <w:rPr>
          <w:rFonts w:hint="eastAsia"/>
          <w:i w:val="0"/>
          <w:iCs w:val="0"/>
          <w:snapToGrid w:val="0"/>
          <w:color w:val="auto"/>
          <w:highlight w:val="none"/>
          <w:lang w:val="zh-CN"/>
        </w:rPr>
        <w:t>在</w:t>
      </w:r>
      <w:r>
        <w:rPr>
          <w:rFonts w:hint="eastAsia"/>
          <w:i w:val="0"/>
          <w:iCs w:val="0"/>
          <w:snapToGrid w:val="0"/>
          <w:color w:val="auto"/>
          <w:highlight w:val="none"/>
          <w:lang w:val="zh-CN" w:eastAsia="zh-CN"/>
        </w:rPr>
        <w:t>“</w:t>
      </w:r>
      <w:r>
        <w:rPr>
          <w:rFonts w:hint="eastAsia" w:cs="仿宋_GB2312"/>
          <w:i w:val="0"/>
          <w:iCs w:val="0"/>
          <w:color w:val="auto"/>
          <w:szCs w:val="24"/>
          <w:highlight w:val="none"/>
          <w:lang w:val="en-US" w:eastAsia="zh-CN"/>
        </w:rPr>
        <w:t>第一章 竞争性磋商公告</w:t>
      </w:r>
      <w:r>
        <w:rPr>
          <w:rFonts w:hint="eastAsia"/>
          <w:i w:val="0"/>
          <w:iCs w:val="0"/>
          <w:snapToGrid w:val="0"/>
          <w:color w:val="auto"/>
          <w:highlight w:val="none"/>
          <w:lang w:val="zh-CN" w:eastAsia="zh-CN"/>
        </w:rPr>
        <w:t>”</w:t>
      </w:r>
      <w:r>
        <w:rPr>
          <w:rFonts w:hint="eastAsia"/>
          <w:i w:val="0"/>
          <w:iCs w:val="0"/>
          <w:snapToGrid w:val="0"/>
          <w:color w:val="auto"/>
          <w:highlight w:val="none"/>
          <w:lang w:val="zh-CN"/>
        </w:rPr>
        <w:t>规定的</w:t>
      </w:r>
      <w:r>
        <w:rPr>
          <w:rFonts w:hint="eastAsia"/>
          <w:i w:val="0"/>
          <w:iCs w:val="0"/>
          <w:snapToGrid w:val="0"/>
          <w:color w:val="auto"/>
          <w:highlight w:val="none"/>
          <w:lang w:val="en-US" w:eastAsia="zh-CN"/>
        </w:rPr>
        <w:t>响应</w:t>
      </w:r>
      <w:r>
        <w:rPr>
          <w:rFonts w:hint="eastAsia"/>
          <w:i w:val="0"/>
          <w:iCs w:val="0"/>
          <w:snapToGrid w:val="0"/>
          <w:color w:val="auto"/>
          <w:highlight w:val="none"/>
          <w:lang w:val="zh-CN" w:eastAsia="zh-CN"/>
        </w:rPr>
        <w:t>文件</w:t>
      </w:r>
      <w:r>
        <w:rPr>
          <w:rFonts w:hint="eastAsia"/>
          <w:i w:val="0"/>
          <w:iCs w:val="0"/>
          <w:snapToGrid w:val="0"/>
          <w:color w:val="auto"/>
          <w:highlight w:val="none"/>
          <w:lang w:val="zh-CN"/>
        </w:rPr>
        <w:t>递交截止时间之前，可在新疆政府采购电子交易云平台上随时撤回已上传的电子</w:t>
      </w:r>
      <w:r>
        <w:rPr>
          <w:rFonts w:hint="eastAsia"/>
          <w:i w:val="0"/>
          <w:iCs w:val="0"/>
          <w:snapToGrid w:val="0"/>
          <w:color w:val="auto"/>
          <w:highlight w:val="none"/>
          <w:lang w:val="en-US" w:eastAsia="zh-CN"/>
        </w:rPr>
        <w:t>响应</w:t>
      </w:r>
      <w:r>
        <w:rPr>
          <w:rFonts w:hint="eastAsia"/>
          <w:i w:val="0"/>
          <w:iCs w:val="0"/>
          <w:snapToGrid w:val="0"/>
          <w:color w:val="auto"/>
          <w:highlight w:val="none"/>
          <w:lang w:val="zh-CN" w:eastAsia="zh-CN"/>
        </w:rPr>
        <w:t>文件</w:t>
      </w:r>
      <w:r>
        <w:rPr>
          <w:rFonts w:hint="eastAsia"/>
          <w:i w:val="0"/>
          <w:iCs w:val="0"/>
          <w:snapToGrid w:val="0"/>
          <w:color w:val="auto"/>
          <w:highlight w:val="none"/>
          <w:lang w:val="zh-CN"/>
        </w:rPr>
        <w:t>，将修改好的电子</w:t>
      </w:r>
      <w:r>
        <w:rPr>
          <w:rFonts w:hint="eastAsia"/>
          <w:i w:val="0"/>
          <w:iCs w:val="0"/>
          <w:snapToGrid w:val="0"/>
          <w:color w:val="auto"/>
          <w:highlight w:val="none"/>
          <w:lang w:val="en-US" w:eastAsia="zh-CN"/>
        </w:rPr>
        <w:t>响应</w:t>
      </w:r>
      <w:r>
        <w:rPr>
          <w:rFonts w:hint="eastAsia"/>
          <w:i w:val="0"/>
          <w:iCs w:val="0"/>
          <w:snapToGrid w:val="0"/>
          <w:color w:val="auto"/>
          <w:highlight w:val="none"/>
          <w:lang w:val="zh-CN" w:eastAsia="zh-CN"/>
        </w:rPr>
        <w:t>文件</w:t>
      </w:r>
      <w:r>
        <w:rPr>
          <w:rFonts w:hint="eastAsia"/>
          <w:i w:val="0"/>
          <w:iCs w:val="0"/>
          <w:snapToGrid w:val="0"/>
          <w:color w:val="auto"/>
          <w:highlight w:val="none"/>
          <w:lang w:val="zh-CN"/>
        </w:rPr>
        <w:t>在</w:t>
      </w:r>
      <w:r>
        <w:rPr>
          <w:rFonts w:hint="eastAsia"/>
          <w:i w:val="0"/>
          <w:iCs w:val="0"/>
          <w:snapToGrid w:val="0"/>
          <w:color w:val="auto"/>
          <w:highlight w:val="none"/>
          <w:lang w:val="en-US" w:eastAsia="zh-CN"/>
        </w:rPr>
        <w:t>响应</w:t>
      </w:r>
      <w:r>
        <w:rPr>
          <w:rFonts w:hint="eastAsia"/>
          <w:i w:val="0"/>
          <w:iCs w:val="0"/>
          <w:snapToGrid w:val="0"/>
          <w:color w:val="auto"/>
          <w:highlight w:val="none"/>
          <w:lang w:val="zh-CN" w:eastAsia="zh-CN"/>
        </w:rPr>
        <w:t>文件</w:t>
      </w:r>
      <w:r>
        <w:rPr>
          <w:rFonts w:hint="eastAsia"/>
          <w:i w:val="0"/>
          <w:iCs w:val="0"/>
          <w:snapToGrid w:val="0"/>
          <w:color w:val="auto"/>
          <w:highlight w:val="none"/>
          <w:lang w:val="zh-CN"/>
        </w:rPr>
        <w:t>递交截止时间前重新上传到新疆政府采购电子交易云平台的</w:t>
      </w:r>
      <w:r>
        <w:rPr>
          <w:rFonts w:hint="eastAsia"/>
          <w:i w:val="0"/>
          <w:iCs w:val="0"/>
          <w:snapToGrid w:val="0"/>
          <w:color w:val="auto"/>
          <w:highlight w:val="none"/>
          <w:lang w:val="zh-CN" w:eastAsia="zh-CN"/>
        </w:rPr>
        <w:t>指</w:t>
      </w:r>
      <w:r>
        <w:rPr>
          <w:rFonts w:hint="eastAsia"/>
          <w:i w:val="0"/>
          <w:iCs w:val="0"/>
          <w:snapToGrid w:val="0"/>
          <w:color w:val="auto"/>
          <w:highlight w:val="none"/>
          <w:lang w:val="zh-CN"/>
        </w:rPr>
        <w:t>定位置。</w:t>
      </w:r>
    </w:p>
    <w:bookmarkEnd w:id="281"/>
    <w:p w14:paraId="6B46A24D">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default" w:ascii="宋体" w:hAnsi="宋体" w:eastAsia="宋体" w:cs="宋体"/>
          <w:b/>
          <w:bCs/>
          <w:color w:val="auto"/>
          <w:kern w:val="2"/>
          <w:sz w:val="24"/>
          <w:szCs w:val="24"/>
          <w:highlight w:val="none"/>
          <w:lang w:val="en-US" w:eastAsia="zh-CN" w:bidi="ar-SA"/>
        </w:rPr>
      </w:pPr>
      <w:bookmarkStart w:id="282" w:name="_Toc163493615"/>
      <w:bookmarkStart w:id="283" w:name="_Toc2643"/>
      <w:bookmarkStart w:id="284" w:name="_Toc109899976"/>
      <w:bookmarkStart w:id="285" w:name="_Toc109899557"/>
      <w:bookmarkStart w:id="286" w:name="_Toc46771664"/>
      <w:bookmarkStart w:id="287" w:name="_Toc109897458"/>
      <w:bookmarkStart w:id="288" w:name="_Toc470172689"/>
      <w:bookmarkStart w:id="289" w:name="_Toc109900395"/>
      <w:r>
        <w:rPr>
          <w:rFonts w:hint="eastAsia" w:ascii="宋体" w:hAnsi="宋体" w:eastAsia="宋体" w:cs="宋体"/>
          <w:b/>
          <w:bCs/>
          <w:color w:val="auto"/>
          <w:kern w:val="2"/>
          <w:sz w:val="24"/>
          <w:szCs w:val="24"/>
          <w:highlight w:val="none"/>
          <w:lang w:val="en-US" w:eastAsia="zh-CN" w:bidi="ar-SA"/>
        </w:rPr>
        <w:t>（五）</w:t>
      </w:r>
      <w:bookmarkEnd w:id="282"/>
      <w:r>
        <w:rPr>
          <w:rFonts w:hint="eastAsia" w:ascii="宋体" w:hAnsi="宋体" w:eastAsia="宋体" w:cs="宋体"/>
          <w:b/>
          <w:bCs/>
          <w:color w:val="auto"/>
          <w:kern w:val="2"/>
          <w:sz w:val="24"/>
          <w:szCs w:val="24"/>
          <w:highlight w:val="none"/>
          <w:lang w:val="en-US" w:eastAsia="zh-CN" w:bidi="ar-SA"/>
        </w:rPr>
        <w:t>响应文件开启</w:t>
      </w:r>
      <w:bookmarkEnd w:id="283"/>
    </w:p>
    <w:p w14:paraId="750D725B">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0" w:name="_Hlk161704700"/>
      <w:r>
        <w:rPr>
          <w:rFonts w:hint="eastAsia" w:ascii="宋体" w:hAnsi="宋体" w:eastAsia="宋体" w:cs="宋体"/>
          <w:b/>
          <w:bCs/>
          <w:color w:val="auto"/>
          <w:kern w:val="2"/>
          <w:sz w:val="24"/>
          <w:szCs w:val="24"/>
          <w:highlight w:val="none"/>
          <w:lang w:val="en-US" w:eastAsia="zh-CN" w:bidi="ar-SA"/>
        </w:rPr>
        <w:t>22.响应文件开启</w:t>
      </w:r>
    </w:p>
    <w:p w14:paraId="30320CCC">
      <w:pPr>
        <w:keepNext w:val="0"/>
        <w:keepLines w:val="0"/>
        <w:pageBreakBefore w:val="0"/>
        <w:widowControl w:val="0"/>
        <w:kinsoku/>
        <w:overflowPunct/>
        <w:topLinePunct w:val="0"/>
        <w:bidi w:val="0"/>
        <w:ind w:firstLine="480" w:firstLineChars="200"/>
        <w:textAlignment w:val="auto"/>
        <w:rPr>
          <w:rFonts w:cs="仿宋_GB2312"/>
          <w:bCs/>
          <w:i w:val="0"/>
          <w:iCs w:val="0"/>
          <w:color w:val="auto"/>
          <w:szCs w:val="24"/>
          <w:highlight w:val="none"/>
        </w:rPr>
      </w:pPr>
      <w:bookmarkStart w:id="291" w:name="_Toc140132781"/>
      <w:r>
        <w:rPr>
          <w:rFonts w:hint="eastAsia" w:cs="仿宋_GB2312"/>
          <w:i w:val="0"/>
          <w:iCs w:val="0"/>
          <w:color w:val="auto"/>
          <w:szCs w:val="24"/>
          <w:highlight w:val="none"/>
        </w:rPr>
        <w:t>2</w:t>
      </w:r>
      <w:r>
        <w:rPr>
          <w:rFonts w:hint="eastAsia" w:cs="仿宋_GB2312"/>
          <w:i w:val="0"/>
          <w:iCs w:val="0"/>
          <w:color w:val="auto"/>
          <w:szCs w:val="24"/>
          <w:highlight w:val="none"/>
          <w:lang w:val="en-US" w:eastAsia="zh-CN"/>
        </w:rPr>
        <w:t>2</w:t>
      </w:r>
      <w:r>
        <w:rPr>
          <w:rFonts w:hint="eastAsia" w:cs="仿宋_GB2312"/>
          <w:i w:val="0"/>
          <w:iCs w:val="0"/>
          <w:color w:val="auto"/>
          <w:szCs w:val="24"/>
          <w:highlight w:val="none"/>
        </w:rPr>
        <w:t>.1供应商应按照“</w:t>
      </w:r>
      <w:r>
        <w:rPr>
          <w:rFonts w:hint="eastAsia" w:cs="仿宋_GB2312"/>
          <w:i w:val="0"/>
          <w:iCs w:val="0"/>
          <w:color w:val="auto"/>
          <w:szCs w:val="24"/>
          <w:highlight w:val="none"/>
          <w:lang w:val="en-US" w:eastAsia="zh-CN"/>
        </w:rPr>
        <w:t>第一章 竞争性磋商公告</w:t>
      </w:r>
      <w:r>
        <w:rPr>
          <w:rFonts w:hint="eastAsia" w:cs="仿宋_GB2312"/>
          <w:i w:val="0"/>
          <w:iCs w:val="0"/>
          <w:color w:val="auto"/>
          <w:szCs w:val="24"/>
          <w:highlight w:val="none"/>
        </w:rPr>
        <w:t>”中的要求参与开启。</w:t>
      </w:r>
      <w:bookmarkEnd w:id="291"/>
    </w:p>
    <w:p w14:paraId="44C062A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2" w:name="_Toc161600316"/>
      <w:bookmarkStart w:id="293" w:name="_Toc140132782"/>
      <w:r>
        <w:rPr>
          <w:rFonts w:hint="eastAsia" w:ascii="宋体" w:hAnsi="宋体" w:eastAsia="宋体" w:cs="宋体"/>
          <w:b/>
          <w:bCs/>
          <w:color w:val="auto"/>
          <w:kern w:val="2"/>
          <w:sz w:val="24"/>
          <w:szCs w:val="24"/>
          <w:highlight w:val="none"/>
          <w:lang w:val="en-US" w:eastAsia="zh-CN" w:bidi="ar-SA"/>
        </w:rPr>
        <w:t>23.开启时间和地点</w:t>
      </w:r>
      <w:bookmarkEnd w:id="292"/>
      <w:bookmarkEnd w:id="293"/>
    </w:p>
    <w:p w14:paraId="19FC62D6">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2</w:t>
      </w:r>
      <w:r>
        <w:rPr>
          <w:rFonts w:hint="eastAsia" w:cs="仿宋_GB2312"/>
          <w:i w:val="0"/>
          <w:iCs w:val="0"/>
          <w:color w:val="auto"/>
          <w:szCs w:val="24"/>
          <w:highlight w:val="none"/>
          <w:lang w:val="en-US" w:eastAsia="zh-CN"/>
        </w:rPr>
        <w:t>3</w:t>
      </w:r>
      <w:r>
        <w:rPr>
          <w:rFonts w:hint="eastAsia" w:cs="仿宋_GB2312"/>
          <w:i w:val="0"/>
          <w:iCs w:val="0"/>
          <w:color w:val="auto"/>
          <w:szCs w:val="24"/>
          <w:highlight w:val="none"/>
        </w:rPr>
        <w:t>.1开启时间和地点</w:t>
      </w:r>
    </w:p>
    <w:p w14:paraId="74263C6D">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cs="仿宋_GB2312"/>
          <w:i w:val="0"/>
          <w:iCs w:val="0"/>
          <w:color w:val="auto"/>
          <w:szCs w:val="24"/>
          <w:highlight w:val="none"/>
        </w:rPr>
        <w:t>（1）</w:t>
      </w:r>
      <w:r>
        <w:rPr>
          <w:rFonts w:hint="eastAsia" w:cs="仿宋_GB2312"/>
          <w:i w:val="0"/>
          <w:iCs w:val="0"/>
          <w:color w:val="auto"/>
          <w:szCs w:val="24"/>
          <w:highlight w:val="none"/>
          <w:lang w:val="en-US" w:eastAsia="zh-CN"/>
        </w:rPr>
        <w:t>递交</w:t>
      </w:r>
      <w:r>
        <w:rPr>
          <w:rFonts w:hint="eastAsia" w:cs="仿宋_GB2312"/>
          <w:i w:val="0"/>
          <w:iCs w:val="0"/>
          <w:color w:val="auto"/>
          <w:szCs w:val="24"/>
          <w:highlight w:val="none"/>
        </w:rPr>
        <w:t>响应文件截止时间前，供应商登录供应商客户端，</w:t>
      </w:r>
      <w:r>
        <w:rPr>
          <w:rFonts w:cs="仿宋_GB2312"/>
          <w:i w:val="0"/>
          <w:iCs w:val="0"/>
          <w:snapToGrid w:val="0"/>
          <w:color w:val="auto"/>
          <w:highlight w:val="none"/>
          <w:lang w:val="zh-CN"/>
        </w:rPr>
        <w:t>通过</w:t>
      </w:r>
      <w:r>
        <w:rPr>
          <w:rFonts w:hint="eastAsia" w:cs="仿宋_GB2312"/>
          <w:i w:val="0"/>
          <w:iCs w:val="0"/>
          <w:snapToGrid w:val="0"/>
          <w:color w:val="auto"/>
          <w:highlight w:val="none"/>
          <w:lang w:val="zh-CN"/>
        </w:rPr>
        <w:t>供应商客户端</w:t>
      </w:r>
      <w:r>
        <w:rPr>
          <w:rFonts w:cs="仿宋_GB2312"/>
          <w:i w:val="0"/>
          <w:iCs w:val="0"/>
          <w:snapToGrid w:val="0"/>
          <w:color w:val="auto"/>
          <w:highlight w:val="none"/>
          <w:lang w:val="zh-CN"/>
        </w:rPr>
        <w:t>进入</w:t>
      </w:r>
      <w:r>
        <w:rPr>
          <w:rFonts w:hint="eastAsia" w:cs="仿宋_GB2312"/>
          <w:i w:val="0"/>
          <w:iCs w:val="0"/>
          <w:snapToGrid w:val="0"/>
          <w:color w:val="auto"/>
          <w:highlight w:val="none"/>
          <w:lang w:val="zh-CN"/>
        </w:rPr>
        <w:t>交易系统</w:t>
      </w:r>
      <w:r>
        <w:rPr>
          <w:rFonts w:cs="仿宋_GB2312"/>
          <w:i w:val="0"/>
          <w:iCs w:val="0"/>
          <w:color w:val="auto"/>
          <w:szCs w:val="24"/>
          <w:highlight w:val="none"/>
        </w:rPr>
        <w:t>“开标大厅”选择所投项目（或采购包）完成项目签到工作。</w:t>
      </w:r>
    </w:p>
    <w:p w14:paraId="485DC310">
      <w:pPr>
        <w:keepNext w:val="0"/>
        <w:keepLines w:val="0"/>
        <w:pageBreakBefore w:val="0"/>
        <w:widowControl w:val="0"/>
        <w:kinsoku/>
        <w:overflowPunct/>
        <w:topLinePunct w:val="0"/>
        <w:bidi w:val="0"/>
        <w:ind w:firstLine="480" w:firstLineChars="200"/>
        <w:textAlignment w:val="auto"/>
        <w:rPr>
          <w:rFonts w:cs="仿宋_GB2312"/>
          <w:i w:val="0"/>
          <w:iCs w:val="0"/>
          <w:color w:val="auto"/>
          <w:szCs w:val="24"/>
          <w:highlight w:val="none"/>
        </w:rPr>
      </w:pPr>
      <w:r>
        <w:rPr>
          <w:rFonts w:hint="eastAsia"/>
          <w:i w:val="0"/>
          <w:iCs w:val="0"/>
          <w:color w:val="auto"/>
          <w:szCs w:val="24"/>
          <w:highlight w:val="none"/>
          <w:lang w:val="zh-CN"/>
        </w:rPr>
        <w:t>（2）在</w:t>
      </w:r>
      <w:r>
        <w:rPr>
          <w:rFonts w:hint="eastAsia" w:cs="仿宋_GB2312"/>
          <w:i w:val="0"/>
          <w:iCs w:val="0"/>
          <w:color w:val="auto"/>
          <w:szCs w:val="24"/>
          <w:highlight w:val="none"/>
        </w:rPr>
        <w:t>“</w:t>
      </w:r>
      <w:r>
        <w:rPr>
          <w:rFonts w:hint="eastAsia" w:cs="仿宋_GB2312"/>
          <w:i w:val="0"/>
          <w:iCs w:val="0"/>
          <w:color w:val="auto"/>
          <w:szCs w:val="24"/>
          <w:highlight w:val="none"/>
          <w:lang w:val="en-US" w:eastAsia="zh-CN"/>
        </w:rPr>
        <w:t>第一章 竞争性磋商公告</w:t>
      </w:r>
      <w:r>
        <w:rPr>
          <w:rFonts w:hint="eastAsia" w:cs="仿宋_GB2312"/>
          <w:i w:val="0"/>
          <w:iCs w:val="0"/>
          <w:color w:val="auto"/>
          <w:szCs w:val="24"/>
          <w:highlight w:val="none"/>
        </w:rPr>
        <w:t>”</w:t>
      </w:r>
      <w:r>
        <w:rPr>
          <w:rFonts w:hint="eastAsia"/>
          <w:i w:val="0"/>
          <w:iCs w:val="0"/>
          <w:color w:val="auto"/>
          <w:szCs w:val="24"/>
          <w:highlight w:val="none"/>
          <w:lang w:val="en-US" w:eastAsia="zh-CN"/>
        </w:rPr>
        <w:t>规</w:t>
      </w:r>
      <w:r>
        <w:rPr>
          <w:rFonts w:hint="eastAsia"/>
          <w:i w:val="0"/>
          <w:iCs w:val="0"/>
          <w:color w:val="auto"/>
          <w:szCs w:val="24"/>
          <w:highlight w:val="none"/>
          <w:lang w:val="zh-CN"/>
        </w:rPr>
        <w:t>定的</w:t>
      </w:r>
      <w:r>
        <w:rPr>
          <w:rFonts w:hint="eastAsia"/>
          <w:i w:val="0"/>
          <w:iCs w:val="0"/>
          <w:color w:val="auto"/>
          <w:szCs w:val="24"/>
          <w:highlight w:val="none"/>
          <w:lang w:val="en-US" w:eastAsia="zh-CN"/>
        </w:rPr>
        <w:t>递交</w:t>
      </w:r>
      <w:r>
        <w:rPr>
          <w:rFonts w:hint="eastAsia"/>
          <w:i w:val="0"/>
          <w:iCs w:val="0"/>
          <w:color w:val="auto"/>
          <w:szCs w:val="24"/>
          <w:highlight w:val="none"/>
          <w:lang w:val="zh-CN"/>
        </w:rPr>
        <w:t>响应文件截止时间、开启时间及地点，采购代理机构</w:t>
      </w:r>
      <w:r>
        <w:rPr>
          <w:rFonts w:hint="eastAsia" w:ascii="宋体" w:hAnsi="宋体" w:eastAsia="宋体"/>
          <w:i w:val="0"/>
          <w:iCs w:val="0"/>
          <w:color w:val="auto"/>
          <w:szCs w:val="24"/>
          <w:highlight w:val="none"/>
          <w:lang w:val="zh-CN"/>
        </w:rPr>
        <w:t>通过</w:t>
      </w:r>
      <w:r>
        <w:rPr>
          <w:rFonts w:hint="eastAsia"/>
          <w:i w:val="0"/>
          <w:iCs w:val="0"/>
          <w:color w:val="auto"/>
          <w:szCs w:val="24"/>
          <w:highlight w:val="none"/>
          <w:lang w:val="zh-CN" w:eastAsia="zh-CN"/>
        </w:rPr>
        <w:t>新疆政府采购</w:t>
      </w:r>
      <w:r>
        <w:rPr>
          <w:rFonts w:hint="eastAsia" w:ascii="宋体" w:hAnsi="宋体" w:eastAsia="宋体"/>
          <w:i w:val="0"/>
          <w:iCs w:val="0"/>
          <w:color w:val="auto"/>
          <w:szCs w:val="24"/>
          <w:highlight w:val="none"/>
          <w:lang w:val="zh-CN" w:eastAsia="zh-CN"/>
        </w:rPr>
        <w:t>电子交易云平台</w:t>
      </w:r>
      <w:r>
        <w:rPr>
          <w:rFonts w:hint="eastAsia" w:ascii="宋体" w:hAnsi="宋体" w:eastAsia="宋体" w:cs="宋体"/>
          <w:i w:val="0"/>
          <w:iCs w:val="0"/>
          <w:color w:val="auto"/>
          <w:kern w:val="2"/>
          <w:sz w:val="24"/>
          <w:szCs w:val="22"/>
          <w:highlight w:val="none"/>
        </w:rPr>
        <w:t>的“政采云远程开标大厅”</w:t>
      </w:r>
      <w:r>
        <w:rPr>
          <w:rFonts w:hint="eastAsia"/>
          <w:i w:val="0"/>
          <w:iCs w:val="0"/>
          <w:color w:val="auto"/>
          <w:szCs w:val="24"/>
          <w:highlight w:val="none"/>
          <w:lang w:val="zh-CN"/>
        </w:rPr>
        <w:t>组织响应文件开启工作。</w:t>
      </w:r>
    </w:p>
    <w:p w14:paraId="66534CB4">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2</w:t>
      </w:r>
      <w:r>
        <w:rPr>
          <w:rFonts w:hint="eastAsia"/>
          <w:i w:val="0"/>
          <w:iCs w:val="0"/>
          <w:color w:val="auto"/>
          <w:highlight w:val="none"/>
          <w:lang w:val="en-US" w:eastAsia="zh-CN"/>
        </w:rPr>
        <w:t>3</w:t>
      </w:r>
      <w:r>
        <w:rPr>
          <w:i w:val="0"/>
          <w:iCs w:val="0"/>
          <w:color w:val="auto"/>
          <w:highlight w:val="none"/>
        </w:rPr>
        <w:t>.2响应文件开启：</w:t>
      </w:r>
      <w:r>
        <w:rPr>
          <w:rFonts w:hint="eastAsia"/>
          <w:i w:val="0"/>
          <w:iCs w:val="0"/>
          <w:color w:val="auto"/>
          <w:highlight w:val="none"/>
          <w:lang w:val="en-US" w:eastAsia="zh-CN"/>
        </w:rPr>
        <w:t>递交</w:t>
      </w:r>
      <w:r>
        <w:rPr>
          <w:i w:val="0"/>
          <w:iCs w:val="0"/>
          <w:color w:val="auto"/>
          <w:highlight w:val="none"/>
        </w:rPr>
        <w:t>响应文件截止时间到后，工作人员启动开始解密指令，供应商应当按照“供应商须知前附表”规定及时进行响应文件解密，完成响应文件开启工作。</w:t>
      </w:r>
    </w:p>
    <w:p w14:paraId="77684B06">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2</w:t>
      </w:r>
      <w:r>
        <w:rPr>
          <w:rFonts w:hint="eastAsia"/>
          <w:i w:val="0"/>
          <w:iCs w:val="0"/>
          <w:color w:val="auto"/>
          <w:highlight w:val="none"/>
          <w:lang w:val="en-US" w:eastAsia="zh-CN"/>
        </w:rPr>
        <w:t>3</w:t>
      </w:r>
      <w:r>
        <w:rPr>
          <w:i w:val="0"/>
          <w:iCs w:val="0"/>
          <w:color w:val="auto"/>
          <w:highlight w:val="none"/>
        </w:rPr>
        <w:t>.3规定的时间内，非因</w:t>
      </w:r>
      <w:r>
        <w:rPr>
          <w:rFonts w:hint="eastAsia"/>
          <w:i w:val="0"/>
          <w:iCs w:val="0"/>
          <w:color w:val="auto"/>
          <w:highlight w:val="none"/>
          <w:lang w:val="zh-CN" w:eastAsia="zh-CN"/>
        </w:rPr>
        <w:t>新疆政府采购电子交易云平台</w:t>
      </w:r>
      <w:r>
        <w:rPr>
          <w:i w:val="0"/>
          <w:iCs w:val="0"/>
          <w:color w:val="auto"/>
          <w:highlight w:val="none"/>
        </w:rPr>
        <w:t>原因造成响应文件未解密的，视为供应商撤回响应文件。停止解密后，已解密开启的响应文件不足3家的，应当终止采购活动。</w:t>
      </w:r>
    </w:p>
    <w:p w14:paraId="46075363">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i w:val="0"/>
          <w:iCs w:val="0"/>
          <w:color w:val="auto"/>
          <w:highlight w:val="none"/>
        </w:rPr>
        <w:t>2</w:t>
      </w:r>
      <w:r>
        <w:rPr>
          <w:rFonts w:hint="eastAsia"/>
          <w:i w:val="0"/>
          <w:iCs w:val="0"/>
          <w:color w:val="auto"/>
          <w:highlight w:val="none"/>
          <w:lang w:val="en-US" w:eastAsia="zh-CN"/>
        </w:rPr>
        <w:t>3</w:t>
      </w:r>
      <w:r>
        <w:rPr>
          <w:i w:val="0"/>
          <w:iCs w:val="0"/>
          <w:color w:val="auto"/>
          <w:highlight w:val="none"/>
        </w:rPr>
        <w:t>.4供应商或其授权代表对响应文件开启过程有疑义的，以及认为采购人、</w:t>
      </w:r>
      <w:r>
        <w:rPr>
          <w:rFonts w:hint="eastAsia"/>
          <w:i w:val="0"/>
          <w:iCs w:val="0"/>
          <w:color w:val="auto"/>
          <w:highlight w:val="none"/>
        </w:rPr>
        <w:t>采购代理机构</w:t>
      </w:r>
      <w:r>
        <w:rPr>
          <w:i w:val="0"/>
          <w:iCs w:val="0"/>
          <w:color w:val="auto"/>
          <w:highlight w:val="none"/>
        </w:rPr>
        <w:t>相关工作人员有需要回避的情形的，</w:t>
      </w:r>
      <w:r>
        <w:rPr>
          <w:rFonts w:hint="eastAsia"/>
          <w:i w:val="0"/>
          <w:iCs w:val="0"/>
          <w:color w:val="auto"/>
          <w:highlight w:val="none"/>
        </w:rPr>
        <w:t>应在开</w:t>
      </w:r>
      <w:r>
        <w:rPr>
          <w:rFonts w:hint="eastAsia"/>
          <w:i w:val="0"/>
          <w:iCs w:val="0"/>
          <w:color w:val="auto"/>
          <w:highlight w:val="none"/>
          <w:lang w:val="en-US" w:eastAsia="zh-CN"/>
        </w:rPr>
        <w:t>启</w:t>
      </w:r>
      <w:r>
        <w:rPr>
          <w:rFonts w:hint="eastAsia"/>
          <w:i w:val="0"/>
          <w:iCs w:val="0"/>
          <w:color w:val="auto"/>
          <w:highlight w:val="none"/>
        </w:rPr>
        <w:t>会议中提出询问或者回避申请。采购人、采购代理机构对</w:t>
      </w:r>
      <w:r>
        <w:rPr>
          <w:rFonts w:hint="eastAsia"/>
          <w:i w:val="0"/>
          <w:iCs w:val="0"/>
          <w:color w:val="auto"/>
          <w:highlight w:val="none"/>
          <w:lang w:val="en-US" w:eastAsia="zh-CN"/>
        </w:rPr>
        <w:t>供应商</w:t>
      </w:r>
      <w:r>
        <w:rPr>
          <w:rFonts w:hint="eastAsia"/>
          <w:i w:val="0"/>
          <w:iCs w:val="0"/>
          <w:color w:val="auto"/>
          <w:highlight w:val="none"/>
        </w:rPr>
        <w:t>授权代表提出的询问或者回避申请应当及时处理。</w:t>
      </w:r>
    </w:p>
    <w:p w14:paraId="0486AA50">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2</w:t>
      </w:r>
      <w:r>
        <w:rPr>
          <w:rFonts w:hint="eastAsia"/>
          <w:i w:val="0"/>
          <w:iCs w:val="0"/>
          <w:color w:val="auto"/>
          <w:highlight w:val="none"/>
          <w:lang w:val="en-US" w:eastAsia="zh-CN"/>
        </w:rPr>
        <w:t>3</w:t>
      </w:r>
      <w:r>
        <w:rPr>
          <w:i w:val="0"/>
          <w:iCs w:val="0"/>
          <w:color w:val="auto"/>
          <w:highlight w:val="none"/>
        </w:rPr>
        <w:t>.</w:t>
      </w:r>
      <w:r>
        <w:rPr>
          <w:rFonts w:hint="eastAsia"/>
          <w:i w:val="0"/>
          <w:iCs w:val="0"/>
          <w:color w:val="auto"/>
          <w:highlight w:val="none"/>
          <w:lang w:val="en-US" w:eastAsia="zh-CN"/>
        </w:rPr>
        <w:t>5供应商</w:t>
      </w:r>
      <w:r>
        <w:rPr>
          <w:rFonts w:hint="eastAsia"/>
          <w:i w:val="0"/>
          <w:iCs w:val="0"/>
          <w:color w:val="auto"/>
          <w:highlight w:val="none"/>
        </w:rPr>
        <w:t>未参加开</w:t>
      </w:r>
      <w:r>
        <w:rPr>
          <w:rFonts w:hint="eastAsia"/>
          <w:i w:val="0"/>
          <w:iCs w:val="0"/>
          <w:color w:val="auto"/>
          <w:highlight w:val="none"/>
          <w:lang w:val="en-US" w:eastAsia="zh-CN"/>
        </w:rPr>
        <w:t>启</w:t>
      </w:r>
      <w:r>
        <w:rPr>
          <w:rFonts w:hint="eastAsia"/>
          <w:i w:val="0"/>
          <w:iCs w:val="0"/>
          <w:color w:val="auto"/>
          <w:highlight w:val="none"/>
        </w:rPr>
        <w:t>的，视同认可开</w:t>
      </w:r>
      <w:r>
        <w:rPr>
          <w:rFonts w:hint="eastAsia"/>
          <w:i w:val="0"/>
          <w:iCs w:val="0"/>
          <w:color w:val="auto"/>
          <w:highlight w:val="none"/>
          <w:lang w:val="en-US" w:eastAsia="zh-CN"/>
        </w:rPr>
        <w:t>启</w:t>
      </w:r>
      <w:r>
        <w:rPr>
          <w:rFonts w:hint="eastAsia"/>
          <w:i w:val="0"/>
          <w:iCs w:val="0"/>
          <w:color w:val="auto"/>
          <w:highlight w:val="none"/>
        </w:rPr>
        <w:t>结果。</w:t>
      </w:r>
    </w:p>
    <w:bookmarkEnd w:id="284"/>
    <w:bookmarkEnd w:id="285"/>
    <w:bookmarkEnd w:id="286"/>
    <w:bookmarkEnd w:id="287"/>
    <w:bookmarkEnd w:id="288"/>
    <w:bookmarkEnd w:id="289"/>
    <w:bookmarkEnd w:id="290"/>
    <w:p w14:paraId="55D243EF">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4" w:name="_Toc155185877"/>
      <w:bookmarkStart w:id="295" w:name="_Toc163492854"/>
      <w:bookmarkStart w:id="296" w:name="_Toc140132785"/>
      <w:bookmarkStart w:id="297" w:name="_Toc25345"/>
      <w:r>
        <w:rPr>
          <w:rFonts w:hint="eastAsia" w:ascii="宋体" w:hAnsi="宋体" w:eastAsia="宋体" w:cs="宋体"/>
          <w:b/>
          <w:bCs/>
          <w:color w:val="auto"/>
          <w:kern w:val="2"/>
          <w:sz w:val="24"/>
          <w:szCs w:val="24"/>
          <w:highlight w:val="none"/>
          <w:lang w:val="en-US" w:eastAsia="zh-CN" w:bidi="ar-SA"/>
        </w:rPr>
        <w:t>（六）资格审查</w:t>
      </w:r>
      <w:bookmarkEnd w:id="294"/>
      <w:bookmarkEnd w:id="295"/>
      <w:bookmarkEnd w:id="296"/>
      <w:bookmarkEnd w:id="297"/>
    </w:p>
    <w:p w14:paraId="2C1B5FD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8" w:name="_Toc163492855"/>
      <w:r>
        <w:rPr>
          <w:rFonts w:hint="eastAsia" w:ascii="宋体" w:hAnsi="宋体" w:eastAsia="宋体" w:cs="宋体"/>
          <w:b/>
          <w:bCs/>
          <w:color w:val="auto"/>
          <w:kern w:val="2"/>
          <w:sz w:val="24"/>
          <w:szCs w:val="24"/>
          <w:highlight w:val="none"/>
          <w:lang w:val="en-US" w:eastAsia="zh-CN" w:bidi="ar-SA"/>
        </w:rPr>
        <w:t>24.资格审查及审查主体</w:t>
      </w:r>
      <w:bookmarkEnd w:id="298"/>
    </w:p>
    <w:p w14:paraId="0D27F8C1">
      <w:pPr>
        <w:pStyle w:val="33"/>
        <w:keepNext w:val="0"/>
        <w:keepLines w:val="0"/>
        <w:pageBreakBefore w:val="0"/>
        <w:widowControl w:val="0"/>
        <w:kinsoku/>
        <w:overflowPunct/>
        <w:topLinePunct w:val="0"/>
        <w:bidi w:val="0"/>
        <w:ind w:firstLine="480"/>
        <w:textAlignment w:val="auto"/>
        <w:rPr>
          <w:i w:val="0"/>
          <w:iCs w:val="0"/>
          <w:color w:val="auto"/>
          <w:highlight w:val="none"/>
        </w:rPr>
      </w:pPr>
      <w:bookmarkStart w:id="299" w:name="_Toc140132786"/>
      <w:r>
        <w:rPr>
          <w:rFonts w:hint="eastAsia"/>
          <w:i w:val="0"/>
          <w:iCs w:val="0"/>
          <w:color w:val="auto"/>
          <w:highlight w:val="none"/>
        </w:rPr>
        <w:t>2</w:t>
      </w:r>
      <w:r>
        <w:rPr>
          <w:rFonts w:hint="eastAsia"/>
          <w:i w:val="0"/>
          <w:iCs w:val="0"/>
          <w:color w:val="auto"/>
          <w:highlight w:val="none"/>
          <w:lang w:val="en-US" w:eastAsia="zh-CN"/>
        </w:rPr>
        <w:t>4</w:t>
      </w:r>
      <w:r>
        <w:rPr>
          <w:rFonts w:hint="eastAsia"/>
          <w:i w:val="0"/>
          <w:iCs w:val="0"/>
          <w:color w:val="auto"/>
          <w:highlight w:val="none"/>
        </w:rPr>
        <w:t>.1</w:t>
      </w:r>
      <w:r>
        <w:rPr>
          <w:i w:val="0"/>
          <w:iCs w:val="0"/>
          <w:color w:val="auto"/>
          <w:highlight w:val="none"/>
        </w:rPr>
        <w:t>开</w:t>
      </w:r>
      <w:r>
        <w:rPr>
          <w:rFonts w:hint="eastAsia"/>
          <w:i w:val="0"/>
          <w:iCs w:val="0"/>
          <w:color w:val="auto"/>
          <w:highlight w:val="none"/>
          <w:lang w:val="en-US" w:eastAsia="zh-CN"/>
        </w:rPr>
        <w:t>启</w:t>
      </w:r>
      <w:r>
        <w:rPr>
          <w:i w:val="0"/>
          <w:iCs w:val="0"/>
          <w:color w:val="auto"/>
          <w:highlight w:val="none"/>
        </w:rPr>
        <w:t>结束后，</w:t>
      </w:r>
      <w:r>
        <w:rPr>
          <w:rFonts w:hint="eastAsia"/>
          <w:i w:val="0"/>
          <w:iCs w:val="0"/>
          <w:color w:val="auto"/>
          <w:highlight w:val="none"/>
          <w:lang w:val="en-US" w:eastAsia="zh-CN"/>
        </w:rPr>
        <w:t>磋商小组</w:t>
      </w:r>
      <w:r>
        <w:rPr>
          <w:i w:val="0"/>
          <w:iCs w:val="0"/>
          <w:color w:val="auto"/>
          <w:highlight w:val="none"/>
        </w:rPr>
        <w:t>依据法律法规和本</w:t>
      </w:r>
      <w:r>
        <w:rPr>
          <w:rFonts w:hint="eastAsia"/>
          <w:i w:val="0"/>
          <w:iCs w:val="0"/>
          <w:color w:val="auto"/>
          <w:highlight w:val="none"/>
          <w:lang w:val="en-US" w:eastAsia="zh-CN"/>
        </w:rPr>
        <w:t>竞争性磋商</w:t>
      </w:r>
      <w:r>
        <w:rPr>
          <w:i w:val="0"/>
          <w:iCs w:val="0"/>
          <w:color w:val="auto"/>
          <w:highlight w:val="none"/>
        </w:rPr>
        <w:t>文件的规定，依法对</w:t>
      </w:r>
      <w:r>
        <w:rPr>
          <w:rFonts w:hint="eastAsia"/>
          <w:i w:val="0"/>
          <w:iCs w:val="0"/>
          <w:color w:val="auto"/>
          <w:highlight w:val="none"/>
          <w:lang w:val="en-US" w:eastAsia="zh-CN"/>
        </w:rPr>
        <w:t>供应商</w:t>
      </w:r>
      <w:r>
        <w:rPr>
          <w:i w:val="0"/>
          <w:iCs w:val="0"/>
          <w:color w:val="auto"/>
          <w:highlight w:val="none"/>
        </w:rPr>
        <w:t>资格进行审查，以确定</w:t>
      </w:r>
      <w:r>
        <w:rPr>
          <w:rFonts w:hint="eastAsia"/>
          <w:i w:val="0"/>
          <w:iCs w:val="0"/>
          <w:color w:val="auto"/>
          <w:highlight w:val="none"/>
          <w:lang w:val="en-US" w:eastAsia="zh-CN"/>
        </w:rPr>
        <w:t>供应商</w:t>
      </w:r>
      <w:r>
        <w:rPr>
          <w:i w:val="0"/>
          <w:iCs w:val="0"/>
          <w:color w:val="auto"/>
          <w:highlight w:val="none"/>
        </w:rPr>
        <w:t>是否具备</w:t>
      </w:r>
      <w:r>
        <w:rPr>
          <w:rFonts w:hint="eastAsia"/>
          <w:i w:val="0"/>
          <w:iCs w:val="0"/>
          <w:color w:val="auto"/>
          <w:highlight w:val="none"/>
          <w:lang w:val="en-US" w:eastAsia="zh-CN"/>
        </w:rPr>
        <w:t>磋商</w:t>
      </w:r>
      <w:r>
        <w:rPr>
          <w:i w:val="0"/>
          <w:iCs w:val="0"/>
          <w:color w:val="auto"/>
          <w:highlight w:val="none"/>
        </w:rPr>
        <w:t>资格。</w:t>
      </w:r>
      <w:bookmarkEnd w:id="299"/>
    </w:p>
    <w:p w14:paraId="77AFBA72">
      <w:pPr>
        <w:pStyle w:val="33"/>
        <w:keepNext w:val="0"/>
        <w:keepLines w:val="0"/>
        <w:pageBreakBefore w:val="0"/>
        <w:widowControl w:val="0"/>
        <w:kinsoku/>
        <w:overflowPunct/>
        <w:topLinePunct w:val="0"/>
        <w:bidi w:val="0"/>
        <w:ind w:firstLine="480"/>
        <w:textAlignment w:val="auto"/>
        <w:rPr>
          <w:i w:val="0"/>
          <w:iCs w:val="0"/>
          <w:color w:val="auto"/>
          <w:highlight w:val="none"/>
        </w:rPr>
      </w:pPr>
      <w:bookmarkStart w:id="300" w:name="_Toc140132787"/>
      <w:r>
        <w:rPr>
          <w:i w:val="0"/>
          <w:iCs w:val="0"/>
          <w:color w:val="auto"/>
          <w:highlight w:val="none"/>
        </w:rPr>
        <w:t>2</w:t>
      </w:r>
      <w:r>
        <w:rPr>
          <w:rFonts w:hint="eastAsia"/>
          <w:i w:val="0"/>
          <w:iCs w:val="0"/>
          <w:color w:val="auto"/>
          <w:highlight w:val="none"/>
          <w:lang w:val="en-US" w:eastAsia="zh-CN"/>
        </w:rPr>
        <w:t>4</w:t>
      </w:r>
      <w:r>
        <w:rPr>
          <w:rFonts w:hint="eastAsia"/>
          <w:i w:val="0"/>
          <w:iCs w:val="0"/>
          <w:color w:val="auto"/>
          <w:highlight w:val="none"/>
        </w:rPr>
        <w:t>.2</w:t>
      </w:r>
      <w:r>
        <w:rPr>
          <w:i w:val="0"/>
          <w:iCs w:val="0"/>
          <w:color w:val="auto"/>
          <w:highlight w:val="none"/>
        </w:rPr>
        <w:t>资格审查</w:t>
      </w:r>
      <w:r>
        <w:rPr>
          <w:rFonts w:hint="eastAsia"/>
          <w:i w:val="0"/>
          <w:iCs w:val="0"/>
          <w:color w:val="auto"/>
          <w:highlight w:val="none"/>
        </w:rPr>
        <w:t>按“第四章</w:t>
      </w:r>
      <w:r>
        <w:rPr>
          <w:rFonts w:hint="eastAsia"/>
          <w:i w:val="0"/>
          <w:iCs w:val="0"/>
          <w:color w:val="auto"/>
          <w:highlight w:val="none"/>
          <w:lang w:val="en-US" w:eastAsia="zh-CN"/>
        </w:rPr>
        <w:t xml:space="preserve"> </w:t>
      </w:r>
      <w:r>
        <w:rPr>
          <w:rFonts w:cs="仿宋_GB2312"/>
          <w:i w:val="0"/>
          <w:iCs w:val="0"/>
          <w:snapToGrid w:val="0"/>
          <w:color w:val="auto"/>
          <w:highlight w:val="none"/>
          <w:lang w:val="zh-CN"/>
        </w:rPr>
        <w:t>评审</w:t>
      </w:r>
      <w:r>
        <w:rPr>
          <w:rFonts w:hint="eastAsia" w:cs="仿宋_GB2312"/>
          <w:i w:val="0"/>
          <w:iCs w:val="0"/>
          <w:snapToGrid w:val="0"/>
          <w:color w:val="auto"/>
          <w:highlight w:val="none"/>
          <w:lang w:val="en-US" w:eastAsia="zh-CN"/>
        </w:rPr>
        <w:t>方</w:t>
      </w:r>
      <w:r>
        <w:rPr>
          <w:rFonts w:cs="仿宋_GB2312"/>
          <w:i w:val="0"/>
          <w:iCs w:val="0"/>
          <w:snapToGrid w:val="0"/>
          <w:color w:val="auto"/>
          <w:highlight w:val="none"/>
          <w:lang w:val="zh-CN"/>
        </w:rPr>
        <w:t>法</w:t>
      </w:r>
      <w:r>
        <w:rPr>
          <w:rFonts w:hint="eastAsia" w:cs="仿宋_GB2312"/>
          <w:i w:val="0"/>
          <w:iCs w:val="0"/>
          <w:snapToGrid w:val="0"/>
          <w:color w:val="auto"/>
          <w:highlight w:val="none"/>
          <w:lang w:val="zh-CN"/>
        </w:rPr>
        <w:t>及标准</w:t>
      </w:r>
      <w:r>
        <w:rPr>
          <w:rFonts w:hint="eastAsia"/>
          <w:i w:val="0"/>
          <w:iCs w:val="0"/>
          <w:color w:val="auto"/>
          <w:highlight w:val="none"/>
        </w:rPr>
        <w:t>”的规定进行。</w:t>
      </w:r>
      <w:bookmarkEnd w:id="300"/>
    </w:p>
    <w:p w14:paraId="0706620E">
      <w:pPr>
        <w:pStyle w:val="33"/>
        <w:keepNext w:val="0"/>
        <w:keepLines w:val="0"/>
        <w:pageBreakBefore w:val="0"/>
        <w:widowControl w:val="0"/>
        <w:kinsoku/>
        <w:overflowPunct/>
        <w:topLinePunct w:val="0"/>
        <w:bidi w:val="0"/>
        <w:ind w:firstLine="480"/>
        <w:textAlignment w:val="auto"/>
        <w:rPr>
          <w:i w:val="0"/>
          <w:iCs w:val="0"/>
          <w:color w:val="auto"/>
          <w:highlight w:val="none"/>
        </w:rPr>
      </w:pPr>
      <w:bookmarkStart w:id="301" w:name="_Toc140132788"/>
      <w:r>
        <w:rPr>
          <w:i w:val="0"/>
          <w:iCs w:val="0"/>
          <w:color w:val="auto"/>
          <w:highlight w:val="none"/>
        </w:rPr>
        <w:t>2</w:t>
      </w:r>
      <w:r>
        <w:rPr>
          <w:rFonts w:hint="eastAsia"/>
          <w:i w:val="0"/>
          <w:iCs w:val="0"/>
          <w:color w:val="auto"/>
          <w:highlight w:val="none"/>
          <w:lang w:val="en-US" w:eastAsia="zh-CN"/>
        </w:rPr>
        <w:t>4</w:t>
      </w:r>
      <w:r>
        <w:rPr>
          <w:rFonts w:hint="eastAsia"/>
          <w:i w:val="0"/>
          <w:iCs w:val="0"/>
          <w:color w:val="auto"/>
          <w:highlight w:val="none"/>
        </w:rPr>
        <w:t>.3</w:t>
      </w:r>
      <w:r>
        <w:rPr>
          <w:i w:val="0"/>
          <w:iCs w:val="0"/>
          <w:color w:val="auto"/>
          <w:highlight w:val="none"/>
        </w:rPr>
        <w:t>资格审查结束后，应及时对资格审查结果进行复核，对资格审查错误进行及时纠正并记录。</w:t>
      </w:r>
      <w:bookmarkEnd w:id="301"/>
    </w:p>
    <w:p w14:paraId="450772BF">
      <w:pPr>
        <w:pStyle w:val="33"/>
        <w:keepNext w:val="0"/>
        <w:keepLines w:val="0"/>
        <w:pageBreakBefore w:val="0"/>
        <w:widowControl w:val="0"/>
        <w:kinsoku/>
        <w:overflowPunct/>
        <w:topLinePunct w:val="0"/>
        <w:bidi w:val="0"/>
        <w:ind w:firstLine="480"/>
        <w:textAlignment w:val="auto"/>
        <w:rPr>
          <w:rFonts w:hint="default"/>
          <w:i w:val="0"/>
          <w:iCs w:val="0"/>
          <w:color w:val="auto"/>
          <w:highlight w:val="none"/>
          <w:lang w:val="en-US" w:eastAsia="zh-CN"/>
        </w:rPr>
      </w:pPr>
      <w:r>
        <w:rPr>
          <w:rFonts w:hint="eastAsia"/>
          <w:i w:val="0"/>
          <w:iCs w:val="0"/>
          <w:color w:val="auto"/>
          <w:highlight w:val="none"/>
          <w:lang w:val="en-US" w:eastAsia="zh-CN"/>
        </w:rPr>
        <w:t>24.4</w:t>
      </w:r>
      <w:r>
        <w:rPr>
          <w:i w:val="0"/>
          <w:iCs w:val="0"/>
          <w:color w:val="auto"/>
          <w:highlight w:val="none"/>
        </w:rPr>
        <w:t>资格审查</w:t>
      </w:r>
      <w:r>
        <w:rPr>
          <w:rFonts w:hint="eastAsia"/>
          <w:i w:val="0"/>
          <w:iCs w:val="0"/>
          <w:color w:val="auto"/>
          <w:highlight w:val="none"/>
        </w:rPr>
        <w:t>合格</w:t>
      </w:r>
      <w:r>
        <w:rPr>
          <w:rFonts w:hint="eastAsia"/>
          <w:i w:val="0"/>
          <w:iCs w:val="0"/>
          <w:color w:val="auto"/>
          <w:highlight w:val="none"/>
          <w:lang w:val="en-US" w:eastAsia="zh-CN"/>
        </w:rPr>
        <w:t>供应商</w:t>
      </w:r>
      <w:r>
        <w:rPr>
          <w:rFonts w:hint="eastAsia"/>
          <w:i w:val="0"/>
          <w:iCs w:val="0"/>
          <w:color w:val="auto"/>
          <w:highlight w:val="none"/>
        </w:rPr>
        <w:t>不足3家的，不得评</w:t>
      </w:r>
      <w:r>
        <w:rPr>
          <w:rFonts w:hint="eastAsia"/>
          <w:i w:val="0"/>
          <w:iCs w:val="0"/>
          <w:color w:val="auto"/>
          <w:highlight w:val="none"/>
          <w:lang w:val="en-US" w:eastAsia="zh-CN"/>
        </w:rPr>
        <w:t>审</w:t>
      </w:r>
      <w:r>
        <w:rPr>
          <w:rFonts w:hint="eastAsia"/>
          <w:i w:val="0"/>
          <w:iCs w:val="0"/>
          <w:color w:val="auto"/>
          <w:highlight w:val="none"/>
        </w:rPr>
        <w:t>。</w:t>
      </w:r>
    </w:p>
    <w:p w14:paraId="7A1F7D2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2" w:name="_Toc140132789"/>
      <w:bookmarkStart w:id="303" w:name="_Toc155185878"/>
      <w:bookmarkStart w:id="304" w:name="_Toc163492856"/>
      <w:bookmarkStart w:id="305" w:name="_Toc9064"/>
      <w:r>
        <w:rPr>
          <w:rFonts w:hint="eastAsia" w:ascii="宋体" w:hAnsi="宋体" w:eastAsia="宋体" w:cs="宋体"/>
          <w:b/>
          <w:bCs/>
          <w:color w:val="auto"/>
          <w:kern w:val="2"/>
          <w:sz w:val="24"/>
          <w:szCs w:val="24"/>
          <w:highlight w:val="none"/>
          <w:lang w:val="en-US" w:eastAsia="zh-CN" w:bidi="ar-SA"/>
        </w:rPr>
        <w:t>（七）项目评</w:t>
      </w:r>
      <w:bookmarkEnd w:id="302"/>
      <w:bookmarkEnd w:id="303"/>
      <w:bookmarkEnd w:id="304"/>
      <w:r>
        <w:rPr>
          <w:rFonts w:hint="eastAsia" w:ascii="宋体" w:hAnsi="宋体" w:eastAsia="宋体" w:cs="宋体"/>
          <w:b/>
          <w:bCs/>
          <w:color w:val="auto"/>
          <w:kern w:val="2"/>
          <w:sz w:val="24"/>
          <w:szCs w:val="24"/>
          <w:highlight w:val="none"/>
          <w:lang w:val="en-US" w:eastAsia="zh-CN" w:bidi="ar-SA"/>
        </w:rPr>
        <w:t>审</w:t>
      </w:r>
      <w:bookmarkEnd w:id="305"/>
    </w:p>
    <w:p w14:paraId="4C04DF4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25.评审方法、程序及标准</w:t>
      </w:r>
    </w:p>
    <w:p w14:paraId="0B5D7D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cs="仿宋_GB2312"/>
          <w:i w:val="0"/>
          <w:iCs w:val="0"/>
          <w:snapToGrid w:val="0"/>
          <w:color w:val="auto"/>
          <w:highlight w:val="none"/>
          <w:lang w:val="en-US" w:eastAsia="zh-CN"/>
        </w:rPr>
      </w:pPr>
      <w:r>
        <w:rPr>
          <w:rFonts w:cs="仿宋_GB2312"/>
          <w:i w:val="0"/>
          <w:iCs w:val="0"/>
          <w:snapToGrid w:val="0"/>
          <w:color w:val="auto"/>
          <w:highlight w:val="none"/>
          <w:lang w:val="zh-CN"/>
        </w:rPr>
        <w:t>2</w:t>
      </w:r>
      <w:r>
        <w:rPr>
          <w:rFonts w:hint="eastAsia" w:cs="仿宋_GB2312"/>
          <w:i w:val="0"/>
          <w:iCs w:val="0"/>
          <w:snapToGrid w:val="0"/>
          <w:color w:val="auto"/>
          <w:highlight w:val="none"/>
          <w:lang w:val="en-US" w:eastAsia="zh-CN"/>
        </w:rPr>
        <w:t>5</w:t>
      </w:r>
      <w:r>
        <w:rPr>
          <w:rFonts w:cs="仿宋_GB2312"/>
          <w:i w:val="0"/>
          <w:iCs w:val="0"/>
          <w:snapToGrid w:val="0"/>
          <w:color w:val="auto"/>
          <w:highlight w:val="none"/>
          <w:lang w:val="zh-CN"/>
        </w:rPr>
        <w:t>.1</w:t>
      </w:r>
      <w:r>
        <w:rPr>
          <w:rFonts w:hint="eastAsia" w:cs="仿宋_GB2312"/>
          <w:i w:val="0"/>
          <w:iCs w:val="0"/>
          <w:snapToGrid w:val="0"/>
          <w:color w:val="auto"/>
          <w:highlight w:val="none"/>
          <w:lang w:val="en-US" w:eastAsia="zh-CN"/>
        </w:rPr>
        <w:t>评审方法：综合评分法。</w:t>
      </w:r>
    </w:p>
    <w:p w14:paraId="1D78CC98">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cs="仿宋_GB2312"/>
          <w:i w:val="0"/>
          <w:iCs w:val="0"/>
          <w:snapToGrid w:val="0"/>
          <w:color w:val="auto"/>
          <w:highlight w:val="none"/>
          <w:lang w:val="zh-CN"/>
        </w:rPr>
      </w:pPr>
      <w:r>
        <w:rPr>
          <w:rFonts w:cs="仿宋_GB2312"/>
          <w:i w:val="0"/>
          <w:iCs w:val="0"/>
          <w:snapToGrid w:val="0"/>
          <w:color w:val="auto"/>
          <w:highlight w:val="none"/>
          <w:lang w:val="zh-CN" w:eastAsia="zh-CN"/>
        </w:rPr>
        <w:t>综合评分法，是指响应文件满足磋商文件全部实质性要求且按评审因素的量化</w:t>
      </w:r>
      <w:r>
        <w:rPr>
          <w:rFonts w:hint="eastAsia" w:cs="仿宋_GB2312"/>
          <w:i w:val="0"/>
          <w:iCs w:val="0"/>
          <w:snapToGrid w:val="0"/>
          <w:color w:val="auto"/>
          <w:highlight w:val="none"/>
          <w:lang w:val="zh-CN" w:eastAsia="zh-CN"/>
        </w:rPr>
        <w:t>指标评审得分最高的供应商为成交候选供应商的评审方法。</w:t>
      </w:r>
    </w:p>
    <w:p w14:paraId="22FC5B5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cs="仿宋_GB2312"/>
          <w:i w:val="0"/>
          <w:iCs w:val="0"/>
          <w:snapToGrid w:val="0"/>
          <w:color w:val="auto"/>
          <w:highlight w:val="none"/>
          <w:lang w:val="zh-CN"/>
        </w:rPr>
      </w:pPr>
      <w:r>
        <w:rPr>
          <w:rFonts w:hint="eastAsia" w:cs="仿宋_GB2312"/>
          <w:i w:val="0"/>
          <w:iCs w:val="0"/>
          <w:snapToGrid w:val="0"/>
          <w:color w:val="auto"/>
          <w:highlight w:val="none"/>
          <w:lang w:val="en-US" w:eastAsia="zh-CN"/>
        </w:rPr>
        <w:t>本</w:t>
      </w:r>
      <w:r>
        <w:rPr>
          <w:rFonts w:cs="仿宋_GB2312"/>
          <w:i w:val="0"/>
          <w:iCs w:val="0"/>
          <w:snapToGrid w:val="0"/>
          <w:color w:val="auto"/>
          <w:highlight w:val="none"/>
          <w:lang w:val="zh-CN"/>
        </w:rPr>
        <w:t>项目评审方法、程序及标准详见“第</w:t>
      </w:r>
      <w:r>
        <w:rPr>
          <w:rFonts w:hint="eastAsia" w:cs="仿宋_GB2312"/>
          <w:i w:val="0"/>
          <w:iCs w:val="0"/>
          <w:snapToGrid w:val="0"/>
          <w:color w:val="auto"/>
          <w:highlight w:val="none"/>
          <w:lang w:val="en-US" w:eastAsia="zh-CN"/>
        </w:rPr>
        <w:t>四</w:t>
      </w:r>
      <w:r>
        <w:rPr>
          <w:rFonts w:cs="仿宋_GB2312"/>
          <w:i w:val="0"/>
          <w:iCs w:val="0"/>
          <w:snapToGrid w:val="0"/>
          <w:color w:val="auto"/>
          <w:highlight w:val="none"/>
          <w:lang w:val="zh-CN"/>
        </w:rPr>
        <w:t>章 评审</w:t>
      </w:r>
      <w:r>
        <w:rPr>
          <w:rFonts w:hint="eastAsia" w:cs="仿宋_GB2312"/>
          <w:i w:val="0"/>
          <w:iCs w:val="0"/>
          <w:snapToGrid w:val="0"/>
          <w:color w:val="auto"/>
          <w:highlight w:val="none"/>
          <w:lang w:val="en-US" w:eastAsia="zh-CN"/>
        </w:rPr>
        <w:t>方</w:t>
      </w:r>
      <w:r>
        <w:rPr>
          <w:rFonts w:cs="仿宋_GB2312"/>
          <w:i w:val="0"/>
          <w:iCs w:val="0"/>
          <w:snapToGrid w:val="0"/>
          <w:color w:val="auto"/>
          <w:highlight w:val="none"/>
          <w:lang w:val="zh-CN"/>
        </w:rPr>
        <w:t>法</w:t>
      </w:r>
      <w:r>
        <w:rPr>
          <w:rFonts w:hint="eastAsia" w:cs="仿宋_GB2312"/>
          <w:i w:val="0"/>
          <w:iCs w:val="0"/>
          <w:snapToGrid w:val="0"/>
          <w:color w:val="auto"/>
          <w:highlight w:val="none"/>
          <w:lang w:val="zh-CN"/>
        </w:rPr>
        <w:t>及标准</w:t>
      </w:r>
      <w:r>
        <w:rPr>
          <w:rFonts w:cs="仿宋_GB2312"/>
          <w:i w:val="0"/>
          <w:iCs w:val="0"/>
          <w:snapToGrid w:val="0"/>
          <w:color w:val="auto"/>
          <w:highlight w:val="none"/>
          <w:lang w:val="zh-CN"/>
        </w:rPr>
        <w:t>”。</w:t>
      </w:r>
    </w:p>
    <w:p w14:paraId="42E7A75C">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ascii="宋体" w:hAnsi="宋体" w:eastAsia="宋体" w:cs="仿宋_GB2312"/>
          <w:i w:val="0"/>
          <w:iCs w:val="0"/>
          <w:snapToGrid w:val="0"/>
          <w:color w:val="auto"/>
          <w:highlight w:val="none"/>
          <w:lang w:val="zh-CN"/>
        </w:rPr>
      </w:pPr>
      <w:r>
        <w:rPr>
          <w:rFonts w:cs="仿宋_GB2312"/>
          <w:i w:val="0"/>
          <w:iCs w:val="0"/>
          <w:snapToGrid w:val="0"/>
          <w:color w:val="auto"/>
          <w:highlight w:val="none"/>
          <w:lang w:val="zh-CN"/>
        </w:rPr>
        <w:t>2</w:t>
      </w:r>
      <w:r>
        <w:rPr>
          <w:rFonts w:hint="eastAsia" w:cs="仿宋_GB2312"/>
          <w:i w:val="0"/>
          <w:iCs w:val="0"/>
          <w:snapToGrid w:val="0"/>
          <w:color w:val="auto"/>
          <w:highlight w:val="none"/>
          <w:lang w:val="en-US" w:eastAsia="zh-CN"/>
        </w:rPr>
        <w:t>5</w:t>
      </w:r>
      <w:r>
        <w:rPr>
          <w:rFonts w:cs="仿宋_GB2312"/>
          <w:i w:val="0"/>
          <w:iCs w:val="0"/>
          <w:snapToGrid w:val="0"/>
          <w:color w:val="auto"/>
          <w:highlight w:val="none"/>
          <w:lang w:val="zh-CN"/>
        </w:rPr>
        <w:t>.2磋商准备：供应商应当按照“</w:t>
      </w:r>
      <w:r>
        <w:rPr>
          <w:rFonts w:hint="eastAsia" w:cs="仿宋_GB2312"/>
          <w:i w:val="0"/>
          <w:iCs w:val="0"/>
          <w:snapToGrid w:val="0"/>
          <w:color w:val="auto"/>
          <w:highlight w:val="none"/>
          <w:lang w:val="zh-CN" w:eastAsia="zh-CN"/>
        </w:rPr>
        <w:t>第</w:t>
      </w:r>
      <w:r>
        <w:rPr>
          <w:rFonts w:hint="eastAsia" w:cs="仿宋_GB2312"/>
          <w:i w:val="0"/>
          <w:iCs w:val="0"/>
          <w:snapToGrid w:val="0"/>
          <w:color w:val="auto"/>
          <w:highlight w:val="none"/>
          <w:lang w:val="en-US" w:eastAsia="zh-CN"/>
        </w:rPr>
        <w:t>二</w:t>
      </w:r>
      <w:r>
        <w:rPr>
          <w:rFonts w:hint="eastAsia" w:cs="仿宋_GB2312"/>
          <w:i w:val="0"/>
          <w:iCs w:val="0"/>
          <w:snapToGrid w:val="0"/>
          <w:color w:val="auto"/>
          <w:highlight w:val="none"/>
          <w:lang w:val="zh-CN" w:eastAsia="zh-CN"/>
        </w:rPr>
        <w:t xml:space="preserve">章 </w:t>
      </w:r>
      <w:r>
        <w:rPr>
          <w:rFonts w:hint="eastAsia" w:cs="仿宋_GB2312"/>
          <w:i w:val="0"/>
          <w:iCs w:val="0"/>
          <w:snapToGrid w:val="0"/>
          <w:color w:val="auto"/>
          <w:highlight w:val="none"/>
          <w:lang w:val="en-US" w:eastAsia="zh-CN"/>
        </w:rPr>
        <w:t>供应商须知</w:t>
      </w:r>
      <w:r>
        <w:rPr>
          <w:rFonts w:cs="仿宋_GB2312"/>
          <w:i w:val="0"/>
          <w:iCs w:val="0"/>
          <w:snapToGrid w:val="0"/>
          <w:color w:val="auto"/>
          <w:highlight w:val="none"/>
          <w:lang w:val="zh-CN"/>
        </w:rPr>
        <w:t>”</w:t>
      </w:r>
      <w:r>
        <w:rPr>
          <w:rFonts w:hint="eastAsia" w:cs="仿宋_GB2312"/>
          <w:i w:val="0"/>
          <w:iCs w:val="0"/>
          <w:snapToGrid w:val="0"/>
          <w:color w:val="auto"/>
          <w:highlight w:val="none"/>
          <w:lang w:val="en-US" w:eastAsia="zh-CN"/>
        </w:rPr>
        <w:t>的</w:t>
      </w:r>
      <w:r>
        <w:rPr>
          <w:rFonts w:cs="仿宋_GB2312"/>
          <w:i w:val="0"/>
          <w:iCs w:val="0"/>
          <w:snapToGrid w:val="0"/>
          <w:color w:val="auto"/>
          <w:highlight w:val="none"/>
          <w:lang w:val="zh-CN"/>
        </w:rPr>
        <w:t>要求提前准备好磋商所需的设备，确保设备稳定可靠、互联网畅通</w:t>
      </w:r>
      <w:r>
        <w:rPr>
          <w:rFonts w:hint="eastAsia" w:cs="仿宋_GB2312"/>
          <w:i w:val="0"/>
          <w:iCs w:val="0"/>
          <w:snapToGrid w:val="0"/>
          <w:color w:val="auto"/>
          <w:highlight w:val="none"/>
          <w:lang w:val="zh-CN"/>
        </w:rPr>
        <w:t>。</w:t>
      </w:r>
      <w:r>
        <w:rPr>
          <w:rFonts w:hint="eastAsia" w:cs="仿宋_GB2312"/>
          <w:i w:val="0"/>
          <w:iCs w:val="0"/>
          <w:color w:val="auto"/>
          <w:szCs w:val="24"/>
          <w:highlight w:val="none"/>
        </w:rPr>
        <w:t>供应商登录供应商客户端，</w:t>
      </w:r>
      <w:r>
        <w:rPr>
          <w:rFonts w:cs="仿宋_GB2312"/>
          <w:i w:val="0"/>
          <w:iCs w:val="0"/>
          <w:snapToGrid w:val="0"/>
          <w:color w:val="auto"/>
          <w:highlight w:val="none"/>
          <w:lang w:val="zh-CN"/>
        </w:rPr>
        <w:t>通过</w:t>
      </w:r>
      <w:r>
        <w:rPr>
          <w:rFonts w:hint="eastAsia" w:cs="仿宋_GB2312"/>
          <w:i w:val="0"/>
          <w:iCs w:val="0"/>
          <w:snapToGrid w:val="0"/>
          <w:color w:val="auto"/>
          <w:highlight w:val="none"/>
          <w:lang w:val="zh-CN"/>
        </w:rPr>
        <w:t>供应商客户端</w:t>
      </w:r>
      <w:r>
        <w:rPr>
          <w:rFonts w:cs="仿宋_GB2312"/>
          <w:i w:val="0"/>
          <w:iCs w:val="0"/>
          <w:snapToGrid w:val="0"/>
          <w:color w:val="auto"/>
          <w:highlight w:val="none"/>
          <w:lang w:val="zh-CN"/>
        </w:rPr>
        <w:t>进入</w:t>
      </w:r>
      <w:r>
        <w:rPr>
          <w:rFonts w:hint="eastAsia" w:cs="仿宋_GB2312"/>
          <w:i w:val="0"/>
          <w:iCs w:val="0"/>
          <w:snapToGrid w:val="0"/>
          <w:color w:val="auto"/>
          <w:highlight w:val="none"/>
          <w:lang w:val="zh-CN"/>
        </w:rPr>
        <w:t>交易系统</w:t>
      </w:r>
      <w:r>
        <w:rPr>
          <w:rFonts w:cs="仿宋_GB2312"/>
          <w:i w:val="0"/>
          <w:iCs w:val="0"/>
          <w:snapToGrid w:val="0"/>
          <w:color w:val="auto"/>
          <w:highlight w:val="none"/>
          <w:lang w:val="zh-CN"/>
        </w:rPr>
        <w:t>“</w:t>
      </w:r>
      <w:r>
        <w:rPr>
          <w:rFonts w:hint="eastAsia" w:cs="仿宋_GB2312"/>
          <w:i w:val="0"/>
          <w:iCs w:val="0"/>
          <w:snapToGrid w:val="0"/>
          <w:color w:val="auto"/>
          <w:highlight w:val="none"/>
          <w:lang w:val="en-US" w:eastAsia="zh-CN"/>
        </w:rPr>
        <w:t>开</w:t>
      </w:r>
      <w:r>
        <w:rPr>
          <w:rFonts w:hint="eastAsia" w:cs="仿宋_GB2312"/>
          <w:i w:val="0"/>
          <w:iCs w:val="0"/>
          <w:snapToGrid w:val="0"/>
          <w:color w:val="auto"/>
          <w:highlight w:val="none"/>
          <w:lang w:val="zh-CN"/>
        </w:rPr>
        <w:t>标</w:t>
      </w:r>
      <w:r>
        <w:rPr>
          <w:rFonts w:cs="仿宋_GB2312"/>
          <w:i w:val="0"/>
          <w:iCs w:val="0"/>
          <w:snapToGrid w:val="0"/>
          <w:color w:val="auto"/>
          <w:highlight w:val="none"/>
          <w:lang w:val="zh-CN"/>
        </w:rPr>
        <w:t>大厅”，准时参加在线磋商，按照工作人员提示进行相关操作。未按上述要求进行的，导致的后果由供应</w:t>
      </w:r>
      <w:r>
        <w:rPr>
          <w:rFonts w:ascii="宋体" w:hAnsi="宋体" w:eastAsia="宋体" w:cs="仿宋_GB2312"/>
          <w:i w:val="0"/>
          <w:iCs w:val="0"/>
          <w:snapToGrid w:val="0"/>
          <w:color w:val="auto"/>
          <w:highlight w:val="none"/>
          <w:lang w:val="zh-CN"/>
        </w:rPr>
        <w:t>商自行承担。</w:t>
      </w:r>
    </w:p>
    <w:p w14:paraId="21D93F4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default" w:ascii="宋体" w:hAnsi="宋体" w:eastAsia="宋体" w:cs="宋体"/>
          <w:b/>
          <w:bCs/>
          <w:color w:val="auto"/>
          <w:kern w:val="2"/>
          <w:sz w:val="24"/>
          <w:szCs w:val="24"/>
          <w:highlight w:val="none"/>
          <w:lang w:val="en-US" w:eastAsia="zh-CN" w:bidi="ar-SA"/>
        </w:rPr>
      </w:pPr>
      <w:bookmarkStart w:id="306" w:name="_Toc140132790"/>
      <w:bookmarkStart w:id="307" w:name="_Toc163492857"/>
      <w:r>
        <w:rPr>
          <w:rFonts w:hint="eastAsia" w:ascii="宋体" w:hAnsi="宋体" w:eastAsia="宋体" w:cs="宋体"/>
          <w:b/>
          <w:bCs/>
          <w:color w:val="auto"/>
          <w:kern w:val="2"/>
          <w:sz w:val="24"/>
          <w:szCs w:val="24"/>
          <w:highlight w:val="none"/>
          <w:lang w:val="en-US" w:eastAsia="zh-CN" w:bidi="ar-SA"/>
        </w:rPr>
        <w:t>26.</w:t>
      </w:r>
      <w:bookmarkEnd w:id="306"/>
      <w:bookmarkEnd w:id="307"/>
      <w:r>
        <w:rPr>
          <w:rFonts w:hint="eastAsia" w:ascii="宋体" w:hAnsi="宋体" w:eastAsia="宋体" w:cs="宋体"/>
          <w:b/>
          <w:bCs/>
          <w:color w:val="auto"/>
          <w:kern w:val="2"/>
          <w:sz w:val="24"/>
          <w:szCs w:val="24"/>
          <w:highlight w:val="none"/>
          <w:lang w:val="en-US" w:eastAsia="zh-CN" w:bidi="ar-SA"/>
        </w:rPr>
        <w:t>磋商小组</w:t>
      </w:r>
    </w:p>
    <w:p w14:paraId="13BA3C1A">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i w:val="0"/>
          <w:iCs w:val="0"/>
          <w:color w:val="auto"/>
          <w:highlight w:val="none"/>
        </w:rPr>
        <w:t>2</w:t>
      </w:r>
      <w:r>
        <w:rPr>
          <w:rFonts w:hint="eastAsia"/>
          <w:i w:val="0"/>
          <w:iCs w:val="0"/>
          <w:color w:val="auto"/>
          <w:highlight w:val="none"/>
          <w:lang w:val="en-US" w:eastAsia="zh-CN"/>
        </w:rPr>
        <w:t>6</w:t>
      </w:r>
      <w:r>
        <w:rPr>
          <w:rFonts w:hint="eastAsia"/>
          <w:i w:val="0"/>
          <w:iCs w:val="0"/>
          <w:color w:val="auto"/>
          <w:highlight w:val="none"/>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77CA6B57">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i w:val="0"/>
          <w:iCs w:val="0"/>
          <w:color w:val="auto"/>
          <w:highlight w:val="none"/>
        </w:rPr>
        <w:t>2</w:t>
      </w:r>
      <w:r>
        <w:rPr>
          <w:rFonts w:hint="eastAsia"/>
          <w:i w:val="0"/>
          <w:iCs w:val="0"/>
          <w:color w:val="auto"/>
          <w:highlight w:val="none"/>
          <w:lang w:val="en-US" w:eastAsia="zh-CN"/>
        </w:rPr>
        <w:t>6</w:t>
      </w:r>
      <w:r>
        <w:rPr>
          <w:rFonts w:hint="eastAsia"/>
          <w:i w:val="0"/>
          <w:iCs w:val="0"/>
          <w:color w:val="auto"/>
          <w:highlight w:val="none"/>
        </w:rPr>
        <w:t>.2 磋商小组成员有下列情形之一的，应当回避：</w:t>
      </w:r>
    </w:p>
    <w:p w14:paraId="6184A7ED">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（1）参加采购活动前3年内与</w:t>
      </w:r>
      <w:r>
        <w:rPr>
          <w:rFonts w:hint="eastAsia"/>
          <w:i w:val="0"/>
          <w:iCs w:val="0"/>
          <w:color w:val="auto"/>
          <w:highlight w:val="none"/>
          <w:lang w:val="en-US" w:eastAsia="zh-CN"/>
        </w:rPr>
        <w:t>磋商供应商</w:t>
      </w:r>
      <w:r>
        <w:rPr>
          <w:rFonts w:hint="eastAsia"/>
          <w:i w:val="0"/>
          <w:iCs w:val="0"/>
          <w:color w:val="auto"/>
          <w:highlight w:val="none"/>
        </w:rPr>
        <w:t>存在劳动关系；</w:t>
      </w:r>
    </w:p>
    <w:p w14:paraId="655F14B3">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（2）参加采购活动前3年内担任</w:t>
      </w:r>
      <w:r>
        <w:rPr>
          <w:rFonts w:hint="eastAsia"/>
          <w:i w:val="0"/>
          <w:iCs w:val="0"/>
          <w:color w:val="auto"/>
          <w:highlight w:val="none"/>
          <w:lang w:val="en-US" w:eastAsia="zh-CN"/>
        </w:rPr>
        <w:t>磋商供应商</w:t>
      </w:r>
      <w:r>
        <w:rPr>
          <w:rFonts w:hint="eastAsia"/>
          <w:i w:val="0"/>
          <w:iCs w:val="0"/>
          <w:color w:val="auto"/>
          <w:highlight w:val="none"/>
        </w:rPr>
        <w:t>的董事、监事；</w:t>
      </w:r>
    </w:p>
    <w:p w14:paraId="0A4A464C">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（3）参加采购活动前3年内是</w:t>
      </w:r>
      <w:r>
        <w:rPr>
          <w:rFonts w:hint="eastAsia"/>
          <w:i w:val="0"/>
          <w:iCs w:val="0"/>
          <w:color w:val="auto"/>
          <w:highlight w:val="none"/>
          <w:lang w:val="en-US" w:eastAsia="zh-CN"/>
        </w:rPr>
        <w:t>磋商供应商</w:t>
      </w:r>
      <w:r>
        <w:rPr>
          <w:rFonts w:hint="eastAsia"/>
          <w:i w:val="0"/>
          <w:iCs w:val="0"/>
          <w:color w:val="auto"/>
          <w:highlight w:val="none"/>
        </w:rPr>
        <w:t>的控股股东或者实际控制人；</w:t>
      </w:r>
    </w:p>
    <w:p w14:paraId="5811B10D">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（4）与</w:t>
      </w:r>
      <w:r>
        <w:rPr>
          <w:rFonts w:hint="eastAsia"/>
          <w:i w:val="0"/>
          <w:iCs w:val="0"/>
          <w:color w:val="auto"/>
          <w:highlight w:val="none"/>
          <w:lang w:val="en-US" w:eastAsia="zh-CN"/>
        </w:rPr>
        <w:t>磋商供应商</w:t>
      </w:r>
      <w:r>
        <w:rPr>
          <w:rFonts w:hint="eastAsia"/>
          <w:i w:val="0"/>
          <w:iCs w:val="0"/>
          <w:color w:val="auto"/>
          <w:highlight w:val="none"/>
        </w:rPr>
        <w:t>的法定代表人或者负责人有夫妻、直系血亲、三代以内旁系血亲或者近姻亲关系；</w:t>
      </w:r>
    </w:p>
    <w:p w14:paraId="20FB9B78">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（5）与</w:t>
      </w:r>
      <w:r>
        <w:rPr>
          <w:rFonts w:hint="eastAsia"/>
          <w:i w:val="0"/>
          <w:iCs w:val="0"/>
          <w:color w:val="auto"/>
          <w:highlight w:val="none"/>
          <w:lang w:val="en-US" w:eastAsia="zh-CN"/>
        </w:rPr>
        <w:t>磋商供应商</w:t>
      </w:r>
      <w:r>
        <w:rPr>
          <w:rFonts w:hint="eastAsia"/>
          <w:i w:val="0"/>
          <w:iCs w:val="0"/>
          <w:color w:val="auto"/>
          <w:highlight w:val="none"/>
        </w:rPr>
        <w:t>有其他可能影响采购活动公平、公正进行的关系。</w:t>
      </w:r>
    </w:p>
    <w:p w14:paraId="25BEA5A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8" w:name="_Toc140132791"/>
      <w:bookmarkStart w:id="309" w:name="_Toc163492858"/>
      <w:r>
        <w:rPr>
          <w:rFonts w:hint="eastAsia" w:ascii="宋体" w:hAnsi="宋体" w:eastAsia="宋体" w:cs="宋体"/>
          <w:b/>
          <w:bCs/>
          <w:color w:val="auto"/>
          <w:kern w:val="2"/>
          <w:sz w:val="24"/>
          <w:szCs w:val="24"/>
          <w:highlight w:val="none"/>
          <w:lang w:val="en-US" w:eastAsia="zh-CN" w:bidi="ar-SA"/>
        </w:rPr>
        <w:t>27.</w:t>
      </w:r>
      <w:bookmarkEnd w:id="308"/>
      <w:bookmarkEnd w:id="309"/>
      <w:r>
        <w:rPr>
          <w:rFonts w:hint="eastAsia" w:ascii="宋体" w:hAnsi="宋体" w:eastAsia="宋体" w:cs="宋体"/>
          <w:b/>
          <w:bCs/>
          <w:color w:val="auto"/>
          <w:kern w:val="2"/>
          <w:sz w:val="24"/>
          <w:szCs w:val="24"/>
          <w:highlight w:val="none"/>
          <w:lang w:val="en-US" w:eastAsia="zh-CN" w:bidi="ar-SA"/>
        </w:rPr>
        <w:t>评审</w:t>
      </w:r>
    </w:p>
    <w:p w14:paraId="4C6C36B4">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lang w:val="en-US" w:eastAsia="zh-CN"/>
        </w:rPr>
        <w:t>27</w:t>
      </w:r>
      <w:r>
        <w:rPr>
          <w:rFonts w:hint="eastAsia"/>
          <w:i w:val="0"/>
          <w:iCs w:val="0"/>
          <w:color w:val="auto"/>
          <w:highlight w:val="none"/>
        </w:rPr>
        <w:t>.</w:t>
      </w:r>
      <w:r>
        <w:rPr>
          <w:rFonts w:hint="eastAsia"/>
          <w:i w:val="0"/>
          <w:iCs w:val="0"/>
          <w:color w:val="auto"/>
          <w:highlight w:val="none"/>
          <w:lang w:val="en-US" w:eastAsia="zh-CN"/>
        </w:rPr>
        <w:t xml:space="preserve">1 </w:t>
      </w:r>
      <w:r>
        <w:rPr>
          <w:rFonts w:hint="eastAsia"/>
          <w:i w:val="0"/>
          <w:iCs w:val="0"/>
          <w:color w:val="auto"/>
          <w:highlight w:val="none"/>
        </w:rPr>
        <w:t>磋商小组按照“第</w:t>
      </w:r>
      <w:r>
        <w:rPr>
          <w:rFonts w:hint="eastAsia"/>
          <w:i w:val="0"/>
          <w:iCs w:val="0"/>
          <w:color w:val="auto"/>
          <w:highlight w:val="none"/>
          <w:lang w:val="en-US" w:eastAsia="zh-CN"/>
        </w:rPr>
        <w:t>四</w:t>
      </w:r>
      <w:r>
        <w:rPr>
          <w:rFonts w:hint="eastAsia"/>
          <w:i w:val="0"/>
          <w:iCs w:val="0"/>
          <w:color w:val="auto"/>
          <w:highlight w:val="none"/>
        </w:rPr>
        <w:t>章</w:t>
      </w:r>
      <w:r>
        <w:rPr>
          <w:rFonts w:hint="eastAsia"/>
          <w:i w:val="0"/>
          <w:iCs w:val="0"/>
          <w:color w:val="auto"/>
          <w:highlight w:val="none"/>
          <w:lang w:val="en-US" w:eastAsia="zh-CN"/>
        </w:rPr>
        <w:t xml:space="preserve"> </w:t>
      </w:r>
      <w:r>
        <w:rPr>
          <w:rFonts w:hint="eastAsia"/>
          <w:i w:val="0"/>
          <w:iCs w:val="0"/>
          <w:color w:val="auto"/>
          <w:highlight w:val="none"/>
        </w:rPr>
        <w:t>评</w:t>
      </w:r>
      <w:r>
        <w:rPr>
          <w:rFonts w:hint="eastAsia"/>
          <w:i w:val="0"/>
          <w:iCs w:val="0"/>
          <w:color w:val="auto"/>
          <w:highlight w:val="none"/>
          <w:lang w:val="en-US" w:eastAsia="zh-CN"/>
        </w:rPr>
        <w:t>审</w:t>
      </w:r>
      <w:r>
        <w:rPr>
          <w:rFonts w:hint="eastAsia"/>
          <w:i w:val="0"/>
          <w:iCs w:val="0"/>
          <w:color w:val="auto"/>
          <w:highlight w:val="none"/>
        </w:rPr>
        <w:t>方法及标准”</w:t>
      </w:r>
      <w:r>
        <w:rPr>
          <w:rFonts w:hint="eastAsia"/>
          <w:i w:val="0"/>
          <w:iCs w:val="0"/>
          <w:color w:val="auto"/>
          <w:highlight w:val="none"/>
          <w:lang w:val="en-US" w:eastAsia="zh-CN"/>
        </w:rPr>
        <w:t>的</w:t>
      </w:r>
      <w:r>
        <w:rPr>
          <w:rFonts w:hint="eastAsia"/>
          <w:i w:val="0"/>
          <w:iCs w:val="0"/>
          <w:color w:val="auto"/>
          <w:highlight w:val="none"/>
        </w:rPr>
        <w:t>规定对</w:t>
      </w:r>
      <w:r>
        <w:rPr>
          <w:rFonts w:hint="eastAsia"/>
          <w:i w:val="0"/>
          <w:iCs w:val="0"/>
          <w:color w:val="auto"/>
          <w:highlight w:val="none"/>
          <w:lang w:val="en-US" w:eastAsia="zh-CN"/>
        </w:rPr>
        <w:t>响应</w:t>
      </w:r>
      <w:r>
        <w:rPr>
          <w:rFonts w:hint="eastAsia"/>
          <w:i w:val="0"/>
          <w:iCs w:val="0"/>
          <w:color w:val="auto"/>
          <w:highlight w:val="none"/>
        </w:rPr>
        <w:t>文件进行评审。“第</w:t>
      </w:r>
      <w:r>
        <w:rPr>
          <w:rFonts w:hint="eastAsia"/>
          <w:i w:val="0"/>
          <w:iCs w:val="0"/>
          <w:color w:val="auto"/>
          <w:highlight w:val="none"/>
          <w:lang w:val="en-US" w:eastAsia="zh-CN"/>
        </w:rPr>
        <w:t>四</w:t>
      </w:r>
      <w:r>
        <w:rPr>
          <w:rFonts w:hint="eastAsia"/>
          <w:i w:val="0"/>
          <w:iCs w:val="0"/>
          <w:color w:val="auto"/>
          <w:highlight w:val="none"/>
        </w:rPr>
        <w:t>章</w:t>
      </w:r>
      <w:r>
        <w:rPr>
          <w:rFonts w:hint="eastAsia"/>
          <w:i w:val="0"/>
          <w:iCs w:val="0"/>
          <w:color w:val="auto"/>
          <w:highlight w:val="none"/>
          <w:lang w:val="en-US" w:eastAsia="zh-CN"/>
        </w:rPr>
        <w:t xml:space="preserve"> </w:t>
      </w:r>
      <w:r>
        <w:rPr>
          <w:rFonts w:hint="eastAsia"/>
          <w:i w:val="0"/>
          <w:iCs w:val="0"/>
          <w:color w:val="auto"/>
          <w:highlight w:val="none"/>
        </w:rPr>
        <w:t>评</w:t>
      </w:r>
      <w:r>
        <w:rPr>
          <w:rFonts w:hint="eastAsia"/>
          <w:i w:val="0"/>
          <w:iCs w:val="0"/>
          <w:color w:val="auto"/>
          <w:highlight w:val="none"/>
          <w:lang w:val="en-US" w:eastAsia="zh-CN"/>
        </w:rPr>
        <w:t>审</w:t>
      </w:r>
      <w:r>
        <w:rPr>
          <w:rFonts w:hint="eastAsia"/>
          <w:i w:val="0"/>
          <w:iCs w:val="0"/>
          <w:color w:val="auto"/>
          <w:highlight w:val="none"/>
        </w:rPr>
        <w:t>方法及标准”没有规定的方法、评审因素和标准，不作为评</w:t>
      </w:r>
      <w:r>
        <w:rPr>
          <w:rFonts w:hint="eastAsia"/>
          <w:i w:val="0"/>
          <w:iCs w:val="0"/>
          <w:color w:val="auto"/>
          <w:highlight w:val="none"/>
          <w:lang w:val="en-US" w:eastAsia="zh-CN"/>
        </w:rPr>
        <w:t>审</w:t>
      </w:r>
      <w:r>
        <w:rPr>
          <w:rFonts w:hint="eastAsia"/>
          <w:i w:val="0"/>
          <w:iCs w:val="0"/>
          <w:color w:val="auto"/>
          <w:highlight w:val="none"/>
        </w:rPr>
        <w:t>依据。</w:t>
      </w:r>
    </w:p>
    <w:p w14:paraId="420234D7">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lang w:val="en-US" w:eastAsia="zh-CN"/>
        </w:rPr>
        <w:t>27</w:t>
      </w:r>
      <w:r>
        <w:rPr>
          <w:rFonts w:hint="eastAsia"/>
          <w:i w:val="0"/>
          <w:iCs w:val="0"/>
          <w:color w:val="auto"/>
          <w:highlight w:val="none"/>
        </w:rPr>
        <w:t>.</w:t>
      </w:r>
      <w:r>
        <w:rPr>
          <w:rFonts w:hint="eastAsia"/>
          <w:i w:val="0"/>
          <w:iCs w:val="0"/>
          <w:color w:val="auto"/>
          <w:highlight w:val="none"/>
          <w:lang w:val="en-US" w:eastAsia="zh-CN"/>
        </w:rPr>
        <w:t xml:space="preserve">2 </w:t>
      </w:r>
      <w:r>
        <w:rPr>
          <w:rFonts w:hint="eastAsia"/>
          <w:i w:val="0"/>
          <w:iCs w:val="0"/>
          <w:color w:val="auto"/>
          <w:highlight w:val="none"/>
        </w:rPr>
        <w:t>磋商小组按“</w:t>
      </w:r>
      <w:r>
        <w:rPr>
          <w:rFonts w:hint="eastAsia"/>
          <w:i w:val="0"/>
          <w:iCs w:val="0"/>
          <w:color w:val="auto"/>
          <w:highlight w:val="none"/>
          <w:lang w:val="en-US" w:eastAsia="zh-CN"/>
        </w:rPr>
        <w:t>供应商</w:t>
      </w:r>
      <w:r>
        <w:rPr>
          <w:rFonts w:hint="eastAsia"/>
          <w:i w:val="0"/>
          <w:iCs w:val="0"/>
          <w:color w:val="auto"/>
          <w:highlight w:val="none"/>
        </w:rPr>
        <w:t>须知前附表”规定的</w:t>
      </w:r>
      <w:r>
        <w:rPr>
          <w:rFonts w:hint="eastAsia"/>
          <w:i w:val="0"/>
          <w:iCs w:val="0"/>
          <w:color w:val="auto"/>
          <w:highlight w:val="none"/>
          <w:lang w:val="en-US" w:eastAsia="zh-CN"/>
        </w:rPr>
        <w:t>成交</w:t>
      </w:r>
      <w:r>
        <w:rPr>
          <w:rFonts w:hint="eastAsia"/>
          <w:i w:val="0"/>
          <w:iCs w:val="0"/>
          <w:color w:val="auto"/>
          <w:highlight w:val="none"/>
        </w:rPr>
        <w:t>候选人数量在评</w:t>
      </w:r>
      <w:r>
        <w:rPr>
          <w:rFonts w:hint="eastAsia"/>
          <w:i w:val="0"/>
          <w:iCs w:val="0"/>
          <w:color w:val="auto"/>
          <w:highlight w:val="none"/>
          <w:lang w:val="en-US" w:eastAsia="zh-CN"/>
        </w:rPr>
        <w:t>审</w:t>
      </w:r>
      <w:r>
        <w:rPr>
          <w:rFonts w:hint="eastAsia"/>
          <w:i w:val="0"/>
          <w:iCs w:val="0"/>
          <w:color w:val="auto"/>
          <w:highlight w:val="none"/>
        </w:rPr>
        <w:t>报告中向采购人推荐</w:t>
      </w:r>
      <w:r>
        <w:rPr>
          <w:rFonts w:hint="eastAsia"/>
          <w:i w:val="0"/>
          <w:iCs w:val="0"/>
          <w:color w:val="auto"/>
          <w:highlight w:val="none"/>
          <w:lang w:val="en-US" w:eastAsia="zh-CN"/>
        </w:rPr>
        <w:t>成交</w:t>
      </w:r>
      <w:r>
        <w:rPr>
          <w:rFonts w:hint="eastAsia"/>
          <w:i w:val="0"/>
          <w:iCs w:val="0"/>
          <w:color w:val="auto"/>
          <w:highlight w:val="none"/>
        </w:rPr>
        <w:t>候选人。</w:t>
      </w:r>
    </w:p>
    <w:p w14:paraId="06FF185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27.3 开启之后，直到签订合同止，凡是属于审查、澄清、评价和比较磋商的有关资料以及确定成交意向等，均不得向供应商或者其他与评审无关的人员透露。</w:t>
      </w:r>
    </w:p>
    <w:p w14:paraId="1655FB62">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27.4 在确定成交人之前，供应商试图在响应文件审查、澄清、比较和评审时对</w:t>
      </w:r>
      <w:r>
        <w:rPr>
          <w:rFonts w:hint="eastAsia"/>
          <w:i w:val="0"/>
          <w:iCs w:val="0"/>
          <w:color w:val="auto"/>
          <w:highlight w:val="none"/>
        </w:rPr>
        <w:t>磋商小组</w:t>
      </w:r>
      <w:r>
        <w:rPr>
          <w:rFonts w:hint="eastAsia"/>
          <w:i w:val="0"/>
          <w:iCs w:val="0"/>
          <w:color w:val="auto"/>
          <w:highlight w:val="none"/>
          <w:lang w:val="en-US" w:eastAsia="zh-CN"/>
        </w:rPr>
        <w:t>、采购人和采购代理机构施加任何影响都可能导致其</w:t>
      </w:r>
      <w:r>
        <w:rPr>
          <w:rFonts w:hint="eastAsia"/>
          <w:b/>
          <w:bCs/>
          <w:i w:val="0"/>
          <w:iCs w:val="0"/>
          <w:color w:val="auto"/>
          <w:highlight w:val="none"/>
          <w:lang w:val="en-US" w:eastAsia="zh-CN"/>
        </w:rPr>
        <w:t>响应无效</w:t>
      </w:r>
      <w:r>
        <w:rPr>
          <w:rFonts w:hint="eastAsia"/>
          <w:i w:val="0"/>
          <w:iCs w:val="0"/>
          <w:color w:val="auto"/>
          <w:highlight w:val="none"/>
          <w:lang w:val="en-US" w:eastAsia="zh-CN"/>
        </w:rPr>
        <w:t>。</w:t>
      </w:r>
    </w:p>
    <w:p w14:paraId="67DE196B">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27.5 电子招投标的应急措施</w:t>
      </w:r>
    </w:p>
    <w:p w14:paraId="40C422BF">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27.5.1电子开启、评审如出现下列原因，导致系统无法正常运行或无法正常评审时，应采取应急措施。</w:t>
      </w:r>
    </w:p>
    <w:p w14:paraId="4420F39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（1）系统服务器发生故障，无法访问或无法使用系统；</w:t>
      </w:r>
    </w:p>
    <w:p w14:paraId="28E034B3">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（2）系统的软件或数据库出现错误，不能进行正常操作；</w:t>
      </w:r>
    </w:p>
    <w:p w14:paraId="08E58AC6">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（3）系统发现有安全漏洞，有潜在的泄密危险；</w:t>
      </w:r>
    </w:p>
    <w:p w14:paraId="1C5B7708">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（4）病毒发作或受到外来病毒的攻击；</w:t>
      </w:r>
    </w:p>
    <w:p w14:paraId="45AC1753">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（5）出现其他不可抗拒的客观原因造成开评标系统无法正常使用。</w:t>
      </w:r>
    </w:p>
    <w:p w14:paraId="7B05A5B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出现上述情况时，应对未开启的暂停开启。已在系统内开启、评审的立即停止。采取应急措施时，必须对原有资料及信息作出妥善保密处理。</w:t>
      </w:r>
    </w:p>
    <w:p w14:paraId="3C2F79F8">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27.5.2因系统原因导致供应商均无法解密电子响应文件时，采购代理机构可在开启现场直接导入供应商在递交响应文件截止时间前递交的未加密的电子响应文件进行开启、评审。</w:t>
      </w:r>
    </w:p>
    <w:p w14:paraId="280DDAB9">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lang w:val="en-US" w:eastAsia="zh-CN"/>
        </w:rPr>
      </w:pPr>
      <w:r>
        <w:rPr>
          <w:rFonts w:hint="eastAsia"/>
          <w:i w:val="0"/>
          <w:iCs w:val="0"/>
          <w:color w:val="auto"/>
          <w:highlight w:val="none"/>
          <w:lang w:val="en-US" w:eastAsia="zh-CN"/>
        </w:rPr>
        <w:t>27.6 供应商瑕疵滞后发现的处理规则</w:t>
      </w:r>
    </w:p>
    <w:p w14:paraId="11E85EA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en-US" w:eastAsia="zh-CN"/>
        </w:rPr>
      </w:pPr>
      <w:r>
        <w:rPr>
          <w:rFonts w:hint="eastAsia"/>
          <w:i w:val="0"/>
          <w:iCs w:val="0"/>
          <w:color w:val="auto"/>
          <w:highlight w:val="none"/>
          <w:lang w:val="en-US" w:eastAsia="zh-CN"/>
        </w:rPr>
        <w:t>27.6.1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w:t>
      </w:r>
      <w:r>
        <w:rPr>
          <w:rFonts w:hint="eastAsia" w:ascii="宋体" w:hAnsi="宋体" w:eastAsia="宋体"/>
          <w:i w:val="0"/>
          <w:iCs w:val="0"/>
          <w:color w:val="auto"/>
          <w:highlight w:val="none"/>
          <w:lang w:val="en-US" w:eastAsia="zh-CN"/>
        </w:rPr>
        <w:t>承担。</w:t>
      </w:r>
    </w:p>
    <w:p w14:paraId="5000462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0" w:name="_Toc46771670"/>
      <w:bookmarkStart w:id="311" w:name="_Toc24525"/>
      <w:bookmarkStart w:id="312" w:name="_Toc163493616"/>
      <w:bookmarkStart w:id="313" w:name="_Toc109897464"/>
      <w:bookmarkStart w:id="314" w:name="_Toc109900401"/>
      <w:bookmarkStart w:id="315" w:name="_Toc109899982"/>
      <w:bookmarkStart w:id="316" w:name="_Toc470172692"/>
      <w:bookmarkStart w:id="317" w:name="_Toc109899563"/>
      <w:r>
        <w:rPr>
          <w:rFonts w:hint="eastAsia" w:ascii="宋体" w:hAnsi="宋体" w:eastAsia="宋体" w:cs="宋体"/>
          <w:b/>
          <w:bCs/>
          <w:color w:val="auto"/>
          <w:kern w:val="2"/>
          <w:sz w:val="24"/>
          <w:szCs w:val="24"/>
          <w:highlight w:val="none"/>
          <w:lang w:val="en-US" w:eastAsia="zh-CN" w:bidi="ar-SA"/>
        </w:rPr>
        <w:t>（八）成交</w:t>
      </w:r>
      <w:bookmarkEnd w:id="310"/>
      <w:bookmarkEnd w:id="311"/>
      <w:bookmarkEnd w:id="312"/>
      <w:bookmarkEnd w:id="313"/>
      <w:bookmarkEnd w:id="314"/>
      <w:bookmarkEnd w:id="315"/>
      <w:bookmarkEnd w:id="316"/>
      <w:bookmarkEnd w:id="317"/>
    </w:p>
    <w:p w14:paraId="59C81E9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8" w:name="_Toc52962758"/>
      <w:bookmarkStart w:id="319" w:name="_Toc46772272"/>
      <w:bookmarkStart w:id="320" w:name="_Toc48846140"/>
      <w:bookmarkStart w:id="321" w:name="_Toc52960584"/>
      <w:bookmarkStart w:id="322" w:name="_Toc109897465"/>
      <w:bookmarkStart w:id="323" w:name="_Toc109899564"/>
      <w:bookmarkStart w:id="324" w:name="_Toc48688820"/>
      <w:bookmarkStart w:id="325" w:name="_Toc46771671"/>
      <w:bookmarkStart w:id="326" w:name="_Toc109900402"/>
      <w:bookmarkStart w:id="327" w:name="_Toc51674242"/>
      <w:bookmarkStart w:id="328" w:name="_Toc109899983"/>
      <w:bookmarkStart w:id="329" w:name="_Hlk143533953"/>
      <w:r>
        <w:rPr>
          <w:rFonts w:hint="eastAsia" w:ascii="宋体" w:hAnsi="宋体" w:eastAsia="宋体" w:cs="宋体"/>
          <w:b/>
          <w:bCs/>
          <w:color w:val="auto"/>
          <w:kern w:val="2"/>
          <w:sz w:val="24"/>
          <w:szCs w:val="24"/>
          <w:highlight w:val="none"/>
          <w:lang w:val="en-US" w:eastAsia="zh-CN" w:bidi="ar-SA"/>
        </w:rPr>
        <w:t>28.确定成交供应商</w:t>
      </w:r>
      <w:bookmarkEnd w:id="318"/>
      <w:bookmarkEnd w:id="319"/>
      <w:bookmarkEnd w:id="320"/>
      <w:bookmarkEnd w:id="321"/>
      <w:bookmarkEnd w:id="322"/>
      <w:bookmarkEnd w:id="323"/>
      <w:bookmarkEnd w:id="324"/>
      <w:bookmarkEnd w:id="325"/>
      <w:bookmarkEnd w:id="326"/>
      <w:bookmarkEnd w:id="327"/>
      <w:bookmarkEnd w:id="328"/>
    </w:p>
    <w:p w14:paraId="2A96CF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i w:val="0"/>
          <w:iCs w:val="0"/>
          <w:snapToGrid w:val="0"/>
          <w:color w:val="auto"/>
          <w:highlight w:val="none"/>
          <w:lang w:val="zh-CN"/>
        </w:rPr>
      </w:pPr>
      <w:r>
        <w:rPr>
          <w:rFonts w:hint="eastAsia" w:cs="仿宋_GB2312"/>
          <w:i w:val="0"/>
          <w:iCs w:val="0"/>
          <w:snapToGrid w:val="0"/>
          <w:color w:val="auto"/>
          <w:highlight w:val="none"/>
          <w:lang w:val="en-US" w:eastAsia="zh-CN"/>
        </w:rPr>
        <w:t>28</w:t>
      </w:r>
      <w:r>
        <w:rPr>
          <w:rFonts w:hint="eastAsia" w:cs="仿宋_GB2312"/>
          <w:i w:val="0"/>
          <w:iCs w:val="0"/>
          <w:snapToGrid w:val="0"/>
          <w:color w:val="auto"/>
          <w:highlight w:val="none"/>
          <w:lang w:val="zh-CN"/>
        </w:rPr>
        <w:t>.1</w:t>
      </w:r>
      <w:r>
        <w:rPr>
          <w:rFonts w:hint="eastAsia"/>
          <w:i w:val="0"/>
          <w:iCs w:val="0"/>
          <w:snapToGrid w:val="0"/>
          <w:color w:val="auto"/>
          <w:highlight w:val="none"/>
          <w:lang w:val="zh-CN"/>
        </w:rPr>
        <w:t>确定成交供应商详见“供应商须知前附表”。</w:t>
      </w:r>
    </w:p>
    <w:p w14:paraId="4B64349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29.成交结果公告</w:t>
      </w:r>
    </w:p>
    <w:p w14:paraId="165444EA">
      <w:pPr>
        <w:pStyle w:val="33"/>
        <w:keepNext w:val="0"/>
        <w:keepLines w:val="0"/>
        <w:pageBreakBefore w:val="0"/>
        <w:widowControl w:val="0"/>
        <w:kinsoku/>
        <w:overflowPunct/>
        <w:topLinePunct w:val="0"/>
        <w:bidi w:val="0"/>
        <w:ind w:firstLine="480"/>
        <w:textAlignment w:val="auto"/>
        <w:rPr>
          <w:i w:val="0"/>
          <w:iCs w:val="0"/>
          <w:color w:val="auto"/>
          <w:highlight w:val="none"/>
          <w:lang w:bidi="ar"/>
        </w:rPr>
      </w:pPr>
      <w:r>
        <w:rPr>
          <w:rFonts w:hint="eastAsia" w:cs="仿宋_GB2312"/>
          <w:i w:val="0"/>
          <w:iCs w:val="0"/>
          <w:snapToGrid w:val="0"/>
          <w:color w:val="auto"/>
          <w:highlight w:val="none"/>
          <w:lang w:val="en-US" w:eastAsia="zh-CN"/>
        </w:rPr>
        <w:t>29</w:t>
      </w:r>
      <w:r>
        <w:rPr>
          <w:rFonts w:hint="eastAsia" w:cs="仿宋_GB2312"/>
          <w:i w:val="0"/>
          <w:iCs w:val="0"/>
          <w:snapToGrid w:val="0"/>
          <w:color w:val="auto"/>
          <w:highlight w:val="none"/>
          <w:lang w:val="zh-CN"/>
        </w:rPr>
        <w:t>.</w:t>
      </w:r>
      <w:r>
        <w:rPr>
          <w:rFonts w:cs="仿宋_GB2312"/>
          <w:i w:val="0"/>
          <w:iCs w:val="0"/>
          <w:snapToGrid w:val="0"/>
          <w:color w:val="auto"/>
          <w:highlight w:val="none"/>
          <w:lang w:val="zh-CN"/>
        </w:rPr>
        <w:t>1</w:t>
      </w:r>
      <w:r>
        <w:rPr>
          <w:i w:val="0"/>
          <w:iCs w:val="0"/>
          <w:color w:val="auto"/>
          <w:highlight w:val="none"/>
          <w:lang w:bidi="ar"/>
        </w:rPr>
        <w:t>采购人或者采购代理机构应当在成交供应商确定后2个工作日内，在省级以上财政部门指定的政府采购信息发布媒体上公告成交结果，磋商文件</w:t>
      </w:r>
      <w:r>
        <w:rPr>
          <w:rFonts w:hint="eastAsia"/>
          <w:i w:val="0"/>
          <w:iCs w:val="0"/>
          <w:color w:val="auto"/>
          <w:highlight w:val="none"/>
          <w:lang w:eastAsia="zh-CN" w:bidi="ar"/>
        </w:rPr>
        <w:t>、</w:t>
      </w:r>
      <w:r>
        <w:rPr>
          <w:rFonts w:hint="eastAsia"/>
          <w:bCs/>
          <w:i w:val="0"/>
          <w:iCs w:val="0"/>
          <w:color w:val="auto"/>
          <w:highlight w:val="none"/>
          <w:lang w:eastAsia="zh-CN"/>
        </w:rPr>
        <w:t>成交</w:t>
      </w:r>
      <w:r>
        <w:rPr>
          <w:rFonts w:hint="eastAsia"/>
          <w:bCs/>
          <w:i w:val="0"/>
          <w:iCs w:val="0"/>
          <w:color w:val="auto"/>
          <w:highlight w:val="none"/>
          <w:lang w:val="en-US" w:eastAsia="zh-CN"/>
        </w:rPr>
        <w:t>供应商</w:t>
      </w:r>
      <w:r>
        <w:rPr>
          <w:rFonts w:hint="eastAsia" w:ascii="宋体" w:hAnsi="宋体" w:eastAsia="宋体"/>
          <w:bCs/>
          <w:i w:val="0"/>
          <w:iCs w:val="0"/>
          <w:color w:val="auto"/>
          <w:highlight w:val="none"/>
          <w:lang w:val="en-US" w:eastAsia="zh-CN"/>
        </w:rPr>
        <w:t>的评审总得分</w:t>
      </w:r>
      <w:r>
        <w:rPr>
          <w:i w:val="0"/>
          <w:iCs w:val="0"/>
          <w:color w:val="auto"/>
          <w:highlight w:val="none"/>
          <w:lang w:bidi="ar"/>
        </w:rPr>
        <w:t>随成交结果同时公告。</w:t>
      </w:r>
    </w:p>
    <w:p w14:paraId="31CA8053">
      <w:pPr>
        <w:pStyle w:val="33"/>
        <w:keepNext w:val="0"/>
        <w:keepLines w:val="0"/>
        <w:pageBreakBefore w:val="0"/>
        <w:widowControl w:val="0"/>
        <w:kinsoku/>
        <w:overflowPunct/>
        <w:topLinePunct w:val="0"/>
        <w:bidi w:val="0"/>
        <w:ind w:firstLine="480"/>
        <w:textAlignment w:val="auto"/>
        <w:rPr>
          <w:i w:val="0"/>
          <w:iCs w:val="0"/>
          <w:color w:val="auto"/>
          <w:highlight w:val="none"/>
          <w:lang w:bidi="ar"/>
        </w:rPr>
      </w:pPr>
      <w:r>
        <w:rPr>
          <w:rFonts w:hint="eastAsia"/>
          <w:bCs/>
          <w:i w:val="0"/>
          <w:iCs w:val="0"/>
          <w:color w:val="auto"/>
          <w:highlight w:val="none"/>
          <w:lang w:val="en-US" w:eastAsia="zh-CN"/>
        </w:rPr>
        <w:t>29</w:t>
      </w:r>
      <w:r>
        <w:rPr>
          <w:bCs/>
          <w:i w:val="0"/>
          <w:iCs w:val="0"/>
          <w:color w:val="auto"/>
          <w:highlight w:val="none"/>
        </w:rPr>
        <w:t>.2</w:t>
      </w:r>
      <w:r>
        <w:rPr>
          <w:rFonts w:hint="eastAsia"/>
          <w:bCs/>
          <w:i w:val="0"/>
          <w:iCs w:val="0"/>
          <w:color w:val="auto"/>
          <w:highlight w:val="none"/>
          <w:lang w:eastAsia="zh-CN"/>
        </w:rPr>
        <w:t>成交</w:t>
      </w:r>
      <w:r>
        <w:rPr>
          <w:rFonts w:hint="eastAsia"/>
          <w:bCs/>
          <w:i w:val="0"/>
          <w:iCs w:val="0"/>
          <w:color w:val="auto"/>
          <w:highlight w:val="none"/>
          <w:lang w:val="en-US" w:eastAsia="zh-CN"/>
        </w:rPr>
        <w:t>人</w:t>
      </w:r>
      <w:r>
        <w:rPr>
          <w:rFonts w:hint="eastAsia"/>
          <w:bCs/>
          <w:i w:val="0"/>
          <w:iCs w:val="0"/>
          <w:color w:val="auto"/>
          <w:highlight w:val="none"/>
          <w:lang w:eastAsia="zh-CN"/>
        </w:rPr>
        <w:t>为中小企业</w:t>
      </w:r>
      <w:r>
        <w:rPr>
          <w:rFonts w:hint="eastAsia"/>
          <w:bCs/>
          <w:i w:val="0"/>
          <w:iCs w:val="0"/>
          <w:color w:val="auto"/>
          <w:highlight w:val="none"/>
          <w:lang w:val="en-US" w:eastAsia="zh-CN"/>
        </w:rPr>
        <w:t>享受中小企业扶持政策的</w:t>
      </w:r>
      <w:r>
        <w:rPr>
          <w:rFonts w:hint="eastAsia"/>
          <w:bCs/>
          <w:i w:val="0"/>
          <w:iCs w:val="0"/>
          <w:color w:val="auto"/>
          <w:highlight w:val="none"/>
          <w:lang w:eastAsia="zh-CN"/>
        </w:rPr>
        <w:t>，其“中小企业声明函”随成交结果同时公告。成交</w:t>
      </w:r>
      <w:r>
        <w:rPr>
          <w:rFonts w:hint="eastAsia"/>
          <w:bCs/>
          <w:i w:val="0"/>
          <w:iCs w:val="0"/>
          <w:color w:val="auto"/>
          <w:highlight w:val="none"/>
          <w:lang w:val="en-US" w:eastAsia="zh-CN"/>
        </w:rPr>
        <w:t>人</w:t>
      </w:r>
      <w:r>
        <w:rPr>
          <w:rFonts w:hint="eastAsia"/>
          <w:bCs/>
          <w:i w:val="0"/>
          <w:iCs w:val="0"/>
          <w:color w:val="auto"/>
          <w:highlight w:val="none"/>
          <w:lang w:eastAsia="zh-CN"/>
        </w:rPr>
        <w:t>为残疾人福利性单位的</w:t>
      </w:r>
      <w:r>
        <w:rPr>
          <w:rFonts w:hint="eastAsia" w:ascii="宋体" w:hAnsi="宋体" w:eastAsia="宋体"/>
          <w:bCs/>
          <w:i w:val="0"/>
          <w:iCs w:val="0"/>
          <w:color w:val="auto"/>
          <w:highlight w:val="none"/>
          <w:lang w:eastAsia="zh-CN"/>
        </w:rPr>
        <w:t>，其</w:t>
      </w:r>
      <w:r>
        <w:rPr>
          <w:rFonts w:hint="eastAsia"/>
          <w:bCs/>
          <w:i w:val="0"/>
          <w:iCs w:val="0"/>
          <w:color w:val="auto"/>
          <w:highlight w:val="none"/>
          <w:lang w:eastAsia="zh-CN"/>
        </w:rPr>
        <w:t>“</w:t>
      </w:r>
      <w:r>
        <w:rPr>
          <w:rFonts w:hint="eastAsia" w:ascii="宋体" w:hAnsi="宋体" w:eastAsia="宋体"/>
          <w:bCs/>
          <w:i w:val="0"/>
          <w:iCs w:val="0"/>
          <w:color w:val="auto"/>
          <w:highlight w:val="none"/>
          <w:lang w:eastAsia="zh-CN"/>
        </w:rPr>
        <w:t>残疾人福利性单位声明函</w:t>
      </w:r>
      <w:r>
        <w:rPr>
          <w:rFonts w:hint="eastAsia"/>
          <w:bCs/>
          <w:i w:val="0"/>
          <w:iCs w:val="0"/>
          <w:color w:val="auto"/>
          <w:highlight w:val="none"/>
          <w:lang w:eastAsia="zh-CN"/>
        </w:rPr>
        <w:t>”</w:t>
      </w:r>
      <w:r>
        <w:rPr>
          <w:rFonts w:hint="eastAsia" w:ascii="宋体" w:hAnsi="宋体" w:eastAsia="宋体"/>
          <w:bCs/>
          <w:i w:val="0"/>
          <w:iCs w:val="0"/>
          <w:color w:val="auto"/>
          <w:highlight w:val="none"/>
          <w:lang w:eastAsia="zh-CN"/>
        </w:rPr>
        <w:t>随成交结果同时公告</w:t>
      </w:r>
      <w:r>
        <w:rPr>
          <w:rFonts w:hint="eastAsia"/>
          <w:i w:val="0"/>
          <w:iCs w:val="0"/>
          <w:color w:val="auto"/>
          <w:highlight w:val="none"/>
          <w:lang w:bidi="ar"/>
        </w:rPr>
        <w:t>。</w:t>
      </w:r>
    </w:p>
    <w:p w14:paraId="4CB6B36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30.成交通知书</w:t>
      </w:r>
    </w:p>
    <w:p w14:paraId="3F3AC502">
      <w:pPr>
        <w:pStyle w:val="33"/>
        <w:keepNext w:val="0"/>
        <w:keepLines w:val="0"/>
        <w:pageBreakBefore w:val="0"/>
        <w:widowControl w:val="0"/>
        <w:kinsoku/>
        <w:overflowPunct/>
        <w:topLinePunct w:val="0"/>
        <w:bidi w:val="0"/>
        <w:ind w:firstLine="480"/>
        <w:textAlignment w:val="auto"/>
        <w:rPr>
          <w:rFonts w:cs="仿宋_GB2312"/>
          <w:i w:val="0"/>
          <w:iCs w:val="0"/>
          <w:snapToGrid w:val="0"/>
          <w:color w:val="auto"/>
          <w:highlight w:val="none"/>
          <w:lang w:val="zh-CN"/>
        </w:rPr>
      </w:pPr>
      <w:r>
        <w:rPr>
          <w:rFonts w:hint="eastAsia" w:cs="仿宋_GB2312"/>
          <w:i w:val="0"/>
          <w:iCs w:val="0"/>
          <w:snapToGrid w:val="0"/>
          <w:color w:val="auto"/>
          <w:highlight w:val="none"/>
          <w:lang w:val="en-US" w:eastAsia="zh-CN"/>
        </w:rPr>
        <w:t>30</w:t>
      </w:r>
      <w:r>
        <w:rPr>
          <w:rFonts w:cs="仿宋_GB2312"/>
          <w:i w:val="0"/>
          <w:iCs w:val="0"/>
          <w:snapToGrid w:val="0"/>
          <w:color w:val="auto"/>
          <w:highlight w:val="none"/>
          <w:lang w:val="zh-CN"/>
        </w:rPr>
        <w:t>.1</w:t>
      </w:r>
      <w:r>
        <w:rPr>
          <w:rFonts w:hint="eastAsia" w:cs="仿宋_GB2312"/>
          <w:i w:val="0"/>
          <w:iCs w:val="0"/>
          <w:snapToGrid w:val="0"/>
          <w:color w:val="auto"/>
          <w:highlight w:val="none"/>
          <w:lang w:val="zh-CN"/>
        </w:rPr>
        <w:t>发布成交结果公告同时向成交供应商发出成交通知书。成交通知书是合同的组成部分,对成交供应商和采购人具有同等法律效力。</w:t>
      </w:r>
    </w:p>
    <w:p w14:paraId="3E2C2D8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0" w:name="_Toc23301"/>
      <w:bookmarkStart w:id="331" w:name="_Toc163493617"/>
      <w:r>
        <w:rPr>
          <w:rFonts w:hint="eastAsia" w:ascii="宋体" w:hAnsi="宋体" w:eastAsia="宋体" w:cs="宋体"/>
          <w:b/>
          <w:bCs/>
          <w:color w:val="auto"/>
          <w:kern w:val="2"/>
          <w:sz w:val="24"/>
          <w:szCs w:val="24"/>
          <w:highlight w:val="none"/>
          <w:lang w:val="en-US" w:eastAsia="zh-CN" w:bidi="ar-SA"/>
        </w:rPr>
        <w:t>（九）签订合同</w:t>
      </w:r>
      <w:bookmarkEnd w:id="330"/>
      <w:bookmarkEnd w:id="331"/>
    </w:p>
    <w:p w14:paraId="6F871425">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2" w:name="_Toc46772273"/>
      <w:bookmarkStart w:id="333" w:name="_Toc48846141"/>
      <w:bookmarkStart w:id="334" w:name="_Toc48688821"/>
      <w:bookmarkStart w:id="335" w:name="_Toc109899565"/>
      <w:bookmarkStart w:id="336" w:name="_Toc52962759"/>
      <w:bookmarkStart w:id="337" w:name="_Toc109900403"/>
      <w:bookmarkStart w:id="338" w:name="_Toc109899984"/>
      <w:bookmarkStart w:id="339" w:name="_Toc51674243"/>
      <w:bookmarkStart w:id="340" w:name="_Toc109897466"/>
      <w:bookmarkStart w:id="341" w:name="_Toc46771672"/>
      <w:bookmarkStart w:id="342" w:name="_Toc52960585"/>
      <w:r>
        <w:rPr>
          <w:rFonts w:hint="eastAsia" w:ascii="宋体" w:hAnsi="宋体" w:eastAsia="宋体" w:cs="宋体"/>
          <w:b/>
          <w:bCs/>
          <w:color w:val="auto"/>
          <w:kern w:val="2"/>
          <w:sz w:val="24"/>
          <w:szCs w:val="24"/>
          <w:highlight w:val="none"/>
          <w:lang w:val="en-US" w:eastAsia="zh-CN" w:bidi="ar-SA"/>
        </w:rPr>
        <w:t>31.履约保证金</w:t>
      </w:r>
    </w:p>
    <w:p w14:paraId="2934878C">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3</w:t>
      </w:r>
      <w:r>
        <w:rPr>
          <w:rFonts w:hint="eastAsia"/>
          <w:i w:val="0"/>
          <w:iCs w:val="0"/>
          <w:color w:val="auto"/>
          <w:highlight w:val="none"/>
          <w:lang w:val="en-US" w:eastAsia="zh-CN"/>
        </w:rPr>
        <w:t>1</w:t>
      </w:r>
      <w:r>
        <w:rPr>
          <w:i w:val="0"/>
          <w:iCs w:val="0"/>
          <w:color w:val="auto"/>
          <w:highlight w:val="none"/>
        </w:rPr>
        <w:t>.1在签订合同前，</w:t>
      </w:r>
      <w:r>
        <w:rPr>
          <w:rFonts w:hint="eastAsia"/>
          <w:i w:val="0"/>
          <w:iCs w:val="0"/>
          <w:color w:val="auto"/>
          <w:highlight w:val="none"/>
        </w:rPr>
        <w:t>成交供应商</w:t>
      </w:r>
      <w:r>
        <w:rPr>
          <w:i w:val="0"/>
          <w:iCs w:val="0"/>
          <w:color w:val="auto"/>
          <w:highlight w:val="none"/>
        </w:rPr>
        <w:t>应按“</w:t>
      </w:r>
      <w:r>
        <w:rPr>
          <w:rFonts w:hint="eastAsia"/>
          <w:i w:val="0"/>
          <w:iCs w:val="0"/>
          <w:color w:val="auto"/>
          <w:highlight w:val="none"/>
        </w:rPr>
        <w:t>供应商</w:t>
      </w:r>
      <w:r>
        <w:rPr>
          <w:i w:val="0"/>
          <w:iCs w:val="0"/>
          <w:color w:val="auto"/>
          <w:highlight w:val="none"/>
        </w:rPr>
        <w:t>须知前附表”规定的金额、担保形式和采购人认可的履约担保格式向采购人提交履约保证金。</w:t>
      </w:r>
    </w:p>
    <w:p w14:paraId="429BB4A0">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3</w:t>
      </w:r>
      <w:r>
        <w:rPr>
          <w:rFonts w:hint="eastAsia"/>
          <w:i w:val="0"/>
          <w:iCs w:val="0"/>
          <w:color w:val="auto"/>
          <w:highlight w:val="none"/>
          <w:lang w:val="en-US" w:eastAsia="zh-CN"/>
        </w:rPr>
        <w:t>1</w:t>
      </w:r>
      <w:r>
        <w:rPr>
          <w:i w:val="0"/>
          <w:iCs w:val="0"/>
          <w:color w:val="auto"/>
          <w:highlight w:val="none"/>
        </w:rPr>
        <w:t>.2</w:t>
      </w:r>
      <w:r>
        <w:rPr>
          <w:rFonts w:hint="eastAsia"/>
          <w:i w:val="0"/>
          <w:iCs w:val="0"/>
          <w:color w:val="auto"/>
          <w:highlight w:val="none"/>
        </w:rPr>
        <w:t>成交供应商</w:t>
      </w:r>
      <w:r>
        <w:rPr>
          <w:i w:val="0"/>
          <w:iCs w:val="0"/>
          <w:color w:val="auto"/>
          <w:highlight w:val="none"/>
        </w:rPr>
        <w:t>不能按本章第3</w:t>
      </w:r>
      <w:r>
        <w:rPr>
          <w:rFonts w:hint="eastAsia"/>
          <w:i w:val="0"/>
          <w:iCs w:val="0"/>
          <w:color w:val="auto"/>
          <w:highlight w:val="none"/>
          <w:lang w:val="en-US" w:eastAsia="zh-CN"/>
        </w:rPr>
        <w:t>1</w:t>
      </w:r>
      <w:r>
        <w:rPr>
          <w:i w:val="0"/>
          <w:iCs w:val="0"/>
          <w:color w:val="auto"/>
          <w:highlight w:val="none"/>
        </w:rPr>
        <w:t>.1项要求提交履约担保的，视为放弃</w:t>
      </w:r>
      <w:r>
        <w:rPr>
          <w:rFonts w:hint="eastAsia"/>
          <w:i w:val="0"/>
          <w:iCs w:val="0"/>
          <w:color w:val="auto"/>
          <w:highlight w:val="none"/>
        </w:rPr>
        <w:t>成交</w:t>
      </w:r>
      <w:r>
        <w:rPr>
          <w:i w:val="0"/>
          <w:iCs w:val="0"/>
          <w:color w:val="auto"/>
          <w:highlight w:val="none"/>
        </w:rPr>
        <w:t>，给采购人造成损失的，</w:t>
      </w:r>
      <w:r>
        <w:rPr>
          <w:rFonts w:hint="eastAsia"/>
          <w:i w:val="0"/>
          <w:iCs w:val="0"/>
          <w:color w:val="auto"/>
          <w:highlight w:val="none"/>
        </w:rPr>
        <w:t>成交供应商</w:t>
      </w:r>
      <w:r>
        <w:rPr>
          <w:i w:val="0"/>
          <w:iCs w:val="0"/>
          <w:color w:val="auto"/>
          <w:highlight w:val="none"/>
        </w:rPr>
        <w:t>还应当承担民事责任。</w:t>
      </w:r>
    </w:p>
    <w:p w14:paraId="2B0382DC">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32.签订合同</w:t>
      </w:r>
      <w:bookmarkEnd w:id="332"/>
      <w:bookmarkEnd w:id="333"/>
      <w:bookmarkEnd w:id="334"/>
      <w:bookmarkEnd w:id="335"/>
      <w:bookmarkEnd w:id="336"/>
      <w:bookmarkEnd w:id="337"/>
      <w:bookmarkEnd w:id="338"/>
      <w:bookmarkEnd w:id="339"/>
      <w:bookmarkEnd w:id="340"/>
      <w:bookmarkEnd w:id="341"/>
      <w:bookmarkEnd w:id="342"/>
    </w:p>
    <w:p w14:paraId="3E1F8F97">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snapToGrid w:val="0"/>
          <w:color w:val="auto"/>
          <w:highlight w:val="none"/>
          <w:lang w:val="zh-CN"/>
        </w:rPr>
        <w:t>3</w:t>
      </w:r>
      <w:r>
        <w:rPr>
          <w:rFonts w:hint="eastAsia"/>
          <w:i w:val="0"/>
          <w:iCs w:val="0"/>
          <w:snapToGrid w:val="0"/>
          <w:color w:val="auto"/>
          <w:highlight w:val="none"/>
          <w:lang w:val="en-US" w:eastAsia="zh-CN"/>
        </w:rPr>
        <w:t>2</w:t>
      </w:r>
      <w:r>
        <w:rPr>
          <w:i w:val="0"/>
          <w:iCs w:val="0"/>
          <w:snapToGrid w:val="0"/>
          <w:color w:val="auto"/>
          <w:highlight w:val="none"/>
          <w:lang w:val="zh-CN"/>
        </w:rPr>
        <w:t>.1</w:t>
      </w:r>
      <w:r>
        <w:rPr>
          <w:rFonts w:hint="eastAsia"/>
          <w:i w:val="0"/>
          <w:iCs w:val="0"/>
          <w:snapToGrid w:val="0"/>
          <w:color w:val="auto"/>
          <w:highlight w:val="none"/>
          <w:lang w:val="zh-CN"/>
        </w:rPr>
        <w:t>采购人与成交供应商应当在成交通知书发出之日起</w:t>
      </w:r>
      <w:r>
        <w:rPr>
          <w:rFonts w:hint="eastAsia"/>
          <w:i w:val="0"/>
          <w:iCs w:val="0"/>
          <w:snapToGrid w:val="0"/>
          <w:color w:val="auto"/>
          <w:highlight w:val="none"/>
          <w:lang w:val="en-US" w:eastAsia="zh-CN"/>
        </w:rPr>
        <w:t>25</w:t>
      </w:r>
      <w:r>
        <w:rPr>
          <w:rFonts w:hint="eastAsia"/>
          <w:i w:val="0"/>
          <w:iCs w:val="0"/>
          <w:snapToGrid w:val="0"/>
          <w:color w:val="auto"/>
          <w:highlight w:val="none"/>
          <w:lang w:val="zh-CN"/>
        </w:rPr>
        <w:t>日内，按照磋商文件确定的合同文本以及采购标的、规格型号、采购金额、采购数量、技术和服务要求等事项签订政府采购合同。</w:t>
      </w:r>
      <w:r>
        <w:rPr>
          <w:rFonts w:hint="eastAsia"/>
          <w:i w:val="0"/>
          <w:iCs w:val="0"/>
          <w:color w:val="auto"/>
          <w:highlight w:val="none"/>
        </w:rPr>
        <w:t>采购人因不可抗力原因迟延签订合同的，应当自不可抗力事由消除之日起</w:t>
      </w:r>
      <w:r>
        <w:rPr>
          <w:i w:val="0"/>
          <w:iCs w:val="0"/>
          <w:color w:val="auto"/>
          <w:highlight w:val="none"/>
        </w:rPr>
        <w:t>7日内完成合同签订事宜。</w:t>
      </w:r>
      <w:r>
        <w:rPr>
          <w:rFonts w:hint="eastAsia"/>
          <w:i w:val="0"/>
          <w:iCs w:val="0"/>
          <w:color w:val="auto"/>
          <w:highlight w:val="none"/>
        </w:rPr>
        <w:t>所签订的合同不得对</w:t>
      </w:r>
      <w:r>
        <w:rPr>
          <w:rFonts w:hint="eastAsia"/>
          <w:i w:val="0"/>
          <w:iCs w:val="0"/>
          <w:color w:val="auto"/>
          <w:highlight w:val="none"/>
          <w:lang w:val="en-US" w:eastAsia="zh-CN"/>
        </w:rPr>
        <w:t>磋商</w:t>
      </w:r>
      <w:r>
        <w:rPr>
          <w:rFonts w:hint="eastAsia"/>
          <w:i w:val="0"/>
          <w:iCs w:val="0"/>
          <w:color w:val="auto"/>
          <w:highlight w:val="none"/>
        </w:rPr>
        <w:t>文件和</w:t>
      </w:r>
      <w:r>
        <w:rPr>
          <w:rFonts w:hint="eastAsia"/>
          <w:i w:val="0"/>
          <w:iCs w:val="0"/>
          <w:color w:val="auto"/>
          <w:highlight w:val="none"/>
          <w:lang w:val="en-US" w:eastAsia="zh-CN"/>
        </w:rPr>
        <w:t>成交供应商响应</w:t>
      </w:r>
      <w:r>
        <w:rPr>
          <w:rFonts w:hint="eastAsia"/>
          <w:i w:val="0"/>
          <w:iCs w:val="0"/>
          <w:color w:val="auto"/>
          <w:highlight w:val="none"/>
        </w:rPr>
        <w:t>文件作实质性修改。</w:t>
      </w:r>
      <w:r>
        <w:rPr>
          <w:rFonts w:hint="eastAsia"/>
          <w:i w:val="0"/>
          <w:iCs w:val="0"/>
          <w:color w:val="auto"/>
          <w:highlight w:val="none"/>
          <w:lang w:val="en-US" w:eastAsia="zh-CN"/>
        </w:rPr>
        <w:t>成交</w:t>
      </w:r>
      <w:r>
        <w:rPr>
          <w:rFonts w:hint="eastAsia"/>
          <w:i w:val="0"/>
          <w:iCs w:val="0"/>
          <w:color w:val="auto"/>
          <w:highlight w:val="none"/>
        </w:rPr>
        <w:t>人无正当理由拒签合同，给采购人造成损失的，</w:t>
      </w:r>
      <w:r>
        <w:rPr>
          <w:rFonts w:hint="eastAsia"/>
          <w:i w:val="0"/>
          <w:iCs w:val="0"/>
          <w:color w:val="auto"/>
          <w:highlight w:val="none"/>
          <w:lang w:val="en-US" w:eastAsia="zh-CN"/>
        </w:rPr>
        <w:t>成交</w:t>
      </w:r>
      <w:r>
        <w:rPr>
          <w:rFonts w:hint="eastAsia"/>
          <w:i w:val="0"/>
          <w:iCs w:val="0"/>
          <w:color w:val="auto"/>
          <w:highlight w:val="none"/>
        </w:rPr>
        <w:t>人还应当承担民事责任。</w:t>
      </w:r>
    </w:p>
    <w:p w14:paraId="4F6A5CF0">
      <w:pPr>
        <w:pStyle w:val="33"/>
        <w:keepNext w:val="0"/>
        <w:keepLines w:val="0"/>
        <w:pageBreakBefore w:val="0"/>
        <w:widowControl w:val="0"/>
        <w:kinsoku/>
        <w:overflowPunct/>
        <w:topLinePunct w:val="0"/>
        <w:bidi w:val="0"/>
        <w:ind w:firstLine="480"/>
        <w:textAlignment w:val="auto"/>
        <w:rPr>
          <w:i w:val="0"/>
          <w:iCs w:val="0"/>
          <w:color w:val="auto"/>
          <w:highlight w:val="none"/>
          <w:lang w:val="zh-CN"/>
        </w:rPr>
      </w:pPr>
      <w:r>
        <w:rPr>
          <w:i w:val="0"/>
          <w:iCs w:val="0"/>
          <w:color w:val="auto"/>
          <w:highlight w:val="none"/>
        </w:rPr>
        <w:t>3</w:t>
      </w:r>
      <w:r>
        <w:rPr>
          <w:rFonts w:hint="eastAsia"/>
          <w:i w:val="0"/>
          <w:iCs w:val="0"/>
          <w:color w:val="auto"/>
          <w:highlight w:val="none"/>
          <w:lang w:val="en-US" w:eastAsia="zh-CN"/>
        </w:rPr>
        <w:t>2</w:t>
      </w:r>
      <w:r>
        <w:rPr>
          <w:i w:val="0"/>
          <w:iCs w:val="0"/>
          <w:color w:val="auto"/>
          <w:highlight w:val="none"/>
        </w:rPr>
        <w:t>.2</w:t>
      </w:r>
      <w:r>
        <w:rPr>
          <w:rFonts w:hint="eastAsia"/>
          <w:i w:val="0"/>
          <w:iCs w:val="0"/>
          <w:color w:val="auto"/>
          <w:highlight w:val="none"/>
          <w:lang w:val="zh-CN"/>
        </w:rPr>
        <w:t>成交供应商拒绝签订政府采购合同的，采购人可以</w:t>
      </w:r>
      <w:r>
        <w:rPr>
          <w:rFonts w:hint="eastAsia"/>
          <w:i w:val="0"/>
          <w:iCs w:val="0"/>
          <w:color w:val="auto"/>
          <w:highlight w:val="none"/>
          <w:lang w:val="en-US" w:eastAsia="zh-CN"/>
        </w:rPr>
        <w:t>按照</w:t>
      </w:r>
      <w:r>
        <w:rPr>
          <w:rFonts w:hint="eastAsia"/>
          <w:i w:val="0"/>
          <w:iCs w:val="0"/>
          <w:color w:val="auto"/>
          <w:highlight w:val="none"/>
          <w:lang w:val="zh-CN"/>
        </w:rPr>
        <w:t>《政府采购竞争性磋商采购方式管理暂行办法》（财库</w:t>
      </w:r>
      <w:r>
        <w:rPr>
          <w:rFonts w:hint="eastAsia" w:ascii="仿宋" w:hAnsi="仿宋" w:eastAsia="仿宋" w:cs="仿宋"/>
          <w:i w:val="0"/>
          <w:iCs w:val="0"/>
          <w:color w:val="auto"/>
          <w:highlight w:val="none"/>
          <w:lang w:val="zh-CN"/>
        </w:rPr>
        <w:t>〔</w:t>
      </w:r>
      <w:r>
        <w:rPr>
          <w:rFonts w:hint="eastAsia"/>
          <w:i w:val="0"/>
          <w:iCs w:val="0"/>
          <w:color w:val="auto"/>
          <w:highlight w:val="none"/>
          <w:lang w:val="zh-CN"/>
        </w:rPr>
        <w:t>2014</w:t>
      </w:r>
      <w:r>
        <w:rPr>
          <w:rFonts w:hint="eastAsia" w:ascii="仿宋" w:hAnsi="仿宋" w:eastAsia="仿宋" w:cs="仿宋"/>
          <w:i w:val="0"/>
          <w:iCs w:val="0"/>
          <w:color w:val="auto"/>
          <w:highlight w:val="none"/>
          <w:lang w:val="zh-CN"/>
        </w:rPr>
        <w:t>〕</w:t>
      </w:r>
      <w:r>
        <w:rPr>
          <w:rFonts w:hint="eastAsia"/>
          <w:i w:val="0"/>
          <w:iCs w:val="0"/>
          <w:color w:val="auto"/>
          <w:highlight w:val="none"/>
          <w:lang w:val="zh-CN"/>
        </w:rPr>
        <w:t>214号）第二十八条第二款的规定确定其他供应商作为成交供应商并签订政府采购合同，也可以重新开展采购活动。拒绝签订政府采购合同的成交供应商不得参加对该项目重新开展的采购活动。</w:t>
      </w:r>
    </w:p>
    <w:p w14:paraId="2EAB2D84">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bCs/>
          <w:i w:val="0"/>
          <w:iCs w:val="0"/>
          <w:color w:val="auto"/>
          <w:highlight w:val="none"/>
        </w:rPr>
        <w:t>3</w:t>
      </w:r>
      <w:r>
        <w:rPr>
          <w:rFonts w:hint="eastAsia"/>
          <w:bCs/>
          <w:i w:val="0"/>
          <w:iCs w:val="0"/>
          <w:color w:val="auto"/>
          <w:highlight w:val="none"/>
          <w:lang w:val="en-US" w:eastAsia="zh-CN"/>
        </w:rPr>
        <w:t>2</w:t>
      </w:r>
      <w:r>
        <w:rPr>
          <w:bCs/>
          <w:i w:val="0"/>
          <w:iCs w:val="0"/>
          <w:color w:val="auto"/>
          <w:highlight w:val="none"/>
        </w:rPr>
        <w:t>.3</w:t>
      </w:r>
      <w:r>
        <w:rPr>
          <w:rFonts w:hint="eastAsia"/>
          <w:i w:val="0"/>
          <w:iCs w:val="0"/>
          <w:color w:val="auto"/>
          <w:highlight w:val="none"/>
        </w:rPr>
        <w:t>采购人和</w:t>
      </w:r>
      <w:r>
        <w:rPr>
          <w:rFonts w:hint="eastAsia"/>
          <w:i w:val="0"/>
          <w:iCs w:val="0"/>
          <w:color w:val="auto"/>
          <w:highlight w:val="none"/>
          <w:lang w:val="en-US" w:eastAsia="zh-CN"/>
        </w:rPr>
        <w:t>成交</w:t>
      </w:r>
      <w:r>
        <w:rPr>
          <w:rFonts w:hint="eastAsia"/>
          <w:i w:val="0"/>
          <w:iCs w:val="0"/>
          <w:color w:val="auto"/>
          <w:highlight w:val="none"/>
        </w:rPr>
        <w:t>供应商不得向对方提出任何不合理的要求，作为签订合同的条件，双方不得私下订立背离合同实质性内容的协议。</w:t>
      </w:r>
    </w:p>
    <w:p w14:paraId="0EC5E584">
      <w:pPr>
        <w:pStyle w:val="33"/>
        <w:keepNext w:val="0"/>
        <w:keepLines w:val="0"/>
        <w:pageBreakBefore w:val="0"/>
        <w:widowControl w:val="0"/>
        <w:kinsoku/>
        <w:overflowPunct/>
        <w:topLinePunct w:val="0"/>
        <w:bidi w:val="0"/>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32.4联合体成交的，联合体各方应当共同与采购人签订合同，就采购合同约定的事项向采购人承担连带责任。</w:t>
      </w:r>
    </w:p>
    <w:p w14:paraId="137E1005">
      <w:pPr>
        <w:pStyle w:val="33"/>
        <w:keepNext w:val="0"/>
        <w:keepLines w:val="0"/>
        <w:pageBreakBefore w:val="0"/>
        <w:widowControl w:val="0"/>
        <w:kinsoku/>
        <w:overflowPunct/>
        <w:topLinePunct w:val="0"/>
        <w:bidi w:val="0"/>
        <w:ind w:firstLine="480"/>
        <w:textAlignment w:val="auto"/>
        <w:rPr>
          <w:rFonts w:hint="eastAsia"/>
          <w:b/>
          <w:bCs/>
          <w:i w:val="0"/>
          <w:iCs w:val="0"/>
          <w:color w:val="auto"/>
          <w:highlight w:val="none"/>
          <w:lang w:val="en-US" w:eastAsia="zh-CN"/>
        </w:rPr>
      </w:pPr>
      <w:r>
        <w:rPr>
          <w:rFonts w:hint="eastAsia"/>
          <w:i w:val="0"/>
          <w:iCs w:val="0"/>
          <w:color w:val="auto"/>
          <w:highlight w:val="none"/>
          <w:lang w:val="en-US" w:eastAsia="zh-CN"/>
        </w:rPr>
        <w:t>32.5本项目的非主体、非关键性工作是否允许分包，见“供应商须知前附表”。</w:t>
      </w:r>
      <w:r>
        <w:rPr>
          <w:rFonts w:hint="eastAsia"/>
          <w:i w:val="0"/>
          <w:iCs w:val="0"/>
          <w:color w:val="auto"/>
          <w:highlight w:val="none"/>
        </w:rPr>
        <w:t>供应商未遵守竞争性磋商文件分包规定的，其</w:t>
      </w:r>
      <w:r>
        <w:rPr>
          <w:rFonts w:hint="eastAsia"/>
          <w:b/>
          <w:bCs/>
          <w:i w:val="0"/>
          <w:iCs w:val="0"/>
          <w:color w:val="auto"/>
          <w:highlight w:val="none"/>
        </w:rPr>
        <w:t>响应无效</w:t>
      </w:r>
      <w:r>
        <w:rPr>
          <w:rFonts w:hint="eastAsia"/>
          <w:i w:val="0"/>
          <w:iCs w:val="0"/>
          <w:color w:val="auto"/>
          <w:highlight w:val="none"/>
        </w:rPr>
        <w:t>。</w:t>
      </w:r>
      <w:r>
        <w:rPr>
          <w:rFonts w:hint="eastAsia"/>
          <w:i w:val="0"/>
          <w:iCs w:val="0"/>
          <w:color w:val="auto"/>
          <w:highlight w:val="none"/>
          <w:lang w:val="en-US" w:eastAsia="zh-CN"/>
        </w:rPr>
        <w:t>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w:t>
      </w:r>
      <w:r>
        <w:rPr>
          <w:rFonts w:hint="eastAsia"/>
          <w:b/>
          <w:bCs/>
          <w:i w:val="0"/>
          <w:iCs w:val="0"/>
          <w:color w:val="auto"/>
          <w:highlight w:val="none"/>
          <w:lang w:val="en-US" w:eastAsia="zh-CN"/>
        </w:rPr>
        <w:t>成交无效</w:t>
      </w:r>
      <w:r>
        <w:rPr>
          <w:rFonts w:hint="eastAsia"/>
          <w:i w:val="0"/>
          <w:iCs w:val="0"/>
          <w:color w:val="auto"/>
          <w:highlight w:val="none"/>
          <w:lang w:val="en-US" w:eastAsia="zh-CN"/>
        </w:rPr>
        <w:t>。成交供应商就采购项目和分包项目向采购人负责，分包供应商就分包项目承担责任。</w:t>
      </w:r>
      <w:r>
        <w:rPr>
          <w:rFonts w:hint="eastAsia"/>
          <w:b/>
          <w:bCs/>
          <w:i w:val="0"/>
          <w:iCs w:val="0"/>
          <w:color w:val="auto"/>
          <w:highlight w:val="none"/>
          <w:lang w:val="en-US" w:eastAsia="zh-CN"/>
        </w:rPr>
        <w:t>政府采购合同不能转包。</w:t>
      </w:r>
    </w:p>
    <w:p w14:paraId="0341BE1D">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bCs/>
          <w:i w:val="0"/>
          <w:iCs w:val="0"/>
          <w:color w:val="auto"/>
          <w:highlight w:val="none"/>
        </w:rPr>
        <w:t>3</w:t>
      </w:r>
      <w:r>
        <w:rPr>
          <w:rFonts w:hint="eastAsia"/>
          <w:bCs/>
          <w:i w:val="0"/>
          <w:iCs w:val="0"/>
          <w:color w:val="auto"/>
          <w:highlight w:val="none"/>
          <w:lang w:val="en-US" w:eastAsia="zh-CN"/>
        </w:rPr>
        <w:t>2</w:t>
      </w:r>
      <w:r>
        <w:rPr>
          <w:rFonts w:hint="eastAsia"/>
          <w:i w:val="0"/>
          <w:iCs w:val="0"/>
          <w:color w:val="auto"/>
          <w:highlight w:val="none"/>
        </w:rPr>
        <w:t>.</w:t>
      </w:r>
      <w:r>
        <w:rPr>
          <w:rFonts w:hint="eastAsia"/>
          <w:i w:val="0"/>
          <w:iCs w:val="0"/>
          <w:color w:val="auto"/>
          <w:highlight w:val="none"/>
          <w:lang w:val="en-US" w:eastAsia="zh-CN"/>
        </w:rPr>
        <w:t>6</w:t>
      </w:r>
      <w:r>
        <w:rPr>
          <w:rFonts w:hint="eastAsia"/>
          <w:i w:val="0"/>
          <w:iCs w:val="0"/>
          <w:color w:val="auto"/>
          <w:highlight w:val="none"/>
        </w:rPr>
        <w:t>采购合同履行中，采购人需追加与合同标的相同的</w:t>
      </w:r>
      <w:r>
        <w:rPr>
          <w:rFonts w:hint="eastAsia"/>
          <w:i w:val="0"/>
          <w:iCs w:val="0"/>
          <w:color w:val="auto"/>
          <w:highlight w:val="none"/>
          <w:lang w:val="en-US" w:eastAsia="zh-CN"/>
        </w:rPr>
        <w:t>货物、工程或者服务</w:t>
      </w:r>
      <w:r>
        <w:rPr>
          <w:rFonts w:hint="eastAsia"/>
          <w:i w:val="0"/>
          <w:iCs w:val="0"/>
          <w:color w:val="auto"/>
          <w:highlight w:val="none"/>
        </w:rPr>
        <w:t>的，在不改变合同其他条款的前提下，可以与成交供应商协商签订补充合同，但所有补充合同的采购金额不得超过原合同采购金额的百分之十。</w:t>
      </w:r>
    </w:p>
    <w:p w14:paraId="43E904D8">
      <w:pPr>
        <w:pStyle w:val="33"/>
        <w:keepNext w:val="0"/>
        <w:keepLines w:val="0"/>
        <w:pageBreakBefore w:val="0"/>
        <w:widowControl w:val="0"/>
        <w:kinsoku/>
        <w:overflowPunct/>
        <w:topLinePunct w:val="0"/>
        <w:bidi w:val="0"/>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32.7</w:t>
      </w:r>
      <w:r>
        <w:rPr>
          <w:rFonts w:hint="eastAsia" w:ascii="宋体" w:hAnsi="宋体" w:eastAsia="宋体"/>
          <w:i w:val="0"/>
          <w:iCs w:val="0"/>
          <w:color w:val="auto"/>
          <w:highlight w:val="none"/>
          <w:lang w:val="en-US" w:eastAsia="zh-CN"/>
        </w:rPr>
        <w:t>采购人应于签订合同之日起2个工作日内在政采云平台备案公示。</w:t>
      </w:r>
    </w:p>
    <w:bookmarkEnd w:id="329"/>
    <w:p w14:paraId="4252B45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3" w:name="_Toc7322"/>
      <w:bookmarkStart w:id="344" w:name="_Toc109897467"/>
      <w:bookmarkStart w:id="345" w:name="_Toc109899566"/>
      <w:bookmarkStart w:id="346" w:name="_Toc163493618"/>
      <w:bookmarkStart w:id="347" w:name="_Toc46771673"/>
      <w:bookmarkStart w:id="348" w:name="_Toc109900404"/>
      <w:bookmarkStart w:id="349" w:name="_Toc109899985"/>
      <w:bookmarkStart w:id="350" w:name="_Toc470172693"/>
      <w:r>
        <w:rPr>
          <w:rFonts w:hint="eastAsia" w:ascii="宋体" w:hAnsi="宋体" w:eastAsia="宋体" w:cs="宋体"/>
          <w:b/>
          <w:bCs/>
          <w:color w:val="auto"/>
          <w:kern w:val="2"/>
          <w:sz w:val="24"/>
          <w:szCs w:val="24"/>
          <w:highlight w:val="none"/>
          <w:lang w:val="en-US" w:eastAsia="zh-CN" w:bidi="ar-SA"/>
        </w:rPr>
        <w:t>（十）质疑和投诉</w:t>
      </w:r>
      <w:bookmarkEnd w:id="343"/>
      <w:bookmarkEnd w:id="344"/>
      <w:bookmarkEnd w:id="345"/>
      <w:bookmarkEnd w:id="346"/>
      <w:bookmarkEnd w:id="347"/>
      <w:bookmarkEnd w:id="348"/>
      <w:bookmarkEnd w:id="349"/>
    </w:p>
    <w:p w14:paraId="000ACFE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1" w:name="_Toc109900405"/>
      <w:bookmarkStart w:id="352" w:name="_Toc46772275"/>
      <w:bookmarkStart w:id="353" w:name="_Toc48846143"/>
      <w:bookmarkStart w:id="354" w:name="_Toc109899567"/>
      <w:bookmarkStart w:id="355" w:name="_Toc48688823"/>
      <w:bookmarkStart w:id="356" w:name="_Toc46771674"/>
      <w:bookmarkStart w:id="357" w:name="_Toc52962761"/>
      <w:bookmarkStart w:id="358" w:name="_Toc51674245"/>
      <w:bookmarkStart w:id="359" w:name="_Toc52960587"/>
      <w:bookmarkStart w:id="360" w:name="_Toc109897468"/>
      <w:bookmarkStart w:id="361" w:name="_Toc109899986"/>
      <w:r>
        <w:rPr>
          <w:rFonts w:hint="eastAsia" w:ascii="宋体" w:hAnsi="宋体" w:eastAsia="宋体" w:cs="宋体"/>
          <w:b/>
          <w:bCs/>
          <w:color w:val="auto"/>
          <w:kern w:val="2"/>
          <w:sz w:val="24"/>
          <w:szCs w:val="24"/>
          <w:highlight w:val="none"/>
          <w:lang w:val="en-US" w:eastAsia="zh-CN" w:bidi="ar-SA"/>
        </w:rPr>
        <w:t>33.质疑</w:t>
      </w:r>
      <w:bookmarkEnd w:id="351"/>
      <w:bookmarkEnd w:id="352"/>
      <w:bookmarkEnd w:id="353"/>
      <w:bookmarkEnd w:id="354"/>
      <w:bookmarkEnd w:id="355"/>
      <w:bookmarkEnd w:id="356"/>
      <w:bookmarkEnd w:id="357"/>
      <w:bookmarkEnd w:id="358"/>
      <w:bookmarkEnd w:id="359"/>
      <w:bookmarkEnd w:id="360"/>
      <w:bookmarkEnd w:id="361"/>
    </w:p>
    <w:p w14:paraId="097AA162">
      <w:pPr>
        <w:pStyle w:val="33"/>
        <w:keepNext w:val="0"/>
        <w:keepLines w:val="0"/>
        <w:pageBreakBefore w:val="0"/>
        <w:widowControl w:val="0"/>
        <w:kinsoku/>
        <w:overflowPunct/>
        <w:topLinePunct w:val="0"/>
        <w:autoSpaceDE/>
        <w:autoSpaceDN/>
        <w:bidi w:val="0"/>
        <w:adjustRightInd/>
        <w:textAlignment w:val="auto"/>
        <w:rPr>
          <w:rFonts w:hint="default"/>
          <w:i w:val="0"/>
          <w:iCs w:val="0"/>
          <w:color w:val="auto"/>
          <w:highlight w:val="none"/>
          <w:lang w:val="en-US" w:eastAsia="zh-CN"/>
        </w:rPr>
      </w:pPr>
      <w:r>
        <w:rPr>
          <w:i w:val="0"/>
          <w:iCs w:val="0"/>
          <w:snapToGrid w:val="0"/>
          <w:color w:val="auto"/>
          <w:highlight w:val="none"/>
        </w:rPr>
        <w:t>3</w:t>
      </w:r>
      <w:r>
        <w:rPr>
          <w:rFonts w:hint="eastAsia"/>
          <w:i w:val="0"/>
          <w:iCs w:val="0"/>
          <w:snapToGrid w:val="0"/>
          <w:color w:val="auto"/>
          <w:highlight w:val="none"/>
          <w:lang w:val="en-US" w:eastAsia="zh-CN"/>
        </w:rPr>
        <w:t>3</w:t>
      </w:r>
      <w:r>
        <w:rPr>
          <w:rFonts w:hint="eastAsia"/>
          <w:i w:val="0"/>
          <w:iCs w:val="0"/>
          <w:snapToGrid w:val="0"/>
          <w:color w:val="auto"/>
          <w:highlight w:val="none"/>
          <w:lang w:val="zh-CN"/>
        </w:rPr>
        <w:t>.1</w:t>
      </w:r>
      <w:r>
        <w:rPr>
          <w:rFonts w:hint="eastAsia"/>
          <w:i w:val="0"/>
          <w:iCs w:val="0"/>
          <w:color w:val="auto"/>
          <w:highlight w:val="none"/>
        </w:rPr>
        <w:t>供应商认为</w:t>
      </w:r>
      <w:r>
        <w:rPr>
          <w:rFonts w:hint="eastAsia"/>
          <w:i w:val="0"/>
          <w:iCs w:val="0"/>
          <w:color w:val="auto"/>
          <w:highlight w:val="none"/>
          <w:lang w:eastAsia="zh-CN"/>
        </w:rPr>
        <w:t>磋商</w:t>
      </w:r>
      <w:r>
        <w:rPr>
          <w:rFonts w:hint="eastAsia"/>
          <w:i w:val="0"/>
          <w:iCs w:val="0"/>
          <w:color w:val="auto"/>
          <w:highlight w:val="none"/>
        </w:rPr>
        <w:t>文件、</w:t>
      </w:r>
      <w:r>
        <w:rPr>
          <w:rFonts w:hint="eastAsia"/>
          <w:i w:val="0"/>
          <w:iCs w:val="0"/>
          <w:color w:val="auto"/>
          <w:highlight w:val="none"/>
          <w:lang w:eastAsia="zh-CN"/>
        </w:rPr>
        <w:t>评审</w:t>
      </w:r>
      <w:r>
        <w:rPr>
          <w:rFonts w:hint="eastAsia"/>
          <w:i w:val="0"/>
          <w:iCs w:val="0"/>
          <w:color w:val="auto"/>
          <w:highlight w:val="none"/>
        </w:rPr>
        <w:t>过程、成交结果使自己的权益受到损害的，可以在知道或者应知其权益受到损害之日起7个工作日内，以书面形式向采购人、采购代理机构提出质疑</w:t>
      </w:r>
      <w:r>
        <w:rPr>
          <w:rFonts w:hint="eastAsia"/>
          <w:i w:val="0"/>
          <w:iCs w:val="0"/>
          <w:color w:val="auto"/>
          <w:highlight w:val="none"/>
          <w:lang w:eastAsia="zh-CN"/>
        </w:rPr>
        <w:t>，</w:t>
      </w:r>
      <w:r>
        <w:rPr>
          <w:rFonts w:hint="eastAsia"/>
          <w:i w:val="0"/>
          <w:iCs w:val="0"/>
          <w:color w:val="auto"/>
          <w:highlight w:val="none"/>
          <w:lang w:val="en-US" w:eastAsia="zh-CN"/>
        </w:rPr>
        <w:t>详见“供应商须知前附表”</w:t>
      </w:r>
      <w:r>
        <w:rPr>
          <w:rFonts w:hint="eastAsia"/>
          <w:i w:val="0"/>
          <w:iCs w:val="0"/>
          <w:color w:val="auto"/>
          <w:highlight w:val="none"/>
        </w:rPr>
        <w:t>。供应商在法定质疑期内一次性提出针对同一采购程序环节的质疑。</w:t>
      </w:r>
    </w:p>
    <w:p w14:paraId="35972B93">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bCs/>
          <w:i w:val="0"/>
          <w:iCs w:val="0"/>
          <w:color w:val="auto"/>
          <w:highlight w:val="none"/>
        </w:rPr>
        <w:t>3</w:t>
      </w:r>
      <w:r>
        <w:rPr>
          <w:rFonts w:hint="eastAsia"/>
          <w:bCs/>
          <w:i w:val="0"/>
          <w:iCs w:val="0"/>
          <w:color w:val="auto"/>
          <w:highlight w:val="none"/>
          <w:lang w:val="en-US" w:eastAsia="zh-CN"/>
        </w:rPr>
        <w:t>3</w:t>
      </w:r>
      <w:r>
        <w:rPr>
          <w:rFonts w:hint="eastAsia"/>
          <w:i w:val="0"/>
          <w:iCs w:val="0"/>
          <w:color w:val="auto"/>
          <w:highlight w:val="none"/>
        </w:rPr>
        <w:t>.2提出质疑的供应商（以下简称质疑供应商）应当是参与所质疑项目采购活动的供应商。</w:t>
      </w:r>
    </w:p>
    <w:p w14:paraId="6503DC7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lang w:val="en-US" w:eastAsia="zh-CN"/>
        </w:rPr>
        <w:t>33.3</w:t>
      </w:r>
      <w:r>
        <w:rPr>
          <w:rFonts w:hint="eastAsia"/>
          <w:i w:val="0"/>
          <w:iCs w:val="0"/>
          <w:color w:val="auto"/>
          <w:highlight w:val="none"/>
        </w:rPr>
        <w:t>潜在供应商已依法获取其可质疑的</w:t>
      </w:r>
      <w:r>
        <w:rPr>
          <w:rFonts w:hint="eastAsia"/>
          <w:i w:val="0"/>
          <w:iCs w:val="0"/>
          <w:color w:val="auto"/>
          <w:highlight w:val="none"/>
          <w:lang w:eastAsia="zh-CN"/>
        </w:rPr>
        <w:t>磋商</w:t>
      </w:r>
      <w:r>
        <w:rPr>
          <w:rFonts w:hint="eastAsia"/>
          <w:i w:val="0"/>
          <w:iCs w:val="0"/>
          <w:color w:val="auto"/>
          <w:highlight w:val="none"/>
        </w:rPr>
        <w:t>文件的，可以对该文件提出质疑。对</w:t>
      </w:r>
      <w:r>
        <w:rPr>
          <w:rFonts w:hint="eastAsia"/>
          <w:i w:val="0"/>
          <w:iCs w:val="0"/>
          <w:color w:val="auto"/>
          <w:highlight w:val="none"/>
          <w:lang w:eastAsia="zh-CN"/>
        </w:rPr>
        <w:t>磋商</w:t>
      </w:r>
      <w:r>
        <w:rPr>
          <w:rFonts w:hint="eastAsia"/>
          <w:i w:val="0"/>
          <w:iCs w:val="0"/>
          <w:color w:val="auto"/>
          <w:highlight w:val="none"/>
        </w:rPr>
        <w:t>文件提出质疑的，应当在获取</w:t>
      </w:r>
      <w:r>
        <w:rPr>
          <w:rFonts w:hint="eastAsia"/>
          <w:i w:val="0"/>
          <w:iCs w:val="0"/>
          <w:color w:val="auto"/>
          <w:highlight w:val="none"/>
          <w:lang w:eastAsia="zh-CN"/>
        </w:rPr>
        <w:t>磋商</w:t>
      </w:r>
      <w:r>
        <w:rPr>
          <w:rFonts w:hint="eastAsia"/>
          <w:i w:val="0"/>
          <w:iCs w:val="0"/>
          <w:color w:val="auto"/>
          <w:highlight w:val="none"/>
        </w:rPr>
        <w:t>文件或者</w:t>
      </w:r>
      <w:r>
        <w:rPr>
          <w:rFonts w:hint="eastAsia"/>
          <w:i w:val="0"/>
          <w:iCs w:val="0"/>
          <w:color w:val="auto"/>
          <w:highlight w:val="none"/>
          <w:lang w:eastAsia="zh-CN"/>
        </w:rPr>
        <w:t>磋商</w:t>
      </w:r>
      <w:r>
        <w:rPr>
          <w:rFonts w:hint="eastAsia"/>
          <w:i w:val="0"/>
          <w:iCs w:val="0"/>
          <w:color w:val="auto"/>
          <w:highlight w:val="none"/>
        </w:rPr>
        <w:t>文件公告期限届满之日起7个工作日内提出。</w:t>
      </w:r>
    </w:p>
    <w:p w14:paraId="7A916D67">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lang w:val="en-US" w:eastAsia="zh-CN"/>
        </w:rPr>
        <w:t>33.4</w:t>
      </w:r>
      <w:r>
        <w:rPr>
          <w:rFonts w:hint="eastAsia"/>
          <w:i w:val="0"/>
          <w:iCs w:val="0"/>
          <w:color w:val="auto"/>
          <w:highlight w:val="none"/>
        </w:rPr>
        <w:t>供应商提出质疑应当提交质疑函和必要的证明材料。质疑函应当包括下列内容：</w:t>
      </w:r>
    </w:p>
    <w:p w14:paraId="57C1F480">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1</w:t>
      </w:r>
      <w:r>
        <w:rPr>
          <w:rFonts w:hint="eastAsia"/>
          <w:i w:val="0"/>
          <w:iCs w:val="0"/>
          <w:color w:val="auto"/>
          <w:highlight w:val="none"/>
        </w:rPr>
        <w:t>）供应商的姓名或者名称、地址、邮编、联系人及联系电话；</w:t>
      </w:r>
    </w:p>
    <w:p w14:paraId="2B1F4E61">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2</w:t>
      </w:r>
      <w:r>
        <w:rPr>
          <w:rFonts w:hint="eastAsia"/>
          <w:i w:val="0"/>
          <w:iCs w:val="0"/>
          <w:color w:val="auto"/>
          <w:highlight w:val="none"/>
        </w:rPr>
        <w:t>）质疑项目的名称、编号；</w:t>
      </w:r>
    </w:p>
    <w:p w14:paraId="1AA8BB74">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3</w:t>
      </w:r>
      <w:r>
        <w:rPr>
          <w:rFonts w:hint="eastAsia"/>
          <w:i w:val="0"/>
          <w:iCs w:val="0"/>
          <w:color w:val="auto"/>
          <w:highlight w:val="none"/>
        </w:rPr>
        <w:t>）具体、明确的质疑事项和与质疑事项相关的请求；</w:t>
      </w:r>
    </w:p>
    <w:p w14:paraId="6456E8B1">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4</w:t>
      </w:r>
      <w:r>
        <w:rPr>
          <w:rFonts w:hint="eastAsia"/>
          <w:i w:val="0"/>
          <w:iCs w:val="0"/>
          <w:color w:val="auto"/>
          <w:highlight w:val="none"/>
        </w:rPr>
        <w:t>）事实依据；</w:t>
      </w:r>
    </w:p>
    <w:p w14:paraId="4D032ABB">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5</w:t>
      </w:r>
      <w:r>
        <w:rPr>
          <w:rFonts w:hint="eastAsia"/>
          <w:i w:val="0"/>
          <w:iCs w:val="0"/>
          <w:color w:val="auto"/>
          <w:highlight w:val="none"/>
        </w:rPr>
        <w:t>）必要的法律依据；</w:t>
      </w:r>
    </w:p>
    <w:p w14:paraId="2E14DE4D">
      <w:pPr>
        <w:pStyle w:val="33"/>
        <w:keepNext w:val="0"/>
        <w:keepLines w:val="0"/>
        <w:pageBreakBefore w:val="0"/>
        <w:widowControl w:val="0"/>
        <w:kinsoku/>
        <w:overflowPunct/>
        <w:topLinePunct w:val="0"/>
        <w:autoSpaceDE/>
        <w:autoSpaceDN/>
        <w:bidi w:val="0"/>
        <w:adjustRightInd/>
        <w:textAlignment w:val="auto"/>
        <w:rPr>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6</w:t>
      </w:r>
      <w:r>
        <w:rPr>
          <w:rFonts w:hint="eastAsia"/>
          <w:i w:val="0"/>
          <w:iCs w:val="0"/>
          <w:color w:val="auto"/>
          <w:highlight w:val="none"/>
        </w:rPr>
        <w:t>）提出质疑的日期。</w:t>
      </w:r>
    </w:p>
    <w:p w14:paraId="553B627B">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供应商为自然人的，应当由本人签字；供应商为法人或者其他组织的，应当由法定代表人、主要负责人，或者其授权代表签字或者盖章，并加盖公章。</w:t>
      </w:r>
    </w:p>
    <w:p w14:paraId="5F1352A8">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i w:val="0"/>
          <w:iCs w:val="0"/>
          <w:color w:val="auto"/>
          <w:highlight w:val="none"/>
        </w:rPr>
        <w:t>3</w:t>
      </w:r>
      <w:r>
        <w:rPr>
          <w:rFonts w:hint="eastAsia"/>
          <w:i w:val="0"/>
          <w:iCs w:val="0"/>
          <w:color w:val="auto"/>
          <w:highlight w:val="none"/>
          <w:lang w:val="en-US" w:eastAsia="zh-CN"/>
        </w:rPr>
        <w:t>3</w:t>
      </w:r>
      <w:r>
        <w:rPr>
          <w:rFonts w:hint="eastAsia"/>
          <w:i w:val="0"/>
          <w:iCs w:val="0"/>
          <w:color w:val="auto"/>
          <w:highlight w:val="none"/>
        </w:rPr>
        <w:t>.5质疑函不符合上述要求的，采购人或代理机构应书面告知具体事项，质疑人应当按要求进行修改或补充，并在质疑有效期限内提交。</w:t>
      </w:r>
    </w:p>
    <w:p w14:paraId="76BD2AC8">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rPr>
      </w:pPr>
      <w:r>
        <w:rPr>
          <w:rFonts w:hint="eastAsia"/>
          <w:i w:val="0"/>
          <w:iCs w:val="0"/>
          <w:snapToGrid w:val="0"/>
          <w:color w:val="auto"/>
          <w:highlight w:val="none"/>
        </w:rPr>
        <w:t>3</w:t>
      </w:r>
      <w:r>
        <w:rPr>
          <w:rFonts w:hint="eastAsia"/>
          <w:i w:val="0"/>
          <w:iCs w:val="0"/>
          <w:snapToGrid w:val="0"/>
          <w:color w:val="auto"/>
          <w:highlight w:val="none"/>
          <w:lang w:val="en-US" w:eastAsia="zh-CN"/>
        </w:rPr>
        <w:t>3</w:t>
      </w:r>
      <w:r>
        <w:rPr>
          <w:rFonts w:hint="eastAsia"/>
          <w:i w:val="0"/>
          <w:iCs w:val="0"/>
          <w:snapToGrid w:val="0"/>
          <w:color w:val="auto"/>
          <w:highlight w:val="none"/>
        </w:rPr>
        <w:t>.</w:t>
      </w:r>
      <w:r>
        <w:rPr>
          <w:rFonts w:hint="eastAsia"/>
          <w:i w:val="0"/>
          <w:iCs w:val="0"/>
          <w:snapToGrid w:val="0"/>
          <w:color w:val="auto"/>
          <w:highlight w:val="none"/>
          <w:lang w:val="en-US" w:eastAsia="zh-CN"/>
        </w:rPr>
        <w:t>6供应商</w:t>
      </w:r>
      <w:r>
        <w:rPr>
          <w:rFonts w:hint="eastAsia"/>
          <w:i w:val="0"/>
          <w:iCs w:val="0"/>
          <w:snapToGrid w:val="0"/>
          <w:color w:val="auto"/>
          <w:highlight w:val="none"/>
        </w:rPr>
        <w:t>进行虚假和恶意</w:t>
      </w:r>
      <w:r>
        <w:rPr>
          <w:rFonts w:hint="eastAsia"/>
          <w:i w:val="0"/>
          <w:iCs w:val="0"/>
          <w:snapToGrid w:val="0"/>
          <w:color w:val="auto"/>
          <w:highlight w:val="none"/>
          <w:lang w:val="en-US" w:eastAsia="zh-CN"/>
        </w:rPr>
        <w:t>质疑投诉</w:t>
      </w:r>
      <w:r>
        <w:rPr>
          <w:rFonts w:hint="eastAsia"/>
          <w:i w:val="0"/>
          <w:iCs w:val="0"/>
          <w:snapToGrid w:val="0"/>
          <w:color w:val="auto"/>
          <w:highlight w:val="none"/>
        </w:rPr>
        <w:t>的，采购代理机构将提请有关部门将其列入不良记录名单，在一至三年内禁止参加政府采购活动，并将处理决定在相关政府采购媒体上公布。</w:t>
      </w:r>
    </w:p>
    <w:p w14:paraId="0077D2B4">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rPr>
      </w:pPr>
      <w:r>
        <w:rPr>
          <w:rFonts w:hint="eastAsia"/>
          <w:i w:val="0"/>
          <w:iCs w:val="0"/>
          <w:snapToGrid w:val="0"/>
          <w:color w:val="auto"/>
          <w:highlight w:val="none"/>
          <w:lang w:val="en-US" w:eastAsia="zh-CN"/>
        </w:rPr>
        <w:t>33.7</w:t>
      </w:r>
      <w:r>
        <w:rPr>
          <w:rFonts w:hint="eastAsia"/>
          <w:i w:val="0"/>
          <w:iCs w:val="0"/>
          <w:color w:val="auto"/>
          <w:highlight w:val="none"/>
        </w:rPr>
        <w:t>质疑函</w:t>
      </w:r>
      <w:r>
        <w:rPr>
          <w:rFonts w:hint="eastAsia"/>
          <w:i w:val="0"/>
          <w:iCs w:val="0"/>
          <w:color w:val="auto"/>
          <w:highlight w:val="none"/>
          <w:lang w:val="en-US" w:eastAsia="zh-CN"/>
        </w:rPr>
        <w:t>应当使用中文，并采用财政部门制定的范本。</w:t>
      </w:r>
    </w:p>
    <w:p w14:paraId="007DBE4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2" w:name="_Toc51674246"/>
      <w:bookmarkStart w:id="363" w:name="_Toc52962762"/>
      <w:bookmarkStart w:id="364" w:name="_Toc109897469"/>
      <w:bookmarkStart w:id="365" w:name="_Toc46771675"/>
      <w:bookmarkStart w:id="366" w:name="_Toc46772276"/>
      <w:bookmarkStart w:id="367" w:name="_Toc109899987"/>
      <w:bookmarkStart w:id="368" w:name="_Toc52960588"/>
      <w:bookmarkStart w:id="369" w:name="_Toc48846144"/>
      <w:bookmarkStart w:id="370" w:name="_Toc109900406"/>
      <w:bookmarkStart w:id="371" w:name="_Toc48688824"/>
      <w:bookmarkStart w:id="372" w:name="_Toc109899568"/>
      <w:r>
        <w:rPr>
          <w:rFonts w:hint="eastAsia" w:ascii="宋体" w:hAnsi="宋体" w:eastAsia="宋体" w:cs="宋体"/>
          <w:b/>
          <w:bCs/>
          <w:color w:val="auto"/>
          <w:kern w:val="2"/>
          <w:sz w:val="24"/>
          <w:szCs w:val="24"/>
          <w:highlight w:val="none"/>
          <w:lang w:val="en-US" w:eastAsia="zh-CN" w:bidi="ar-SA"/>
        </w:rPr>
        <w:t>34.质疑答复</w:t>
      </w:r>
      <w:bookmarkEnd w:id="362"/>
      <w:bookmarkEnd w:id="363"/>
      <w:bookmarkEnd w:id="364"/>
      <w:bookmarkEnd w:id="365"/>
      <w:bookmarkEnd w:id="366"/>
      <w:bookmarkEnd w:id="367"/>
      <w:bookmarkEnd w:id="368"/>
      <w:bookmarkEnd w:id="369"/>
      <w:bookmarkEnd w:id="370"/>
      <w:bookmarkEnd w:id="371"/>
      <w:bookmarkEnd w:id="372"/>
    </w:p>
    <w:p w14:paraId="43D7F91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rPr>
      </w:pPr>
      <w:r>
        <w:rPr>
          <w:i w:val="0"/>
          <w:iCs w:val="0"/>
          <w:snapToGrid w:val="0"/>
          <w:color w:val="auto"/>
          <w:highlight w:val="none"/>
        </w:rPr>
        <w:t>3</w:t>
      </w:r>
      <w:r>
        <w:rPr>
          <w:rFonts w:hint="eastAsia"/>
          <w:i w:val="0"/>
          <w:iCs w:val="0"/>
          <w:snapToGrid w:val="0"/>
          <w:color w:val="auto"/>
          <w:highlight w:val="none"/>
          <w:lang w:val="en-US" w:eastAsia="zh-CN"/>
        </w:rPr>
        <w:t>4</w:t>
      </w:r>
      <w:r>
        <w:rPr>
          <w:rFonts w:hint="eastAsia"/>
          <w:i w:val="0"/>
          <w:iCs w:val="0"/>
          <w:snapToGrid w:val="0"/>
          <w:color w:val="auto"/>
          <w:highlight w:val="none"/>
          <w:lang w:val="zh-CN"/>
        </w:rPr>
        <w:t>.1</w:t>
      </w:r>
      <w:r>
        <w:rPr>
          <w:rFonts w:hint="eastAsia" w:ascii="宋体" w:hAnsi="宋体" w:eastAsia="宋体"/>
          <w:i w:val="0"/>
          <w:iCs w:val="0"/>
          <w:color w:val="auto"/>
          <w:highlight w:val="none"/>
        </w:rPr>
        <w:t>采购人、采购代理机构不得拒收质疑供应商在法定质疑期内发出的质疑函，应当在收到质疑函后7个工作日内作出答复，并以书面形式通知质疑供应商和其他有关供应商。</w:t>
      </w:r>
    </w:p>
    <w:p w14:paraId="6776834F">
      <w:pPr>
        <w:pStyle w:val="33"/>
        <w:keepNext w:val="0"/>
        <w:keepLines w:val="0"/>
        <w:pageBreakBefore w:val="0"/>
        <w:widowControl w:val="0"/>
        <w:kinsoku/>
        <w:overflowPunct/>
        <w:topLinePunct w:val="0"/>
        <w:autoSpaceDE/>
        <w:autoSpaceDN/>
        <w:bidi w:val="0"/>
        <w:adjustRightInd/>
        <w:textAlignment w:val="auto"/>
        <w:rPr>
          <w:rFonts w:hint="default"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34.2供应商对评审过程、成交结果提出质疑的，采购人、采购代理机构可以组织原竞争性磋商小组协助答复质疑。</w:t>
      </w:r>
    </w:p>
    <w:p w14:paraId="14E02AA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质疑答复应当包括下列内容：</w:t>
      </w:r>
    </w:p>
    <w:p w14:paraId="457CAA6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1</w:t>
      </w:r>
      <w:r>
        <w:rPr>
          <w:rFonts w:hint="eastAsia" w:ascii="宋体" w:hAnsi="宋体" w:eastAsia="宋体"/>
          <w:i w:val="0"/>
          <w:iCs w:val="0"/>
          <w:color w:val="auto"/>
          <w:highlight w:val="none"/>
          <w:lang w:val="zh-CN" w:eastAsia="zh-CN"/>
        </w:rPr>
        <w:t>）质疑供应商的姓名或者名称；</w:t>
      </w:r>
    </w:p>
    <w:p w14:paraId="462FCFC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2</w:t>
      </w:r>
      <w:r>
        <w:rPr>
          <w:rFonts w:hint="eastAsia" w:ascii="宋体" w:hAnsi="宋体" w:eastAsia="宋体"/>
          <w:i w:val="0"/>
          <w:iCs w:val="0"/>
          <w:color w:val="auto"/>
          <w:highlight w:val="none"/>
          <w:lang w:val="zh-CN" w:eastAsia="zh-CN"/>
        </w:rPr>
        <w:t>）收到质疑函的日期、质疑项目名称及编号；</w:t>
      </w:r>
    </w:p>
    <w:p w14:paraId="18D7215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3</w:t>
      </w:r>
      <w:r>
        <w:rPr>
          <w:rFonts w:hint="eastAsia" w:ascii="宋体" w:hAnsi="宋体" w:eastAsia="宋体"/>
          <w:i w:val="0"/>
          <w:iCs w:val="0"/>
          <w:color w:val="auto"/>
          <w:highlight w:val="none"/>
          <w:lang w:val="zh-CN" w:eastAsia="zh-CN"/>
        </w:rPr>
        <w:t>）质疑事项、质疑答复的具体内容、事实依据和法律依据；</w:t>
      </w:r>
    </w:p>
    <w:p w14:paraId="416368F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4</w:t>
      </w:r>
      <w:r>
        <w:rPr>
          <w:rFonts w:hint="eastAsia" w:ascii="宋体" w:hAnsi="宋体" w:eastAsia="宋体"/>
          <w:i w:val="0"/>
          <w:iCs w:val="0"/>
          <w:color w:val="auto"/>
          <w:highlight w:val="none"/>
          <w:lang w:val="zh-CN" w:eastAsia="zh-CN"/>
        </w:rPr>
        <w:t>）告知质疑供应商依法投诉的权利；</w:t>
      </w:r>
    </w:p>
    <w:p w14:paraId="36EE796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5</w:t>
      </w:r>
      <w:r>
        <w:rPr>
          <w:rFonts w:hint="eastAsia" w:ascii="宋体" w:hAnsi="宋体" w:eastAsia="宋体"/>
          <w:i w:val="0"/>
          <w:iCs w:val="0"/>
          <w:color w:val="auto"/>
          <w:highlight w:val="none"/>
          <w:lang w:val="zh-CN" w:eastAsia="zh-CN"/>
        </w:rPr>
        <w:t>）质疑答复人名称；</w:t>
      </w:r>
    </w:p>
    <w:p w14:paraId="7E632C0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zh-CN" w:eastAsia="zh-CN"/>
        </w:rPr>
        <w:t>（</w:t>
      </w:r>
      <w:r>
        <w:rPr>
          <w:rFonts w:hint="eastAsia" w:ascii="宋体" w:hAnsi="宋体" w:eastAsia="宋体"/>
          <w:i w:val="0"/>
          <w:iCs w:val="0"/>
          <w:color w:val="auto"/>
          <w:highlight w:val="none"/>
          <w:lang w:val="en-US" w:eastAsia="zh-CN"/>
        </w:rPr>
        <w:t>6</w:t>
      </w:r>
      <w:r>
        <w:rPr>
          <w:rFonts w:hint="eastAsia" w:ascii="宋体" w:hAnsi="宋体" w:eastAsia="宋体"/>
          <w:i w:val="0"/>
          <w:iCs w:val="0"/>
          <w:color w:val="auto"/>
          <w:highlight w:val="none"/>
          <w:lang w:val="zh-CN" w:eastAsia="zh-CN"/>
        </w:rPr>
        <w:t>）答复质疑的日期。</w:t>
      </w:r>
    </w:p>
    <w:p w14:paraId="56A5E1E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i w:val="0"/>
          <w:iCs w:val="0"/>
          <w:color w:val="auto"/>
          <w:highlight w:val="none"/>
          <w:lang w:val="zh-CN" w:eastAsia="zh-CN"/>
        </w:rPr>
      </w:pPr>
      <w:r>
        <w:rPr>
          <w:rFonts w:hint="eastAsia" w:ascii="宋体" w:hAnsi="宋体" w:eastAsia="宋体"/>
          <w:i w:val="0"/>
          <w:iCs w:val="0"/>
          <w:color w:val="auto"/>
          <w:highlight w:val="none"/>
          <w:lang w:val="en-US" w:eastAsia="zh-CN"/>
        </w:rPr>
        <w:t>34.3</w:t>
      </w:r>
      <w:r>
        <w:rPr>
          <w:rFonts w:hint="eastAsia" w:ascii="宋体" w:hAnsi="宋体" w:eastAsia="宋体"/>
          <w:i w:val="0"/>
          <w:iCs w:val="0"/>
          <w:color w:val="auto"/>
          <w:highlight w:val="none"/>
          <w:lang w:val="zh-CN" w:eastAsia="zh-CN"/>
        </w:rPr>
        <w:t>质疑答复的内容不得涉及商业秘密。</w:t>
      </w:r>
    </w:p>
    <w:p w14:paraId="64A43DE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35.投诉</w:t>
      </w:r>
    </w:p>
    <w:p w14:paraId="34C5EAA0">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lang w:val="en-US" w:eastAsia="zh-CN"/>
        </w:rPr>
        <w:t>35.1</w:t>
      </w:r>
      <w:r>
        <w:rPr>
          <w:rFonts w:hint="eastAsia"/>
          <w:i w:val="0"/>
          <w:iCs w:val="0"/>
          <w:color w:val="auto"/>
          <w:highlight w:val="none"/>
        </w:rPr>
        <w:t>质疑供应商对采购人、采购代理机构的答复不满意，或者采购人、采购代理机构未在规定时间内作出答复的，可以在答复期满后15个工作日内向</w:t>
      </w:r>
      <w:r>
        <w:rPr>
          <w:rFonts w:hint="eastAsia"/>
          <w:i w:val="0"/>
          <w:iCs w:val="0"/>
          <w:color w:val="auto"/>
          <w:highlight w:val="none"/>
          <w:lang w:val="en-US" w:eastAsia="zh-CN"/>
        </w:rPr>
        <w:t>同级政府采购监督管理部门</w:t>
      </w:r>
      <w:r>
        <w:rPr>
          <w:rFonts w:hint="eastAsia"/>
          <w:i w:val="0"/>
          <w:iCs w:val="0"/>
          <w:color w:val="auto"/>
          <w:highlight w:val="none"/>
        </w:rPr>
        <w:t>提起投诉。</w:t>
      </w:r>
    </w:p>
    <w:p w14:paraId="7AE3C0F6">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lang w:val="en-US" w:eastAsia="zh-CN"/>
        </w:rPr>
        <w:t>35.2</w:t>
      </w:r>
      <w:r>
        <w:rPr>
          <w:rFonts w:hint="eastAsia"/>
          <w:i w:val="0"/>
          <w:iCs w:val="0"/>
          <w:color w:val="auto"/>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49546547">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1</w:t>
      </w:r>
      <w:r>
        <w:rPr>
          <w:rFonts w:hint="eastAsia"/>
          <w:i w:val="0"/>
          <w:iCs w:val="0"/>
          <w:color w:val="auto"/>
          <w:highlight w:val="none"/>
        </w:rPr>
        <w:t>）投诉人和被投诉人的姓名或者名称、通讯地址、邮编、联系人及联系电话；</w:t>
      </w:r>
    </w:p>
    <w:p w14:paraId="1A65A103">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2</w:t>
      </w:r>
      <w:r>
        <w:rPr>
          <w:rFonts w:hint="eastAsia"/>
          <w:i w:val="0"/>
          <w:iCs w:val="0"/>
          <w:color w:val="auto"/>
          <w:highlight w:val="none"/>
        </w:rPr>
        <w:t>）质疑和质疑答复情况说明及相关证明材料；</w:t>
      </w:r>
    </w:p>
    <w:p w14:paraId="675A6D97">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3</w:t>
      </w:r>
      <w:r>
        <w:rPr>
          <w:rFonts w:hint="eastAsia"/>
          <w:i w:val="0"/>
          <w:iCs w:val="0"/>
          <w:color w:val="auto"/>
          <w:highlight w:val="none"/>
        </w:rPr>
        <w:t>）具体、明确的投诉事项和与投诉事项相关的投诉请求；</w:t>
      </w:r>
    </w:p>
    <w:p w14:paraId="4A0C1598">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4</w:t>
      </w:r>
      <w:r>
        <w:rPr>
          <w:rFonts w:hint="eastAsia"/>
          <w:i w:val="0"/>
          <w:iCs w:val="0"/>
          <w:color w:val="auto"/>
          <w:highlight w:val="none"/>
        </w:rPr>
        <w:t>）事实依据；</w:t>
      </w:r>
    </w:p>
    <w:p w14:paraId="4CFD3E01">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5</w:t>
      </w:r>
      <w:r>
        <w:rPr>
          <w:rFonts w:hint="eastAsia"/>
          <w:i w:val="0"/>
          <w:iCs w:val="0"/>
          <w:color w:val="auto"/>
          <w:highlight w:val="none"/>
        </w:rPr>
        <w:t>）法律依据；</w:t>
      </w:r>
    </w:p>
    <w:p w14:paraId="35FA6A4A">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w:t>
      </w:r>
      <w:r>
        <w:rPr>
          <w:rFonts w:hint="eastAsia"/>
          <w:i w:val="0"/>
          <w:iCs w:val="0"/>
          <w:color w:val="auto"/>
          <w:highlight w:val="none"/>
          <w:lang w:val="en-US" w:eastAsia="zh-CN"/>
        </w:rPr>
        <w:t>6</w:t>
      </w:r>
      <w:r>
        <w:rPr>
          <w:rFonts w:hint="eastAsia"/>
          <w:i w:val="0"/>
          <w:iCs w:val="0"/>
          <w:color w:val="auto"/>
          <w:highlight w:val="none"/>
        </w:rPr>
        <w:t>）提起投诉的日期。</w:t>
      </w:r>
    </w:p>
    <w:p w14:paraId="4FC7C3AB">
      <w:pPr>
        <w:pStyle w:val="33"/>
        <w:keepNext w:val="0"/>
        <w:keepLines w:val="0"/>
        <w:pageBreakBefore w:val="0"/>
        <w:widowControl w:val="0"/>
        <w:kinsoku/>
        <w:overflowPunct/>
        <w:topLinePunct w:val="0"/>
        <w:autoSpaceDE/>
        <w:autoSpaceDN/>
        <w:bidi w:val="0"/>
        <w:adjustRightInd/>
        <w:textAlignment w:val="auto"/>
        <w:rPr>
          <w:rFonts w:hint="eastAsia"/>
          <w:i w:val="0"/>
          <w:iCs w:val="0"/>
          <w:color w:val="auto"/>
          <w:highlight w:val="none"/>
        </w:rPr>
      </w:pPr>
      <w:r>
        <w:rPr>
          <w:rFonts w:hint="eastAsia"/>
          <w:i w:val="0"/>
          <w:iCs w:val="0"/>
          <w:color w:val="auto"/>
          <w:highlight w:val="none"/>
        </w:rPr>
        <w:t>投诉人为自然人的，应当由本人签字；投诉人为法人或者其他组织的，应当由法定代表人、主要负责人，或者其授权代表签字或者盖章，并加盖公章。</w:t>
      </w:r>
    </w:p>
    <w:p w14:paraId="4DF335BD">
      <w:pPr>
        <w:pStyle w:val="33"/>
        <w:keepNext w:val="0"/>
        <w:keepLines w:val="0"/>
        <w:pageBreakBefore w:val="0"/>
        <w:widowControl w:val="0"/>
        <w:kinsoku/>
        <w:overflowPunct/>
        <w:topLinePunct w:val="0"/>
        <w:autoSpaceDE/>
        <w:autoSpaceDN/>
        <w:bidi w:val="0"/>
        <w:adjustRightInd/>
        <w:textAlignment w:val="auto"/>
        <w:rPr>
          <w:rFonts w:hint="eastAsia"/>
          <w:bCs/>
          <w:i w:val="0"/>
          <w:iCs w:val="0"/>
          <w:color w:val="auto"/>
          <w:highlight w:val="none"/>
        </w:rPr>
      </w:pPr>
      <w:r>
        <w:rPr>
          <w:rFonts w:hint="eastAsia"/>
          <w:i w:val="0"/>
          <w:iCs w:val="0"/>
          <w:color w:val="auto"/>
          <w:highlight w:val="none"/>
          <w:lang w:val="en-US" w:eastAsia="zh-CN"/>
        </w:rPr>
        <w:t>35.3</w:t>
      </w:r>
      <w:r>
        <w:rPr>
          <w:rFonts w:hint="eastAsia"/>
          <w:i w:val="0"/>
          <w:iCs w:val="0"/>
          <w:color w:val="auto"/>
          <w:highlight w:val="none"/>
        </w:rPr>
        <w:t>供应商</w:t>
      </w:r>
      <w:r>
        <w:rPr>
          <w:rFonts w:hint="eastAsia"/>
          <w:i w:val="0"/>
          <w:iCs w:val="0"/>
          <w:color w:val="auto"/>
          <w:highlight w:val="none"/>
          <w:lang w:val="en-US" w:eastAsia="zh-CN"/>
        </w:rPr>
        <w:t>质疑、</w:t>
      </w:r>
      <w:r>
        <w:rPr>
          <w:rFonts w:hint="eastAsia"/>
          <w:i w:val="0"/>
          <w:iCs w:val="0"/>
          <w:color w:val="auto"/>
          <w:highlight w:val="none"/>
        </w:rPr>
        <w:t>投诉</w:t>
      </w:r>
      <w:r>
        <w:rPr>
          <w:rFonts w:hint="eastAsia"/>
          <w:i w:val="0"/>
          <w:iCs w:val="0"/>
          <w:color w:val="auto"/>
          <w:highlight w:val="none"/>
          <w:lang w:val="en-US" w:eastAsia="zh-CN"/>
        </w:rPr>
        <w:t>应当有明确的请求和必要的证明材料</w:t>
      </w:r>
      <w:r>
        <w:rPr>
          <w:rFonts w:hint="eastAsia"/>
          <w:i w:val="0"/>
          <w:iCs w:val="0"/>
          <w:color w:val="auto"/>
          <w:highlight w:val="none"/>
          <w:lang w:eastAsia="zh-CN"/>
        </w:rPr>
        <w:t>。</w:t>
      </w:r>
      <w:r>
        <w:rPr>
          <w:rFonts w:hint="eastAsia"/>
          <w:i w:val="0"/>
          <w:iCs w:val="0"/>
          <w:color w:val="auto"/>
          <w:highlight w:val="none"/>
        </w:rPr>
        <w:t>供应商投诉的事项不得超出</w:t>
      </w:r>
      <w:r>
        <w:rPr>
          <w:rFonts w:hint="eastAsia"/>
          <w:i w:val="0"/>
          <w:iCs w:val="0"/>
          <w:color w:val="auto"/>
          <w:highlight w:val="none"/>
          <w:lang w:val="en-US" w:eastAsia="zh-CN"/>
        </w:rPr>
        <w:t>已</w:t>
      </w:r>
      <w:r>
        <w:rPr>
          <w:rFonts w:hint="eastAsia"/>
          <w:i w:val="0"/>
          <w:iCs w:val="0"/>
          <w:color w:val="auto"/>
          <w:highlight w:val="none"/>
        </w:rPr>
        <w:t>质疑事项的范围，但基于质疑答复内容提出的投诉事项除外</w:t>
      </w:r>
      <w:r>
        <w:rPr>
          <w:rFonts w:hint="eastAsia"/>
          <w:bCs/>
          <w:i w:val="0"/>
          <w:iCs w:val="0"/>
          <w:color w:val="auto"/>
          <w:highlight w:val="none"/>
        </w:rPr>
        <w:t>。</w:t>
      </w:r>
    </w:p>
    <w:p w14:paraId="6BEA34E3">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rFonts w:hint="eastAsia"/>
          <w:i w:val="0"/>
          <w:iCs w:val="0"/>
          <w:snapToGrid w:val="0"/>
          <w:color w:val="auto"/>
          <w:highlight w:val="none"/>
          <w:lang w:val="en-US" w:eastAsia="zh-CN"/>
        </w:rPr>
        <w:t>35.4</w:t>
      </w:r>
      <w:r>
        <w:rPr>
          <w:rFonts w:hint="eastAsia"/>
          <w:i w:val="0"/>
          <w:iCs w:val="0"/>
          <w:color w:val="auto"/>
          <w:highlight w:val="none"/>
          <w:lang w:val="en-US" w:eastAsia="zh-CN"/>
        </w:rPr>
        <w:t>投诉书应当使用中文，并采用财政部门制定的范本。</w:t>
      </w:r>
    </w:p>
    <w:bookmarkEnd w:id="106"/>
    <w:bookmarkEnd w:id="350"/>
    <w:p w14:paraId="072EB102">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73" w:name="_Toc163493619"/>
      <w:bookmarkStart w:id="374" w:name="_Toc12500"/>
      <w:bookmarkStart w:id="375" w:name="_Toc109899570"/>
      <w:bookmarkStart w:id="376" w:name="_Toc109900408"/>
      <w:bookmarkStart w:id="377" w:name="_Hlk60570485"/>
      <w:bookmarkStart w:id="378" w:name="_Toc109899989"/>
      <w:bookmarkStart w:id="379" w:name="_Toc109897471"/>
      <w:r>
        <w:rPr>
          <w:rFonts w:hint="eastAsia" w:ascii="宋体" w:hAnsi="宋体" w:eastAsia="宋体" w:cs="宋体"/>
          <w:b/>
          <w:bCs/>
          <w:color w:val="auto"/>
          <w:kern w:val="2"/>
          <w:sz w:val="24"/>
          <w:szCs w:val="24"/>
          <w:highlight w:val="none"/>
          <w:lang w:val="en-US" w:eastAsia="zh-CN" w:bidi="ar-SA"/>
        </w:rPr>
        <w:t>（十一）采购代理服务费</w:t>
      </w:r>
      <w:bookmarkEnd w:id="373"/>
      <w:bookmarkEnd w:id="374"/>
    </w:p>
    <w:p w14:paraId="3283230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36.收取方式和标准</w:t>
      </w:r>
    </w:p>
    <w:p w14:paraId="0F0CA960">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bCs/>
          <w:i w:val="0"/>
          <w:iCs w:val="0"/>
          <w:color w:val="auto"/>
          <w:highlight w:val="none"/>
        </w:rPr>
        <w:t>3</w:t>
      </w:r>
      <w:r>
        <w:rPr>
          <w:rFonts w:hint="eastAsia"/>
          <w:bCs/>
          <w:i w:val="0"/>
          <w:iCs w:val="0"/>
          <w:color w:val="auto"/>
          <w:highlight w:val="none"/>
          <w:lang w:val="en-US" w:eastAsia="zh-CN"/>
        </w:rPr>
        <w:t>6</w:t>
      </w:r>
      <w:r>
        <w:rPr>
          <w:rFonts w:hint="eastAsia"/>
          <w:i w:val="0"/>
          <w:iCs w:val="0"/>
          <w:color w:val="auto"/>
          <w:highlight w:val="none"/>
        </w:rPr>
        <w:t>.1采购代理机构按“供应商须知前附表”规定的方式和标准收取采购代理服务费。</w:t>
      </w:r>
    </w:p>
    <w:p w14:paraId="5E6F961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0" w:name="_Toc20778"/>
      <w:bookmarkStart w:id="381" w:name="_Toc163493620"/>
      <w:r>
        <w:rPr>
          <w:rFonts w:hint="eastAsia" w:ascii="宋体" w:hAnsi="宋体" w:eastAsia="宋体" w:cs="宋体"/>
          <w:b/>
          <w:bCs/>
          <w:color w:val="auto"/>
          <w:kern w:val="2"/>
          <w:sz w:val="24"/>
          <w:szCs w:val="24"/>
          <w:highlight w:val="none"/>
          <w:lang w:val="en-US" w:eastAsia="zh-CN" w:bidi="ar-SA"/>
        </w:rPr>
        <w:t>（十二）无效响应和终止采购活动</w:t>
      </w:r>
      <w:bookmarkEnd w:id="380"/>
      <w:bookmarkEnd w:id="381"/>
    </w:p>
    <w:p w14:paraId="02780A3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2" w:name="_Toc161600338"/>
      <w:bookmarkStart w:id="383" w:name="_Toc140132806"/>
      <w:r>
        <w:rPr>
          <w:rFonts w:hint="eastAsia" w:ascii="宋体" w:hAnsi="宋体" w:eastAsia="宋体" w:cs="宋体"/>
          <w:b/>
          <w:bCs/>
          <w:color w:val="auto"/>
          <w:kern w:val="2"/>
          <w:sz w:val="24"/>
          <w:szCs w:val="24"/>
          <w:highlight w:val="none"/>
          <w:lang w:val="en-US" w:eastAsia="zh-CN" w:bidi="ar-SA"/>
        </w:rPr>
        <w:t>37.无效</w:t>
      </w:r>
      <w:bookmarkEnd w:id="382"/>
      <w:bookmarkEnd w:id="383"/>
      <w:r>
        <w:rPr>
          <w:rFonts w:hint="eastAsia" w:ascii="宋体" w:hAnsi="宋体" w:eastAsia="宋体" w:cs="宋体"/>
          <w:b/>
          <w:bCs/>
          <w:color w:val="auto"/>
          <w:kern w:val="2"/>
          <w:sz w:val="24"/>
          <w:szCs w:val="24"/>
          <w:highlight w:val="none"/>
          <w:lang w:val="en-US" w:eastAsia="zh-CN" w:bidi="ar-SA"/>
        </w:rPr>
        <w:t>响应</w:t>
      </w:r>
    </w:p>
    <w:p w14:paraId="132D1B41">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3</w:t>
      </w:r>
      <w:r>
        <w:rPr>
          <w:rFonts w:hint="eastAsia"/>
          <w:i w:val="0"/>
          <w:iCs w:val="0"/>
          <w:color w:val="auto"/>
          <w:highlight w:val="none"/>
          <w:lang w:val="en-US" w:eastAsia="zh-CN"/>
        </w:rPr>
        <w:t>7</w:t>
      </w:r>
      <w:r>
        <w:rPr>
          <w:rFonts w:hint="eastAsia"/>
          <w:i w:val="0"/>
          <w:iCs w:val="0"/>
          <w:color w:val="auto"/>
          <w:highlight w:val="none"/>
        </w:rPr>
        <w:t>.1响应文件存在“第</w:t>
      </w:r>
      <w:r>
        <w:rPr>
          <w:rFonts w:hint="eastAsia"/>
          <w:i w:val="0"/>
          <w:iCs w:val="0"/>
          <w:color w:val="auto"/>
          <w:highlight w:val="none"/>
          <w:lang w:val="en-US" w:eastAsia="zh-CN"/>
        </w:rPr>
        <w:t>四</w:t>
      </w:r>
      <w:r>
        <w:rPr>
          <w:rFonts w:hint="eastAsia"/>
          <w:i w:val="0"/>
          <w:iCs w:val="0"/>
          <w:color w:val="auto"/>
          <w:highlight w:val="none"/>
        </w:rPr>
        <w:t>章</w:t>
      </w:r>
      <w:r>
        <w:rPr>
          <w:rFonts w:hint="eastAsia"/>
          <w:i w:val="0"/>
          <w:iCs w:val="0"/>
          <w:color w:val="auto"/>
          <w:highlight w:val="none"/>
          <w:lang w:val="en-US" w:eastAsia="zh-CN"/>
        </w:rPr>
        <w:t xml:space="preserve"> </w:t>
      </w:r>
      <w:r>
        <w:rPr>
          <w:rFonts w:hint="eastAsia"/>
          <w:i w:val="0"/>
          <w:iCs w:val="0"/>
          <w:color w:val="auto"/>
          <w:highlight w:val="none"/>
        </w:rPr>
        <w:t>评审方法及标准”规定的</w:t>
      </w:r>
      <w:r>
        <w:rPr>
          <w:rFonts w:hint="eastAsia"/>
          <w:b/>
          <w:bCs/>
          <w:i w:val="0"/>
          <w:iCs w:val="0"/>
          <w:color w:val="auto"/>
          <w:highlight w:val="none"/>
        </w:rPr>
        <w:t>响应无效</w:t>
      </w:r>
      <w:r>
        <w:rPr>
          <w:rFonts w:hint="eastAsia"/>
          <w:i w:val="0"/>
          <w:iCs w:val="0"/>
          <w:color w:val="auto"/>
          <w:highlight w:val="none"/>
        </w:rPr>
        <w:t>情形的，做</w:t>
      </w:r>
      <w:r>
        <w:rPr>
          <w:rFonts w:hint="eastAsia"/>
          <w:b/>
          <w:bCs/>
          <w:i w:val="0"/>
          <w:iCs w:val="0"/>
          <w:color w:val="auto"/>
          <w:highlight w:val="none"/>
        </w:rPr>
        <w:t>无效响应</w:t>
      </w:r>
      <w:r>
        <w:rPr>
          <w:rFonts w:hint="eastAsia"/>
          <w:i w:val="0"/>
          <w:iCs w:val="0"/>
          <w:color w:val="auto"/>
          <w:highlight w:val="none"/>
        </w:rPr>
        <w:t>处理。</w:t>
      </w:r>
    </w:p>
    <w:p w14:paraId="631C56D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38.终止采购活动</w:t>
      </w:r>
    </w:p>
    <w:p w14:paraId="65CAB1F7">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lang w:val="en-US" w:eastAsia="zh-CN"/>
        </w:rPr>
        <w:t>38</w:t>
      </w:r>
      <w:r>
        <w:rPr>
          <w:rFonts w:hint="eastAsia"/>
          <w:i w:val="0"/>
          <w:iCs w:val="0"/>
          <w:color w:val="auto"/>
          <w:highlight w:val="none"/>
        </w:rPr>
        <w:t>.1出现下列情形之一的，应当终止竞争性磋商采购活动，发布项目终止公告并说明原因，重新开展采购活动：</w:t>
      </w:r>
    </w:p>
    <w:p w14:paraId="3F03AB90">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（1）因情况变化，不再符合规定的竞争性磋商采购方式适用情形的；</w:t>
      </w:r>
    </w:p>
    <w:p w14:paraId="34F0BDE0">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（2）出现影响采购公正的违法、违规行为的；</w:t>
      </w:r>
    </w:p>
    <w:p w14:paraId="3EDE2978">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rFonts w:hint="eastAsia"/>
          <w:i w:val="0"/>
          <w:iCs w:val="0"/>
          <w:color w:val="auto"/>
          <w:highlight w:val="none"/>
        </w:rPr>
        <w:t>（3）在采购过程中符合要求的供应商或者报价未超过采购预算的供应商不足</w:t>
      </w:r>
      <w:r>
        <w:rPr>
          <w:i w:val="0"/>
          <w:iCs w:val="0"/>
          <w:color w:val="auto"/>
          <w:highlight w:val="none"/>
        </w:rPr>
        <w:t>3家的（市场竞争不充分的科研项目、需要扶持的科技成果转化项目以及政府购买服务项目&lt;含政府和社会资本合作项目&gt;）的</w:t>
      </w:r>
      <w:r>
        <w:rPr>
          <w:rFonts w:hint="eastAsia"/>
          <w:i w:val="0"/>
          <w:iCs w:val="0"/>
          <w:color w:val="auto"/>
          <w:highlight w:val="none"/>
        </w:rPr>
        <w:t>提交最后报价的供应商</w:t>
      </w:r>
      <w:r>
        <w:rPr>
          <w:i w:val="0"/>
          <w:iCs w:val="0"/>
          <w:color w:val="auto"/>
          <w:highlight w:val="none"/>
        </w:rPr>
        <w:t>可以为2家）</w:t>
      </w:r>
      <w:r>
        <w:rPr>
          <w:rFonts w:hint="eastAsia"/>
          <w:i w:val="0"/>
          <w:iCs w:val="0"/>
          <w:color w:val="auto"/>
          <w:highlight w:val="none"/>
        </w:rPr>
        <w:t>。</w:t>
      </w:r>
    </w:p>
    <w:p w14:paraId="62A80F80">
      <w:pPr>
        <w:pStyle w:val="33"/>
        <w:keepNext w:val="0"/>
        <w:keepLines w:val="0"/>
        <w:pageBreakBefore w:val="0"/>
        <w:widowControl w:val="0"/>
        <w:kinsoku/>
        <w:overflowPunct/>
        <w:topLinePunct w:val="0"/>
        <w:bidi w:val="0"/>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38.2在采购活动中因重大变故，采购任务取消的，采购人或者采购代理机构应当终止采购活动，通知所有参加采购活动的供应商，并将项目实施情况和采购任务取消原因报送本级财政部门。</w:t>
      </w:r>
    </w:p>
    <w:p w14:paraId="35C9F5A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4" w:name="_Toc163493621"/>
      <w:bookmarkStart w:id="385" w:name="_Toc161600340"/>
      <w:bookmarkStart w:id="386" w:name="_Toc140132766"/>
      <w:bookmarkStart w:id="387" w:name="_Toc24906"/>
      <w:r>
        <w:rPr>
          <w:rFonts w:hint="eastAsia" w:ascii="宋体" w:hAnsi="宋体" w:eastAsia="宋体" w:cs="宋体"/>
          <w:b/>
          <w:bCs/>
          <w:color w:val="auto"/>
          <w:kern w:val="2"/>
          <w:sz w:val="24"/>
          <w:szCs w:val="24"/>
          <w:highlight w:val="none"/>
          <w:lang w:val="en-US" w:eastAsia="zh-CN" w:bidi="ar-SA"/>
        </w:rPr>
        <w:t>（十三）落实政府采购政策</w:t>
      </w:r>
      <w:bookmarkEnd w:id="384"/>
      <w:bookmarkEnd w:id="385"/>
      <w:bookmarkEnd w:id="386"/>
      <w:r>
        <w:rPr>
          <w:rFonts w:hint="eastAsia" w:ascii="宋体" w:hAnsi="宋体" w:eastAsia="宋体" w:cs="宋体"/>
          <w:b/>
          <w:bCs/>
          <w:color w:val="auto"/>
          <w:kern w:val="2"/>
          <w:sz w:val="24"/>
          <w:szCs w:val="24"/>
          <w:highlight w:val="none"/>
          <w:lang w:val="en-US" w:eastAsia="zh-CN" w:bidi="ar-SA"/>
        </w:rPr>
        <w:t>（包括但不限于下列具体政策要求）</w:t>
      </w:r>
      <w:bookmarkEnd w:id="387"/>
    </w:p>
    <w:p w14:paraId="1F7E860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8" w:name="_Toc161600342"/>
      <w:r>
        <w:rPr>
          <w:rFonts w:hint="eastAsia" w:ascii="宋体" w:hAnsi="宋体" w:eastAsia="宋体" w:cs="宋体"/>
          <w:b/>
          <w:bCs/>
          <w:color w:val="auto"/>
          <w:kern w:val="2"/>
          <w:sz w:val="24"/>
          <w:szCs w:val="24"/>
          <w:highlight w:val="none"/>
          <w:lang w:val="en-US" w:eastAsia="zh-CN" w:bidi="ar-SA"/>
        </w:rPr>
        <w:t>39.中小企业、监狱企业及残疾人福利性单位</w:t>
      </w:r>
      <w:bookmarkEnd w:id="388"/>
    </w:p>
    <w:p w14:paraId="35BD2DE5">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eastAsia"/>
          <w:i w:val="0"/>
          <w:iCs w:val="0"/>
          <w:snapToGrid w:val="0"/>
          <w:color w:val="auto"/>
          <w:highlight w:val="none"/>
        </w:rPr>
        <w:t>.1</w:t>
      </w:r>
      <w:r>
        <w:rPr>
          <w:rFonts w:hint="eastAsia"/>
          <w:i w:val="0"/>
          <w:iCs w:val="0"/>
          <w:snapToGrid w:val="0"/>
          <w:color w:val="auto"/>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w:t>
      </w:r>
      <w:r>
        <w:rPr>
          <w:rFonts w:hint="default"/>
          <w:i w:val="0"/>
          <w:iCs w:val="0"/>
          <w:snapToGrid w:val="0"/>
          <w:color w:val="auto"/>
          <w:highlight w:val="none"/>
          <w:lang w:val="en-US" w:eastAsia="zh-CN"/>
        </w:rPr>
        <w:t>2022</w:t>
      </w:r>
      <w:r>
        <w:rPr>
          <w:rFonts w:hint="eastAsia"/>
          <w:i w:val="0"/>
          <w:iCs w:val="0"/>
          <w:snapToGrid w:val="0"/>
          <w:color w:val="auto"/>
          <w:highlight w:val="none"/>
          <w:lang w:val="en-US" w:eastAsia="zh-CN"/>
        </w:rPr>
        <w:t>〕</w:t>
      </w:r>
      <w:r>
        <w:rPr>
          <w:rFonts w:hint="default"/>
          <w:i w:val="0"/>
          <w:iCs w:val="0"/>
          <w:snapToGrid w:val="0"/>
          <w:color w:val="auto"/>
          <w:highlight w:val="none"/>
          <w:lang w:val="en-US" w:eastAsia="zh-CN"/>
        </w:rPr>
        <w:t xml:space="preserve">19 </w:t>
      </w:r>
      <w:r>
        <w:rPr>
          <w:rFonts w:hint="eastAsia"/>
          <w:i w:val="0"/>
          <w:iCs w:val="0"/>
          <w:snapToGrid w:val="0"/>
          <w:color w:val="auto"/>
          <w:highlight w:val="none"/>
          <w:lang w:val="en-US" w:eastAsia="zh-CN"/>
        </w:rPr>
        <w:t>号）、《政府采购促进中小企业发展管理办法》（财库〔</w:t>
      </w:r>
      <w:r>
        <w:rPr>
          <w:rFonts w:hint="default"/>
          <w:i w:val="0"/>
          <w:iCs w:val="0"/>
          <w:snapToGrid w:val="0"/>
          <w:color w:val="auto"/>
          <w:highlight w:val="none"/>
          <w:lang w:val="en-US" w:eastAsia="zh-CN"/>
        </w:rPr>
        <w:t>2020</w:t>
      </w:r>
      <w:r>
        <w:rPr>
          <w:rFonts w:hint="eastAsia"/>
          <w:i w:val="0"/>
          <w:iCs w:val="0"/>
          <w:snapToGrid w:val="0"/>
          <w:color w:val="auto"/>
          <w:highlight w:val="none"/>
          <w:lang w:val="en-US" w:eastAsia="zh-CN"/>
        </w:rPr>
        <w:t>〕</w:t>
      </w:r>
      <w:r>
        <w:rPr>
          <w:rFonts w:hint="default"/>
          <w:i w:val="0"/>
          <w:iCs w:val="0"/>
          <w:snapToGrid w:val="0"/>
          <w:color w:val="auto"/>
          <w:highlight w:val="none"/>
          <w:lang w:val="en-US" w:eastAsia="zh-CN"/>
        </w:rPr>
        <w:t xml:space="preserve">46 </w:t>
      </w:r>
      <w:r>
        <w:rPr>
          <w:rFonts w:hint="eastAsia"/>
          <w:i w:val="0"/>
          <w:iCs w:val="0"/>
          <w:snapToGrid w:val="0"/>
          <w:color w:val="auto"/>
          <w:highlight w:val="none"/>
          <w:lang w:val="en-US" w:eastAsia="zh-CN"/>
        </w:rPr>
        <w:t>号）、《关于印发中小企业划型标准规定的通知》（工信部联企业〔</w:t>
      </w:r>
      <w:r>
        <w:rPr>
          <w:rFonts w:hint="default"/>
          <w:i w:val="0"/>
          <w:iCs w:val="0"/>
          <w:snapToGrid w:val="0"/>
          <w:color w:val="auto"/>
          <w:highlight w:val="none"/>
          <w:lang w:val="en-US" w:eastAsia="zh-CN"/>
        </w:rPr>
        <w:t>2011</w:t>
      </w:r>
      <w:r>
        <w:rPr>
          <w:rFonts w:hint="eastAsia"/>
          <w:i w:val="0"/>
          <w:iCs w:val="0"/>
          <w:snapToGrid w:val="0"/>
          <w:color w:val="auto"/>
          <w:highlight w:val="none"/>
          <w:lang w:val="en-US" w:eastAsia="zh-CN"/>
        </w:rPr>
        <w:t>〕</w:t>
      </w:r>
      <w:r>
        <w:rPr>
          <w:rFonts w:hint="default"/>
          <w:i w:val="0"/>
          <w:iCs w:val="0"/>
          <w:snapToGrid w:val="0"/>
          <w:color w:val="auto"/>
          <w:highlight w:val="none"/>
          <w:lang w:val="en-US" w:eastAsia="zh-CN"/>
        </w:rPr>
        <w:t xml:space="preserve">300 </w:t>
      </w:r>
      <w:r>
        <w:rPr>
          <w:rFonts w:hint="eastAsia"/>
          <w:i w:val="0"/>
          <w:iCs w:val="0"/>
          <w:snapToGrid w:val="0"/>
          <w:color w:val="auto"/>
          <w:highlight w:val="none"/>
          <w:lang w:val="en-US" w:eastAsia="zh-CN"/>
        </w:rPr>
        <w:t xml:space="preserve">号）、《金融业企业划型标准规定》（〔2015〕309 号）等国务院批准的中小企业划分标准执行。 </w:t>
      </w:r>
    </w:p>
    <w:p w14:paraId="6EB577E7">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eastAsia="zh-CN"/>
        </w:rPr>
      </w:pPr>
      <w:r>
        <w:rPr>
          <w:rFonts w:hint="eastAsia"/>
          <w:i w:val="0"/>
          <w:iCs w:val="0"/>
          <w:snapToGrid w:val="0"/>
          <w:color w:val="auto"/>
          <w:highlight w:val="none"/>
          <w:lang w:val="en-US" w:eastAsia="zh-CN"/>
        </w:rPr>
        <w:t>39</w:t>
      </w:r>
      <w:r>
        <w:rPr>
          <w:rFonts w:hint="eastAsia"/>
          <w:i w:val="0"/>
          <w:iCs w:val="0"/>
          <w:snapToGrid w:val="0"/>
          <w:color w:val="auto"/>
          <w:highlight w:val="none"/>
        </w:rPr>
        <w:t>.</w:t>
      </w:r>
      <w:r>
        <w:rPr>
          <w:rFonts w:hint="eastAsia"/>
          <w:i w:val="0"/>
          <w:iCs w:val="0"/>
          <w:snapToGrid w:val="0"/>
          <w:color w:val="auto"/>
          <w:highlight w:val="none"/>
          <w:lang w:val="en-US" w:eastAsia="zh-CN"/>
        </w:rPr>
        <w:t>2</w:t>
      </w:r>
      <w:r>
        <w:rPr>
          <w:rFonts w:hint="eastAsia"/>
          <w:i w:val="0"/>
          <w:iCs w:val="0"/>
          <w:snapToGrid w:val="0"/>
          <w:color w:val="auto"/>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i w:val="0"/>
          <w:iCs w:val="0"/>
          <w:snapToGrid w:val="0"/>
          <w:color w:val="auto"/>
          <w:highlight w:val="none"/>
          <w:lang w:eastAsia="zh-CN"/>
        </w:rPr>
        <w:t>需享受中小企业相关政策的，且</w:t>
      </w:r>
      <w:r>
        <w:rPr>
          <w:rFonts w:hint="eastAsia"/>
          <w:i w:val="0"/>
          <w:iCs w:val="0"/>
          <w:snapToGrid w:val="0"/>
          <w:color w:val="auto"/>
          <w:highlight w:val="none"/>
        </w:rPr>
        <w:t>符合上述文件规定的，</w:t>
      </w:r>
      <w:r>
        <w:rPr>
          <w:rFonts w:hint="eastAsia"/>
          <w:i w:val="0"/>
          <w:iCs w:val="0"/>
          <w:snapToGrid w:val="0"/>
          <w:color w:val="auto"/>
          <w:highlight w:val="none"/>
          <w:lang w:eastAsia="zh-CN"/>
        </w:rPr>
        <w:t>应按本磋商文件规定格式</w:t>
      </w:r>
      <w:r>
        <w:rPr>
          <w:rFonts w:hint="eastAsia"/>
          <w:i w:val="0"/>
          <w:iCs w:val="0"/>
          <w:snapToGrid w:val="0"/>
          <w:color w:val="auto"/>
          <w:highlight w:val="none"/>
        </w:rPr>
        <w:t>提供</w:t>
      </w:r>
      <w:r>
        <w:rPr>
          <w:rFonts w:hint="eastAsia"/>
          <w:i w:val="0"/>
          <w:iCs w:val="0"/>
          <w:snapToGrid w:val="0"/>
          <w:color w:val="auto"/>
          <w:highlight w:val="none"/>
          <w:lang w:eastAsia="zh-CN"/>
        </w:rPr>
        <w:t>“</w:t>
      </w:r>
      <w:r>
        <w:rPr>
          <w:rFonts w:hint="eastAsia"/>
          <w:i w:val="0"/>
          <w:iCs w:val="0"/>
          <w:snapToGrid w:val="0"/>
          <w:color w:val="auto"/>
          <w:highlight w:val="none"/>
        </w:rPr>
        <w:t>中小企业声明函</w:t>
      </w:r>
      <w:r>
        <w:rPr>
          <w:rFonts w:hint="eastAsia"/>
          <w:i w:val="0"/>
          <w:iCs w:val="0"/>
          <w:snapToGrid w:val="0"/>
          <w:color w:val="auto"/>
          <w:highlight w:val="none"/>
          <w:lang w:eastAsia="zh-CN"/>
        </w:rPr>
        <w:t>”</w:t>
      </w:r>
      <w:r>
        <w:rPr>
          <w:rFonts w:hint="eastAsia"/>
          <w:i w:val="0"/>
          <w:iCs w:val="0"/>
          <w:snapToGrid w:val="0"/>
          <w:color w:val="auto"/>
          <w:highlight w:val="none"/>
          <w:lang w:val="en-US" w:eastAsia="zh-CN"/>
        </w:rPr>
        <w:t>或“</w:t>
      </w:r>
      <w:r>
        <w:rPr>
          <w:rFonts w:hint="eastAsia"/>
          <w:i w:val="0"/>
          <w:iCs w:val="0"/>
          <w:snapToGrid w:val="0"/>
          <w:color w:val="auto"/>
          <w:highlight w:val="none"/>
        </w:rPr>
        <w:t>监狱企业证明文件</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或</w:t>
      </w:r>
      <w:r>
        <w:rPr>
          <w:rFonts w:hint="eastAsia"/>
          <w:i w:val="0"/>
          <w:iCs w:val="0"/>
          <w:snapToGrid w:val="0"/>
          <w:color w:val="auto"/>
          <w:highlight w:val="none"/>
          <w:lang w:eastAsia="zh-CN"/>
        </w:rPr>
        <w:t>“</w:t>
      </w:r>
      <w:r>
        <w:rPr>
          <w:rFonts w:hint="eastAsia"/>
          <w:i w:val="0"/>
          <w:iCs w:val="0"/>
          <w:snapToGrid w:val="0"/>
          <w:color w:val="auto"/>
          <w:highlight w:val="none"/>
        </w:rPr>
        <w:t>残疾人福利性单位声明函</w:t>
      </w:r>
      <w:r>
        <w:rPr>
          <w:rFonts w:hint="eastAsia"/>
          <w:i w:val="0"/>
          <w:iCs w:val="0"/>
          <w:snapToGrid w:val="0"/>
          <w:color w:val="auto"/>
          <w:highlight w:val="none"/>
          <w:lang w:eastAsia="zh-CN"/>
        </w:rPr>
        <w:t>”</w:t>
      </w:r>
      <w:r>
        <w:rPr>
          <w:rFonts w:hint="eastAsia"/>
          <w:i w:val="0"/>
          <w:iCs w:val="0"/>
          <w:snapToGrid w:val="0"/>
          <w:color w:val="auto"/>
          <w:highlight w:val="none"/>
        </w:rPr>
        <w:t>，评审时，磋商小组将依据</w:t>
      </w:r>
      <w:r>
        <w:rPr>
          <w:rFonts w:hint="eastAsia"/>
          <w:i w:val="0"/>
          <w:iCs w:val="0"/>
          <w:snapToGrid w:val="0"/>
          <w:color w:val="auto"/>
          <w:highlight w:val="none"/>
          <w:lang w:eastAsia="zh-CN"/>
        </w:rPr>
        <w:t>本磋商文件</w:t>
      </w:r>
      <w:r>
        <w:rPr>
          <w:rFonts w:hint="eastAsia"/>
          <w:i w:val="0"/>
          <w:iCs w:val="0"/>
          <w:snapToGrid w:val="0"/>
          <w:color w:val="auto"/>
          <w:highlight w:val="none"/>
        </w:rPr>
        <w:t>“供应商须知前附表”规定的报价扣除比例，对供应商报价进行价格扣除，用扣除后的价格参与评审</w:t>
      </w:r>
      <w:r>
        <w:rPr>
          <w:rFonts w:hint="eastAsia"/>
          <w:i w:val="0"/>
          <w:iCs w:val="0"/>
          <w:snapToGrid w:val="0"/>
          <w:color w:val="auto"/>
          <w:highlight w:val="none"/>
          <w:lang w:eastAsia="zh-CN"/>
        </w:rPr>
        <w:t>；磋商公告中明确项目专门面向中小企业采购的，“</w:t>
      </w:r>
      <w:r>
        <w:rPr>
          <w:rFonts w:hint="eastAsia"/>
          <w:i w:val="0"/>
          <w:iCs w:val="0"/>
          <w:snapToGrid w:val="0"/>
          <w:color w:val="auto"/>
          <w:highlight w:val="none"/>
        </w:rPr>
        <w:t>中小企业声明函</w:t>
      </w:r>
      <w:r>
        <w:rPr>
          <w:rFonts w:hint="eastAsia"/>
          <w:i w:val="0"/>
          <w:iCs w:val="0"/>
          <w:snapToGrid w:val="0"/>
          <w:color w:val="auto"/>
          <w:highlight w:val="none"/>
          <w:lang w:eastAsia="zh-CN"/>
        </w:rPr>
        <w:t>”为资格要求文件，</w:t>
      </w:r>
      <w:r>
        <w:rPr>
          <w:rFonts w:hint="eastAsia"/>
          <w:i w:val="0"/>
          <w:iCs w:val="0"/>
          <w:snapToGrid w:val="0"/>
          <w:color w:val="auto"/>
          <w:highlight w:val="none"/>
        </w:rPr>
        <w:t>供应商</w:t>
      </w:r>
      <w:r>
        <w:rPr>
          <w:rFonts w:hint="eastAsia"/>
          <w:i w:val="0"/>
          <w:iCs w:val="0"/>
          <w:snapToGrid w:val="0"/>
          <w:color w:val="auto"/>
          <w:highlight w:val="none"/>
          <w:lang w:eastAsia="zh-CN"/>
        </w:rPr>
        <w:t>参与磋商须按本磋商文件规定格式</w:t>
      </w:r>
      <w:r>
        <w:rPr>
          <w:rFonts w:hint="eastAsia"/>
          <w:i w:val="0"/>
          <w:iCs w:val="0"/>
          <w:snapToGrid w:val="0"/>
          <w:color w:val="auto"/>
          <w:highlight w:val="none"/>
        </w:rPr>
        <w:t>提供</w:t>
      </w:r>
      <w:r>
        <w:rPr>
          <w:rFonts w:hint="eastAsia"/>
          <w:i w:val="0"/>
          <w:iCs w:val="0"/>
          <w:snapToGrid w:val="0"/>
          <w:color w:val="auto"/>
          <w:highlight w:val="none"/>
          <w:lang w:eastAsia="zh-CN"/>
        </w:rPr>
        <w:t>“</w:t>
      </w:r>
      <w:r>
        <w:rPr>
          <w:rFonts w:hint="eastAsia"/>
          <w:i w:val="0"/>
          <w:iCs w:val="0"/>
          <w:snapToGrid w:val="0"/>
          <w:color w:val="auto"/>
          <w:highlight w:val="none"/>
        </w:rPr>
        <w:t>中小企业声明函</w:t>
      </w:r>
      <w:r>
        <w:rPr>
          <w:rFonts w:hint="eastAsia"/>
          <w:i w:val="0"/>
          <w:iCs w:val="0"/>
          <w:snapToGrid w:val="0"/>
          <w:color w:val="auto"/>
          <w:highlight w:val="none"/>
          <w:lang w:eastAsia="zh-CN"/>
        </w:rPr>
        <w:t>”</w:t>
      </w:r>
      <w:r>
        <w:rPr>
          <w:rFonts w:hint="eastAsia"/>
          <w:i w:val="0"/>
          <w:iCs w:val="0"/>
          <w:snapToGrid w:val="0"/>
          <w:color w:val="auto"/>
          <w:highlight w:val="none"/>
          <w:lang w:val="en-US" w:eastAsia="zh-CN"/>
        </w:rPr>
        <w:t>或“</w:t>
      </w:r>
      <w:r>
        <w:rPr>
          <w:rFonts w:hint="eastAsia"/>
          <w:i w:val="0"/>
          <w:iCs w:val="0"/>
          <w:snapToGrid w:val="0"/>
          <w:color w:val="auto"/>
          <w:highlight w:val="none"/>
        </w:rPr>
        <w:t>监狱企业证明文件</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或</w:t>
      </w:r>
      <w:r>
        <w:rPr>
          <w:rFonts w:hint="eastAsia"/>
          <w:i w:val="0"/>
          <w:iCs w:val="0"/>
          <w:snapToGrid w:val="0"/>
          <w:color w:val="auto"/>
          <w:highlight w:val="none"/>
          <w:lang w:eastAsia="zh-CN"/>
        </w:rPr>
        <w:t>“</w:t>
      </w:r>
      <w:r>
        <w:rPr>
          <w:rFonts w:hint="eastAsia"/>
          <w:i w:val="0"/>
          <w:iCs w:val="0"/>
          <w:snapToGrid w:val="0"/>
          <w:color w:val="auto"/>
          <w:highlight w:val="none"/>
        </w:rPr>
        <w:t>残疾人福利性单位声明函</w:t>
      </w:r>
      <w:r>
        <w:rPr>
          <w:rFonts w:hint="eastAsia"/>
          <w:i w:val="0"/>
          <w:iCs w:val="0"/>
          <w:snapToGrid w:val="0"/>
          <w:color w:val="auto"/>
          <w:highlight w:val="none"/>
          <w:lang w:eastAsia="zh-CN"/>
        </w:rPr>
        <w:t>”等作为资格证明文件。</w:t>
      </w:r>
    </w:p>
    <w:p w14:paraId="4D5E12BD">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 xml:space="preserve">39.3供应商提供的货物、工程或者服务符合下列情形的，享受中小企业扶持政策： </w:t>
      </w:r>
    </w:p>
    <w:p w14:paraId="28856AB5">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39.3.</w:t>
      </w:r>
      <w:r>
        <w:rPr>
          <w:rFonts w:hint="default"/>
          <w:i w:val="0"/>
          <w:iCs w:val="0"/>
          <w:snapToGrid w:val="0"/>
          <w:color w:val="auto"/>
          <w:highlight w:val="none"/>
          <w:lang w:val="en-US" w:eastAsia="zh-CN"/>
        </w:rPr>
        <w:t>1</w:t>
      </w:r>
      <w:r>
        <w:rPr>
          <w:rFonts w:hint="eastAsia"/>
          <w:i w:val="0"/>
          <w:iCs w:val="0"/>
          <w:snapToGrid w:val="0"/>
          <w:color w:val="auto"/>
          <w:highlight w:val="none"/>
          <w:lang w:val="en-US" w:eastAsia="zh-CN"/>
        </w:rPr>
        <w:t xml:space="preserve">在货物采购项目中，货物由中小企业制造，即货物由中小企业生产且使用该中小企业商号或者注册商标； </w:t>
      </w:r>
    </w:p>
    <w:p w14:paraId="54A96D92">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39.3.</w:t>
      </w:r>
      <w:r>
        <w:rPr>
          <w:rFonts w:hint="default"/>
          <w:i w:val="0"/>
          <w:iCs w:val="0"/>
          <w:snapToGrid w:val="0"/>
          <w:color w:val="auto"/>
          <w:highlight w:val="none"/>
          <w:lang w:val="en-US" w:eastAsia="zh-CN"/>
        </w:rPr>
        <w:t>2</w:t>
      </w:r>
      <w:r>
        <w:rPr>
          <w:rFonts w:hint="eastAsia"/>
          <w:i w:val="0"/>
          <w:iCs w:val="0"/>
          <w:snapToGrid w:val="0"/>
          <w:color w:val="auto"/>
          <w:highlight w:val="none"/>
          <w:lang w:val="en-US" w:eastAsia="zh-CN"/>
        </w:rPr>
        <w:t xml:space="preserve">在工程采购项目中，工程由中小企业承建，即工程施工单位为中小企业； </w:t>
      </w:r>
    </w:p>
    <w:p w14:paraId="48F17DE5">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39.3.</w:t>
      </w:r>
      <w:r>
        <w:rPr>
          <w:rFonts w:hint="default"/>
          <w:i w:val="0"/>
          <w:iCs w:val="0"/>
          <w:snapToGrid w:val="0"/>
          <w:color w:val="auto"/>
          <w:highlight w:val="none"/>
          <w:lang w:val="en-US" w:eastAsia="zh-CN"/>
        </w:rPr>
        <w:t>3</w:t>
      </w:r>
      <w:r>
        <w:rPr>
          <w:rFonts w:hint="eastAsia"/>
          <w:i w:val="0"/>
          <w:iCs w:val="0"/>
          <w:snapToGrid w:val="0"/>
          <w:color w:val="auto"/>
          <w:highlight w:val="none"/>
          <w:lang w:val="en-US" w:eastAsia="zh-CN"/>
        </w:rPr>
        <w:t>在服务采购项目中，服务由中小企业承接，即提供服务的人员为中小企业依照《中华人民共和国劳动合同法》订立劳动合同的从业人员。</w:t>
      </w:r>
    </w:p>
    <w:p w14:paraId="6564F254">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i w:val="0"/>
          <w:iCs w:val="0"/>
          <w:snapToGrid w:val="0"/>
          <w:color w:val="auto"/>
          <w:highlight w:val="none"/>
          <w:lang w:val="en-US" w:eastAsia="zh-CN"/>
        </w:rPr>
        <w:t>.</w:t>
      </w:r>
      <w:r>
        <w:rPr>
          <w:rFonts w:hint="eastAsia"/>
          <w:i w:val="0"/>
          <w:iCs w:val="0"/>
          <w:snapToGrid w:val="0"/>
          <w:color w:val="auto"/>
          <w:highlight w:val="none"/>
          <w:lang w:val="en-US" w:eastAsia="zh-CN"/>
        </w:rPr>
        <w:t>4</w:t>
      </w:r>
      <w:r>
        <w:rPr>
          <w:i w:val="0"/>
          <w:iCs w:val="0"/>
          <w:snapToGrid w:val="0"/>
          <w:color w:val="auto"/>
          <w:highlight w:val="none"/>
          <w:lang w:val="en-US" w:eastAsia="zh-CN"/>
        </w:rPr>
        <w:t xml:space="preserve"> </w:t>
      </w:r>
      <w:r>
        <w:rPr>
          <w:rFonts w:hint="eastAsia"/>
          <w:i w:val="0"/>
          <w:iCs w:val="0"/>
          <w:snapToGrid w:val="0"/>
          <w:color w:val="auto"/>
          <w:highlight w:val="none"/>
          <w:lang w:val="en-US" w:eastAsia="zh-CN"/>
        </w:rPr>
        <w:t xml:space="preserve">在货物采购项目中，供应商提供的货物既有中小企业制造货物，也有大型企业制造货物的，不享受中小企业扶持政策。 </w:t>
      </w:r>
    </w:p>
    <w:p w14:paraId="4ACE7CFF">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5</w:t>
      </w:r>
      <w:r>
        <w:rPr>
          <w:rFonts w:hint="default"/>
          <w:i w:val="0"/>
          <w:iCs w:val="0"/>
          <w:snapToGrid w:val="0"/>
          <w:color w:val="auto"/>
          <w:highlight w:val="none"/>
          <w:lang w:val="en-US" w:eastAsia="zh-CN"/>
        </w:rPr>
        <w:t xml:space="preserve"> </w:t>
      </w:r>
      <w:r>
        <w:rPr>
          <w:rFonts w:hint="eastAsia"/>
          <w:i w:val="0"/>
          <w:iCs w:val="0"/>
          <w:snapToGrid w:val="0"/>
          <w:color w:val="auto"/>
          <w:highlight w:val="none"/>
          <w:lang w:val="en-US" w:eastAsia="zh-CN"/>
        </w:rPr>
        <w:t>以联合体形式参加政府采购活动，联合体各方均为中小企业的，联合体视同中小企业。其中，联合体各方均为小微企业的，联合体视同小微企业。      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6</w:t>
      </w:r>
      <w:r>
        <w:rPr>
          <w:rFonts w:hint="default"/>
          <w:i w:val="0"/>
          <w:iCs w:val="0"/>
          <w:snapToGrid w:val="0"/>
          <w:color w:val="auto"/>
          <w:highlight w:val="none"/>
          <w:lang w:val="en-US" w:eastAsia="zh-CN"/>
        </w:rPr>
        <w:t xml:space="preserve"> </w:t>
      </w:r>
      <w:r>
        <w:rPr>
          <w:rFonts w:hint="eastAsia"/>
          <w:i w:val="0"/>
          <w:iCs w:val="0"/>
          <w:snapToGrid w:val="0"/>
          <w:color w:val="auto"/>
          <w:highlight w:val="none"/>
          <w:lang w:val="en-US" w:eastAsia="zh-CN"/>
        </w:rPr>
        <w:t xml:space="preserve">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戒毒管理局的企业。 </w:t>
      </w:r>
    </w:p>
    <w:p w14:paraId="46CE3FE3">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 </w:t>
      </w:r>
      <w:r>
        <w:rPr>
          <w:rFonts w:hint="eastAsia"/>
          <w:i w:val="0"/>
          <w:iCs w:val="0"/>
          <w:snapToGrid w:val="0"/>
          <w:color w:val="auto"/>
          <w:highlight w:val="none"/>
          <w:lang w:val="en-US" w:eastAsia="zh-CN"/>
        </w:rPr>
        <w:t xml:space="preserve">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7B3D1C25">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.1 </w:t>
      </w:r>
      <w:r>
        <w:rPr>
          <w:rFonts w:hint="eastAsia"/>
          <w:i w:val="0"/>
          <w:iCs w:val="0"/>
          <w:snapToGrid w:val="0"/>
          <w:color w:val="auto"/>
          <w:highlight w:val="none"/>
          <w:lang w:val="en-US" w:eastAsia="zh-CN"/>
        </w:rPr>
        <w:t xml:space="preserve">安置的残疾人占本单位在职职工人数的比例不低于 </w:t>
      </w:r>
      <w:r>
        <w:rPr>
          <w:rFonts w:hint="default"/>
          <w:i w:val="0"/>
          <w:iCs w:val="0"/>
          <w:snapToGrid w:val="0"/>
          <w:color w:val="auto"/>
          <w:highlight w:val="none"/>
          <w:lang w:val="en-US" w:eastAsia="zh-CN"/>
        </w:rPr>
        <w:t xml:space="preserve">25% </w:t>
      </w:r>
      <w:r>
        <w:rPr>
          <w:rFonts w:hint="eastAsia"/>
          <w:i w:val="0"/>
          <w:iCs w:val="0"/>
          <w:snapToGrid w:val="0"/>
          <w:color w:val="auto"/>
          <w:highlight w:val="none"/>
          <w:lang w:val="en-US" w:eastAsia="zh-CN"/>
        </w:rPr>
        <w:t xml:space="preserve">（含 </w:t>
      </w:r>
      <w:r>
        <w:rPr>
          <w:rFonts w:hint="default"/>
          <w:i w:val="0"/>
          <w:iCs w:val="0"/>
          <w:snapToGrid w:val="0"/>
          <w:color w:val="auto"/>
          <w:highlight w:val="none"/>
          <w:lang w:val="en-US" w:eastAsia="zh-CN"/>
        </w:rPr>
        <w:t>25%</w:t>
      </w:r>
      <w:r>
        <w:rPr>
          <w:rFonts w:hint="eastAsia"/>
          <w:i w:val="0"/>
          <w:iCs w:val="0"/>
          <w:snapToGrid w:val="0"/>
          <w:color w:val="auto"/>
          <w:highlight w:val="none"/>
          <w:lang w:val="en-US" w:eastAsia="zh-CN"/>
        </w:rPr>
        <w:t xml:space="preserve">），并且安置的残疾人人数不少于 </w:t>
      </w:r>
      <w:r>
        <w:rPr>
          <w:rFonts w:hint="default"/>
          <w:i w:val="0"/>
          <w:iCs w:val="0"/>
          <w:snapToGrid w:val="0"/>
          <w:color w:val="auto"/>
          <w:highlight w:val="none"/>
          <w:lang w:val="en-US" w:eastAsia="zh-CN"/>
        </w:rPr>
        <w:t xml:space="preserve">10 </w:t>
      </w:r>
      <w:r>
        <w:rPr>
          <w:rFonts w:hint="eastAsia"/>
          <w:i w:val="0"/>
          <w:iCs w:val="0"/>
          <w:snapToGrid w:val="0"/>
          <w:color w:val="auto"/>
          <w:highlight w:val="none"/>
          <w:lang w:val="en-US" w:eastAsia="zh-CN"/>
        </w:rPr>
        <w:t xml:space="preserve">人（含 </w:t>
      </w:r>
      <w:r>
        <w:rPr>
          <w:rFonts w:hint="default"/>
          <w:i w:val="0"/>
          <w:iCs w:val="0"/>
          <w:snapToGrid w:val="0"/>
          <w:color w:val="auto"/>
          <w:highlight w:val="none"/>
          <w:lang w:val="en-US" w:eastAsia="zh-CN"/>
        </w:rPr>
        <w:t>10</w:t>
      </w:r>
      <w:r>
        <w:rPr>
          <w:rFonts w:hint="eastAsia"/>
          <w:i w:val="0"/>
          <w:iCs w:val="0"/>
          <w:snapToGrid w:val="0"/>
          <w:color w:val="auto"/>
          <w:highlight w:val="none"/>
          <w:lang w:val="en-US" w:eastAsia="zh-CN"/>
        </w:rPr>
        <w:t xml:space="preserve">人）； </w:t>
      </w:r>
    </w:p>
    <w:p w14:paraId="69558579">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.2 </w:t>
      </w:r>
      <w:r>
        <w:rPr>
          <w:rFonts w:hint="eastAsia"/>
          <w:i w:val="0"/>
          <w:iCs w:val="0"/>
          <w:snapToGrid w:val="0"/>
          <w:color w:val="auto"/>
          <w:highlight w:val="none"/>
          <w:lang w:val="en-US" w:eastAsia="zh-CN"/>
        </w:rPr>
        <w:t xml:space="preserve">依法与安置的每位残疾人签订了1年以上（含1年）的劳动合同或服务协议； </w:t>
      </w:r>
    </w:p>
    <w:p w14:paraId="40185FCE">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.3 </w:t>
      </w:r>
      <w:r>
        <w:rPr>
          <w:rFonts w:hint="eastAsia"/>
          <w:i w:val="0"/>
          <w:iCs w:val="0"/>
          <w:snapToGrid w:val="0"/>
          <w:color w:val="auto"/>
          <w:highlight w:val="none"/>
          <w:lang w:val="en-US" w:eastAsia="zh-CN"/>
        </w:rPr>
        <w:t xml:space="preserve">为安置的每位残疾人按月足额缴纳了基本养老保险、基本医疗保险、失业保险、工伤保险和生育保险等社会保险费； </w:t>
      </w:r>
    </w:p>
    <w:p w14:paraId="45EC5F94">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.4 </w:t>
      </w:r>
      <w:r>
        <w:rPr>
          <w:rFonts w:hint="eastAsia"/>
          <w:i w:val="0"/>
          <w:iCs w:val="0"/>
          <w:snapToGrid w:val="0"/>
          <w:color w:val="auto"/>
          <w:highlight w:val="none"/>
          <w:lang w:val="en-US" w:eastAsia="zh-CN"/>
        </w:rPr>
        <w:t xml:space="preserve">通过银行等金融机构向安置的每位残疾人，按月支付了不低于单位所在区县适用的经省级人民政府批准的月最低工资标准的工资； </w:t>
      </w:r>
    </w:p>
    <w:p w14:paraId="1C5031C4">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.5 </w:t>
      </w:r>
      <w:r>
        <w:rPr>
          <w:rFonts w:hint="eastAsia"/>
          <w:i w:val="0"/>
          <w:iCs w:val="0"/>
          <w:snapToGrid w:val="0"/>
          <w:color w:val="auto"/>
          <w:highlight w:val="none"/>
          <w:lang w:val="en-US" w:eastAsia="zh-CN"/>
        </w:rPr>
        <w:t xml:space="preserve">提供本单位制造的货物、承担的工程或者服务（以下简称产品），或者提供其他残疾人福利性单位制造的货物（不包括使用非残疾人福利性单位注册商标的货物）； </w:t>
      </w:r>
    </w:p>
    <w:p w14:paraId="678AAEEE">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7</w:t>
      </w:r>
      <w:r>
        <w:rPr>
          <w:rFonts w:hint="default"/>
          <w:i w:val="0"/>
          <w:iCs w:val="0"/>
          <w:snapToGrid w:val="0"/>
          <w:color w:val="auto"/>
          <w:highlight w:val="none"/>
          <w:lang w:val="en-US" w:eastAsia="zh-CN"/>
        </w:rPr>
        <w:t xml:space="preserve">.6 </w:t>
      </w:r>
      <w:r>
        <w:rPr>
          <w:rFonts w:hint="eastAsia"/>
          <w:i w:val="0"/>
          <w:iCs w:val="0"/>
          <w:snapToGrid w:val="0"/>
          <w:color w:val="auto"/>
          <w:highlight w:val="none"/>
          <w:lang w:val="en-US" w:eastAsia="zh-CN"/>
        </w:rPr>
        <w:t>前款所称残疾人是指法定劳动年龄内，持有《中华人民共和国残疾人证》或者《中华人民共和国残疾军人证（</w:t>
      </w:r>
      <w:r>
        <w:rPr>
          <w:i w:val="0"/>
          <w:iCs w:val="0"/>
          <w:snapToGrid w:val="0"/>
          <w:color w:val="auto"/>
          <w:highlight w:val="none"/>
          <w:lang w:val="en-US" w:eastAsia="zh-CN"/>
        </w:rPr>
        <w:t xml:space="preserve">1 </w:t>
      </w:r>
      <w:r>
        <w:rPr>
          <w:rFonts w:hint="eastAsia"/>
          <w:i w:val="0"/>
          <w:iCs w:val="0"/>
          <w:snapToGrid w:val="0"/>
          <w:color w:val="auto"/>
          <w:highlight w:val="none"/>
          <w:lang w:val="en-US" w:eastAsia="zh-CN"/>
        </w:rPr>
        <w:t xml:space="preserve">至 </w:t>
      </w:r>
      <w:r>
        <w:rPr>
          <w:rFonts w:hint="default"/>
          <w:i w:val="0"/>
          <w:iCs w:val="0"/>
          <w:snapToGrid w:val="0"/>
          <w:color w:val="auto"/>
          <w:highlight w:val="none"/>
          <w:lang w:val="en-US" w:eastAsia="zh-CN"/>
        </w:rPr>
        <w:t xml:space="preserve">8 </w:t>
      </w:r>
      <w:r>
        <w:rPr>
          <w:rFonts w:hint="eastAsia"/>
          <w:i w:val="0"/>
          <w:iCs w:val="0"/>
          <w:snapToGrid w:val="0"/>
          <w:color w:val="auto"/>
          <w:highlight w:val="none"/>
          <w:lang w:val="en-US" w:eastAsia="zh-CN"/>
        </w:rPr>
        <w:t xml:space="preserve">级）》的自然人，包括具有劳动条件和劳动意愿的精神残疾人。在职职工人数是指与残疾人福利性单位建立劳动关系并依法签订劳动合同或服务协议的雇员人数。 </w:t>
      </w:r>
    </w:p>
    <w:p w14:paraId="2D1237DB">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8</w:t>
      </w:r>
      <w:r>
        <w:rPr>
          <w:rFonts w:hint="default"/>
          <w:i w:val="0"/>
          <w:iCs w:val="0"/>
          <w:snapToGrid w:val="0"/>
          <w:color w:val="auto"/>
          <w:highlight w:val="none"/>
          <w:lang w:val="en-US" w:eastAsia="zh-CN"/>
        </w:rPr>
        <w:t xml:space="preserve"> </w:t>
      </w:r>
      <w:r>
        <w:rPr>
          <w:rFonts w:hint="eastAsia"/>
          <w:i w:val="0"/>
          <w:iCs w:val="0"/>
          <w:snapToGrid w:val="0"/>
          <w:color w:val="auto"/>
          <w:highlight w:val="none"/>
          <w:lang w:val="en-US" w:eastAsia="zh-CN"/>
        </w:rPr>
        <w:t>本项目是否专门面向中小企业预留采购份额见“第一章 竞争性磋商邀请”。</w:t>
      </w:r>
    </w:p>
    <w:p w14:paraId="5A70CB6C">
      <w:pPr>
        <w:pStyle w:val="33"/>
        <w:keepNext w:val="0"/>
        <w:keepLines w:val="0"/>
        <w:pageBreakBefore w:val="0"/>
        <w:widowControl w:val="0"/>
        <w:kinsoku/>
        <w:overflowPunct/>
        <w:topLinePunct w:val="0"/>
        <w:bidi w:val="0"/>
        <w:ind w:firstLine="480"/>
        <w:textAlignment w:val="auto"/>
        <w:rPr>
          <w:rFonts w:hint="eastAsia"/>
          <w:i w:val="0"/>
          <w:iCs w:val="0"/>
          <w:snapToGrid w:val="0"/>
          <w:color w:val="auto"/>
          <w:highlight w:val="none"/>
        </w:rPr>
      </w:pPr>
      <w:r>
        <w:rPr>
          <w:rFonts w:hint="eastAsia"/>
          <w:i w:val="0"/>
          <w:iCs w:val="0"/>
          <w:snapToGrid w:val="0"/>
          <w:color w:val="auto"/>
          <w:highlight w:val="none"/>
          <w:lang w:val="en-US" w:eastAsia="zh-CN"/>
        </w:rPr>
        <w:t>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9</w:t>
      </w:r>
      <w:r>
        <w:rPr>
          <w:rFonts w:hint="default"/>
          <w:i w:val="0"/>
          <w:iCs w:val="0"/>
          <w:snapToGrid w:val="0"/>
          <w:color w:val="auto"/>
          <w:highlight w:val="none"/>
          <w:lang w:val="en-US" w:eastAsia="zh-CN"/>
        </w:rPr>
        <w:t xml:space="preserve"> </w:t>
      </w:r>
      <w:r>
        <w:rPr>
          <w:rFonts w:hint="eastAsia"/>
          <w:i w:val="0"/>
          <w:iCs w:val="0"/>
          <w:snapToGrid w:val="0"/>
          <w:color w:val="auto"/>
          <w:highlight w:val="none"/>
          <w:lang w:val="en-US" w:eastAsia="zh-CN"/>
        </w:rPr>
        <w:t>采购标的对应的中小企业划分标准所属行业见“供应商须知前附表”。    39</w:t>
      </w:r>
      <w:r>
        <w:rPr>
          <w:rFonts w:hint="default"/>
          <w:i w:val="0"/>
          <w:iCs w:val="0"/>
          <w:snapToGrid w:val="0"/>
          <w:color w:val="auto"/>
          <w:highlight w:val="none"/>
          <w:lang w:val="en-US" w:eastAsia="zh-CN"/>
        </w:rPr>
        <w:t>.</w:t>
      </w:r>
      <w:r>
        <w:rPr>
          <w:rFonts w:hint="eastAsia"/>
          <w:i w:val="0"/>
          <w:iCs w:val="0"/>
          <w:snapToGrid w:val="0"/>
          <w:color w:val="auto"/>
          <w:highlight w:val="none"/>
          <w:lang w:val="en-US" w:eastAsia="zh-CN"/>
        </w:rPr>
        <w:t>10小微企业价格评审优惠的政策调整：见“第四章 评审方法及标准”。</w:t>
      </w:r>
    </w:p>
    <w:p w14:paraId="76C0345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9" w:name="_Toc161600343"/>
      <w:r>
        <w:rPr>
          <w:rFonts w:hint="eastAsia" w:ascii="宋体" w:hAnsi="宋体" w:eastAsia="宋体" w:cs="宋体"/>
          <w:b/>
          <w:bCs/>
          <w:color w:val="auto"/>
          <w:kern w:val="2"/>
          <w:sz w:val="24"/>
          <w:szCs w:val="24"/>
          <w:highlight w:val="none"/>
          <w:lang w:val="en-US" w:eastAsia="zh-CN" w:bidi="ar-SA"/>
        </w:rPr>
        <w:t>40.政府采购节能产品、环境标志产品</w:t>
      </w:r>
      <w:bookmarkEnd w:id="389"/>
    </w:p>
    <w:p w14:paraId="64FC5172">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40</w:t>
      </w:r>
      <w:r>
        <w:rPr>
          <w:i w:val="0"/>
          <w:iCs w:val="0"/>
          <w:snapToGrid w:val="0"/>
          <w:color w:val="auto"/>
          <w:highlight w:val="none"/>
          <w:lang w:val="en-US" w:eastAsia="zh-CN"/>
        </w:rPr>
        <w:t xml:space="preserve">.1 </w:t>
      </w:r>
      <w:r>
        <w:rPr>
          <w:rFonts w:hint="eastAsia"/>
          <w:i w:val="0"/>
          <w:iCs w:val="0"/>
          <w:snapToGrid w:val="0"/>
          <w:color w:val="auto"/>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w:t>
      </w:r>
      <w:r>
        <w:rPr>
          <w:rFonts w:hint="default"/>
          <w:i w:val="0"/>
          <w:iCs w:val="0"/>
          <w:snapToGrid w:val="0"/>
          <w:color w:val="auto"/>
          <w:highlight w:val="none"/>
          <w:lang w:val="en-US" w:eastAsia="zh-CN"/>
        </w:rPr>
        <w:t>2019</w:t>
      </w:r>
      <w:r>
        <w:rPr>
          <w:rFonts w:hint="eastAsia"/>
          <w:i w:val="0"/>
          <w:iCs w:val="0"/>
          <w:snapToGrid w:val="0"/>
          <w:color w:val="auto"/>
          <w:highlight w:val="none"/>
          <w:lang w:val="en-US" w:eastAsia="zh-CN"/>
        </w:rPr>
        <w:t>〕</w:t>
      </w:r>
      <w:r>
        <w:rPr>
          <w:rFonts w:hint="default"/>
          <w:i w:val="0"/>
          <w:iCs w:val="0"/>
          <w:snapToGrid w:val="0"/>
          <w:color w:val="auto"/>
          <w:highlight w:val="none"/>
          <w:lang w:val="en-US" w:eastAsia="zh-CN"/>
        </w:rPr>
        <w:t xml:space="preserve">9 </w:t>
      </w:r>
      <w:r>
        <w:rPr>
          <w:rFonts w:hint="eastAsia"/>
          <w:i w:val="0"/>
          <w:iCs w:val="0"/>
          <w:snapToGrid w:val="0"/>
          <w:color w:val="auto"/>
          <w:highlight w:val="none"/>
          <w:lang w:val="en-US" w:eastAsia="zh-CN"/>
        </w:rPr>
        <w:t xml:space="preserve">号）、《关于印发环境标志产品政府采购品目清单的通知》（财库〔2019〕18号）、《关于印发节能产品政府采购品目清单的通知》（财库〔2019〕19号）的规定。 </w:t>
      </w:r>
    </w:p>
    <w:p w14:paraId="017FF1A4">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40</w:t>
      </w:r>
      <w:r>
        <w:rPr>
          <w:rFonts w:hint="default"/>
          <w:i w:val="0"/>
          <w:iCs w:val="0"/>
          <w:snapToGrid w:val="0"/>
          <w:color w:val="auto"/>
          <w:highlight w:val="none"/>
          <w:lang w:val="en-US" w:eastAsia="zh-CN"/>
        </w:rPr>
        <w:t xml:space="preserve">.2 </w:t>
      </w:r>
      <w:r>
        <w:rPr>
          <w:rFonts w:hint="eastAsia"/>
          <w:i w:val="0"/>
          <w:iCs w:val="0"/>
          <w:snapToGrid w:val="0"/>
          <w:color w:val="auto"/>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13797307">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40</w:t>
      </w:r>
      <w:r>
        <w:rPr>
          <w:rFonts w:hint="default"/>
          <w:i w:val="0"/>
          <w:iCs w:val="0"/>
          <w:snapToGrid w:val="0"/>
          <w:color w:val="auto"/>
          <w:highlight w:val="none"/>
          <w:lang w:val="en-US" w:eastAsia="zh-CN"/>
        </w:rPr>
        <w:t xml:space="preserve">.3 </w:t>
      </w:r>
      <w:r>
        <w:rPr>
          <w:rFonts w:hint="eastAsia"/>
          <w:i w:val="0"/>
          <w:iCs w:val="0"/>
          <w:snapToGrid w:val="0"/>
          <w:color w:val="auto"/>
          <w:highlight w:val="none"/>
          <w:lang w:val="en-US" w:eastAsia="zh-CN"/>
        </w:rPr>
        <w:t>如本项目采购产品属于实施政府强制采购品目清单范围的节能产品，则供应商所报产品必须获得国家确定的认证机构出具的、处于有效期之内的节能产品认证证书，否则</w:t>
      </w:r>
      <w:r>
        <w:rPr>
          <w:rFonts w:hint="eastAsia"/>
          <w:b/>
          <w:bCs/>
          <w:i w:val="0"/>
          <w:iCs w:val="0"/>
          <w:snapToGrid w:val="0"/>
          <w:color w:val="auto"/>
          <w:highlight w:val="none"/>
          <w:lang w:val="en-US" w:eastAsia="zh-CN"/>
        </w:rPr>
        <w:t>响应无效</w:t>
      </w:r>
      <w:r>
        <w:rPr>
          <w:rFonts w:hint="eastAsia"/>
          <w:i w:val="0"/>
          <w:iCs w:val="0"/>
          <w:snapToGrid w:val="0"/>
          <w:color w:val="auto"/>
          <w:highlight w:val="none"/>
          <w:lang w:val="en-US" w:eastAsia="zh-CN"/>
        </w:rPr>
        <w:t xml:space="preserve">。 </w:t>
      </w:r>
    </w:p>
    <w:p w14:paraId="73ADF023">
      <w:pPr>
        <w:pStyle w:val="33"/>
        <w:keepNext w:val="0"/>
        <w:keepLines w:val="0"/>
        <w:pageBreakBefore w:val="0"/>
        <w:widowControl w:val="0"/>
        <w:kinsoku/>
        <w:overflowPunct/>
        <w:topLinePunct w:val="0"/>
        <w:autoSpaceDE/>
        <w:autoSpaceDN/>
        <w:bidi w:val="0"/>
        <w:adjustRightInd/>
        <w:textAlignment w:val="auto"/>
        <w:rPr>
          <w:i w:val="0"/>
          <w:iCs w:val="0"/>
          <w:snapToGrid w:val="0"/>
          <w:color w:val="auto"/>
          <w:highlight w:val="none"/>
        </w:rPr>
      </w:pPr>
      <w:r>
        <w:rPr>
          <w:rFonts w:hint="eastAsia"/>
          <w:i w:val="0"/>
          <w:iCs w:val="0"/>
          <w:snapToGrid w:val="0"/>
          <w:color w:val="auto"/>
          <w:highlight w:val="none"/>
          <w:lang w:val="en-US" w:eastAsia="zh-CN"/>
        </w:rPr>
        <w:t>40</w:t>
      </w:r>
      <w:r>
        <w:rPr>
          <w:rFonts w:hint="default"/>
          <w:i w:val="0"/>
          <w:iCs w:val="0"/>
          <w:snapToGrid w:val="0"/>
          <w:color w:val="auto"/>
          <w:highlight w:val="none"/>
          <w:lang w:val="en-US" w:eastAsia="zh-CN"/>
        </w:rPr>
        <w:t xml:space="preserve">.4 </w:t>
      </w:r>
      <w:r>
        <w:rPr>
          <w:rFonts w:hint="eastAsia"/>
          <w:i w:val="0"/>
          <w:iCs w:val="0"/>
          <w:snapToGrid w:val="0"/>
          <w:color w:val="auto"/>
          <w:highlight w:val="none"/>
          <w:lang w:val="en-US" w:eastAsia="zh-CN"/>
        </w:rPr>
        <w:t>非政府强制采购的节能产品或环境标志产品，依据品目清单和认证证书实施政府优先采购。优先采购的具体规定见“第四章 评审方法及标准”（如涉及）。</w:t>
      </w:r>
    </w:p>
    <w:p w14:paraId="1E54CD45">
      <w:pPr>
        <w:pStyle w:val="33"/>
        <w:keepNext w:val="0"/>
        <w:keepLines w:val="0"/>
        <w:pageBreakBefore w:val="0"/>
        <w:widowControl w:val="0"/>
        <w:kinsoku/>
        <w:overflowPunct/>
        <w:topLinePunct w:val="0"/>
        <w:bidi w:val="0"/>
        <w:ind w:firstLine="480"/>
        <w:textAlignment w:val="auto"/>
        <w:rPr>
          <w:rFonts w:hint="eastAsia"/>
          <w:i w:val="0"/>
          <w:iCs w:val="0"/>
          <w:color w:val="auto"/>
          <w:highlight w:val="none"/>
        </w:rPr>
      </w:pPr>
      <w:r>
        <w:rPr>
          <w:rFonts w:hint="eastAsia"/>
          <w:i w:val="0"/>
          <w:iCs w:val="0"/>
          <w:snapToGrid w:val="0"/>
          <w:color w:val="auto"/>
          <w:highlight w:val="none"/>
          <w:lang w:val="en-US" w:eastAsia="zh-CN"/>
        </w:rPr>
        <w:t>40.5 供应商</w:t>
      </w:r>
      <w:r>
        <w:rPr>
          <w:rFonts w:hint="eastAsia"/>
          <w:i w:val="0"/>
          <w:iCs w:val="0"/>
          <w:snapToGrid w:val="0"/>
          <w:color w:val="auto"/>
          <w:highlight w:val="none"/>
        </w:rPr>
        <w:t>所</w:t>
      </w:r>
      <w:r>
        <w:rPr>
          <w:rFonts w:hint="eastAsia"/>
          <w:i w:val="0"/>
          <w:iCs w:val="0"/>
          <w:snapToGrid w:val="0"/>
          <w:color w:val="auto"/>
          <w:highlight w:val="none"/>
          <w:lang w:val="en-US" w:eastAsia="zh-CN"/>
        </w:rPr>
        <w:t>报</w:t>
      </w:r>
      <w:r>
        <w:rPr>
          <w:rFonts w:hint="eastAsia"/>
          <w:i w:val="0"/>
          <w:iCs w:val="0"/>
          <w:snapToGrid w:val="0"/>
          <w:color w:val="auto"/>
          <w:highlight w:val="none"/>
        </w:rPr>
        <w:t>产品如属于节能产品政府采购品目清单、环境标志产品政府采购品目清单范围的，须提供国家确定的认证机构出具的、处于有效期内的产品认证证书，认证证书的产品型号与所</w:t>
      </w:r>
      <w:r>
        <w:rPr>
          <w:rFonts w:hint="eastAsia"/>
          <w:i w:val="0"/>
          <w:iCs w:val="0"/>
          <w:snapToGrid w:val="0"/>
          <w:color w:val="auto"/>
          <w:highlight w:val="none"/>
          <w:lang w:val="en-US" w:eastAsia="zh-CN"/>
        </w:rPr>
        <w:t>报</w:t>
      </w:r>
      <w:r>
        <w:rPr>
          <w:rFonts w:hint="eastAsia"/>
          <w:i w:val="0"/>
          <w:iCs w:val="0"/>
          <w:snapToGrid w:val="0"/>
          <w:color w:val="auto"/>
          <w:highlight w:val="none"/>
        </w:rPr>
        <w:t>产品不一致的，视为未提供。属于政府强制采购产品的，</w:t>
      </w:r>
      <w:r>
        <w:rPr>
          <w:i w:val="0"/>
          <w:iCs w:val="0"/>
          <w:snapToGrid w:val="0"/>
          <w:color w:val="auto"/>
          <w:highlight w:val="none"/>
        </w:rPr>
        <w:t>已作为</w:t>
      </w:r>
      <w:r>
        <w:rPr>
          <w:rFonts w:hint="eastAsia"/>
          <w:i w:val="0"/>
          <w:iCs w:val="0"/>
          <w:snapToGrid w:val="0"/>
          <w:color w:val="auto"/>
          <w:highlight w:val="none"/>
          <w:lang w:val="en-US" w:eastAsia="zh-CN"/>
        </w:rPr>
        <w:t>响应</w:t>
      </w:r>
      <w:r>
        <w:rPr>
          <w:i w:val="0"/>
          <w:iCs w:val="0"/>
          <w:snapToGrid w:val="0"/>
          <w:color w:val="auto"/>
          <w:highlight w:val="none"/>
        </w:rPr>
        <w:t>时强制性要求不再给予</w:t>
      </w:r>
      <w:r>
        <w:rPr>
          <w:rFonts w:hint="eastAsia"/>
          <w:i w:val="0"/>
          <w:iCs w:val="0"/>
          <w:snapToGrid w:val="0"/>
          <w:color w:val="auto"/>
          <w:highlight w:val="none"/>
          <w:lang w:val="en-US" w:eastAsia="zh-CN"/>
        </w:rPr>
        <w:t>价格评审优惠</w:t>
      </w:r>
      <w:r>
        <w:rPr>
          <w:rFonts w:hint="eastAsia"/>
          <w:i w:val="0"/>
          <w:iCs w:val="0"/>
          <w:snapToGrid w:val="0"/>
          <w:color w:val="auto"/>
          <w:highlight w:val="none"/>
        </w:rPr>
        <w:t>，未提供认证证书的视为</w:t>
      </w:r>
      <w:r>
        <w:rPr>
          <w:rFonts w:hint="eastAsia"/>
          <w:b/>
          <w:bCs/>
          <w:i w:val="0"/>
          <w:iCs w:val="0"/>
          <w:snapToGrid w:val="0"/>
          <w:color w:val="auto"/>
          <w:highlight w:val="none"/>
        </w:rPr>
        <w:t>无效响应</w:t>
      </w:r>
      <w:r>
        <w:rPr>
          <w:rFonts w:hint="eastAsia"/>
          <w:i w:val="0"/>
          <w:iCs w:val="0"/>
          <w:snapToGrid w:val="0"/>
          <w:color w:val="auto"/>
          <w:highlight w:val="none"/>
        </w:rPr>
        <w:t>。属于</w:t>
      </w:r>
      <w:r>
        <w:rPr>
          <w:rFonts w:hint="eastAsia"/>
          <w:i w:val="0"/>
          <w:iCs w:val="0"/>
          <w:snapToGrid w:val="0"/>
          <w:color w:val="auto"/>
          <w:highlight w:val="none"/>
          <w:lang w:val="en-US" w:eastAsia="zh-CN"/>
        </w:rPr>
        <w:t>优先采购</w:t>
      </w:r>
      <w:r>
        <w:rPr>
          <w:rFonts w:hint="eastAsia"/>
          <w:i w:val="0"/>
          <w:iCs w:val="0"/>
          <w:snapToGrid w:val="0"/>
          <w:color w:val="auto"/>
          <w:highlight w:val="none"/>
        </w:rPr>
        <w:t>节能产品政府采购品目清单、环境标志产品政府采购品目清单</w:t>
      </w:r>
      <w:r>
        <w:rPr>
          <w:rFonts w:hint="eastAsia"/>
          <w:i w:val="0"/>
          <w:iCs w:val="0"/>
          <w:snapToGrid w:val="0"/>
          <w:color w:val="auto"/>
          <w:highlight w:val="none"/>
          <w:lang w:eastAsia="zh-CN"/>
        </w:rPr>
        <w:t>、</w:t>
      </w:r>
      <w:r>
        <w:rPr>
          <w:rFonts w:hint="eastAsia"/>
          <w:i w:val="0"/>
          <w:iCs w:val="0"/>
          <w:snapToGrid w:val="0"/>
          <w:color w:val="auto"/>
          <w:highlight w:val="none"/>
          <w:lang w:val="en-US" w:eastAsia="zh-CN"/>
        </w:rPr>
        <w:t>创新产品</w:t>
      </w:r>
      <w:r>
        <w:rPr>
          <w:rFonts w:hint="eastAsia"/>
          <w:i w:val="0"/>
          <w:iCs w:val="0"/>
          <w:snapToGrid w:val="0"/>
          <w:color w:val="auto"/>
          <w:highlight w:val="none"/>
        </w:rPr>
        <w:t>范围的，按照“</w:t>
      </w:r>
      <w:r>
        <w:rPr>
          <w:rFonts w:hint="eastAsia"/>
          <w:i w:val="0"/>
          <w:iCs w:val="0"/>
          <w:snapToGrid w:val="0"/>
          <w:color w:val="auto"/>
          <w:highlight w:val="none"/>
          <w:lang w:val="en-US" w:eastAsia="zh-CN"/>
        </w:rPr>
        <w:t>第四章 评审方法及标准</w:t>
      </w:r>
      <w:r>
        <w:rPr>
          <w:rFonts w:hint="eastAsia"/>
          <w:i w:val="0"/>
          <w:iCs w:val="0"/>
          <w:snapToGrid w:val="0"/>
          <w:color w:val="auto"/>
          <w:highlight w:val="none"/>
        </w:rPr>
        <w:t>”中相关规定</w:t>
      </w:r>
      <w:r>
        <w:rPr>
          <w:rFonts w:hint="eastAsia"/>
          <w:i w:val="0"/>
          <w:iCs w:val="0"/>
          <w:color w:val="auto"/>
          <w:highlight w:val="none"/>
          <w:lang w:val="en-US" w:eastAsia="zh-CN"/>
        </w:rPr>
        <w:t>在评审时给予</w:t>
      </w:r>
      <w:r>
        <w:rPr>
          <w:rFonts w:hint="eastAsia"/>
          <w:i w:val="0"/>
          <w:iCs w:val="0"/>
          <w:snapToGrid w:val="0"/>
          <w:color w:val="auto"/>
          <w:highlight w:val="none"/>
          <w:lang w:val="en-US" w:eastAsia="zh-CN"/>
        </w:rPr>
        <w:t>价格评审优惠</w:t>
      </w:r>
      <w:r>
        <w:rPr>
          <w:rFonts w:hint="eastAsia"/>
          <w:i w:val="0"/>
          <w:iCs w:val="0"/>
          <w:color w:val="auto"/>
          <w:highlight w:val="none"/>
          <w:lang w:val="en-US" w:eastAsia="zh-CN"/>
        </w:rPr>
        <w:t>，具体详见</w:t>
      </w:r>
      <w:r>
        <w:rPr>
          <w:rFonts w:hint="eastAsia"/>
          <w:i w:val="0"/>
          <w:iCs w:val="0"/>
          <w:snapToGrid w:val="0"/>
          <w:color w:val="auto"/>
          <w:highlight w:val="none"/>
          <w:lang w:val="en-US" w:eastAsia="zh-CN"/>
        </w:rPr>
        <w:t>“供应商须知前附表”及</w:t>
      </w:r>
      <w:r>
        <w:rPr>
          <w:rFonts w:hint="eastAsia"/>
          <w:i w:val="0"/>
          <w:iCs w:val="0"/>
          <w:color w:val="auto"/>
          <w:highlight w:val="none"/>
          <w:lang w:val="en-US" w:eastAsia="zh-CN"/>
        </w:rPr>
        <w:t>“第四章 评审方法及标准”</w:t>
      </w:r>
      <w:r>
        <w:rPr>
          <w:rFonts w:hint="eastAsia"/>
          <w:i w:val="0"/>
          <w:iCs w:val="0"/>
          <w:color w:val="auto"/>
          <w:highlight w:val="none"/>
        </w:rPr>
        <w:t>。</w:t>
      </w:r>
    </w:p>
    <w:p w14:paraId="17C511E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41.正版软件</w:t>
      </w:r>
    </w:p>
    <w:p w14:paraId="1F0E8307">
      <w:pPr>
        <w:pStyle w:val="33"/>
        <w:keepNext w:val="0"/>
        <w:keepLines w:val="0"/>
        <w:pageBreakBefore w:val="0"/>
        <w:widowControl w:val="0"/>
        <w:kinsoku/>
        <w:overflowPunct/>
        <w:topLinePunct w:val="0"/>
        <w:autoSpaceDE/>
        <w:autoSpaceDN/>
        <w:bidi w:val="0"/>
        <w:adjustRightInd/>
        <w:snapToGri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41.1 依据《财政部 国家发展改革委 信息产业部关于印发无线局域网产品政府采购实施意见的通知》（财库〔</w:t>
      </w:r>
      <w:r>
        <w:rPr>
          <w:rFonts w:hint="default"/>
          <w:i w:val="0"/>
          <w:iCs w:val="0"/>
          <w:snapToGrid w:val="0"/>
          <w:color w:val="auto"/>
          <w:highlight w:val="none"/>
          <w:lang w:val="en-US" w:eastAsia="zh-CN"/>
        </w:rPr>
        <w:t>2005</w:t>
      </w:r>
      <w:r>
        <w:rPr>
          <w:rFonts w:hint="eastAsia"/>
          <w:i w:val="0"/>
          <w:iCs w:val="0"/>
          <w:snapToGrid w:val="0"/>
          <w:color w:val="auto"/>
          <w:highlight w:val="none"/>
          <w:lang w:val="en-US" w:eastAsia="zh-CN"/>
        </w:rPr>
        <w:t>〕</w:t>
      </w:r>
      <w:r>
        <w:rPr>
          <w:rFonts w:hint="default"/>
          <w:i w:val="0"/>
          <w:iCs w:val="0"/>
          <w:snapToGrid w:val="0"/>
          <w:color w:val="auto"/>
          <w:highlight w:val="none"/>
          <w:lang w:val="en-US" w:eastAsia="zh-CN"/>
        </w:rPr>
        <w:t xml:space="preserve">366 </w:t>
      </w:r>
      <w:r>
        <w:rPr>
          <w:rFonts w:hint="eastAsia"/>
          <w:i w:val="0"/>
          <w:iCs w:val="0"/>
          <w:snapToGrid w:val="0"/>
          <w:color w:val="auto"/>
          <w:highlight w:val="none"/>
          <w:lang w:val="en-US" w:eastAsia="zh-CN"/>
        </w:rPr>
        <w:t>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b/>
          <w:bCs/>
          <w:i w:val="0"/>
          <w:iCs w:val="0"/>
          <w:snapToGrid w:val="0"/>
          <w:color w:val="auto"/>
          <w:highlight w:val="none"/>
          <w:lang w:val="en-US" w:eastAsia="zh-CN"/>
        </w:rPr>
        <w:t>响应无效</w:t>
      </w:r>
      <w:r>
        <w:rPr>
          <w:rFonts w:hint="eastAsia"/>
          <w:i w:val="0"/>
          <w:iCs w:val="0"/>
          <w:snapToGrid w:val="0"/>
          <w:color w:val="auto"/>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34806368">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 xml:space="preserve">41.2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57A1724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42.网络安全专用产品 </w:t>
      </w:r>
    </w:p>
    <w:p w14:paraId="4CF97C48">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 xml:space="preserve">42.1 所报产品属于列入《网络关键设备和网络安全专用产品目录》的网络安全专用产品，应当在国家互联网信息办公室会同工业和信息化部、公安部、国家认证认可监督管理委员会统一公布和更新的符合要求的网络关键设备和网络安全专用产品清单中。 </w:t>
      </w:r>
    </w:p>
    <w:p w14:paraId="05D0648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43.采购需求标准 </w:t>
      </w:r>
    </w:p>
    <w:bookmarkEnd w:id="375"/>
    <w:bookmarkEnd w:id="376"/>
    <w:bookmarkEnd w:id="377"/>
    <w:bookmarkEnd w:id="378"/>
    <w:bookmarkEnd w:id="379"/>
    <w:p w14:paraId="12518086">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bookmarkStart w:id="390" w:name="_Toc109899993"/>
      <w:bookmarkStart w:id="391" w:name="_Toc109899574"/>
      <w:bookmarkStart w:id="392" w:name="_Toc163493622"/>
      <w:bookmarkStart w:id="393" w:name="_Toc109900412"/>
      <w:bookmarkStart w:id="394" w:name="_Toc109897475"/>
      <w:r>
        <w:rPr>
          <w:rFonts w:hint="eastAsia"/>
          <w:i w:val="0"/>
          <w:iCs w:val="0"/>
          <w:snapToGrid w:val="0"/>
          <w:color w:val="auto"/>
          <w:highlight w:val="none"/>
          <w:lang w:val="en-US" w:eastAsia="zh-CN"/>
        </w:rPr>
        <w:t xml:space="preserve">43.1 商品包装、快递包装政府采购需求标准（试行） </w:t>
      </w:r>
    </w:p>
    <w:p w14:paraId="527BC2D1">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 项目采购需求”。 </w:t>
      </w:r>
    </w:p>
    <w:p w14:paraId="088B5DEF">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 xml:space="preserve">43.2 绿色数据中心政府采购需求标准（试行） </w:t>
      </w:r>
    </w:p>
    <w:p w14:paraId="2BAD2545">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 项目采购需求”。 </w:t>
      </w:r>
    </w:p>
    <w:p w14:paraId="33C6F27D">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43.3台式计算机政府采购需求标准</w:t>
      </w:r>
    </w:p>
    <w:p w14:paraId="7FE94F3A">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 项目采购需求”。</w:t>
      </w:r>
    </w:p>
    <w:p w14:paraId="683C9A61">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43.4便携式计算机政府采购需求标准</w:t>
      </w:r>
    </w:p>
    <w:p w14:paraId="56D621A3">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 项目采购需求”。</w:t>
      </w:r>
    </w:p>
    <w:p w14:paraId="48ED6666">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43.5一体式计算机政府采购需求标准</w:t>
      </w:r>
    </w:p>
    <w:p w14:paraId="7A06F60A">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 项目采购需求”。</w:t>
      </w:r>
    </w:p>
    <w:p w14:paraId="6AA36A4C">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43.6工作站政府采购需求标准</w:t>
      </w:r>
    </w:p>
    <w:p w14:paraId="401E4836">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 项目采购需求”。</w:t>
      </w:r>
    </w:p>
    <w:p w14:paraId="6AA55F4D">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43.7通用服务器政府采购需求标准</w:t>
      </w:r>
    </w:p>
    <w:p w14:paraId="6FE6FE7A">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 项目采购需求”。</w:t>
      </w:r>
    </w:p>
    <w:p w14:paraId="5E799E3E">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43.8操作系统政府采购需求标准</w:t>
      </w:r>
    </w:p>
    <w:p w14:paraId="71E70859">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 项目采购需求”。</w:t>
      </w:r>
    </w:p>
    <w:p w14:paraId="757FBE31">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43.9数据库政府采购需求标准</w:t>
      </w:r>
    </w:p>
    <w:p w14:paraId="4096E2F1">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 项目采购需求”。</w:t>
      </w:r>
    </w:p>
    <w:p w14:paraId="0F23144D">
      <w:pPr>
        <w:pStyle w:val="3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highlight w:val="none"/>
          <w:lang w:val="en-US" w:eastAsia="zh-CN"/>
        </w:rPr>
      </w:pPr>
      <w:r>
        <w:rPr>
          <w:rFonts w:hint="eastAsia"/>
          <w:i w:val="0"/>
          <w:iCs w:val="0"/>
          <w:snapToGrid w:val="0"/>
          <w:color w:val="auto"/>
          <w:highlight w:val="none"/>
          <w:lang w:val="en-US" w:eastAsia="zh-CN"/>
        </w:rPr>
        <w:t>43.10物业管理服务政府采购需求标准（办公场所类）（试行）</w:t>
      </w:r>
    </w:p>
    <w:p w14:paraId="0169F247">
      <w:pPr>
        <w:pStyle w:val="3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highlight w:val="none"/>
          <w:lang w:val="en-US" w:eastAsia="zh-CN"/>
        </w:rPr>
      </w:pPr>
      <w:r>
        <w:rPr>
          <w:rFonts w:hint="eastAsia"/>
          <w:i w:val="0"/>
          <w:iCs w:val="0"/>
          <w:snapToGrid w:val="0"/>
          <w:color w:val="auto"/>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 项目采购需求”。</w:t>
      </w:r>
    </w:p>
    <w:p w14:paraId="38AF685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5" w:name="_Toc1264"/>
      <w:r>
        <w:rPr>
          <w:rFonts w:hint="eastAsia" w:ascii="宋体" w:hAnsi="宋体" w:eastAsia="宋体" w:cs="宋体"/>
          <w:b/>
          <w:bCs/>
          <w:color w:val="auto"/>
          <w:kern w:val="2"/>
          <w:sz w:val="24"/>
          <w:szCs w:val="24"/>
          <w:highlight w:val="none"/>
          <w:lang w:val="en-US" w:eastAsia="zh-CN" w:bidi="ar-SA"/>
        </w:rPr>
        <w:t>（十四）政府采购合同融资政策</w:t>
      </w:r>
      <w:bookmarkEnd w:id="390"/>
      <w:bookmarkEnd w:id="391"/>
      <w:bookmarkEnd w:id="392"/>
      <w:bookmarkEnd w:id="393"/>
      <w:bookmarkEnd w:id="394"/>
      <w:bookmarkEnd w:id="395"/>
    </w:p>
    <w:p w14:paraId="78CE466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6" w:name="_Toc161600345"/>
      <w:bookmarkStart w:id="397" w:name="_Toc109897476"/>
      <w:r>
        <w:rPr>
          <w:rFonts w:hint="eastAsia" w:ascii="宋体" w:hAnsi="宋体" w:eastAsia="宋体" w:cs="宋体"/>
          <w:b/>
          <w:bCs/>
          <w:color w:val="auto"/>
          <w:kern w:val="2"/>
          <w:sz w:val="24"/>
          <w:szCs w:val="24"/>
          <w:highlight w:val="none"/>
          <w:lang w:val="en-US" w:eastAsia="zh-CN" w:bidi="ar-SA"/>
        </w:rPr>
        <w:t>44.政府采购合同融资政策</w:t>
      </w:r>
      <w:bookmarkEnd w:id="396"/>
    </w:p>
    <w:p w14:paraId="59269D30">
      <w:pPr>
        <w:pStyle w:val="33"/>
        <w:keepNext w:val="0"/>
        <w:keepLines w:val="0"/>
        <w:pageBreakBefore w:val="0"/>
        <w:widowControl w:val="0"/>
        <w:kinsoku/>
        <w:overflowPunct/>
        <w:topLinePunct w:val="0"/>
        <w:bidi w:val="0"/>
        <w:ind w:firstLine="480"/>
        <w:textAlignment w:val="auto"/>
        <w:rPr>
          <w:i w:val="0"/>
          <w:iCs w:val="0"/>
          <w:color w:val="auto"/>
          <w:highlight w:val="none"/>
        </w:rPr>
      </w:pPr>
      <w:r>
        <w:rPr>
          <w:i w:val="0"/>
          <w:iCs w:val="0"/>
          <w:color w:val="auto"/>
          <w:highlight w:val="none"/>
        </w:rPr>
        <w:t>4</w:t>
      </w:r>
      <w:r>
        <w:rPr>
          <w:rFonts w:hint="eastAsia"/>
          <w:i w:val="0"/>
          <w:iCs w:val="0"/>
          <w:color w:val="auto"/>
          <w:highlight w:val="none"/>
          <w:lang w:val="en-US" w:eastAsia="zh-CN"/>
        </w:rPr>
        <w:t>4</w:t>
      </w:r>
      <w:r>
        <w:rPr>
          <w:rFonts w:hint="eastAsia"/>
          <w:i w:val="0"/>
          <w:iCs w:val="0"/>
          <w:color w:val="auto"/>
          <w:highlight w:val="none"/>
        </w:rPr>
        <w:t>.1政府采购合同融资政策：见供应商须知前附表。</w:t>
      </w:r>
    </w:p>
    <w:p w14:paraId="032E5A3C">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8" w:name="_Toc109900413"/>
      <w:bookmarkStart w:id="399" w:name="_Toc109899994"/>
      <w:bookmarkStart w:id="400" w:name="_Toc109899575"/>
      <w:bookmarkStart w:id="401" w:name="_Toc26521"/>
      <w:bookmarkStart w:id="402" w:name="_Toc163493623"/>
      <w:r>
        <w:rPr>
          <w:rFonts w:hint="eastAsia" w:ascii="宋体" w:hAnsi="宋体" w:eastAsia="宋体" w:cs="宋体"/>
          <w:b/>
          <w:bCs/>
          <w:color w:val="auto"/>
          <w:kern w:val="2"/>
          <w:sz w:val="24"/>
          <w:szCs w:val="24"/>
          <w:highlight w:val="none"/>
          <w:lang w:val="en-US" w:eastAsia="zh-CN" w:bidi="ar-SA"/>
        </w:rPr>
        <w:t>（十五）其他</w:t>
      </w:r>
      <w:bookmarkEnd w:id="397"/>
      <w:bookmarkEnd w:id="398"/>
      <w:bookmarkEnd w:id="399"/>
      <w:bookmarkEnd w:id="400"/>
      <w:bookmarkEnd w:id="401"/>
      <w:bookmarkEnd w:id="402"/>
    </w:p>
    <w:p w14:paraId="0C2C4C1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3" w:name="_Toc161600347"/>
      <w:r>
        <w:rPr>
          <w:rFonts w:hint="eastAsia" w:ascii="宋体" w:hAnsi="宋体" w:eastAsia="宋体" w:cs="宋体"/>
          <w:b/>
          <w:bCs/>
          <w:color w:val="auto"/>
          <w:kern w:val="2"/>
          <w:sz w:val="24"/>
          <w:szCs w:val="24"/>
          <w:highlight w:val="none"/>
          <w:lang w:val="en-US" w:eastAsia="zh-CN" w:bidi="ar-SA"/>
        </w:rPr>
        <w:t>45.需要补充的其他内容</w:t>
      </w:r>
      <w:bookmarkEnd w:id="403"/>
    </w:p>
    <w:p w14:paraId="3957C993">
      <w:pPr>
        <w:pStyle w:val="33"/>
        <w:keepNext w:val="0"/>
        <w:keepLines w:val="0"/>
        <w:pageBreakBefore w:val="0"/>
        <w:widowControl w:val="0"/>
        <w:kinsoku/>
        <w:overflowPunct/>
        <w:topLinePunct w:val="0"/>
        <w:bidi w:val="0"/>
        <w:ind w:firstLine="480"/>
        <w:textAlignment w:val="auto"/>
        <w:rPr>
          <w:i w:val="0"/>
          <w:iCs w:val="0"/>
          <w:color w:val="auto"/>
          <w:highlight w:val="none"/>
        </w:rPr>
      </w:pPr>
      <w:r>
        <w:rPr>
          <w:rFonts w:hint="eastAsia"/>
          <w:i w:val="0"/>
          <w:iCs w:val="0"/>
          <w:color w:val="auto"/>
          <w:highlight w:val="none"/>
        </w:rPr>
        <w:t>4</w:t>
      </w:r>
      <w:r>
        <w:rPr>
          <w:rFonts w:hint="eastAsia"/>
          <w:i w:val="0"/>
          <w:iCs w:val="0"/>
          <w:color w:val="auto"/>
          <w:highlight w:val="none"/>
          <w:lang w:val="en-US" w:eastAsia="zh-CN"/>
        </w:rPr>
        <w:t>5</w:t>
      </w:r>
      <w:r>
        <w:rPr>
          <w:rFonts w:hint="eastAsia"/>
          <w:i w:val="0"/>
          <w:iCs w:val="0"/>
          <w:color w:val="auto"/>
          <w:highlight w:val="none"/>
        </w:rPr>
        <w:t>.1需要补充的其他内容：见供应商须知前附表。</w:t>
      </w:r>
    </w:p>
    <w:p w14:paraId="740594B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4" w:name="_Toc109899576"/>
      <w:bookmarkStart w:id="405" w:name="_Toc109899995"/>
      <w:bookmarkStart w:id="406" w:name="_Toc109897477"/>
      <w:bookmarkStart w:id="407" w:name="_Toc109900414"/>
      <w:r>
        <w:rPr>
          <w:rFonts w:hint="eastAsia" w:ascii="宋体" w:hAnsi="宋体" w:eastAsia="宋体" w:cs="宋体"/>
          <w:b/>
          <w:bCs/>
          <w:color w:val="auto"/>
          <w:kern w:val="2"/>
          <w:sz w:val="24"/>
          <w:szCs w:val="24"/>
          <w:highlight w:val="none"/>
          <w:lang w:val="en-US" w:eastAsia="zh-CN" w:bidi="ar-SA"/>
        </w:rPr>
        <w:t>46.适用法律</w:t>
      </w:r>
      <w:bookmarkEnd w:id="404"/>
      <w:bookmarkEnd w:id="405"/>
      <w:bookmarkEnd w:id="406"/>
      <w:bookmarkEnd w:id="407"/>
    </w:p>
    <w:p w14:paraId="48B6B3FD">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cs="仿宋_GB2312"/>
          <w:i w:val="0"/>
          <w:iCs w:val="0"/>
          <w:snapToGrid w:val="0"/>
          <w:color w:val="auto"/>
          <w:szCs w:val="24"/>
          <w:highlight w:val="none"/>
          <w:lang w:val="zh-CN"/>
        </w:rPr>
      </w:pPr>
      <w:r>
        <w:rPr>
          <w:rFonts w:hint="eastAsia" w:cs="仿宋_GB2312"/>
          <w:i w:val="0"/>
          <w:iCs w:val="0"/>
          <w:snapToGrid w:val="0"/>
          <w:color w:val="auto"/>
          <w:szCs w:val="24"/>
          <w:highlight w:val="none"/>
          <w:lang w:val="zh-CN"/>
        </w:rPr>
        <w:t>4</w:t>
      </w:r>
      <w:r>
        <w:rPr>
          <w:rFonts w:hint="eastAsia" w:cs="仿宋_GB2312"/>
          <w:i w:val="0"/>
          <w:iCs w:val="0"/>
          <w:snapToGrid w:val="0"/>
          <w:color w:val="auto"/>
          <w:szCs w:val="24"/>
          <w:highlight w:val="none"/>
          <w:lang w:val="en-US" w:eastAsia="zh-CN"/>
        </w:rPr>
        <w:t>6</w:t>
      </w:r>
      <w:r>
        <w:rPr>
          <w:rFonts w:cs="仿宋_GB2312"/>
          <w:i w:val="0"/>
          <w:iCs w:val="0"/>
          <w:snapToGrid w:val="0"/>
          <w:color w:val="auto"/>
          <w:szCs w:val="24"/>
          <w:highlight w:val="none"/>
          <w:lang w:val="zh-CN"/>
        </w:rPr>
        <w:t>.1</w:t>
      </w:r>
      <w:r>
        <w:rPr>
          <w:rFonts w:hint="eastAsia" w:cs="仿宋_GB2312"/>
          <w:i w:val="0"/>
          <w:iCs w:val="0"/>
          <w:snapToGrid w:val="0"/>
          <w:color w:val="auto"/>
          <w:szCs w:val="24"/>
          <w:highlight w:val="none"/>
          <w:lang w:val="zh-CN"/>
        </w:rPr>
        <w:t>采购人、采购代理机构及供应商的一切采购活动均适用《</w:t>
      </w:r>
      <w:r>
        <w:rPr>
          <w:rFonts w:hint="eastAsia"/>
          <w:i w:val="0"/>
          <w:iCs w:val="0"/>
          <w:snapToGrid w:val="0"/>
          <w:color w:val="auto"/>
          <w:highlight w:val="none"/>
        </w:rPr>
        <w:t>中华人民共和国</w:t>
      </w:r>
      <w:r>
        <w:rPr>
          <w:rFonts w:hint="eastAsia" w:cs="仿宋_GB2312"/>
          <w:i w:val="0"/>
          <w:iCs w:val="0"/>
          <w:snapToGrid w:val="0"/>
          <w:color w:val="auto"/>
          <w:szCs w:val="24"/>
          <w:highlight w:val="none"/>
          <w:lang w:val="zh-CN"/>
        </w:rPr>
        <w:t>政府采购法》、《</w:t>
      </w:r>
      <w:r>
        <w:rPr>
          <w:rFonts w:hint="eastAsia"/>
          <w:i w:val="0"/>
          <w:iCs w:val="0"/>
          <w:snapToGrid w:val="0"/>
          <w:color w:val="auto"/>
          <w:highlight w:val="none"/>
        </w:rPr>
        <w:t>中华人民共和国</w:t>
      </w:r>
      <w:r>
        <w:rPr>
          <w:rFonts w:hint="eastAsia" w:cs="仿宋_GB2312"/>
          <w:i w:val="0"/>
          <w:iCs w:val="0"/>
          <w:snapToGrid w:val="0"/>
          <w:color w:val="auto"/>
          <w:szCs w:val="24"/>
          <w:highlight w:val="none"/>
          <w:lang w:val="zh-CN"/>
        </w:rPr>
        <w:t>政府采购法实施条例》、</w:t>
      </w:r>
      <w:r>
        <w:rPr>
          <w:rFonts w:hint="eastAsia" w:cs="宋体"/>
          <w:i w:val="0"/>
          <w:iCs w:val="0"/>
          <w:color w:val="auto"/>
          <w:szCs w:val="24"/>
          <w:highlight w:val="none"/>
        </w:rPr>
        <w:t>《政府采购竞争性磋商采购方式管理暂行办法》（财库〔</w:t>
      </w:r>
      <w:r>
        <w:rPr>
          <w:rFonts w:cs="宋体"/>
          <w:i w:val="0"/>
          <w:iCs w:val="0"/>
          <w:color w:val="auto"/>
          <w:szCs w:val="24"/>
          <w:highlight w:val="none"/>
        </w:rPr>
        <w:t>2014〕214号</w:t>
      </w:r>
      <w:r>
        <w:rPr>
          <w:rFonts w:hint="eastAsia" w:cs="宋体"/>
          <w:i w:val="0"/>
          <w:iCs w:val="0"/>
          <w:color w:val="auto"/>
          <w:szCs w:val="24"/>
          <w:highlight w:val="none"/>
        </w:rPr>
        <w:t>）</w:t>
      </w:r>
      <w:r>
        <w:rPr>
          <w:rFonts w:hint="eastAsia" w:cs="仿宋_GB2312"/>
          <w:i w:val="0"/>
          <w:iCs w:val="0"/>
          <w:snapToGrid w:val="0"/>
          <w:color w:val="auto"/>
          <w:szCs w:val="24"/>
          <w:highlight w:val="none"/>
          <w:lang w:val="zh-CN"/>
        </w:rPr>
        <w:t>及相关法律法规。</w:t>
      </w:r>
    </w:p>
    <w:p w14:paraId="7EF83039">
      <w:pPr>
        <w:pStyle w:val="33"/>
        <w:keepNext w:val="0"/>
        <w:keepLines w:val="0"/>
        <w:pageBreakBefore w:val="0"/>
        <w:widowControl w:val="0"/>
        <w:kinsoku/>
        <w:overflowPunct/>
        <w:topLinePunct w:val="0"/>
        <w:bidi w:val="0"/>
        <w:ind w:firstLine="480"/>
        <w:textAlignment w:val="auto"/>
        <w:rPr>
          <w:i w:val="0"/>
          <w:iCs w:val="0"/>
          <w:snapToGrid w:val="0"/>
          <w:color w:val="auto"/>
          <w:highlight w:val="none"/>
          <w:lang w:val="zh-CN"/>
        </w:rPr>
      </w:pPr>
      <w:r>
        <w:rPr>
          <w:rFonts w:hint="eastAsia" w:cs="仿宋_GB2312"/>
          <w:i w:val="0"/>
          <w:iCs w:val="0"/>
          <w:snapToGrid w:val="0"/>
          <w:color w:val="auto"/>
          <w:szCs w:val="24"/>
          <w:highlight w:val="none"/>
          <w:lang w:val="zh-CN"/>
        </w:rPr>
        <w:t>4</w:t>
      </w:r>
      <w:r>
        <w:rPr>
          <w:rFonts w:hint="eastAsia" w:cs="仿宋_GB2312"/>
          <w:i w:val="0"/>
          <w:iCs w:val="0"/>
          <w:snapToGrid w:val="0"/>
          <w:color w:val="auto"/>
          <w:szCs w:val="24"/>
          <w:highlight w:val="none"/>
          <w:lang w:val="en-US" w:eastAsia="zh-CN"/>
        </w:rPr>
        <w:t>6</w:t>
      </w:r>
      <w:r>
        <w:rPr>
          <w:rFonts w:cs="仿宋_GB2312"/>
          <w:i w:val="0"/>
          <w:iCs w:val="0"/>
          <w:snapToGrid w:val="0"/>
          <w:color w:val="auto"/>
          <w:szCs w:val="24"/>
          <w:highlight w:val="none"/>
          <w:lang w:val="zh-CN"/>
        </w:rPr>
        <w:t>.2</w:t>
      </w:r>
      <w:r>
        <w:rPr>
          <w:rFonts w:hint="eastAsia"/>
          <w:i w:val="0"/>
          <w:iCs w:val="0"/>
          <w:snapToGrid w:val="0"/>
          <w:color w:val="auto"/>
          <w:highlight w:val="none"/>
          <w:lang w:val="zh-CN"/>
        </w:rPr>
        <w:t>政府采购合同的履行、违约责任和解决争议的方法等适用《</w:t>
      </w:r>
      <w:r>
        <w:rPr>
          <w:rFonts w:hint="eastAsia"/>
          <w:i w:val="0"/>
          <w:iCs w:val="0"/>
          <w:snapToGrid w:val="0"/>
          <w:color w:val="auto"/>
          <w:highlight w:val="none"/>
        </w:rPr>
        <w:t>中华人民共和国</w:t>
      </w:r>
      <w:r>
        <w:rPr>
          <w:rFonts w:hint="eastAsia"/>
          <w:i w:val="0"/>
          <w:iCs w:val="0"/>
          <w:snapToGrid w:val="0"/>
          <w:color w:val="auto"/>
          <w:highlight w:val="none"/>
          <w:lang w:val="zh-CN"/>
        </w:rPr>
        <w:t>民法典》。</w:t>
      </w:r>
    </w:p>
    <w:p w14:paraId="5A914310">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8" w:name="_Toc161600349"/>
      <w:bookmarkStart w:id="409" w:name="_Toc155185887"/>
      <w:r>
        <w:rPr>
          <w:rFonts w:hint="eastAsia" w:ascii="宋体" w:hAnsi="宋体" w:eastAsia="宋体" w:cs="宋体"/>
          <w:b/>
          <w:bCs/>
          <w:color w:val="auto"/>
          <w:kern w:val="2"/>
          <w:sz w:val="24"/>
          <w:szCs w:val="24"/>
          <w:highlight w:val="none"/>
          <w:lang w:val="en-US" w:eastAsia="zh-CN" w:bidi="ar-SA"/>
        </w:rPr>
        <w:t>47.解释权</w:t>
      </w:r>
      <w:bookmarkEnd w:id="408"/>
      <w:bookmarkEnd w:id="409"/>
    </w:p>
    <w:p w14:paraId="02BEF40F">
      <w:pPr>
        <w:pStyle w:val="33"/>
        <w:keepNext w:val="0"/>
        <w:keepLines w:val="0"/>
        <w:pageBreakBefore w:val="0"/>
        <w:widowControl w:val="0"/>
        <w:kinsoku/>
        <w:overflowPunct/>
        <w:topLinePunct w:val="0"/>
        <w:bidi w:val="0"/>
        <w:ind w:firstLine="480"/>
        <w:textAlignment w:val="auto"/>
        <w:rPr>
          <w:i w:val="0"/>
          <w:iCs w:val="0"/>
          <w:snapToGrid w:val="0"/>
          <w:color w:val="auto"/>
          <w:highlight w:val="none"/>
        </w:rPr>
      </w:pPr>
      <w:r>
        <w:rPr>
          <w:rFonts w:hint="eastAsia"/>
          <w:i w:val="0"/>
          <w:iCs w:val="0"/>
          <w:snapToGrid w:val="0"/>
          <w:color w:val="auto"/>
          <w:highlight w:val="none"/>
          <w:lang w:val="en-US" w:eastAsia="zh-CN"/>
        </w:rPr>
        <w:t>47</w:t>
      </w:r>
      <w:r>
        <w:rPr>
          <w:rFonts w:hint="eastAsia"/>
          <w:i w:val="0"/>
          <w:iCs w:val="0"/>
          <w:snapToGrid w:val="0"/>
          <w:color w:val="auto"/>
          <w:highlight w:val="none"/>
        </w:rPr>
        <w:t>.1本竞争性磋商文件最终解释权归采购人或采购代理机构所有。</w:t>
      </w:r>
    </w:p>
    <w:p w14:paraId="6A67B13D">
      <w:pPr>
        <w:pStyle w:val="33"/>
        <w:ind w:firstLine="480"/>
        <w:rPr>
          <w:i w:val="0"/>
          <w:iCs w:val="0"/>
          <w:color w:val="auto"/>
          <w:highlight w:val="none"/>
        </w:rPr>
      </w:pPr>
    </w:p>
    <w:p w14:paraId="216F1C6D">
      <w:pPr>
        <w:pStyle w:val="33"/>
        <w:ind w:firstLine="480"/>
        <w:rPr>
          <w:i w:val="0"/>
          <w:iCs w:val="0"/>
          <w:color w:val="auto"/>
          <w:highlight w:val="none"/>
        </w:rPr>
      </w:pPr>
    </w:p>
    <w:p w14:paraId="6C8F3CA4">
      <w:pPr>
        <w:pStyle w:val="33"/>
        <w:ind w:firstLine="480"/>
        <w:rPr>
          <w:i w:val="0"/>
          <w:iCs w:val="0"/>
          <w:color w:val="auto"/>
          <w:highlight w:val="none"/>
        </w:rPr>
        <w:sectPr>
          <w:footerReference r:id="rId8" w:type="default"/>
          <w:pgSz w:w="11906" w:h="16838"/>
          <w:pgMar w:top="1440" w:right="1800" w:bottom="1440" w:left="1800" w:header="851" w:footer="652" w:gutter="0"/>
          <w:pgNumType w:fmt="numberInDash"/>
          <w:cols w:space="0" w:num="1"/>
          <w:rtlGutter w:val="0"/>
          <w:docGrid w:type="lines" w:linePitch="312" w:charSpace="0"/>
        </w:sectPr>
      </w:pPr>
    </w:p>
    <w:p w14:paraId="39B2275E">
      <w:pPr>
        <w:pStyle w:val="2"/>
        <w:keepNext w:val="0"/>
        <w:keepLines w:val="0"/>
        <w:pageBreakBefore/>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10" w:name="_Toc14779"/>
      <w:r>
        <w:rPr>
          <w:rFonts w:hint="eastAsia" w:ascii="宋体" w:hAnsi="宋体" w:eastAsia="宋体" w:cs="宋体"/>
          <w:b/>
          <w:bCs/>
          <w:color w:val="auto"/>
          <w:kern w:val="44"/>
          <w:sz w:val="36"/>
          <w:szCs w:val="36"/>
          <w:highlight w:val="none"/>
          <w:lang w:val="en-US" w:eastAsia="zh-CN" w:bidi="ar-SA"/>
        </w:rPr>
        <w:t>第三章 项目采购需求</w:t>
      </w:r>
      <w:bookmarkEnd w:id="410"/>
    </w:p>
    <w:p w14:paraId="0DF28B20">
      <w:pPr>
        <w:keepNext w:val="0"/>
        <w:keepLines w:val="0"/>
        <w:pageBreakBefore w:val="0"/>
        <w:widowControl w:val="0"/>
        <w:kinsoku/>
        <w:wordWrap/>
        <w:overflowPunct/>
        <w:topLinePunct w:val="0"/>
        <w:autoSpaceDE/>
        <w:autoSpaceDN/>
        <w:bidi w:val="0"/>
        <w:adjustRightInd/>
        <w:snapToGrid/>
        <w:textAlignment w:val="auto"/>
        <w:rPr>
          <w:i w:val="0"/>
          <w:iCs w:val="0"/>
          <w:color w:val="auto"/>
          <w:sz w:val="24"/>
          <w:szCs w:val="24"/>
          <w:highlight w:val="none"/>
        </w:rPr>
      </w:pPr>
      <w:bookmarkStart w:id="411" w:name="_Toc140132812"/>
      <w:bookmarkStart w:id="412" w:name="_Toc155185889"/>
      <w:bookmarkStart w:id="413" w:name="_Toc163492886"/>
      <w:r>
        <w:rPr>
          <w:rFonts w:hint="eastAsia"/>
          <w:i w:val="0"/>
          <w:iCs w:val="0"/>
          <w:color w:val="auto"/>
          <w:sz w:val="24"/>
          <w:szCs w:val="24"/>
          <w:highlight w:val="none"/>
        </w:rPr>
        <w:t>【以下内容应根据项目情况作出具体采购需求描述，同时，制定各条款具体内容时与采购需求无关的将不得纳入】</w:t>
      </w:r>
    </w:p>
    <w:p w14:paraId="2C43F922">
      <w:pPr>
        <w:pStyle w:val="33"/>
        <w:keepNext w:val="0"/>
        <w:keepLines w:val="0"/>
        <w:pageBreakBefore w:val="0"/>
        <w:widowControl w:val="0"/>
        <w:kinsoku/>
        <w:overflowPunct/>
        <w:topLinePunct w:val="0"/>
        <w:autoSpaceDE/>
        <w:autoSpaceDN/>
        <w:bidi w:val="0"/>
        <w:adjustRightInd/>
        <w:textAlignment w:val="auto"/>
        <w:rPr>
          <w:rFonts w:hint="eastAsia"/>
          <w:b/>
          <w:bCs/>
          <w:snapToGrid w:val="0"/>
          <w:color w:val="auto"/>
          <w:sz w:val="24"/>
          <w:szCs w:val="24"/>
          <w:highlight w:val="none"/>
          <w:lang w:val="en-US" w:eastAsia="zh-CN"/>
        </w:rPr>
      </w:pPr>
      <w:r>
        <w:rPr>
          <w:rFonts w:hint="eastAsia"/>
          <w:b/>
          <w:bCs/>
          <w:snapToGrid w:val="0"/>
          <w:color w:val="auto"/>
          <w:sz w:val="24"/>
          <w:szCs w:val="24"/>
          <w:highlight w:val="none"/>
          <w:lang w:val="en-US" w:eastAsia="zh-CN"/>
        </w:rPr>
        <w:t xml:space="preserve">说明： </w:t>
      </w:r>
    </w:p>
    <w:p w14:paraId="04A97FB9">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snapToGrid w:val="0"/>
          <w:color w:val="auto"/>
          <w:sz w:val="24"/>
          <w:szCs w:val="24"/>
          <w:highlight w:val="none"/>
          <w:lang w:val="en-US" w:eastAsia="zh-CN"/>
        </w:rPr>
        <w:t>1. 当采购项目涉及数据中心相关设备、运维服务时，采购需求应当符合《绿色数据中心政府采购需求标准（试行）》（财库〔</w:t>
      </w:r>
      <w:r>
        <w:rPr>
          <w:rFonts w:hint="default"/>
          <w:snapToGrid w:val="0"/>
          <w:color w:val="auto"/>
          <w:sz w:val="24"/>
          <w:szCs w:val="24"/>
          <w:highlight w:val="none"/>
          <w:lang w:val="en-US" w:eastAsia="zh-CN"/>
        </w:rPr>
        <w:t>2023</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7 </w:t>
      </w:r>
      <w:r>
        <w:rPr>
          <w:rFonts w:hint="eastAsia"/>
          <w:snapToGrid w:val="0"/>
          <w:color w:val="auto"/>
          <w:sz w:val="24"/>
          <w:szCs w:val="24"/>
          <w:highlight w:val="none"/>
          <w:lang w:val="en-US" w:eastAsia="zh-CN"/>
        </w:rPr>
        <w:t xml:space="preserve">号）的有关要求。 </w:t>
      </w:r>
    </w:p>
    <w:p w14:paraId="19609329">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 </w:t>
      </w:r>
      <w:r>
        <w:rPr>
          <w:rFonts w:hint="eastAsia"/>
          <w:snapToGrid w:val="0"/>
          <w:color w:val="auto"/>
          <w:sz w:val="24"/>
          <w:szCs w:val="24"/>
          <w:highlight w:val="none"/>
          <w:lang w:val="en-US" w:eastAsia="zh-CN"/>
        </w:rPr>
        <w:t>当采购项目涉及政务信息系统时，采购需求应当符合《政务信息系统政府采购管理暂行办法》（财库〔</w:t>
      </w:r>
      <w:r>
        <w:rPr>
          <w:rFonts w:hint="default"/>
          <w:snapToGrid w:val="0"/>
          <w:color w:val="auto"/>
          <w:sz w:val="24"/>
          <w:szCs w:val="24"/>
          <w:highlight w:val="none"/>
          <w:lang w:val="en-US" w:eastAsia="zh-CN"/>
        </w:rPr>
        <w:t>2017</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210 </w:t>
      </w:r>
      <w:r>
        <w:rPr>
          <w:rFonts w:hint="eastAsia"/>
          <w:snapToGrid w:val="0"/>
          <w:color w:val="auto"/>
          <w:sz w:val="24"/>
          <w:szCs w:val="24"/>
          <w:highlight w:val="none"/>
          <w:lang w:val="en-US" w:eastAsia="zh-CN"/>
        </w:rPr>
        <w:t xml:space="preserve">号）的相关要求。 </w:t>
      </w:r>
    </w:p>
    <w:p w14:paraId="74BCECBF">
      <w:pPr>
        <w:pStyle w:val="3"/>
        <w:bidi w:val="0"/>
        <w:spacing w:line="240" w:lineRule="auto"/>
        <w:rPr>
          <w:rFonts w:hint="eastAsia"/>
          <w:sz w:val="28"/>
          <w:szCs w:val="28"/>
          <w:lang w:val="en-US" w:eastAsia="zh-CN"/>
        </w:rPr>
      </w:pPr>
      <w:bookmarkStart w:id="414" w:name="_Toc14726"/>
      <w:r>
        <w:rPr>
          <w:rFonts w:hint="eastAsia"/>
          <w:sz w:val="28"/>
          <w:szCs w:val="28"/>
          <w:lang w:val="en-US" w:eastAsia="zh-CN"/>
        </w:rPr>
        <w:t>一、采购标的</w:t>
      </w:r>
      <w:bookmarkEnd w:id="414"/>
      <w:r>
        <w:rPr>
          <w:rFonts w:hint="eastAsia"/>
          <w:sz w:val="28"/>
          <w:szCs w:val="28"/>
          <w:lang w:val="en-US" w:eastAsia="zh-CN"/>
        </w:rPr>
        <w:t xml:space="preserve"> </w:t>
      </w:r>
    </w:p>
    <w:p w14:paraId="197EA8D4">
      <w:pPr>
        <w:tabs>
          <w:tab w:val="left" w:pos="8160"/>
        </w:tabs>
        <w:ind w:firstLine="480" w:firstLineChars="200"/>
        <w:rPr>
          <w:rFonts w:hint="eastAsia"/>
          <w:lang w:val="en-US" w:eastAsia="zh-CN"/>
        </w:rPr>
      </w:pPr>
      <w:r>
        <w:rPr>
          <w:rFonts w:hint="eastAsia"/>
          <w:lang w:val="en-US" w:eastAsia="zh-CN"/>
        </w:rPr>
        <w:t>安装 1 套全波三维闪电定位仪和火险监测仪，改善林区森林防火工作现状，提高对森林火灾的综合治理能力，变被动扑火为科学防火，促进林区森林防火工作健康发展，实现林区不发生大的森林火灾，而且将森林火灾受害率控制在 0.9‰以内。有效地保护林区森林资源和人民生命财产的安全，改善巩乃斯林区的生态环境，方便农牧民的生产生活，促进了社会的稳定，保护林业建设成果，推进林业跨越式发展，实现林业和国民经济的可持续发展。（采购清单及货物指标如下）</w:t>
      </w:r>
    </w:p>
    <w:tbl>
      <w:tblPr>
        <w:tblStyle w:val="27"/>
        <w:tblW w:w="5100" w:type="pct"/>
        <w:tblInd w:w="30" w:type="dxa"/>
        <w:tblLayout w:type="autofit"/>
        <w:tblCellMar>
          <w:top w:w="15" w:type="dxa"/>
          <w:left w:w="15" w:type="dxa"/>
          <w:bottom w:w="15" w:type="dxa"/>
          <w:right w:w="15" w:type="dxa"/>
        </w:tblCellMar>
      </w:tblPr>
      <w:tblGrid>
        <w:gridCol w:w="816"/>
        <w:gridCol w:w="2274"/>
        <w:gridCol w:w="5413"/>
      </w:tblGrid>
      <w:tr w14:paraId="325D9313">
        <w:tblPrEx>
          <w:tblCellMar>
            <w:top w:w="15" w:type="dxa"/>
            <w:left w:w="15" w:type="dxa"/>
            <w:bottom w:w="15" w:type="dxa"/>
            <w:right w:w="15" w:type="dxa"/>
          </w:tblCellMar>
        </w:tblPrEx>
        <w:tc>
          <w:tcPr>
            <w:tcW w:w="480"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39BCAD02">
            <w:pPr>
              <w:spacing w:line="240" w:lineRule="auto"/>
              <w:jc w:val="center"/>
              <w:rPr>
                <w:rFonts w:hint="eastAsia" w:ascii="宋体" w:hAnsi="宋体" w:eastAsia="宋体" w:cs="宋体"/>
                <w:sz w:val="22"/>
                <w:szCs w:val="22"/>
              </w:rPr>
            </w:pPr>
            <w:r>
              <w:rPr>
                <w:rFonts w:hint="eastAsia" w:ascii="宋体" w:hAnsi="宋体" w:eastAsia="宋体" w:cs="宋体"/>
                <w:b/>
                <w:bCs/>
                <w:sz w:val="22"/>
                <w:szCs w:val="22"/>
              </w:rPr>
              <w:t>序号</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1645ED83">
            <w:pPr>
              <w:spacing w:line="240" w:lineRule="auto"/>
              <w:jc w:val="center"/>
              <w:rPr>
                <w:rFonts w:hint="eastAsia" w:ascii="宋体" w:hAnsi="宋体" w:eastAsia="宋体" w:cs="宋体"/>
                <w:sz w:val="22"/>
                <w:szCs w:val="22"/>
              </w:rPr>
            </w:pPr>
            <w:r>
              <w:rPr>
                <w:rFonts w:hint="eastAsia" w:ascii="宋体" w:hAnsi="宋体" w:eastAsia="宋体" w:cs="宋体"/>
                <w:b/>
                <w:bCs/>
                <w:sz w:val="22"/>
                <w:szCs w:val="22"/>
                <w:lang w:val="en-US" w:eastAsia="zh-CN"/>
              </w:rPr>
              <w:t>项目</w:t>
            </w:r>
            <w:r>
              <w:rPr>
                <w:rFonts w:hint="eastAsia" w:ascii="宋体" w:hAnsi="宋体" w:eastAsia="宋体" w:cs="宋体"/>
                <w:b/>
                <w:bCs/>
                <w:sz w:val="22"/>
                <w:szCs w:val="22"/>
              </w:rPr>
              <w:t>名称</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13B56E85">
            <w:pPr>
              <w:spacing w:line="240" w:lineRule="auto"/>
              <w:jc w:val="center"/>
              <w:rPr>
                <w:rFonts w:hint="eastAsia" w:ascii="宋体" w:hAnsi="宋体" w:eastAsia="宋体" w:cs="宋体"/>
                <w:sz w:val="22"/>
                <w:szCs w:val="22"/>
              </w:rPr>
            </w:pPr>
            <w:r>
              <w:rPr>
                <w:rFonts w:hint="eastAsia" w:ascii="宋体" w:hAnsi="宋体" w:eastAsia="宋体" w:cs="宋体"/>
                <w:b/>
                <w:bCs/>
                <w:sz w:val="22"/>
                <w:szCs w:val="22"/>
              </w:rPr>
              <w:t>指标需求</w:t>
            </w:r>
          </w:p>
        </w:tc>
      </w:tr>
      <w:tr w14:paraId="652E70BD">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AE00091">
            <w:pPr>
              <w:spacing w:line="240" w:lineRule="auto"/>
              <w:jc w:val="center"/>
              <w:rPr>
                <w:rFonts w:hint="eastAsia" w:ascii="宋体" w:hAnsi="宋体" w:eastAsia="宋体" w:cs="宋体"/>
                <w:sz w:val="22"/>
                <w:szCs w:val="22"/>
              </w:rPr>
            </w:pPr>
            <w:r>
              <w:rPr>
                <w:rFonts w:hint="eastAsia" w:ascii="宋体" w:hAnsi="宋体" w:eastAsia="宋体" w:cs="宋体"/>
                <w:sz w:val="22"/>
                <w:szCs w:val="22"/>
              </w:rPr>
              <w:t>1</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0E828B27">
            <w:pPr>
              <w:spacing w:line="240" w:lineRule="auto"/>
              <w:jc w:val="center"/>
              <w:rPr>
                <w:rFonts w:hint="eastAsia" w:ascii="宋体" w:hAnsi="宋体" w:eastAsia="宋体" w:cs="宋体"/>
                <w:sz w:val="22"/>
                <w:szCs w:val="22"/>
              </w:rPr>
            </w:pPr>
            <w:r>
              <w:rPr>
                <w:rFonts w:hint="eastAsia" w:ascii="宋体" w:hAnsi="宋体" w:eastAsia="宋体" w:cs="宋体"/>
                <w:sz w:val="22"/>
                <w:szCs w:val="22"/>
              </w:rPr>
              <w:t>全波形三维闪电定位仪（雷电探测和预警监测系统）</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1210DCA">
            <w:pPr>
              <w:spacing w:line="240" w:lineRule="auto"/>
              <w:rPr>
                <w:rFonts w:hint="eastAsia" w:ascii="宋体" w:hAnsi="宋体" w:eastAsia="宋体" w:cs="宋体"/>
                <w:sz w:val="22"/>
                <w:szCs w:val="22"/>
              </w:rPr>
            </w:pPr>
            <w:r>
              <w:rPr>
                <w:rFonts w:hint="eastAsia" w:ascii="宋体" w:hAnsi="宋体" w:eastAsia="宋体" w:cs="宋体"/>
                <w:sz w:val="22"/>
                <w:szCs w:val="22"/>
              </w:rPr>
              <w:t>★1.闪电类型：云闪、云地闪、双极性窄脉冲；（提供具有CMA标识的第三方权威机构出具的检测报告，并加盖投标人公章）</w:t>
            </w:r>
          </w:p>
          <w:p w14:paraId="2C1AE82F">
            <w:pPr>
              <w:spacing w:line="240" w:lineRule="auto"/>
              <w:rPr>
                <w:rFonts w:hint="eastAsia" w:ascii="宋体" w:hAnsi="宋体" w:eastAsia="宋体" w:cs="宋体"/>
                <w:sz w:val="22"/>
                <w:szCs w:val="22"/>
              </w:rPr>
            </w:pPr>
            <w:r>
              <w:rPr>
                <w:rFonts w:hint="eastAsia" w:ascii="宋体" w:hAnsi="宋体" w:eastAsia="宋体" w:cs="宋体"/>
                <w:sz w:val="22"/>
                <w:szCs w:val="22"/>
              </w:rPr>
              <w:t>★2.探测效率：云地闪≥95%，云闪≥70%；（提供具有CMA标识的第三方权威机构出具的检测报告，并加盖投标人公章）</w:t>
            </w:r>
          </w:p>
          <w:p w14:paraId="1F4A18D6">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3.定位精度：定位精度不大于500m（无遮挡）；（提供具有CMA标识的第三方权威机构出具的检测报告，并加盖投标人公章）</w:t>
            </w:r>
          </w:p>
          <w:p w14:paraId="78A78156">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4.基线距离：45~200km；（提供具有CMA标识的第三方权威机构出具的检测报告，并加盖投标人公章）</w:t>
            </w:r>
          </w:p>
          <w:p w14:paraId="4D19B7E7">
            <w:pPr>
              <w:spacing w:line="240" w:lineRule="auto"/>
              <w:rPr>
                <w:rFonts w:hint="eastAsia" w:ascii="宋体" w:hAnsi="宋体" w:eastAsia="宋体" w:cs="宋体"/>
                <w:sz w:val="22"/>
                <w:szCs w:val="22"/>
              </w:rPr>
            </w:pPr>
            <w:r>
              <w:rPr>
                <w:rFonts w:hint="eastAsia" w:ascii="宋体" w:hAnsi="宋体" w:eastAsia="宋体" w:cs="宋体"/>
                <w:sz w:val="22"/>
                <w:szCs w:val="22"/>
              </w:rPr>
              <w:t>5.探测方式:组网探测</w:t>
            </w:r>
          </w:p>
          <w:p w14:paraId="6EB0F5E7">
            <w:pPr>
              <w:spacing w:line="240" w:lineRule="auto"/>
              <w:rPr>
                <w:rFonts w:hint="eastAsia" w:ascii="宋体" w:hAnsi="宋体" w:eastAsia="宋体" w:cs="宋体"/>
                <w:sz w:val="22"/>
                <w:szCs w:val="22"/>
              </w:rPr>
            </w:pPr>
            <w:r>
              <w:rPr>
                <w:rFonts w:hint="eastAsia" w:ascii="宋体" w:hAnsi="宋体" w:eastAsia="宋体" w:cs="宋体"/>
                <w:sz w:val="22"/>
                <w:szCs w:val="22"/>
              </w:rPr>
              <w:t>6.传感器数量:≥4</w:t>
            </w:r>
          </w:p>
          <w:p w14:paraId="15D688B8">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7.频率范围:3kHz~350kHz；（提供具有CMA标识的第三方权威机构出具的检测报告，并加盖投标人公章）</w:t>
            </w:r>
          </w:p>
          <w:p w14:paraId="6247C09A">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8.性能:全自动系统校准与自检；（提供具有CMA标识的第三方权威机构出具的检测报告，并加盖投标人公章）</w:t>
            </w:r>
          </w:p>
          <w:p w14:paraId="75B4B1E7">
            <w:pPr>
              <w:spacing w:line="240" w:lineRule="auto"/>
              <w:rPr>
                <w:rFonts w:hint="eastAsia" w:ascii="宋体" w:hAnsi="宋体" w:eastAsia="宋体" w:cs="宋体"/>
                <w:sz w:val="22"/>
                <w:szCs w:val="22"/>
              </w:rPr>
            </w:pPr>
            <w:r>
              <w:rPr>
                <w:rFonts w:hint="eastAsia" w:ascii="宋体" w:hAnsi="宋体" w:eastAsia="宋体" w:cs="宋体"/>
                <w:sz w:val="22"/>
                <w:szCs w:val="22"/>
              </w:rPr>
              <w:t>远程配置:可远程配置操作参数</w:t>
            </w:r>
          </w:p>
          <w:p w14:paraId="3019E294">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9.回击分辨率:1ms；（提供具有CMA标识的第三方权威机构出具的检测报告，并加盖投标人公章）</w:t>
            </w:r>
          </w:p>
          <w:p w14:paraId="6C1624C0">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10.可靠性:MTBF≥10000h；（提供具有CMA标识的第三方权威机构出具的检测报告，并加盖投标人公章）</w:t>
            </w:r>
          </w:p>
          <w:p w14:paraId="288CC38D">
            <w:pPr>
              <w:spacing w:line="240" w:lineRule="auto"/>
              <w:rPr>
                <w:rFonts w:hint="eastAsia" w:ascii="宋体" w:hAnsi="宋体" w:eastAsia="宋体" w:cs="宋体"/>
                <w:sz w:val="22"/>
                <w:szCs w:val="22"/>
              </w:rPr>
            </w:pPr>
            <w:r>
              <w:rPr>
                <w:rFonts w:hint="eastAsia" w:ascii="宋体" w:hAnsi="宋体" w:eastAsia="宋体" w:cs="宋体"/>
                <w:sz w:val="22"/>
                <w:szCs w:val="22"/>
              </w:rPr>
              <w:t>11.通讯类型:可采用有线网络或4G网络</w:t>
            </w:r>
          </w:p>
          <w:p w14:paraId="3B36BDFB">
            <w:pPr>
              <w:spacing w:line="240" w:lineRule="auto"/>
              <w:rPr>
                <w:rFonts w:hint="eastAsia" w:ascii="宋体" w:hAnsi="宋体" w:eastAsia="宋体" w:cs="宋体"/>
                <w:sz w:val="22"/>
                <w:szCs w:val="22"/>
              </w:rPr>
            </w:pPr>
            <w:r>
              <w:rPr>
                <w:rFonts w:hint="eastAsia" w:ascii="宋体" w:hAnsi="宋体" w:eastAsia="宋体" w:cs="宋体"/>
                <w:sz w:val="22"/>
                <w:szCs w:val="22"/>
              </w:rPr>
              <w:t>12.功耗:≤15W</w:t>
            </w:r>
          </w:p>
          <w:p w14:paraId="3E232425">
            <w:pPr>
              <w:spacing w:line="240" w:lineRule="auto"/>
              <w:rPr>
                <w:rFonts w:hint="eastAsia" w:ascii="宋体" w:hAnsi="宋体" w:eastAsia="宋体" w:cs="宋体"/>
                <w:sz w:val="22"/>
                <w:szCs w:val="22"/>
              </w:rPr>
            </w:pPr>
            <w:r>
              <w:rPr>
                <w:rFonts w:hint="eastAsia" w:ascii="宋体" w:hAnsi="宋体" w:eastAsia="宋体" w:cs="宋体"/>
                <w:sz w:val="22"/>
                <w:szCs w:val="22"/>
              </w:rPr>
              <w:t>13.供电方式:市电（175～275伏））</w:t>
            </w:r>
          </w:p>
        </w:tc>
      </w:tr>
      <w:tr w14:paraId="7D3222E3">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1A7DF92">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w:t>
            </w:r>
          </w:p>
        </w:tc>
        <w:tc>
          <w:tcPr>
            <w:tcW w:w="4519" w:type="pct"/>
            <w:gridSpan w:val="2"/>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6038C6DE">
            <w:pPr>
              <w:spacing w:line="240" w:lineRule="auto"/>
              <w:rPr>
                <w:rFonts w:hint="eastAsia" w:ascii="宋体" w:hAnsi="宋体" w:eastAsia="宋体" w:cs="宋体"/>
                <w:sz w:val="22"/>
                <w:szCs w:val="22"/>
              </w:rPr>
            </w:pPr>
            <w:r>
              <w:rPr>
                <w:rFonts w:hint="eastAsia" w:ascii="宋体" w:hAnsi="宋体" w:eastAsia="宋体" w:cs="宋体"/>
                <w:sz w:val="22"/>
                <w:szCs w:val="22"/>
              </w:rPr>
              <w:t>火险监测仪（火险自动监测系统）</w:t>
            </w:r>
          </w:p>
        </w:tc>
      </w:tr>
      <w:tr w14:paraId="5E92EBBD">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0771626B">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2.1</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23D95167">
            <w:pPr>
              <w:spacing w:line="240" w:lineRule="auto"/>
              <w:jc w:val="center"/>
              <w:rPr>
                <w:rFonts w:hint="eastAsia" w:ascii="宋体" w:hAnsi="宋体" w:eastAsia="宋体" w:cs="宋体"/>
                <w:sz w:val="22"/>
                <w:szCs w:val="22"/>
              </w:rPr>
            </w:pPr>
            <w:r>
              <w:rPr>
                <w:rFonts w:hint="eastAsia" w:ascii="宋体" w:hAnsi="宋体" w:eastAsia="宋体" w:cs="宋体"/>
                <w:sz w:val="22"/>
                <w:szCs w:val="22"/>
              </w:rPr>
              <w:t>因子采集边缘融合终端</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6314AE8A">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 xml:space="preserve">1.采用密封箱体，具备防雨、防尘、防腐、防雷、防盗等；（提供具有CMA标识的第三方权威机构出具的检测报告，并加盖投标人公章） </w:t>
            </w:r>
          </w:p>
          <w:p w14:paraId="2B78C0F8">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2.支持防盗告警、远程标定、远程定位、远程管理、运行维护等功能；（提供具有CMA标识的第三方权威机构出具的检测报告，并加盖投标人公章）</w:t>
            </w:r>
          </w:p>
          <w:p w14:paraId="528FC5F4">
            <w:pPr>
              <w:spacing w:line="240" w:lineRule="auto"/>
              <w:rPr>
                <w:rFonts w:hint="eastAsia" w:ascii="宋体" w:hAnsi="宋体" w:eastAsia="宋体" w:cs="宋体"/>
                <w:sz w:val="22"/>
                <w:szCs w:val="22"/>
              </w:rPr>
            </w:pPr>
            <w:r>
              <w:rPr>
                <w:rFonts w:hint="eastAsia" w:ascii="宋体" w:hAnsi="宋体" w:eastAsia="宋体" w:cs="宋体"/>
                <w:sz w:val="22"/>
                <w:szCs w:val="22"/>
              </w:rPr>
              <w:t>3.通讯方式：以太网、物联网、2G/3G/4G，支持GPRS/3G/4G 无线通信传输；</w:t>
            </w:r>
          </w:p>
          <w:p w14:paraId="70AA1600">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4.接口类型（标准航插接头）：RJ45、RS485、IO；（提供具有CMA标识的第三方权威机构出具的检测报告，并加盖投标人公章）</w:t>
            </w:r>
          </w:p>
          <w:p w14:paraId="481B0193">
            <w:pPr>
              <w:spacing w:line="240" w:lineRule="auto"/>
              <w:rPr>
                <w:rFonts w:hint="eastAsia" w:ascii="宋体" w:hAnsi="宋体" w:eastAsia="宋体" w:cs="宋体"/>
                <w:sz w:val="22"/>
                <w:szCs w:val="22"/>
              </w:rPr>
            </w:pPr>
            <w:r>
              <w:rPr>
                <w:rFonts w:hint="eastAsia" w:ascii="宋体" w:hAnsi="宋体" w:eastAsia="宋体" w:cs="宋体"/>
                <w:sz w:val="22"/>
                <w:szCs w:val="22"/>
              </w:rPr>
              <w:t>5.工作温度：-40~65℃；</w:t>
            </w:r>
          </w:p>
          <w:p w14:paraId="4F183CBE">
            <w:pPr>
              <w:spacing w:line="240" w:lineRule="auto"/>
              <w:rPr>
                <w:rFonts w:hint="eastAsia" w:ascii="宋体" w:hAnsi="宋体" w:eastAsia="宋体" w:cs="宋体"/>
                <w:sz w:val="22"/>
                <w:szCs w:val="22"/>
              </w:rPr>
            </w:pPr>
            <w:r>
              <w:rPr>
                <w:rFonts w:hint="eastAsia" w:ascii="宋体" w:hAnsi="宋体" w:eastAsia="宋体" w:cs="宋体"/>
                <w:sz w:val="22"/>
                <w:szCs w:val="22"/>
              </w:rPr>
              <w:t>6.工作湿度：≤95%Rh（无凝露）；</w:t>
            </w:r>
          </w:p>
          <w:p w14:paraId="6FDF24C7">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7.防护等级：IP66及以上。（提供具有CMA标识的第三方权威机构出具的检测报告，并加盖投标人公章）</w:t>
            </w:r>
          </w:p>
        </w:tc>
      </w:tr>
      <w:tr w14:paraId="5ED49DC5">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56A9ED5">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2.2</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265C1DCF">
            <w:pPr>
              <w:spacing w:line="240" w:lineRule="auto"/>
              <w:jc w:val="center"/>
              <w:rPr>
                <w:rFonts w:hint="eastAsia" w:ascii="宋体" w:hAnsi="宋体" w:eastAsia="宋体" w:cs="宋体"/>
                <w:sz w:val="22"/>
                <w:szCs w:val="22"/>
              </w:rPr>
            </w:pPr>
            <w:r>
              <w:rPr>
                <w:rFonts w:hint="eastAsia" w:ascii="宋体" w:hAnsi="宋体" w:eastAsia="宋体" w:cs="宋体"/>
                <w:sz w:val="22"/>
                <w:szCs w:val="22"/>
              </w:rPr>
              <w:t>可燃物多因子传感器</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36F04C2A">
            <w:pPr>
              <w:spacing w:line="240" w:lineRule="auto"/>
              <w:rPr>
                <w:rFonts w:hint="eastAsia" w:ascii="宋体" w:hAnsi="宋体" w:eastAsia="宋体" w:cs="宋体"/>
                <w:sz w:val="22"/>
                <w:szCs w:val="22"/>
              </w:rPr>
            </w:pPr>
            <w:r>
              <w:rPr>
                <w:rFonts w:hint="eastAsia" w:ascii="宋体" w:hAnsi="宋体" w:eastAsia="宋体" w:cs="宋体"/>
                <w:sz w:val="22"/>
                <w:szCs w:val="22"/>
              </w:rPr>
              <w:t>1.凋落物含水率传感器</w:t>
            </w:r>
          </w:p>
          <w:p w14:paraId="3BA6C96A">
            <w:pPr>
              <w:spacing w:line="240" w:lineRule="auto"/>
              <w:rPr>
                <w:rFonts w:hint="eastAsia" w:ascii="宋体" w:hAnsi="宋体" w:eastAsia="宋体" w:cs="宋体"/>
                <w:sz w:val="22"/>
                <w:szCs w:val="22"/>
              </w:rPr>
            </w:pPr>
            <w:r>
              <w:rPr>
                <w:rFonts w:hint="eastAsia" w:ascii="宋体" w:hAnsi="宋体" w:eastAsia="宋体" w:cs="宋体"/>
                <w:sz w:val="22"/>
                <w:szCs w:val="22"/>
              </w:rPr>
              <w:t>1）测量范围：0~100%；</w:t>
            </w:r>
          </w:p>
          <w:p w14:paraId="0889BF67">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2780885E">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3）最大允许误差：±3%；</w:t>
            </w:r>
          </w:p>
          <w:p w14:paraId="08FC4F99">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52866511">
            <w:pPr>
              <w:spacing w:line="240" w:lineRule="auto"/>
              <w:rPr>
                <w:rFonts w:hint="eastAsia" w:ascii="宋体" w:hAnsi="宋体" w:eastAsia="宋体" w:cs="宋体"/>
                <w:sz w:val="22"/>
                <w:szCs w:val="22"/>
              </w:rPr>
            </w:pPr>
            <w:r>
              <w:rPr>
                <w:rFonts w:hint="eastAsia" w:ascii="宋体" w:hAnsi="宋体" w:eastAsia="宋体" w:cs="宋体"/>
                <w:sz w:val="22"/>
                <w:szCs w:val="22"/>
              </w:rPr>
              <w:t>2.凋落物温度传感器</w:t>
            </w:r>
          </w:p>
          <w:p w14:paraId="08E017C5">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1）测量范围：-40～85℃；（提供具有CMA标识的第三方权威机构出具的检测报告，并加盖投标人公章）</w:t>
            </w:r>
          </w:p>
          <w:p w14:paraId="17FC84D6">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4D80B5EC">
            <w:pPr>
              <w:spacing w:line="240" w:lineRule="auto"/>
              <w:rPr>
                <w:rFonts w:hint="eastAsia" w:ascii="宋体" w:hAnsi="宋体" w:eastAsia="宋体" w:cs="宋体"/>
                <w:sz w:val="22"/>
                <w:szCs w:val="22"/>
              </w:rPr>
            </w:pPr>
            <w:r>
              <w:rPr>
                <w:rFonts w:hint="eastAsia" w:ascii="宋体" w:hAnsi="宋体" w:eastAsia="宋体" w:cs="宋体"/>
                <w:sz w:val="22"/>
                <w:szCs w:val="22"/>
              </w:rPr>
              <w:t xml:space="preserve">3）最大允许误差：±0.2℃(≤50℃）；±0.5℃（&gt;50℃）； </w:t>
            </w:r>
          </w:p>
          <w:p w14:paraId="5DCFF0B4">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4）采样频率：6次/min。（提供具有CMA标识的第三方权威机构出具的检测报告，并加盖投标人公章）</w:t>
            </w:r>
          </w:p>
          <w:p w14:paraId="0D521EA8">
            <w:pPr>
              <w:spacing w:line="240" w:lineRule="auto"/>
              <w:rPr>
                <w:rFonts w:hint="eastAsia" w:ascii="宋体" w:hAnsi="宋体" w:eastAsia="宋体" w:cs="宋体"/>
                <w:sz w:val="22"/>
                <w:szCs w:val="22"/>
              </w:rPr>
            </w:pPr>
            <w:r>
              <w:rPr>
                <w:rFonts w:hint="eastAsia" w:ascii="宋体" w:hAnsi="宋体" w:eastAsia="宋体" w:cs="宋体"/>
                <w:sz w:val="22"/>
                <w:szCs w:val="22"/>
              </w:rPr>
              <w:t>3.地表温湿度传感器</w:t>
            </w:r>
          </w:p>
          <w:p w14:paraId="226ED0C6">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1）地表温度测量范围：-50～80℃；（提供具有CMA标识的第三方权威机构出具的检测报告，并加盖投标人公章）</w:t>
            </w:r>
          </w:p>
          <w:p w14:paraId="104C092F">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50090DF7">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 xml:space="preserve">3）最大允许误差：±0.2℃(≤50℃）；±0.5℃（&gt;50℃）；（提供具有CMA标识的第三方权威机构出具的检测报告，并加盖投标人公章） </w:t>
            </w:r>
          </w:p>
          <w:p w14:paraId="066997EC">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1BF5EE63">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5）地表湿度测量范围：0～100%；（提供具有CMA标识的第三方权威机构出具的检测报告，并加盖投标人公章）</w:t>
            </w:r>
          </w:p>
          <w:p w14:paraId="44C7018A">
            <w:pPr>
              <w:spacing w:line="240" w:lineRule="auto"/>
              <w:rPr>
                <w:rFonts w:hint="eastAsia" w:ascii="宋体" w:hAnsi="宋体" w:eastAsia="宋体" w:cs="宋体"/>
                <w:sz w:val="22"/>
                <w:szCs w:val="22"/>
              </w:rPr>
            </w:pPr>
            <w:r>
              <w:rPr>
                <w:rFonts w:hint="eastAsia" w:ascii="宋体" w:hAnsi="宋体" w:eastAsia="宋体" w:cs="宋体"/>
                <w:sz w:val="22"/>
                <w:szCs w:val="22"/>
              </w:rPr>
              <w:t>6）分辨率：1%；</w:t>
            </w:r>
          </w:p>
          <w:p w14:paraId="2192E01B">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7）最大允许误差：±3%；（提供具有CMA标识的第三方权威机构出具的检测报告，并加盖投标人公章）</w:t>
            </w:r>
          </w:p>
          <w:p w14:paraId="1AAC1E8A">
            <w:pPr>
              <w:spacing w:line="240" w:lineRule="auto"/>
              <w:rPr>
                <w:rFonts w:hint="eastAsia" w:ascii="宋体" w:hAnsi="宋体" w:eastAsia="宋体" w:cs="宋体"/>
                <w:sz w:val="22"/>
                <w:szCs w:val="22"/>
              </w:rPr>
            </w:pPr>
            <w:r>
              <w:rPr>
                <w:rFonts w:hint="eastAsia" w:ascii="宋体" w:hAnsi="宋体" w:eastAsia="宋体" w:cs="宋体"/>
                <w:sz w:val="22"/>
                <w:szCs w:val="22"/>
              </w:rPr>
              <w:t>8）采样频率：6次/min。</w:t>
            </w:r>
          </w:p>
          <w:p w14:paraId="581C467C">
            <w:pPr>
              <w:spacing w:line="240" w:lineRule="auto"/>
              <w:rPr>
                <w:rFonts w:hint="eastAsia" w:ascii="宋体" w:hAnsi="宋体" w:eastAsia="宋体" w:cs="宋体"/>
                <w:sz w:val="22"/>
                <w:szCs w:val="22"/>
              </w:rPr>
            </w:pPr>
            <w:r>
              <w:rPr>
                <w:rFonts w:hint="eastAsia" w:ascii="宋体" w:hAnsi="宋体" w:eastAsia="宋体" w:cs="宋体"/>
                <w:sz w:val="22"/>
                <w:szCs w:val="22"/>
              </w:rPr>
              <w:t>4.多层土壤含水率传感器</w:t>
            </w:r>
          </w:p>
          <w:p w14:paraId="4FC8DF48">
            <w:pPr>
              <w:spacing w:line="240" w:lineRule="auto"/>
              <w:rPr>
                <w:rFonts w:hint="eastAsia" w:ascii="宋体" w:hAnsi="宋体" w:eastAsia="宋体" w:cs="宋体"/>
                <w:sz w:val="22"/>
                <w:szCs w:val="22"/>
              </w:rPr>
            </w:pPr>
            <w:r>
              <w:rPr>
                <w:rFonts w:hint="eastAsia" w:ascii="宋体" w:hAnsi="宋体" w:eastAsia="宋体" w:cs="宋体"/>
                <w:sz w:val="22"/>
                <w:szCs w:val="22"/>
              </w:rPr>
              <w:t>1）测量范围：0~100%；</w:t>
            </w:r>
          </w:p>
          <w:p w14:paraId="682ABDFF">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4AC7CE9B">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3）最大允许误差：±3%；</w:t>
            </w:r>
          </w:p>
          <w:p w14:paraId="6E4DEA85">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4）采样频率：6次/min。</w:t>
            </w:r>
          </w:p>
          <w:p w14:paraId="3E2AE4D5">
            <w:pPr>
              <w:spacing w:line="240" w:lineRule="auto"/>
              <w:rPr>
                <w:rFonts w:hint="eastAsia" w:ascii="宋体" w:hAnsi="宋体" w:eastAsia="宋体" w:cs="宋体"/>
                <w:sz w:val="22"/>
                <w:szCs w:val="22"/>
              </w:rPr>
            </w:pPr>
            <w:r>
              <w:rPr>
                <w:rFonts w:hint="eastAsia" w:ascii="宋体" w:hAnsi="宋体" w:eastAsia="宋体" w:cs="宋体"/>
                <w:sz w:val="22"/>
                <w:szCs w:val="22"/>
              </w:rPr>
              <w:t>5.多层土壤温度传感器</w:t>
            </w:r>
          </w:p>
          <w:p w14:paraId="0E99843E">
            <w:pPr>
              <w:spacing w:line="240" w:lineRule="auto"/>
              <w:rPr>
                <w:rFonts w:hint="eastAsia" w:ascii="宋体" w:hAnsi="宋体" w:eastAsia="宋体" w:cs="宋体"/>
                <w:sz w:val="22"/>
                <w:szCs w:val="22"/>
              </w:rPr>
            </w:pPr>
            <w:r>
              <w:rPr>
                <w:rFonts w:hint="eastAsia" w:ascii="宋体" w:hAnsi="宋体" w:eastAsia="宋体" w:cs="宋体"/>
                <w:sz w:val="22"/>
                <w:szCs w:val="22"/>
              </w:rPr>
              <w:t>1)浅层土壤温度测量范围：-40至60℃；</w:t>
            </w:r>
          </w:p>
          <w:p w14:paraId="3272EF3A">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7E506074">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3)最大允许误差：±0.3℃；</w:t>
            </w:r>
          </w:p>
          <w:p w14:paraId="6C9140EB">
            <w:pPr>
              <w:spacing w:line="240" w:lineRule="auto"/>
              <w:rPr>
                <w:rFonts w:hint="eastAsia" w:ascii="宋体" w:hAnsi="宋体" w:eastAsia="宋体" w:cs="宋体"/>
                <w:sz w:val="22"/>
                <w:szCs w:val="22"/>
              </w:rPr>
            </w:pPr>
            <w:r>
              <w:rPr>
                <w:rFonts w:hint="eastAsia" w:ascii="宋体" w:hAnsi="宋体" w:eastAsia="宋体" w:cs="宋体"/>
                <w:sz w:val="22"/>
                <w:szCs w:val="22"/>
              </w:rPr>
              <w:t>4)深层土壤温度测量范围：-30至40℃；</w:t>
            </w:r>
          </w:p>
          <w:p w14:paraId="1B745E1A">
            <w:pPr>
              <w:spacing w:line="240" w:lineRule="auto"/>
              <w:rPr>
                <w:rFonts w:hint="eastAsia" w:ascii="宋体" w:hAnsi="宋体" w:eastAsia="宋体" w:cs="宋体"/>
                <w:sz w:val="22"/>
                <w:szCs w:val="22"/>
              </w:rPr>
            </w:pPr>
            <w:r>
              <w:rPr>
                <w:rFonts w:hint="eastAsia" w:ascii="宋体" w:hAnsi="宋体" w:eastAsia="宋体" w:cs="宋体"/>
                <w:sz w:val="22"/>
                <w:szCs w:val="22"/>
              </w:rPr>
              <w:t>5)分辨率：0.1℃；</w:t>
            </w:r>
          </w:p>
          <w:p w14:paraId="5A4AC01E">
            <w:pPr>
              <w:spacing w:line="240" w:lineRule="auto"/>
              <w:rPr>
                <w:rFonts w:hint="eastAsia" w:ascii="宋体" w:hAnsi="宋体" w:eastAsia="宋体" w:cs="宋体"/>
                <w:sz w:val="22"/>
                <w:szCs w:val="22"/>
              </w:rPr>
            </w:pPr>
            <w:r>
              <w:rPr>
                <w:rFonts w:hint="eastAsia" w:ascii="宋体" w:hAnsi="宋体" w:eastAsia="宋体" w:cs="宋体"/>
                <w:sz w:val="22"/>
                <w:szCs w:val="22"/>
              </w:rPr>
              <w:t>6)最大允许误差：±0.3℃；</w:t>
            </w:r>
          </w:p>
          <w:p w14:paraId="00B93357">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7)采样频率：6次/min。（提供具有CMA或CNAS标识的第三方权威机构出具的检测报告，并加盖投标人公章）</w:t>
            </w:r>
          </w:p>
          <w:p w14:paraId="5BF34E6C">
            <w:pPr>
              <w:spacing w:line="240" w:lineRule="auto"/>
              <w:rPr>
                <w:rFonts w:hint="eastAsia" w:ascii="宋体" w:hAnsi="宋体" w:eastAsia="宋体" w:cs="宋体"/>
                <w:sz w:val="22"/>
                <w:szCs w:val="22"/>
              </w:rPr>
            </w:pPr>
            <w:r>
              <w:rPr>
                <w:rFonts w:hint="eastAsia" w:ascii="宋体" w:hAnsi="宋体" w:eastAsia="宋体" w:cs="宋体"/>
                <w:sz w:val="22"/>
                <w:szCs w:val="22"/>
              </w:rPr>
              <w:t>6.可燃物物候传感器</w:t>
            </w:r>
          </w:p>
          <w:p w14:paraId="20145975">
            <w:pPr>
              <w:spacing w:line="240" w:lineRule="auto"/>
              <w:rPr>
                <w:rFonts w:hint="eastAsia" w:ascii="宋体" w:hAnsi="宋体" w:eastAsia="宋体" w:cs="宋体"/>
                <w:sz w:val="22"/>
                <w:szCs w:val="22"/>
              </w:rPr>
            </w:pPr>
            <w:r>
              <w:rPr>
                <w:rFonts w:hint="eastAsia" w:ascii="宋体" w:hAnsi="宋体" w:eastAsia="宋体" w:cs="宋体"/>
                <w:sz w:val="22"/>
                <w:szCs w:val="22"/>
              </w:rPr>
              <w:t>1)测量对象：地表可燃物；</w:t>
            </w:r>
          </w:p>
          <w:p w14:paraId="47B8A2BD">
            <w:pPr>
              <w:spacing w:line="240" w:lineRule="auto"/>
              <w:rPr>
                <w:rFonts w:hint="eastAsia" w:ascii="宋体" w:hAnsi="宋体" w:eastAsia="宋体" w:cs="宋体"/>
                <w:sz w:val="22"/>
                <w:szCs w:val="22"/>
              </w:rPr>
            </w:pPr>
            <w:r>
              <w:rPr>
                <w:rFonts w:hint="eastAsia" w:ascii="宋体" w:hAnsi="宋体" w:eastAsia="宋体" w:cs="宋体"/>
                <w:sz w:val="22"/>
                <w:szCs w:val="22"/>
              </w:rPr>
              <w:t xml:space="preserve">2)工作温度：-40-65℃； </w:t>
            </w:r>
          </w:p>
          <w:p w14:paraId="11480035">
            <w:pPr>
              <w:spacing w:line="240" w:lineRule="auto"/>
              <w:rPr>
                <w:rFonts w:hint="eastAsia" w:ascii="宋体" w:hAnsi="宋体" w:eastAsia="宋体" w:cs="宋体"/>
                <w:sz w:val="22"/>
                <w:szCs w:val="22"/>
              </w:rPr>
            </w:pPr>
            <w:r>
              <w:rPr>
                <w:rFonts w:hint="eastAsia" w:ascii="宋体" w:hAnsi="宋体" w:eastAsia="宋体" w:cs="宋体"/>
                <w:sz w:val="22"/>
                <w:szCs w:val="22"/>
              </w:rPr>
              <w:t>3)工作湿度：0-100%RH；</w:t>
            </w:r>
          </w:p>
          <w:p w14:paraId="123CB90A">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4)防护等级：IP66及以上；（提供具有CMA标识的第三方权威机构出具的检测报告，并加盖投标人公章）</w:t>
            </w:r>
          </w:p>
          <w:p w14:paraId="3E93688F">
            <w:pPr>
              <w:spacing w:line="240" w:lineRule="auto"/>
              <w:rPr>
                <w:rFonts w:hint="eastAsia" w:ascii="宋体" w:hAnsi="宋体" w:eastAsia="宋体" w:cs="宋体"/>
                <w:sz w:val="22"/>
                <w:szCs w:val="22"/>
              </w:rPr>
            </w:pPr>
            <w:r>
              <w:rPr>
                <w:rFonts w:hint="eastAsia" w:ascii="宋体" w:hAnsi="宋体" w:eastAsia="宋体" w:cs="宋体"/>
                <w:sz w:val="22"/>
                <w:szCs w:val="22"/>
              </w:rPr>
              <w:t>5)探测模式；可见光/近红外双波段模式；</w:t>
            </w:r>
          </w:p>
          <w:p w14:paraId="381F0B12">
            <w:pPr>
              <w:spacing w:line="240" w:lineRule="auto"/>
              <w:rPr>
                <w:rFonts w:hint="eastAsia" w:ascii="宋体" w:hAnsi="宋体" w:eastAsia="宋体" w:cs="宋体"/>
                <w:sz w:val="22"/>
                <w:szCs w:val="22"/>
              </w:rPr>
            </w:pPr>
            <w:r>
              <w:rPr>
                <w:rFonts w:hint="eastAsia" w:ascii="宋体" w:hAnsi="宋体" w:eastAsia="宋体" w:cs="宋体"/>
                <w:sz w:val="22"/>
                <w:szCs w:val="22"/>
              </w:rPr>
              <w:t>6)输出模式：物候指数GCC、NDVI等指标；</w:t>
            </w:r>
          </w:p>
          <w:p w14:paraId="19F87234">
            <w:pPr>
              <w:spacing w:line="240" w:lineRule="auto"/>
              <w:rPr>
                <w:rFonts w:hint="eastAsia" w:ascii="宋体" w:hAnsi="宋体" w:eastAsia="宋体" w:cs="宋体"/>
                <w:sz w:val="22"/>
                <w:szCs w:val="22"/>
              </w:rPr>
            </w:pPr>
            <w:r>
              <w:rPr>
                <w:rFonts w:hint="eastAsia" w:ascii="宋体" w:hAnsi="宋体" w:eastAsia="宋体" w:cs="宋体"/>
                <w:sz w:val="22"/>
                <w:szCs w:val="22"/>
              </w:rPr>
              <w:t>7)测量模式：静态图像；</w:t>
            </w:r>
          </w:p>
          <w:p w14:paraId="6B42055C">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8)物候分析能力：物候图像预处理功能、绿度植被指数计算功能、返青积雪识别功能、数据导入导出功能、统计分析功能、时间序列图像批处理功能。（提供具有CMA标识的第三方权威机构出具的检测报告，并加盖投标人公章）</w:t>
            </w:r>
          </w:p>
        </w:tc>
      </w:tr>
      <w:tr w14:paraId="098E1F62">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1DB57871">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2.3</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55DA53C7">
            <w:pPr>
              <w:spacing w:line="240" w:lineRule="auto"/>
              <w:jc w:val="center"/>
              <w:rPr>
                <w:rFonts w:hint="eastAsia" w:ascii="宋体" w:hAnsi="宋体" w:eastAsia="宋体" w:cs="宋体"/>
                <w:sz w:val="22"/>
                <w:szCs w:val="22"/>
              </w:rPr>
            </w:pPr>
            <w:r>
              <w:rPr>
                <w:rFonts w:hint="eastAsia" w:ascii="宋体" w:hAnsi="宋体" w:eastAsia="宋体" w:cs="宋体"/>
                <w:sz w:val="22"/>
                <w:szCs w:val="22"/>
              </w:rPr>
              <w:t>多要素气象传感器</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33CCD322">
            <w:pPr>
              <w:spacing w:line="240" w:lineRule="auto"/>
              <w:rPr>
                <w:rFonts w:hint="eastAsia" w:ascii="宋体" w:hAnsi="宋体" w:eastAsia="宋体" w:cs="宋体"/>
                <w:sz w:val="22"/>
                <w:szCs w:val="22"/>
              </w:rPr>
            </w:pPr>
            <w:r>
              <w:rPr>
                <w:rFonts w:hint="eastAsia" w:ascii="宋体" w:hAnsi="宋体" w:eastAsia="宋体" w:cs="宋体"/>
                <w:sz w:val="22"/>
                <w:szCs w:val="22"/>
              </w:rPr>
              <w:t>1.空气温度传感器</w:t>
            </w:r>
          </w:p>
          <w:p w14:paraId="53CC9106">
            <w:pPr>
              <w:spacing w:line="240" w:lineRule="auto"/>
              <w:rPr>
                <w:rFonts w:hint="eastAsia" w:ascii="宋体" w:hAnsi="宋体" w:eastAsia="宋体" w:cs="宋体"/>
                <w:sz w:val="22"/>
                <w:szCs w:val="22"/>
              </w:rPr>
            </w:pPr>
            <w:r>
              <w:rPr>
                <w:rFonts w:hint="eastAsia" w:ascii="宋体" w:hAnsi="宋体" w:eastAsia="宋体" w:cs="宋体"/>
                <w:sz w:val="22"/>
                <w:szCs w:val="22"/>
              </w:rPr>
              <w:t>1)测量范围：-50～50℃；</w:t>
            </w:r>
          </w:p>
          <w:p w14:paraId="69E46C91">
            <w:pPr>
              <w:spacing w:line="240" w:lineRule="auto"/>
              <w:rPr>
                <w:rFonts w:hint="eastAsia" w:ascii="宋体" w:hAnsi="宋体" w:eastAsia="宋体" w:cs="宋体"/>
                <w:sz w:val="22"/>
                <w:szCs w:val="22"/>
              </w:rPr>
            </w:pPr>
            <w:r>
              <w:rPr>
                <w:rFonts w:hint="eastAsia" w:ascii="宋体" w:hAnsi="宋体" w:eastAsia="宋体" w:cs="宋体"/>
                <w:sz w:val="22"/>
                <w:szCs w:val="22"/>
              </w:rPr>
              <w:t>2)分辨率：0.1℃</w:t>
            </w:r>
          </w:p>
          <w:p w14:paraId="7B25EB43">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3)最大允许误差：±0.2℃(≤50℃）；±0.5℃（&gt;50℃）；（提供国家权威机构出具的校准证书，并加盖投标人公章）</w:t>
            </w:r>
          </w:p>
          <w:p w14:paraId="78BF5B74">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6024638E">
            <w:pPr>
              <w:spacing w:line="240" w:lineRule="auto"/>
              <w:rPr>
                <w:rFonts w:hint="eastAsia" w:ascii="宋体" w:hAnsi="宋体" w:eastAsia="宋体" w:cs="宋体"/>
                <w:sz w:val="22"/>
                <w:szCs w:val="22"/>
              </w:rPr>
            </w:pPr>
            <w:r>
              <w:rPr>
                <w:rFonts w:hint="eastAsia" w:ascii="宋体" w:hAnsi="宋体" w:eastAsia="宋体" w:cs="宋体"/>
                <w:sz w:val="22"/>
                <w:szCs w:val="22"/>
              </w:rPr>
              <w:t>2.空气湿度传感器</w:t>
            </w:r>
          </w:p>
          <w:p w14:paraId="6F0C2682">
            <w:pPr>
              <w:spacing w:line="240" w:lineRule="auto"/>
              <w:rPr>
                <w:rFonts w:hint="eastAsia" w:ascii="宋体" w:hAnsi="宋体" w:eastAsia="宋体" w:cs="宋体"/>
                <w:sz w:val="22"/>
                <w:szCs w:val="22"/>
              </w:rPr>
            </w:pPr>
            <w:r>
              <w:rPr>
                <w:rFonts w:hint="eastAsia" w:ascii="宋体" w:hAnsi="宋体" w:eastAsia="宋体" w:cs="宋体"/>
                <w:sz w:val="22"/>
                <w:szCs w:val="22"/>
              </w:rPr>
              <w:t>1)测量范围：5～100%；</w:t>
            </w:r>
          </w:p>
          <w:p w14:paraId="402E46F5">
            <w:pPr>
              <w:spacing w:line="240" w:lineRule="auto"/>
              <w:rPr>
                <w:rFonts w:hint="eastAsia" w:ascii="宋体" w:hAnsi="宋体" w:eastAsia="宋体" w:cs="宋体"/>
                <w:sz w:val="22"/>
                <w:szCs w:val="22"/>
              </w:rPr>
            </w:pPr>
            <w:r>
              <w:rPr>
                <w:rFonts w:hint="eastAsia" w:ascii="宋体" w:hAnsi="宋体" w:eastAsia="宋体" w:cs="宋体"/>
                <w:sz w:val="22"/>
                <w:szCs w:val="22"/>
              </w:rPr>
              <w:t>2)分辨率：1%；</w:t>
            </w:r>
          </w:p>
          <w:p w14:paraId="4A64F70D">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 xml:space="preserve">3)最大允许误差：±3%(≤80%）；±5%（&gt;80%）；（提供国家权威机构出具的校准证书，并加盖投标人公章） </w:t>
            </w:r>
          </w:p>
          <w:p w14:paraId="1E668398">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5DD317D6">
            <w:pPr>
              <w:spacing w:line="240" w:lineRule="auto"/>
              <w:rPr>
                <w:rFonts w:hint="eastAsia" w:ascii="宋体" w:hAnsi="宋体" w:eastAsia="宋体" w:cs="宋体"/>
                <w:sz w:val="22"/>
                <w:szCs w:val="22"/>
              </w:rPr>
            </w:pPr>
            <w:r>
              <w:rPr>
                <w:rFonts w:hint="eastAsia" w:ascii="宋体" w:hAnsi="宋体" w:eastAsia="宋体" w:cs="宋体"/>
                <w:sz w:val="22"/>
                <w:szCs w:val="22"/>
              </w:rPr>
              <w:t>3.风速传感器</w:t>
            </w:r>
          </w:p>
          <w:p w14:paraId="064660BC">
            <w:pPr>
              <w:spacing w:line="240" w:lineRule="auto"/>
              <w:rPr>
                <w:rFonts w:hint="eastAsia" w:ascii="宋体" w:hAnsi="宋体" w:eastAsia="宋体" w:cs="宋体"/>
                <w:sz w:val="22"/>
                <w:szCs w:val="22"/>
              </w:rPr>
            </w:pPr>
            <w:r>
              <w:rPr>
                <w:rFonts w:hint="eastAsia" w:ascii="宋体" w:hAnsi="宋体" w:eastAsia="宋体" w:cs="宋体"/>
                <w:sz w:val="22"/>
                <w:szCs w:val="22"/>
              </w:rPr>
              <w:t>1)测量范围：0～60m/s；</w:t>
            </w:r>
          </w:p>
          <w:p w14:paraId="54F9C6AA">
            <w:pPr>
              <w:spacing w:line="240" w:lineRule="auto"/>
              <w:rPr>
                <w:rFonts w:hint="eastAsia" w:ascii="宋体" w:hAnsi="宋体" w:eastAsia="宋体" w:cs="宋体"/>
                <w:sz w:val="22"/>
                <w:szCs w:val="22"/>
              </w:rPr>
            </w:pPr>
            <w:r>
              <w:rPr>
                <w:rFonts w:hint="eastAsia" w:ascii="宋体" w:hAnsi="宋体" w:eastAsia="宋体" w:cs="宋体"/>
                <w:sz w:val="22"/>
                <w:szCs w:val="22"/>
              </w:rPr>
              <w:t>2)分辨率：0.01m/s；</w:t>
            </w:r>
          </w:p>
          <w:p w14:paraId="0D4754B5">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3)最大允许误差：±（0.5m/s+0.03V）；（提供国家权威机构出具的校准证书，并加盖投标人公章）</w:t>
            </w:r>
          </w:p>
          <w:p w14:paraId="04895B48">
            <w:pPr>
              <w:spacing w:line="240" w:lineRule="auto"/>
              <w:rPr>
                <w:rFonts w:hint="eastAsia" w:ascii="宋体" w:hAnsi="宋体" w:eastAsia="宋体" w:cs="宋体"/>
                <w:sz w:val="22"/>
                <w:szCs w:val="22"/>
              </w:rPr>
            </w:pPr>
            <w:r>
              <w:rPr>
                <w:rFonts w:hint="eastAsia" w:ascii="宋体" w:hAnsi="宋体" w:eastAsia="宋体" w:cs="宋体"/>
                <w:sz w:val="22"/>
                <w:szCs w:val="22"/>
              </w:rPr>
              <w:t>4)采样频率：60次/min。</w:t>
            </w:r>
          </w:p>
          <w:p w14:paraId="247F7D20">
            <w:pPr>
              <w:spacing w:line="240" w:lineRule="auto"/>
              <w:rPr>
                <w:rFonts w:hint="eastAsia" w:ascii="宋体" w:hAnsi="宋体" w:eastAsia="宋体" w:cs="宋体"/>
                <w:sz w:val="22"/>
                <w:szCs w:val="22"/>
              </w:rPr>
            </w:pPr>
            <w:r>
              <w:rPr>
                <w:rFonts w:hint="eastAsia" w:ascii="宋体" w:hAnsi="宋体" w:eastAsia="宋体" w:cs="宋体"/>
                <w:sz w:val="22"/>
                <w:szCs w:val="22"/>
              </w:rPr>
              <w:t>4.风向传感器</w:t>
            </w:r>
          </w:p>
          <w:p w14:paraId="49EFEF4B">
            <w:pPr>
              <w:spacing w:line="240" w:lineRule="auto"/>
              <w:rPr>
                <w:rFonts w:hint="eastAsia" w:ascii="宋体" w:hAnsi="宋体" w:eastAsia="宋体" w:cs="宋体"/>
                <w:sz w:val="22"/>
                <w:szCs w:val="22"/>
              </w:rPr>
            </w:pPr>
            <w:r>
              <w:rPr>
                <w:rFonts w:hint="eastAsia" w:ascii="宋体" w:hAnsi="宋体" w:eastAsia="宋体" w:cs="宋体"/>
                <w:sz w:val="22"/>
                <w:szCs w:val="22"/>
              </w:rPr>
              <w:t>1)测量范围：0～360°；</w:t>
            </w:r>
          </w:p>
          <w:p w14:paraId="14BBF2B4">
            <w:pPr>
              <w:spacing w:line="240" w:lineRule="auto"/>
              <w:rPr>
                <w:rFonts w:hint="eastAsia" w:ascii="宋体" w:hAnsi="宋体" w:eastAsia="宋体" w:cs="宋体"/>
                <w:sz w:val="22"/>
                <w:szCs w:val="22"/>
              </w:rPr>
            </w:pPr>
            <w:r>
              <w:rPr>
                <w:rFonts w:hint="eastAsia" w:ascii="宋体" w:hAnsi="宋体" w:eastAsia="宋体" w:cs="宋体"/>
                <w:sz w:val="22"/>
                <w:szCs w:val="22"/>
              </w:rPr>
              <w:t>2)分辨率：0.01°；</w:t>
            </w:r>
          </w:p>
          <w:p w14:paraId="095AB0CC">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3)最大允许误差：±5°；</w:t>
            </w:r>
          </w:p>
          <w:p w14:paraId="773D2792">
            <w:pPr>
              <w:spacing w:line="240" w:lineRule="auto"/>
              <w:rPr>
                <w:rFonts w:hint="eastAsia" w:ascii="宋体" w:hAnsi="宋体" w:eastAsia="宋体" w:cs="宋体"/>
                <w:sz w:val="22"/>
                <w:szCs w:val="22"/>
              </w:rPr>
            </w:pPr>
            <w:r>
              <w:rPr>
                <w:rFonts w:hint="eastAsia" w:ascii="宋体" w:hAnsi="宋体" w:eastAsia="宋体" w:cs="宋体"/>
                <w:sz w:val="22"/>
                <w:szCs w:val="22"/>
              </w:rPr>
              <w:t>4)采样频率：60次/min。</w:t>
            </w:r>
          </w:p>
          <w:p w14:paraId="0024055A">
            <w:pPr>
              <w:spacing w:line="240" w:lineRule="auto"/>
              <w:rPr>
                <w:rFonts w:hint="eastAsia" w:ascii="宋体" w:hAnsi="宋体" w:eastAsia="宋体" w:cs="宋体"/>
                <w:sz w:val="22"/>
                <w:szCs w:val="22"/>
              </w:rPr>
            </w:pPr>
            <w:r>
              <w:rPr>
                <w:rFonts w:hint="eastAsia" w:ascii="宋体" w:hAnsi="宋体" w:eastAsia="宋体" w:cs="宋体"/>
                <w:sz w:val="22"/>
                <w:szCs w:val="22"/>
              </w:rPr>
              <w:t>5.降雨量传感器</w:t>
            </w:r>
          </w:p>
          <w:p w14:paraId="00EE042C">
            <w:pPr>
              <w:spacing w:line="240" w:lineRule="auto"/>
              <w:rPr>
                <w:rFonts w:hint="eastAsia" w:ascii="宋体" w:hAnsi="宋体" w:eastAsia="宋体" w:cs="宋体"/>
                <w:sz w:val="22"/>
                <w:szCs w:val="22"/>
              </w:rPr>
            </w:pPr>
            <w:r>
              <w:rPr>
                <w:rFonts w:hint="eastAsia" w:ascii="宋体" w:hAnsi="宋体" w:eastAsia="宋体" w:cs="宋体"/>
                <w:sz w:val="22"/>
                <w:szCs w:val="22"/>
              </w:rPr>
              <w:t>1)测量范围：0～4mm/min；</w:t>
            </w:r>
          </w:p>
          <w:p w14:paraId="4622C17C">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2)分辨率：0.1mm；（提供国家权威机构出具的校准证书，并加盖投标人公章）</w:t>
            </w:r>
          </w:p>
          <w:p w14:paraId="3E658E6C">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3)最大允许误差：±0.4mm(≤10mm时）；±4%（&gt;10mm）；</w:t>
            </w:r>
          </w:p>
          <w:p w14:paraId="59159242">
            <w:pPr>
              <w:spacing w:line="240" w:lineRule="auto"/>
              <w:rPr>
                <w:rFonts w:hint="eastAsia" w:ascii="宋体" w:hAnsi="宋体" w:eastAsia="宋体" w:cs="宋体"/>
                <w:sz w:val="22"/>
                <w:szCs w:val="22"/>
              </w:rPr>
            </w:pPr>
            <w:r>
              <w:rPr>
                <w:rFonts w:hint="eastAsia" w:ascii="宋体" w:hAnsi="宋体" w:eastAsia="宋体" w:cs="宋体"/>
                <w:sz w:val="22"/>
                <w:szCs w:val="22"/>
              </w:rPr>
              <w:t>4)采样频率：1次/min。</w:t>
            </w:r>
          </w:p>
          <w:p w14:paraId="2B98E3B1">
            <w:pPr>
              <w:spacing w:line="240" w:lineRule="auto"/>
              <w:rPr>
                <w:rFonts w:hint="eastAsia" w:ascii="宋体" w:hAnsi="宋体" w:eastAsia="宋体" w:cs="宋体"/>
                <w:sz w:val="22"/>
                <w:szCs w:val="22"/>
              </w:rPr>
            </w:pPr>
            <w:r>
              <w:rPr>
                <w:rFonts w:hint="eastAsia" w:ascii="宋体" w:hAnsi="宋体" w:eastAsia="宋体" w:cs="宋体"/>
                <w:sz w:val="22"/>
                <w:szCs w:val="22"/>
              </w:rPr>
              <w:t>6.太阳辐射传感器</w:t>
            </w:r>
          </w:p>
          <w:p w14:paraId="2363BE7E">
            <w:pPr>
              <w:spacing w:line="240" w:lineRule="auto"/>
              <w:rPr>
                <w:rFonts w:hint="eastAsia" w:ascii="宋体" w:hAnsi="宋体" w:eastAsia="宋体" w:cs="宋体"/>
                <w:sz w:val="22"/>
                <w:szCs w:val="22"/>
              </w:rPr>
            </w:pPr>
            <w:r>
              <w:rPr>
                <w:rFonts w:hint="eastAsia" w:ascii="宋体" w:hAnsi="宋体" w:eastAsia="宋体" w:cs="宋体"/>
                <w:sz w:val="22"/>
                <w:szCs w:val="22"/>
              </w:rPr>
              <w:t>1)测量范围：0-2000W/㎡；</w:t>
            </w:r>
          </w:p>
          <w:p w14:paraId="448F9C4C">
            <w:pPr>
              <w:spacing w:line="240" w:lineRule="auto"/>
              <w:rPr>
                <w:rFonts w:hint="eastAsia" w:ascii="宋体" w:hAnsi="宋体" w:eastAsia="宋体" w:cs="宋体"/>
                <w:sz w:val="22"/>
                <w:szCs w:val="22"/>
              </w:rPr>
            </w:pPr>
            <w:r>
              <w:rPr>
                <w:rFonts w:hint="eastAsia" w:ascii="宋体" w:hAnsi="宋体" w:eastAsia="宋体" w:cs="宋体"/>
                <w:sz w:val="22"/>
                <w:szCs w:val="22"/>
              </w:rPr>
              <w:t>2)分辨率：5W/㎡；</w:t>
            </w:r>
          </w:p>
          <w:p w14:paraId="546BF61C">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3)最大允许误差：±5%；</w:t>
            </w:r>
          </w:p>
          <w:p w14:paraId="4CCD7C98">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0231A6B1">
            <w:pPr>
              <w:spacing w:line="240" w:lineRule="auto"/>
              <w:rPr>
                <w:rFonts w:hint="eastAsia" w:ascii="宋体" w:hAnsi="宋体" w:eastAsia="宋体" w:cs="宋体"/>
                <w:sz w:val="22"/>
                <w:szCs w:val="22"/>
              </w:rPr>
            </w:pPr>
            <w:r>
              <w:rPr>
                <w:rFonts w:hint="eastAsia" w:ascii="宋体" w:hAnsi="宋体" w:eastAsia="宋体" w:cs="宋体"/>
                <w:sz w:val="22"/>
                <w:szCs w:val="22"/>
              </w:rPr>
              <w:t>7.大气压传感器</w:t>
            </w:r>
          </w:p>
          <w:p w14:paraId="45D4951D">
            <w:pPr>
              <w:spacing w:line="240" w:lineRule="auto"/>
              <w:rPr>
                <w:rFonts w:hint="eastAsia" w:ascii="宋体" w:hAnsi="宋体" w:eastAsia="宋体" w:cs="宋体"/>
                <w:sz w:val="22"/>
                <w:szCs w:val="22"/>
              </w:rPr>
            </w:pPr>
            <w:r>
              <w:rPr>
                <w:rFonts w:hint="eastAsia" w:ascii="宋体" w:hAnsi="宋体" w:eastAsia="宋体" w:cs="宋体"/>
                <w:sz w:val="22"/>
                <w:szCs w:val="22"/>
              </w:rPr>
              <w:t>1)测量范围：450-1100hPa；</w:t>
            </w:r>
          </w:p>
          <w:p w14:paraId="076957F3">
            <w:pPr>
              <w:spacing w:line="240" w:lineRule="auto"/>
              <w:rPr>
                <w:rFonts w:hint="eastAsia" w:ascii="宋体" w:hAnsi="宋体" w:eastAsia="宋体" w:cs="宋体"/>
                <w:sz w:val="22"/>
                <w:szCs w:val="22"/>
              </w:rPr>
            </w:pPr>
            <w:r>
              <w:rPr>
                <w:rFonts w:hint="eastAsia" w:ascii="宋体" w:hAnsi="宋体" w:eastAsia="宋体" w:cs="宋体"/>
                <w:sz w:val="22"/>
                <w:szCs w:val="22"/>
              </w:rPr>
              <w:t>2)分辨率：0.1hPa；</w:t>
            </w:r>
          </w:p>
          <w:p w14:paraId="6F5FCAA9">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3)最大允许误差：±0.3hPa；（提供国家权威机构出具的校准证书，并加盖投标人公章）</w:t>
            </w:r>
          </w:p>
          <w:p w14:paraId="48EE96E0">
            <w:pPr>
              <w:spacing w:line="240" w:lineRule="auto"/>
              <w:rPr>
                <w:rFonts w:hint="eastAsia" w:ascii="宋体" w:hAnsi="宋体" w:eastAsia="宋体" w:cs="宋体"/>
                <w:sz w:val="22"/>
                <w:szCs w:val="22"/>
              </w:rPr>
            </w:pPr>
            <w:r>
              <w:rPr>
                <w:rFonts w:hint="eastAsia" w:ascii="宋体" w:hAnsi="宋体" w:eastAsia="宋体" w:cs="宋体"/>
                <w:sz w:val="22"/>
                <w:szCs w:val="22"/>
              </w:rPr>
              <w:t>4)采样频率：6次/min。</w:t>
            </w:r>
          </w:p>
          <w:p w14:paraId="041EF55B">
            <w:pPr>
              <w:spacing w:line="240" w:lineRule="auto"/>
              <w:rPr>
                <w:rFonts w:hint="eastAsia" w:ascii="宋体" w:hAnsi="宋体" w:eastAsia="宋体" w:cs="宋体"/>
                <w:sz w:val="22"/>
                <w:szCs w:val="22"/>
              </w:rPr>
            </w:pPr>
            <w:r>
              <w:rPr>
                <w:rFonts w:hint="eastAsia" w:ascii="宋体" w:hAnsi="宋体" w:eastAsia="宋体" w:cs="宋体"/>
                <w:sz w:val="22"/>
                <w:szCs w:val="22"/>
              </w:rPr>
              <w:t>8.光照度传感器</w:t>
            </w:r>
          </w:p>
          <w:p w14:paraId="32B75FB4">
            <w:pPr>
              <w:spacing w:line="240" w:lineRule="auto"/>
              <w:rPr>
                <w:rFonts w:hint="eastAsia" w:ascii="宋体" w:hAnsi="宋体" w:eastAsia="宋体" w:cs="宋体"/>
                <w:sz w:val="22"/>
                <w:szCs w:val="22"/>
              </w:rPr>
            </w:pPr>
            <w:r>
              <w:rPr>
                <w:rFonts w:hint="eastAsia" w:ascii="宋体" w:hAnsi="宋体" w:eastAsia="宋体" w:cs="宋体"/>
                <w:sz w:val="22"/>
                <w:szCs w:val="22"/>
              </w:rPr>
              <w:t>1)测量范围：0~200K LUX；</w:t>
            </w:r>
          </w:p>
          <w:p w14:paraId="3FDF4658">
            <w:pPr>
              <w:spacing w:line="240" w:lineRule="auto"/>
              <w:rPr>
                <w:rFonts w:hint="eastAsia" w:ascii="宋体" w:hAnsi="宋体" w:eastAsia="宋体" w:cs="宋体"/>
                <w:sz w:val="22"/>
                <w:szCs w:val="22"/>
              </w:rPr>
            </w:pPr>
            <w:r>
              <w:rPr>
                <w:rFonts w:hint="eastAsia" w:ascii="宋体" w:hAnsi="宋体" w:eastAsia="宋体" w:cs="宋体"/>
                <w:sz w:val="22"/>
                <w:szCs w:val="22"/>
              </w:rPr>
              <w:t>2)分辨率：10LUX；</w:t>
            </w:r>
          </w:p>
          <w:p w14:paraId="739A8285">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3)最大允许误差：5%。</w:t>
            </w:r>
          </w:p>
        </w:tc>
      </w:tr>
      <w:tr w14:paraId="4636E2DA">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2C5697D8">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2.4</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110BF783">
            <w:pPr>
              <w:spacing w:line="240" w:lineRule="auto"/>
              <w:jc w:val="center"/>
              <w:rPr>
                <w:rFonts w:hint="eastAsia" w:ascii="宋体" w:hAnsi="宋体" w:eastAsia="宋体" w:cs="宋体"/>
                <w:sz w:val="22"/>
                <w:szCs w:val="22"/>
              </w:rPr>
            </w:pPr>
            <w:r>
              <w:rPr>
                <w:rFonts w:hint="eastAsia" w:ascii="宋体" w:hAnsi="宋体" w:eastAsia="宋体" w:cs="宋体"/>
                <w:sz w:val="22"/>
                <w:szCs w:val="22"/>
              </w:rPr>
              <w:t>翻斗雨量传感器</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13231F5B">
            <w:pPr>
              <w:spacing w:line="240" w:lineRule="auto"/>
              <w:rPr>
                <w:rFonts w:hint="eastAsia" w:ascii="宋体" w:hAnsi="宋体" w:eastAsia="宋体" w:cs="宋体"/>
                <w:sz w:val="22"/>
                <w:szCs w:val="22"/>
              </w:rPr>
            </w:pPr>
            <w:r>
              <w:rPr>
                <w:rFonts w:hint="eastAsia" w:ascii="宋体" w:hAnsi="宋体" w:eastAsia="宋体" w:cs="宋体"/>
                <w:sz w:val="22"/>
                <w:szCs w:val="22"/>
              </w:rPr>
              <w:t>1.测量范围：0～4mm/min；</w:t>
            </w:r>
          </w:p>
          <w:p w14:paraId="45769377">
            <w:pPr>
              <w:spacing w:line="240" w:lineRule="auto"/>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2.分辨率：0.1mm；（提供国家权威机构出具的校准证书，并加盖投标人公章）</w:t>
            </w:r>
          </w:p>
          <w:p w14:paraId="710418EA">
            <w:pPr>
              <w:spacing w:line="240" w:lineRule="auto"/>
              <w:rPr>
                <w:rFonts w:hint="eastAsia" w:ascii="宋体" w:hAnsi="宋体" w:eastAsia="宋体" w:cs="宋体"/>
                <w:sz w:val="22"/>
                <w:szCs w:val="22"/>
              </w:rPr>
            </w:pPr>
            <w:r>
              <w:rPr>
                <w:rFonts w:hint="eastAsia" w:ascii="宋体" w:hAnsi="宋体" w:eastAsia="宋体" w:cs="宋体"/>
                <w:sz w:val="22"/>
                <w:szCs w:val="22"/>
              </w:rPr>
              <w:t>3.最大允许误差：±0.4mm(≤10mm时）；±4%（&gt;10mm）；</w:t>
            </w:r>
          </w:p>
          <w:p w14:paraId="453CBD4C">
            <w:pPr>
              <w:spacing w:line="240" w:lineRule="auto"/>
              <w:rPr>
                <w:rFonts w:hint="eastAsia" w:ascii="宋体" w:hAnsi="宋体" w:eastAsia="宋体" w:cs="宋体"/>
                <w:sz w:val="22"/>
                <w:szCs w:val="22"/>
              </w:rPr>
            </w:pPr>
            <w:r>
              <w:rPr>
                <w:rFonts w:hint="eastAsia" w:ascii="宋体" w:hAnsi="宋体" w:eastAsia="宋体" w:cs="宋体"/>
                <w:sz w:val="22"/>
                <w:szCs w:val="22"/>
              </w:rPr>
              <w:t>4.采样频率：1次/min。</w:t>
            </w:r>
          </w:p>
        </w:tc>
      </w:tr>
      <w:tr w14:paraId="6F348AAC">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2A9A1A8">
            <w:pPr>
              <w:spacing w:line="240" w:lineRule="auto"/>
              <w:jc w:val="center"/>
              <w:rPr>
                <w:rFonts w:hint="eastAsia" w:ascii="宋体" w:hAnsi="宋体" w:eastAsia="宋体" w:cs="宋体"/>
                <w:sz w:val="22"/>
                <w:szCs w:val="22"/>
              </w:rPr>
            </w:pPr>
            <w:r>
              <w:rPr>
                <w:rFonts w:hint="eastAsia" w:ascii="宋体" w:hAnsi="宋体" w:eastAsia="宋体" w:cs="宋体"/>
                <w:sz w:val="22"/>
                <w:szCs w:val="22"/>
              </w:rPr>
              <w:t>2.5</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00AB896B">
            <w:pPr>
              <w:spacing w:line="240" w:lineRule="auto"/>
              <w:jc w:val="center"/>
              <w:rPr>
                <w:rFonts w:hint="eastAsia" w:ascii="宋体" w:hAnsi="宋体" w:eastAsia="宋体" w:cs="宋体"/>
                <w:sz w:val="22"/>
                <w:szCs w:val="22"/>
              </w:rPr>
            </w:pPr>
            <w:r>
              <w:rPr>
                <w:rFonts w:hint="eastAsia" w:ascii="宋体" w:hAnsi="宋体" w:eastAsia="宋体" w:cs="宋体"/>
                <w:sz w:val="22"/>
                <w:szCs w:val="22"/>
              </w:rPr>
              <w:t>相关附件</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FC38A1D">
            <w:pPr>
              <w:spacing w:line="240" w:lineRule="auto"/>
              <w:rPr>
                <w:rFonts w:hint="eastAsia" w:ascii="宋体" w:hAnsi="宋体" w:eastAsia="宋体" w:cs="宋体"/>
                <w:sz w:val="22"/>
                <w:szCs w:val="22"/>
              </w:rPr>
            </w:pPr>
            <w:r>
              <w:rPr>
                <w:rFonts w:hint="eastAsia" w:ascii="宋体" w:hAnsi="宋体" w:eastAsia="宋体" w:cs="宋体"/>
                <w:sz w:val="22"/>
                <w:szCs w:val="22"/>
              </w:rPr>
              <w:t>1.供电模式：</w:t>
            </w:r>
          </w:p>
          <w:p w14:paraId="1B9655E0">
            <w:pPr>
              <w:spacing w:line="240" w:lineRule="auto"/>
              <w:rPr>
                <w:rFonts w:hint="eastAsia" w:ascii="宋体" w:hAnsi="宋体" w:eastAsia="宋体" w:cs="宋体"/>
                <w:sz w:val="22"/>
                <w:szCs w:val="22"/>
              </w:rPr>
            </w:pPr>
            <w:r>
              <w:rPr>
                <w:rFonts w:hint="eastAsia" w:ascii="宋体" w:hAnsi="宋体" w:eastAsia="宋体" w:cs="宋体"/>
                <w:sz w:val="22"/>
                <w:szCs w:val="22"/>
              </w:rPr>
              <w:t>1)支持太阳能可靠供电；</w:t>
            </w:r>
          </w:p>
          <w:p w14:paraId="7169416C">
            <w:pPr>
              <w:spacing w:line="240" w:lineRule="auto"/>
              <w:rPr>
                <w:rFonts w:hint="eastAsia" w:ascii="宋体" w:hAnsi="宋体" w:eastAsia="宋体" w:cs="宋体"/>
                <w:sz w:val="22"/>
                <w:szCs w:val="22"/>
              </w:rPr>
            </w:pPr>
            <w:r>
              <w:rPr>
                <w:rFonts w:hint="eastAsia" w:ascii="宋体" w:hAnsi="宋体" w:eastAsia="宋体" w:cs="宋体"/>
                <w:sz w:val="22"/>
                <w:szCs w:val="22"/>
              </w:rPr>
              <w:t>2)太阳能板，单晶硅，功率≥100W；</w:t>
            </w:r>
          </w:p>
          <w:p w14:paraId="6DFFBE46">
            <w:pPr>
              <w:spacing w:line="240" w:lineRule="auto"/>
              <w:rPr>
                <w:rFonts w:hint="eastAsia" w:ascii="宋体" w:hAnsi="宋体" w:eastAsia="宋体" w:cs="宋体"/>
                <w:sz w:val="22"/>
                <w:szCs w:val="22"/>
              </w:rPr>
            </w:pPr>
            <w:r>
              <w:rPr>
                <w:rFonts w:hint="eastAsia" w:ascii="宋体" w:hAnsi="宋体" w:eastAsia="宋体" w:cs="宋体"/>
                <w:sz w:val="22"/>
                <w:szCs w:val="22"/>
              </w:rPr>
              <w:t>2.配套电池</w:t>
            </w:r>
          </w:p>
          <w:p w14:paraId="07336EF5">
            <w:pPr>
              <w:spacing w:line="240" w:lineRule="auto"/>
              <w:rPr>
                <w:rFonts w:hint="eastAsia" w:ascii="宋体" w:hAnsi="宋体" w:eastAsia="宋体" w:cs="宋体"/>
                <w:sz w:val="22"/>
                <w:szCs w:val="22"/>
              </w:rPr>
            </w:pPr>
            <w:r>
              <w:rPr>
                <w:rFonts w:hint="eastAsia" w:ascii="宋体" w:hAnsi="宋体" w:eastAsia="宋体" w:cs="宋体"/>
                <w:sz w:val="22"/>
                <w:szCs w:val="22"/>
              </w:rPr>
              <w:t>1)可保证连续15天阴雨天气环境下供电；</w:t>
            </w:r>
          </w:p>
          <w:p w14:paraId="5B34534A">
            <w:pPr>
              <w:spacing w:line="240" w:lineRule="auto"/>
              <w:rPr>
                <w:rFonts w:hint="eastAsia" w:ascii="宋体" w:hAnsi="宋体" w:eastAsia="宋体" w:cs="宋体"/>
                <w:sz w:val="22"/>
                <w:szCs w:val="22"/>
              </w:rPr>
            </w:pPr>
            <w:r>
              <w:rPr>
                <w:rFonts w:hint="eastAsia" w:ascii="宋体" w:hAnsi="宋体" w:eastAsia="宋体" w:cs="宋体"/>
                <w:sz w:val="22"/>
                <w:szCs w:val="22"/>
              </w:rPr>
              <w:t>2)充放电循环次数≥1200次；</w:t>
            </w:r>
          </w:p>
          <w:p w14:paraId="016C371F">
            <w:pPr>
              <w:spacing w:line="240" w:lineRule="auto"/>
              <w:rPr>
                <w:rFonts w:hint="eastAsia" w:ascii="宋体" w:hAnsi="宋体" w:eastAsia="宋体" w:cs="宋体"/>
                <w:sz w:val="22"/>
                <w:szCs w:val="22"/>
              </w:rPr>
            </w:pPr>
            <w:r>
              <w:rPr>
                <w:rFonts w:hint="eastAsia" w:ascii="宋体" w:hAnsi="宋体" w:eastAsia="宋体" w:cs="宋体"/>
                <w:sz w:val="22"/>
                <w:szCs w:val="22"/>
              </w:rPr>
              <w:t>3)电池容量≥100AH。</w:t>
            </w:r>
          </w:p>
          <w:p w14:paraId="2F8B4FB1">
            <w:pPr>
              <w:spacing w:line="240" w:lineRule="auto"/>
              <w:rPr>
                <w:rFonts w:hint="eastAsia" w:ascii="宋体" w:hAnsi="宋体" w:eastAsia="宋体" w:cs="宋体"/>
                <w:sz w:val="22"/>
                <w:szCs w:val="22"/>
              </w:rPr>
            </w:pPr>
            <w:r>
              <w:rPr>
                <w:rFonts w:hint="eastAsia" w:ascii="宋体" w:hAnsi="宋体" w:eastAsia="宋体" w:cs="宋体"/>
                <w:sz w:val="22"/>
                <w:szCs w:val="22"/>
              </w:rPr>
              <w:t>4.其他</w:t>
            </w:r>
          </w:p>
          <w:p w14:paraId="0E7D1252">
            <w:pPr>
              <w:spacing w:line="240" w:lineRule="auto"/>
              <w:rPr>
                <w:rFonts w:hint="eastAsia" w:ascii="宋体" w:hAnsi="宋体" w:eastAsia="宋体" w:cs="宋体"/>
                <w:sz w:val="22"/>
                <w:szCs w:val="22"/>
              </w:rPr>
            </w:pPr>
            <w:r>
              <w:rPr>
                <w:rFonts w:hint="eastAsia" w:ascii="宋体" w:hAnsi="宋体" w:eastAsia="宋体" w:cs="宋体"/>
                <w:sz w:val="22"/>
                <w:szCs w:val="22"/>
              </w:rPr>
              <w:t>立杆高度≥6米，防锈护栏3m*3m，高度≥1.2</w:t>
            </w:r>
          </w:p>
        </w:tc>
      </w:tr>
      <w:tr w14:paraId="7BBEE27A">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56F3A02E">
            <w:pPr>
              <w:spacing w:line="24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2.6</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694E10DC">
            <w:pPr>
              <w:spacing w:line="24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浇筑</w:t>
            </w:r>
          </w:p>
          <w:p w14:paraId="17E3B3BA">
            <w:pPr>
              <w:spacing w:line="24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rPr>
              <w:t>50*50*50cm水泥基座</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6D4AFE3C">
            <w:pPr>
              <w:spacing w:line="24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浇筑50*50*50cm水泥基座，固定钢板螺栓基件，设备安装在螺栓之上，调整水平和方向。电源线路需要穿管架设和预埋。</w:t>
            </w:r>
          </w:p>
        </w:tc>
      </w:tr>
      <w:tr w14:paraId="1146A8B9">
        <w:tblPrEx>
          <w:tblCellMar>
            <w:top w:w="15" w:type="dxa"/>
            <w:left w:w="15" w:type="dxa"/>
            <w:bottom w:w="15" w:type="dxa"/>
            <w:right w:w="15" w:type="dxa"/>
          </w:tblCellMar>
        </w:tblPrEx>
        <w:tc>
          <w:tcPr>
            <w:tcW w:w="0" w:type="auto"/>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4B29543C">
            <w:pPr>
              <w:spacing w:line="24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2.7</w:t>
            </w:r>
          </w:p>
        </w:tc>
        <w:tc>
          <w:tcPr>
            <w:tcW w:w="1337"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2943C68A">
            <w:pPr>
              <w:spacing w:line="24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暂列金（不可变动）</w:t>
            </w:r>
          </w:p>
        </w:tc>
        <w:tc>
          <w:tcPr>
            <w:tcW w:w="3182" w:type="pct"/>
            <w:tcBorders>
              <w:top w:val="inset" w:color="808080" w:sz="6" w:space="0"/>
              <w:left w:val="inset" w:color="808080" w:sz="6" w:space="0"/>
              <w:bottom w:val="inset" w:color="808080" w:sz="6" w:space="0"/>
              <w:right w:val="inset" w:color="808080" w:sz="6" w:space="0"/>
            </w:tcBorders>
            <w:tcMar>
              <w:top w:w="15" w:type="dxa"/>
              <w:left w:w="15" w:type="dxa"/>
              <w:bottom w:w="15" w:type="dxa"/>
              <w:right w:w="15" w:type="dxa"/>
            </w:tcMar>
            <w:vAlign w:val="center"/>
          </w:tcPr>
          <w:p w14:paraId="2CC444D1">
            <w:pPr>
              <w:spacing w:line="240" w:lineRule="auto"/>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4000.00元</w:t>
            </w:r>
          </w:p>
        </w:tc>
      </w:tr>
    </w:tbl>
    <w:p w14:paraId="17E2CB1A">
      <w:pPr>
        <w:rPr>
          <w:rFonts w:cs="宋体"/>
          <w:szCs w:val="24"/>
          <w:highlight w:val="none"/>
        </w:rPr>
      </w:pPr>
      <w:bookmarkStart w:id="415" w:name="_Toc21045"/>
      <w:r>
        <w:rPr>
          <w:rFonts w:hint="eastAsia"/>
          <w:sz w:val="28"/>
          <w:szCs w:val="28"/>
          <w:highlight w:val="none"/>
        </w:rPr>
        <w:t>★</w:t>
      </w:r>
      <w:r>
        <w:rPr>
          <w:rFonts w:hint="eastAsia" w:cs="宋体"/>
          <w:szCs w:val="24"/>
          <w:highlight w:val="none"/>
        </w:rPr>
        <w:t>数据共享交换要求：</w:t>
      </w:r>
    </w:p>
    <w:p w14:paraId="2B4CF9F7">
      <w:pPr>
        <w:ind w:firstLine="480" w:firstLineChars="200"/>
        <w:rPr>
          <w:rFonts w:cs="宋体"/>
          <w:szCs w:val="24"/>
          <w:highlight w:val="none"/>
        </w:rPr>
      </w:pPr>
      <w:r>
        <w:rPr>
          <w:rFonts w:hint="eastAsia" w:cs="宋体"/>
          <w:szCs w:val="24"/>
          <w:highlight w:val="none"/>
        </w:rPr>
        <w:t>全波形三维闪电定位仪、火险监测仪安装完成后，捕获的数据必须接入新疆森林雷击火感知系统，与国家林草局的林草防火感知平台、国家林草局的雷击火感知系统之间进行数据交互。</w:t>
      </w:r>
    </w:p>
    <w:p w14:paraId="25EB7067">
      <w:pPr>
        <w:ind w:firstLine="480" w:firstLineChars="200"/>
        <w:rPr>
          <w:rFonts w:hint="eastAsia" w:cs="宋体"/>
          <w:szCs w:val="24"/>
          <w:highlight w:val="none"/>
        </w:rPr>
      </w:pPr>
      <w:r>
        <w:rPr>
          <w:rFonts w:hint="eastAsia" w:cs="宋体"/>
          <w:szCs w:val="24"/>
          <w:highlight w:val="none"/>
        </w:rPr>
        <w:t>组建综合的雷击火险监测网络。综合全波三维闪电定位仪监测的雷电因子及森林火险监测站的可燃物因子、气象因子等数据，分析地闪引燃风险及雷击火风险等级。同时森林火险监测站可以生成气象及可燃物实况监测产品，辅助防火日常工作。</w:t>
      </w:r>
    </w:p>
    <w:p w14:paraId="47D67F48">
      <w:pPr>
        <w:rPr>
          <w:sz w:val="28"/>
          <w:szCs w:val="28"/>
          <w:highlight w:val="none"/>
        </w:rPr>
      </w:pPr>
      <w:r>
        <w:rPr>
          <w:rFonts w:hint="eastAsia"/>
          <w:sz w:val="28"/>
          <w:szCs w:val="28"/>
          <w:highlight w:val="none"/>
        </w:rPr>
        <w:t>★1、</w:t>
      </w:r>
      <w:r>
        <w:rPr>
          <w:rFonts w:hint="eastAsia"/>
          <w:sz w:val="28"/>
          <w:szCs w:val="28"/>
          <w:highlight w:val="none"/>
          <w:lang w:val="en-US" w:eastAsia="zh-CN"/>
        </w:rPr>
        <w:t>雷</w:t>
      </w:r>
      <w:r>
        <w:rPr>
          <w:rFonts w:hint="eastAsia"/>
          <w:sz w:val="28"/>
          <w:szCs w:val="28"/>
          <w:highlight w:val="none"/>
        </w:rPr>
        <w:t>击火全波形闪电定位仪安装完成后，捕获的雷电数据及火线监测数据必须无缝接入新疆森林雷击火感知系统，与国家林草局的林草防火感知平台，实现雷电数据交互及共享，接入的数据还包括气象预报、卫星监测、雷电监测、</w:t>
      </w:r>
      <w:r>
        <w:rPr>
          <w:sz w:val="28"/>
          <w:szCs w:val="28"/>
          <w:highlight w:val="none"/>
        </w:rPr>
        <w:t xml:space="preserve"> 反馈信息。</w:t>
      </w:r>
    </w:p>
    <w:p w14:paraId="3E758A61">
      <w:pPr>
        <w:rPr>
          <w:rFonts w:hint="eastAsia"/>
          <w:sz w:val="28"/>
          <w:szCs w:val="28"/>
          <w:highlight w:val="none"/>
        </w:rPr>
      </w:pPr>
      <w:r>
        <w:rPr>
          <w:rFonts w:hint="eastAsia"/>
          <w:sz w:val="28"/>
          <w:szCs w:val="28"/>
          <w:highlight w:val="none"/>
        </w:rPr>
        <w:t>★</w:t>
      </w:r>
      <w:r>
        <w:rPr>
          <w:sz w:val="28"/>
          <w:szCs w:val="28"/>
          <w:highlight w:val="none"/>
        </w:rPr>
        <w:t>2、通过新疆森林雷击火感知系统将雷电监测小时报、雷电监测日报、火险趋势周报和实时高危雷闪等信推送给分局值班人员，做到雷电位置、预警风险等级与林场协同定 和预警，根据推送的雷电信息和风险等级，就近部署监测巡护力量，聚焦重点目标，精准布防力量，提升防控工作效率。</w:t>
      </w:r>
    </w:p>
    <w:p w14:paraId="13DD5884">
      <w:pPr>
        <w:rPr>
          <w:rFonts w:cs="宋体"/>
          <w:szCs w:val="24"/>
        </w:rPr>
      </w:pPr>
      <w:r>
        <w:rPr>
          <w:rFonts w:hint="eastAsia"/>
          <w:sz w:val="28"/>
          <w:szCs w:val="28"/>
          <w:highlight w:val="none"/>
        </w:rPr>
        <w:t>★3</w:t>
      </w:r>
      <w:r>
        <w:rPr>
          <w:sz w:val="28"/>
          <w:szCs w:val="28"/>
          <w:highlight w:val="none"/>
        </w:rPr>
        <w:t>、</w:t>
      </w:r>
      <w:r>
        <w:rPr>
          <w:rFonts w:hint="eastAsia"/>
          <w:sz w:val="28"/>
          <w:szCs w:val="28"/>
          <w:highlight w:val="none"/>
        </w:rPr>
        <w:t>投标人需提供关于上述数据对接的承诺函，成交单位中标后不能实现与新疆森林雷击火感知系统，与国家林草局的林草防火感知平台的数据对接，将取消中标人资格。</w:t>
      </w:r>
      <w:r>
        <w:rPr>
          <w:sz w:val="28"/>
          <w:szCs w:val="28"/>
          <w:highlight w:val="none"/>
        </w:rPr>
        <w:t xml:space="preserve">       </w:t>
      </w:r>
      <w:r>
        <w:rPr>
          <w:sz w:val="28"/>
          <w:szCs w:val="28"/>
        </w:rPr>
        <w:t xml:space="preserve">                           </w:t>
      </w:r>
    </w:p>
    <w:p w14:paraId="06FC1BCA">
      <w:pPr>
        <w:pStyle w:val="3"/>
        <w:rPr>
          <w:sz w:val="28"/>
          <w:szCs w:val="28"/>
        </w:rPr>
      </w:pPr>
      <w:r>
        <w:rPr>
          <w:rFonts w:hint="eastAsia"/>
          <w:sz w:val="28"/>
          <w:szCs w:val="28"/>
        </w:rPr>
        <w:t xml:space="preserve">以“★”号标识，为实质性条款，不允许负偏离。 </w:t>
      </w:r>
    </w:p>
    <w:p w14:paraId="3B5375CF">
      <w:pPr>
        <w:pStyle w:val="3"/>
        <w:numPr>
          <w:ilvl w:val="0"/>
          <w:numId w:val="1"/>
        </w:numPr>
        <w:bidi w:val="0"/>
        <w:rPr>
          <w:rFonts w:hint="eastAsia"/>
          <w:sz w:val="28"/>
          <w:szCs w:val="28"/>
          <w:lang w:val="en-US" w:eastAsia="zh-CN"/>
        </w:rPr>
      </w:pPr>
      <w:r>
        <w:rPr>
          <w:rFonts w:hint="eastAsia"/>
          <w:sz w:val="28"/>
          <w:szCs w:val="28"/>
          <w:lang w:val="en-US" w:eastAsia="zh-CN"/>
        </w:rPr>
        <w:t>商务要求</w:t>
      </w:r>
    </w:p>
    <w:bookmarkEnd w:id="415"/>
    <w:p w14:paraId="4500EC7F">
      <w:pPr>
        <w:pStyle w:val="33"/>
        <w:keepNext w:val="0"/>
        <w:keepLines w:val="0"/>
        <w:pageBreakBefore w:val="0"/>
        <w:widowControl w:val="0"/>
        <w:kinsoku/>
        <w:overflowPunct/>
        <w:topLinePunct w:val="0"/>
        <w:autoSpaceDE/>
        <w:autoSpaceDN/>
        <w:bidi w:val="0"/>
        <w:adjustRightInd/>
        <w:ind w:left="0" w:leftChars="0" w:firstLine="0" w:firstLineChars="0"/>
        <w:textAlignment w:val="auto"/>
        <w:rPr>
          <w:rFonts w:hint="default"/>
          <w:snapToGrid w:val="0"/>
          <w:color w:val="auto"/>
          <w:sz w:val="24"/>
          <w:szCs w:val="24"/>
          <w:highlight w:val="none"/>
          <w:lang w:val="en-US" w:eastAsia="zh-CN"/>
        </w:rPr>
      </w:pPr>
      <w:r>
        <w:rPr>
          <w:rFonts w:hint="default"/>
          <w:snapToGrid w:val="0"/>
          <w:color w:val="auto"/>
          <w:sz w:val="24"/>
          <w:szCs w:val="24"/>
          <w:highlight w:val="none"/>
          <w:lang w:val="en-US" w:eastAsia="zh-CN"/>
        </w:rPr>
        <w:t xml:space="preserve">1. </w:t>
      </w:r>
      <w:r>
        <w:rPr>
          <w:rFonts w:hint="eastAsia"/>
          <w:snapToGrid w:val="0"/>
          <w:color w:val="auto"/>
          <w:sz w:val="24"/>
          <w:szCs w:val="24"/>
          <w:highlight w:val="none"/>
          <w:lang w:val="en-US" w:eastAsia="zh-CN"/>
        </w:rPr>
        <w:t xml:space="preserve">交付（实施）的时间（期限）和地点（范围） </w:t>
      </w:r>
    </w:p>
    <w:p w14:paraId="3F0B173E">
      <w:pPr>
        <w:pStyle w:val="33"/>
        <w:keepNext w:val="0"/>
        <w:keepLines w:val="0"/>
        <w:pageBreakBefore w:val="0"/>
        <w:widowControl w:val="0"/>
        <w:kinsoku/>
        <w:overflowPunct/>
        <w:topLinePunct w:val="0"/>
        <w:autoSpaceDE/>
        <w:autoSpaceDN/>
        <w:bidi w:val="0"/>
        <w:adjustRightInd/>
        <w:ind w:left="0" w:leftChars="0" w:firstLine="0" w:firstLineChars="0"/>
        <w:textAlignment w:val="auto"/>
        <w:rPr>
          <w:rFonts w:hint="default"/>
          <w:snapToGrid w:val="0"/>
          <w:color w:val="auto"/>
          <w:sz w:val="24"/>
          <w:szCs w:val="24"/>
          <w:highlight w:val="none"/>
          <w:lang w:val="en-US" w:eastAsia="zh-CN"/>
        </w:rPr>
      </w:pPr>
      <w:r>
        <w:rPr>
          <w:rFonts w:hint="eastAsia"/>
          <w:snapToGrid w:val="0"/>
          <w:color w:val="auto"/>
          <w:sz w:val="24"/>
          <w:szCs w:val="24"/>
          <w:highlight w:val="none"/>
          <w:lang w:val="en-US" w:eastAsia="zh-CN"/>
        </w:rPr>
        <w:t>供货期限：</w:t>
      </w:r>
      <w:r>
        <w:rPr>
          <w:rFonts w:hint="eastAsia" w:cs="宋体"/>
          <w:color w:val="auto"/>
          <w:szCs w:val="24"/>
          <w:highlight w:val="none"/>
        </w:rPr>
        <w:t>自合同签订至2025年8月20日完成安装调试。</w:t>
      </w:r>
    </w:p>
    <w:p w14:paraId="06BAC2E3">
      <w:pPr>
        <w:pStyle w:val="33"/>
        <w:keepNext w:val="0"/>
        <w:keepLines w:val="0"/>
        <w:pageBreakBefore w:val="0"/>
        <w:widowControl w:val="0"/>
        <w:kinsoku/>
        <w:overflowPunct/>
        <w:topLinePunct w:val="0"/>
        <w:autoSpaceDE/>
        <w:autoSpaceDN/>
        <w:bidi w:val="0"/>
        <w:adjustRightInd/>
        <w:ind w:left="0" w:leftChars="0" w:firstLine="0" w:firstLineChars="0"/>
        <w:textAlignment w:val="auto"/>
        <w:rPr>
          <w:rFonts w:hint="default"/>
          <w:snapToGrid w:val="0"/>
          <w:color w:val="auto"/>
          <w:sz w:val="24"/>
          <w:szCs w:val="24"/>
          <w:highlight w:val="none"/>
          <w:lang w:val="en-US" w:eastAsia="zh-CN"/>
        </w:rPr>
      </w:pPr>
      <w:r>
        <w:rPr>
          <w:rFonts w:hint="default"/>
          <w:snapToGrid w:val="0"/>
          <w:color w:val="auto"/>
          <w:sz w:val="24"/>
          <w:szCs w:val="24"/>
          <w:highlight w:val="none"/>
          <w:lang w:val="en-US" w:eastAsia="zh-CN"/>
        </w:rPr>
        <w:t xml:space="preserve">2. </w:t>
      </w:r>
      <w:r>
        <w:rPr>
          <w:rFonts w:hint="eastAsia"/>
          <w:snapToGrid w:val="0"/>
          <w:color w:val="auto"/>
          <w:sz w:val="24"/>
          <w:szCs w:val="24"/>
          <w:highlight w:val="none"/>
          <w:lang w:val="en-US" w:eastAsia="zh-CN"/>
        </w:rPr>
        <w:t xml:space="preserve">付款条件（进度和方式） </w:t>
      </w:r>
    </w:p>
    <w:p w14:paraId="7349F53E">
      <w:pPr>
        <w:keepNext w:val="0"/>
        <w:keepLines w:val="0"/>
        <w:widowControl/>
        <w:suppressLineNumbers w:val="0"/>
        <w:jc w:val="left"/>
        <w:rPr>
          <w:rFonts w:hint="default"/>
          <w:snapToGrid w:val="0"/>
          <w:color w:val="auto"/>
          <w:sz w:val="24"/>
          <w:szCs w:val="24"/>
          <w:highlight w:val="none"/>
          <w:lang w:val="en-US" w:eastAsia="zh-CN"/>
        </w:rPr>
      </w:pPr>
      <w:r>
        <w:rPr>
          <w:rFonts w:hint="eastAsia" w:ascii="仿宋" w:hAnsi="仿宋" w:eastAsia="仿宋" w:cs="宋体"/>
          <w:b/>
          <w:bCs/>
          <w:color w:val="auto"/>
          <w:sz w:val="28"/>
          <w:szCs w:val="28"/>
          <w:highlight w:val="none"/>
        </w:rPr>
        <w:t>付款方式</w:t>
      </w:r>
      <w:r>
        <w:rPr>
          <w:rFonts w:hint="eastAsia" w:ascii="仿宋" w:hAnsi="仿宋" w:eastAsia="仿宋" w:cs="宋体"/>
          <w:b/>
          <w:bCs/>
          <w:color w:val="auto"/>
          <w:sz w:val="28"/>
          <w:szCs w:val="28"/>
          <w:highlight w:val="none"/>
          <w:lang w:eastAsia="zh-CN"/>
        </w:rPr>
        <w:t>：</w:t>
      </w:r>
      <w:r>
        <w:rPr>
          <w:rFonts w:hint="eastAsia" w:cs="宋体"/>
          <w:color w:val="auto"/>
          <w:szCs w:val="24"/>
          <w:highlight w:val="none"/>
          <w:lang w:val="en-US" w:eastAsia="zh-CN"/>
        </w:rPr>
        <w:t>自合同签订至货到现场支付合同额30%，安装完成通过验收支付合同额40%，设备正常运行30天无故障，支付合同尾款30%。</w:t>
      </w:r>
    </w:p>
    <w:p w14:paraId="66B4AD47">
      <w:pPr>
        <w:pStyle w:val="33"/>
        <w:keepNext w:val="0"/>
        <w:keepLines w:val="0"/>
        <w:pageBreakBefore w:val="0"/>
        <w:widowControl w:val="0"/>
        <w:numPr>
          <w:ilvl w:val="0"/>
          <w:numId w:val="2"/>
        </w:numPr>
        <w:kinsoku/>
        <w:overflowPunct/>
        <w:topLinePunct w:val="0"/>
        <w:autoSpaceDE/>
        <w:autoSpaceDN/>
        <w:bidi w:val="0"/>
        <w:adjustRightInd/>
        <w:ind w:left="0" w:leftChars="0" w:firstLine="0" w:firstLineChars="0"/>
        <w:textAlignment w:val="auto"/>
        <w:rPr>
          <w:rFonts w:hint="eastAsia"/>
          <w:snapToGrid w:val="0"/>
          <w:color w:val="auto"/>
          <w:sz w:val="24"/>
          <w:szCs w:val="24"/>
          <w:highlight w:val="none"/>
          <w:lang w:val="en-US" w:eastAsia="zh-CN"/>
        </w:rPr>
      </w:pPr>
      <w:r>
        <w:rPr>
          <w:rFonts w:hint="eastAsia"/>
          <w:snapToGrid w:val="0"/>
          <w:color w:val="auto"/>
          <w:sz w:val="24"/>
          <w:szCs w:val="24"/>
          <w:highlight w:val="none"/>
          <w:lang w:val="en-US" w:eastAsia="zh-CN"/>
        </w:rPr>
        <w:t>包装和运输【如适用，须满足《关于印发〈商品包装政府采购需求标准（试行）〉、〈快递包装政府采购需求标准（试行）〉的通知》（财办库﹝</w:t>
      </w:r>
      <w:r>
        <w:rPr>
          <w:rFonts w:hint="default"/>
          <w:snapToGrid w:val="0"/>
          <w:color w:val="auto"/>
          <w:sz w:val="24"/>
          <w:szCs w:val="24"/>
          <w:highlight w:val="none"/>
          <w:lang w:val="en-US" w:eastAsia="zh-CN"/>
        </w:rPr>
        <w:t>2020</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123 </w:t>
      </w:r>
      <w:r>
        <w:rPr>
          <w:rFonts w:hint="eastAsia"/>
          <w:snapToGrid w:val="0"/>
          <w:color w:val="auto"/>
          <w:sz w:val="24"/>
          <w:szCs w:val="24"/>
          <w:highlight w:val="none"/>
          <w:lang w:val="en-US" w:eastAsia="zh-CN"/>
        </w:rPr>
        <w:t>号）】</w:t>
      </w:r>
    </w:p>
    <w:p w14:paraId="62ECE3E0">
      <w:pPr>
        <w:pStyle w:val="33"/>
        <w:keepNext w:val="0"/>
        <w:keepLines w:val="0"/>
        <w:pageBreakBefore w:val="0"/>
        <w:widowControl w:val="0"/>
        <w:numPr>
          <w:ilvl w:val="0"/>
          <w:numId w:val="2"/>
        </w:numPr>
        <w:kinsoku/>
        <w:overflowPunct/>
        <w:topLinePunct w:val="0"/>
        <w:autoSpaceDE/>
        <w:autoSpaceDN/>
        <w:bidi w:val="0"/>
        <w:adjustRightInd/>
        <w:ind w:left="0" w:leftChars="0" w:firstLine="0" w:firstLineChars="0"/>
        <w:textAlignment w:val="auto"/>
        <w:rPr>
          <w:rFonts w:hint="default"/>
          <w:snapToGrid w:val="0"/>
          <w:color w:val="auto"/>
          <w:sz w:val="24"/>
          <w:szCs w:val="24"/>
          <w:highlight w:val="none"/>
          <w:lang w:val="en-US" w:eastAsia="zh-CN"/>
        </w:rPr>
      </w:pPr>
      <w:r>
        <w:rPr>
          <w:rFonts w:hint="eastAsia"/>
          <w:snapToGrid w:val="0"/>
          <w:color w:val="auto"/>
          <w:sz w:val="24"/>
          <w:szCs w:val="24"/>
          <w:highlight w:val="none"/>
          <w:lang w:val="en-US" w:eastAsia="zh-CN"/>
        </w:rPr>
        <w:t xml:space="preserve">售后服务（质保期）【如适用】 </w:t>
      </w:r>
    </w:p>
    <w:p w14:paraId="6945F0A3">
      <w:pPr>
        <w:pStyle w:val="33"/>
        <w:keepNext w:val="0"/>
        <w:keepLines w:val="0"/>
        <w:pageBreakBefore w:val="0"/>
        <w:widowControl w:val="0"/>
        <w:kinsoku/>
        <w:overflowPunct/>
        <w:topLinePunct w:val="0"/>
        <w:autoSpaceDE/>
        <w:autoSpaceDN/>
        <w:bidi w:val="0"/>
        <w:adjustRightInd/>
        <w:ind w:left="0" w:leftChars="0" w:firstLine="0" w:firstLineChars="0"/>
        <w:textAlignment w:val="auto"/>
        <w:rPr>
          <w:rFonts w:hint="default" w:ascii="仿宋" w:hAnsi="仿宋" w:eastAsia="仿宋" w:cs="宋体"/>
          <w:b/>
          <w:bCs/>
          <w:color w:val="auto"/>
          <w:sz w:val="28"/>
          <w:szCs w:val="28"/>
          <w:highlight w:val="none"/>
          <w:lang w:val="en-US" w:eastAsia="zh-CN"/>
        </w:rPr>
      </w:pPr>
      <w:r>
        <w:rPr>
          <w:rFonts w:hint="eastAsia" w:ascii="仿宋" w:hAnsi="仿宋" w:eastAsia="仿宋" w:cs="宋体"/>
          <w:b/>
          <w:bCs/>
          <w:color w:val="auto"/>
          <w:sz w:val="28"/>
          <w:szCs w:val="28"/>
          <w:highlight w:val="none"/>
          <w:lang w:eastAsia="zh-CN"/>
        </w:rPr>
        <w:t>保质期：</w:t>
      </w:r>
      <w:r>
        <w:rPr>
          <w:rFonts w:hint="eastAsia" w:ascii="仿宋" w:hAnsi="仿宋" w:eastAsia="仿宋" w:cs="宋体"/>
          <w:b/>
          <w:bCs/>
          <w:color w:val="auto"/>
          <w:sz w:val="28"/>
          <w:szCs w:val="28"/>
          <w:highlight w:val="none"/>
          <w:lang w:val="en-US" w:eastAsia="zh-CN"/>
        </w:rPr>
        <w:t>一年。</w:t>
      </w:r>
    </w:p>
    <w:p w14:paraId="6693496B">
      <w:pPr>
        <w:pStyle w:val="33"/>
        <w:keepNext w:val="0"/>
        <w:keepLines w:val="0"/>
        <w:pageBreakBefore w:val="0"/>
        <w:widowControl w:val="0"/>
        <w:numPr>
          <w:ilvl w:val="0"/>
          <w:numId w:val="0"/>
        </w:numPr>
        <w:kinsoku/>
        <w:overflowPunct/>
        <w:topLinePunct w:val="0"/>
        <w:autoSpaceDE/>
        <w:autoSpaceDN/>
        <w:bidi w:val="0"/>
        <w:adjustRightInd/>
        <w:ind w:leftChars="0"/>
        <w:textAlignment w:val="auto"/>
        <w:rPr>
          <w:rFonts w:hint="default"/>
          <w:snapToGrid w:val="0"/>
          <w:color w:val="auto"/>
          <w:sz w:val="24"/>
          <w:szCs w:val="24"/>
          <w:highlight w:val="none"/>
          <w:lang w:val="en-US" w:eastAsia="zh-CN"/>
        </w:rPr>
      </w:pPr>
      <w:r>
        <w:rPr>
          <w:rFonts w:hint="eastAsia"/>
          <w:snapToGrid w:val="0"/>
          <w:color w:val="auto"/>
          <w:sz w:val="24"/>
          <w:szCs w:val="24"/>
          <w:highlight w:val="none"/>
          <w:lang w:val="en-US" w:eastAsia="zh-CN"/>
        </w:rPr>
        <w:t>5.保险【如适用】 /</w:t>
      </w:r>
    </w:p>
    <w:p w14:paraId="6C23C87B">
      <w:pPr>
        <w:pStyle w:val="33"/>
        <w:keepNext w:val="0"/>
        <w:keepLines w:val="0"/>
        <w:pageBreakBefore w:val="0"/>
        <w:widowControl w:val="0"/>
        <w:numPr>
          <w:ilvl w:val="0"/>
          <w:numId w:val="0"/>
        </w:numPr>
        <w:kinsoku/>
        <w:overflowPunct/>
        <w:topLinePunct w:val="0"/>
        <w:autoSpaceDE/>
        <w:autoSpaceDN/>
        <w:bidi w:val="0"/>
        <w:adjustRightInd/>
        <w:ind w:leftChars="0"/>
        <w:textAlignment w:val="auto"/>
        <w:rPr>
          <w:rFonts w:hint="default" w:ascii="宋体" w:hAnsi="宋体" w:eastAsia="宋体"/>
          <w:snapToGrid w:val="0"/>
          <w:color w:val="auto"/>
          <w:sz w:val="24"/>
          <w:szCs w:val="24"/>
          <w:highlight w:val="none"/>
          <w:lang w:val="en-US" w:eastAsia="zh-CN"/>
        </w:rPr>
      </w:pPr>
      <w:r>
        <w:rPr>
          <w:rFonts w:hint="eastAsia" w:ascii="宋体" w:hAnsi="宋体" w:eastAsia="宋体"/>
          <w:snapToGrid w:val="0"/>
          <w:color w:val="auto"/>
          <w:sz w:val="24"/>
          <w:szCs w:val="24"/>
          <w:highlight w:val="none"/>
          <w:lang w:val="en-US" w:eastAsia="zh-CN"/>
        </w:rPr>
        <w:t>质量要求：符合同家标准。</w:t>
      </w:r>
    </w:p>
    <w:p w14:paraId="24AEA6EC">
      <w:pPr>
        <w:pStyle w:val="3"/>
        <w:bidi w:val="0"/>
        <w:rPr>
          <w:rFonts w:hint="eastAsia"/>
          <w:sz w:val="28"/>
          <w:szCs w:val="28"/>
          <w:highlight w:val="none"/>
          <w:lang w:val="en-US" w:eastAsia="zh-CN"/>
        </w:rPr>
      </w:pPr>
      <w:bookmarkStart w:id="416" w:name="_Toc32054"/>
      <w:r>
        <w:rPr>
          <w:rFonts w:hint="eastAsia"/>
          <w:sz w:val="28"/>
          <w:szCs w:val="28"/>
          <w:highlight w:val="none"/>
          <w:lang w:val="en-US" w:eastAsia="zh-CN"/>
        </w:rPr>
        <w:t>三、技术要求</w:t>
      </w:r>
      <w:bookmarkEnd w:id="416"/>
    </w:p>
    <w:p w14:paraId="1CCCD90C">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1. </w:t>
      </w:r>
      <w:r>
        <w:rPr>
          <w:rFonts w:hint="eastAsia"/>
          <w:snapToGrid w:val="0"/>
          <w:color w:val="auto"/>
          <w:sz w:val="24"/>
          <w:szCs w:val="24"/>
          <w:highlight w:val="none"/>
          <w:lang w:val="en-US" w:eastAsia="zh-CN"/>
        </w:rPr>
        <w:t xml:space="preserve">基本要求 </w:t>
      </w:r>
    </w:p>
    <w:p w14:paraId="56C34720">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1.1 </w:t>
      </w:r>
      <w:r>
        <w:rPr>
          <w:rFonts w:hint="eastAsia"/>
          <w:snapToGrid w:val="0"/>
          <w:color w:val="auto"/>
          <w:sz w:val="24"/>
          <w:szCs w:val="24"/>
          <w:highlight w:val="none"/>
          <w:lang w:val="en-US" w:eastAsia="zh-CN"/>
        </w:rPr>
        <w:t xml:space="preserve">采购标的需实现的功能或者目标 </w:t>
      </w:r>
    </w:p>
    <w:p w14:paraId="41C02C3A">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1.2 </w:t>
      </w:r>
      <w:r>
        <w:rPr>
          <w:rFonts w:hint="eastAsia"/>
          <w:snapToGrid w:val="0"/>
          <w:color w:val="auto"/>
          <w:sz w:val="24"/>
          <w:szCs w:val="24"/>
          <w:highlight w:val="none"/>
          <w:lang w:val="en-US" w:eastAsia="zh-CN"/>
        </w:rPr>
        <w:t>需执行的国家相关标准、行业标准、地方标准或者其他标准、规范</w:t>
      </w:r>
    </w:p>
    <w:p w14:paraId="54B68886">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snapToGrid w:val="0"/>
          <w:color w:val="auto"/>
          <w:sz w:val="24"/>
          <w:szCs w:val="24"/>
          <w:highlight w:val="none"/>
          <w:lang w:val="en-US" w:eastAsia="zh-CN"/>
        </w:rPr>
        <w:t>2. 服务内容及要求</w:t>
      </w:r>
      <w:r>
        <w:rPr>
          <w:rFonts w:hint="default"/>
          <w:snapToGrid w:val="0"/>
          <w:color w:val="auto"/>
          <w:sz w:val="24"/>
          <w:szCs w:val="24"/>
          <w:highlight w:val="none"/>
          <w:lang w:val="en-US" w:eastAsia="zh-CN"/>
        </w:rPr>
        <w:t>/</w:t>
      </w:r>
      <w:r>
        <w:rPr>
          <w:rFonts w:hint="eastAsia"/>
          <w:snapToGrid w:val="0"/>
          <w:color w:val="auto"/>
          <w:sz w:val="24"/>
          <w:szCs w:val="24"/>
          <w:highlight w:val="none"/>
          <w:lang w:val="en-US" w:eastAsia="zh-CN"/>
        </w:rPr>
        <w:t xml:space="preserve">货物技术要求 </w:t>
      </w:r>
    </w:p>
    <w:p w14:paraId="08193B93">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2.1 </w:t>
      </w:r>
      <w:r>
        <w:rPr>
          <w:rFonts w:hint="eastAsia"/>
          <w:snapToGrid w:val="0"/>
          <w:color w:val="auto"/>
          <w:sz w:val="24"/>
          <w:szCs w:val="24"/>
          <w:highlight w:val="none"/>
          <w:lang w:val="en-US" w:eastAsia="zh-CN"/>
        </w:rPr>
        <w:t xml:space="preserve">采购标的需满足的性能、材料、结构、外观、质量、安全、技术规格、物理特性等要求 </w:t>
      </w:r>
    </w:p>
    <w:p w14:paraId="45197FA9">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2.2 </w:t>
      </w:r>
      <w:r>
        <w:rPr>
          <w:rFonts w:hint="eastAsia"/>
          <w:snapToGrid w:val="0"/>
          <w:color w:val="auto"/>
          <w:sz w:val="24"/>
          <w:szCs w:val="24"/>
          <w:highlight w:val="none"/>
          <w:lang w:val="en-US" w:eastAsia="zh-CN"/>
        </w:rPr>
        <w:t xml:space="preserve">采购标的需满足的服务标准、期限、效率等要求 </w:t>
      </w:r>
    </w:p>
    <w:p w14:paraId="08E75096">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2.3 </w:t>
      </w:r>
      <w:r>
        <w:rPr>
          <w:rFonts w:hint="eastAsia"/>
          <w:snapToGrid w:val="0"/>
          <w:color w:val="auto"/>
          <w:sz w:val="24"/>
          <w:szCs w:val="24"/>
          <w:highlight w:val="none"/>
          <w:lang w:val="en-US" w:eastAsia="zh-CN"/>
        </w:rPr>
        <w:t xml:space="preserve">为落实政府采购政策需满足的要求 </w:t>
      </w:r>
    </w:p>
    <w:p w14:paraId="6CBA7ADB">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2.4 </w:t>
      </w:r>
      <w:r>
        <w:rPr>
          <w:rFonts w:hint="eastAsia"/>
          <w:snapToGrid w:val="0"/>
          <w:color w:val="auto"/>
          <w:sz w:val="24"/>
          <w:szCs w:val="24"/>
          <w:highlight w:val="none"/>
          <w:lang w:val="en-US" w:eastAsia="zh-CN"/>
        </w:rPr>
        <w:t xml:space="preserve">采购标的的其他技术、服务等要求 </w:t>
      </w:r>
    </w:p>
    <w:p w14:paraId="052359C4">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2.5 </w:t>
      </w:r>
      <w:r>
        <w:rPr>
          <w:rFonts w:hint="eastAsia"/>
          <w:snapToGrid w:val="0"/>
          <w:color w:val="auto"/>
          <w:sz w:val="24"/>
          <w:szCs w:val="24"/>
          <w:highlight w:val="none"/>
          <w:lang w:val="en-US" w:eastAsia="zh-CN"/>
        </w:rPr>
        <w:t xml:space="preserve">需由供应商提供设计方案、解决方案或者组织方案的采购项目，应当说明采购标的的功能、应用场景、目标等基本要求 </w:t>
      </w:r>
    </w:p>
    <w:p w14:paraId="529D818D">
      <w:pPr>
        <w:pStyle w:val="33"/>
        <w:keepNext w:val="0"/>
        <w:keepLines w:val="0"/>
        <w:pageBreakBefore w:val="0"/>
        <w:widowControl w:val="0"/>
        <w:kinsoku/>
        <w:overflowPunct/>
        <w:topLinePunct w:val="0"/>
        <w:autoSpaceDE/>
        <w:autoSpaceDN/>
        <w:bidi w:val="0"/>
        <w:adjustRightInd/>
        <w:textAlignment w:val="auto"/>
        <w:rPr>
          <w:rFonts w:hint="default"/>
          <w:snapToGrid w:val="0"/>
          <w:color w:val="auto"/>
          <w:sz w:val="24"/>
          <w:szCs w:val="24"/>
          <w:highlight w:val="none"/>
          <w:lang w:val="en-US" w:eastAsia="zh-CN"/>
        </w:rPr>
      </w:pPr>
      <w:r>
        <w:rPr>
          <w:rFonts w:hint="default"/>
          <w:snapToGrid w:val="0"/>
          <w:color w:val="auto"/>
          <w:sz w:val="24"/>
          <w:szCs w:val="24"/>
          <w:highlight w:val="none"/>
          <w:lang w:val="en-US" w:eastAsia="zh-CN"/>
        </w:rPr>
        <w:t xml:space="preserve">3. </w:t>
      </w:r>
      <w:r>
        <w:rPr>
          <w:rFonts w:hint="eastAsia"/>
          <w:snapToGrid w:val="0"/>
          <w:color w:val="auto"/>
          <w:sz w:val="24"/>
          <w:szCs w:val="24"/>
          <w:highlight w:val="none"/>
          <w:lang w:val="en-US" w:eastAsia="zh-CN"/>
        </w:rPr>
        <w:t xml:space="preserve">验收标准 </w:t>
      </w:r>
    </w:p>
    <w:p w14:paraId="64474083">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4. </w:t>
      </w:r>
      <w:r>
        <w:rPr>
          <w:rFonts w:hint="eastAsia"/>
          <w:snapToGrid w:val="0"/>
          <w:color w:val="auto"/>
          <w:sz w:val="24"/>
          <w:szCs w:val="24"/>
          <w:highlight w:val="none"/>
          <w:lang w:val="en-US" w:eastAsia="zh-CN"/>
        </w:rPr>
        <w:t>其他要求【如有】</w:t>
      </w:r>
    </w:p>
    <w:p w14:paraId="2544A8EF">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382FA002">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702880A7">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19130E56">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17DD5E06">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030CF383">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65368EC1">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1B591998">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06FCD9B3">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7EAA0A17">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6CD72622">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2AD6F9C5">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48D191AA">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689FE387">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20287865">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6526E822">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01CD7DD0">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38A49D26">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6435537B">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p w14:paraId="2C4011E4">
      <w:pPr>
        <w:pStyle w:val="33"/>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p>
    <w:bookmarkEnd w:id="411"/>
    <w:bookmarkEnd w:id="412"/>
    <w:bookmarkEnd w:id="413"/>
    <w:p w14:paraId="28FA2165">
      <w:pPr>
        <w:pStyle w:val="2"/>
        <w:keepNext/>
        <w:keepLines/>
        <w:pageBreakBefore w:val="0"/>
        <w:widowControl w:val="0"/>
        <w:numPr>
          <w:ilvl w:val="0"/>
          <w:numId w:val="0"/>
        </w:numPr>
        <w:kinsoku/>
        <w:wordWrap/>
        <w:overflowPunct/>
        <w:topLinePunct w:val="0"/>
        <w:autoSpaceDE/>
        <w:autoSpaceDN/>
        <w:bidi w:val="0"/>
        <w:adjustRightInd/>
        <w:snapToGrid/>
        <w:spacing w:before="100" w:after="10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17" w:name="_Toc21090"/>
      <w:r>
        <w:rPr>
          <w:rFonts w:hint="eastAsia" w:ascii="宋体" w:hAnsi="宋体" w:eastAsia="宋体" w:cs="宋体"/>
          <w:b/>
          <w:bCs/>
          <w:color w:val="auto"/>
          <w:kern w:val="44"/>
          <w:sz w:val="36"/>
          <w:szCs w:val="36"/>
          <w:highlight w:val="none"/>
          <w:lang w:val="en-US" w:eastAsia="zh-CN" w:bidi="ar-SA"/>
        </w:rPr>
        <w:t>第四章 评审方法及标准</w:t>
      </w:r>
      <w:bookmarkEnd w:id="417"/>
    </w:p>
    <w:p w14:paraId="3C2D8384">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418" w:name="_Toc18136"/>
      <w:r>
        <w:rPr>
          <w:rFonts w:hint="eastAsia" w:ascii="宋体" w:hAnsi="宋体" w:eastAsia="宋体" w:cs="宋体"/>
          <w:color w:val="auto"/>
          <w:sz w:val="28"/>
          <w:szCs w:val="28"/>
          <w:highlight w:val="none"/>
          <w:lang w:val="en-US" w:eastAsia="zh-CN"/>
        </w:rPr>
        <w:t>一、</w:t>
      </w:r>
      <w:r>
        <w:rPr>
          <w:rFonts w:hint="eastAsia" w:ascii="宋体" w:hAnsi="宋体" w:eastAsia="宋体" w:cs="宋体"/>
          <w:color w:val="auto"/>
          <w:sz w:val="28"/>
          <w:szCs w:val="28"/>
          <w:highlight w:val="none"/>
          <w:lang w:val="zh-CN" w:eastAsia="zh-CN"/>
        </w:rPr>
        <w:t>评审方法</w:t>
      </w:r>
      <w:bookmarkEnd w:id="418"/>
    </w:p>
    <w:p w14:paraId="53640E9C">
      <w:pPr>
        <w:pStyle w:val="33"/>
        <w:ind w:firstLine="480"/>
        <w:rPr>
          <w:i w:val="0"/>
          <w:iCs w:val="0"/>
          <w:color w:val="auto"/>
          <w:highlight w:val="none"/>
        </w:rPr>
      </w:pPr>
      <w:r>
        <w:rPr>
          <w:rFonts w:hint="eastAsia"/>
          <w:i w:val="0"/>
          <w:iCs w:val="0"/>
          <w:color w:val="auto"/>
          <w:highlight w:val="none"/>
        </w:rPr>
        <w:t>本项目采用综合评分法。综合评分法是指经磋商确定最终采购需求和提交最后报价</w:t>
      </w:r>
      <w:r>
        <w:rPr>
          <w:rFonts w:hint="eastAsia"/>
          <w:b/>
          <w:bCs/>
          <w:i w:val="0"/>
          <w:iCs w:val="0"/>
          <w:color w:val="auto"/>
          <w:szCs w:val="24"/>
          <w:highlight w:val="none"/>
          <w:lang w:val="zh-CN"/>
        </w:rPr>
        <w:t>（因落实政府采购政策进行价格调整的，以调整后的价格计算）</w:t>
      </w:r>
      <w:r>
        <w:rPr>
          <w:rFonts w:hint="eastAsia"/>
          <w:i w:val="0"/>
          <w:iCs w:val="0"/>
          <w:color w:val="auto"/>
          <w:highlight w:val="none"/>
        </w:rPr>
        <w:t>的供应商的响应文件满足磋商文件全部实质性要求且按评审因素的量化指标评审得分最高的供应商为成交候选供应商的评审方法。</w:t>
      </w:r>
    </w:p>
    <w:p w14:paraId="2E5B7BB0">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419" w:name="_Toc14790"/>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评审程序</w:t>
      </w:r>
      <w:bookmarkEnd w:id="419"/>
    </w:p>
    <w:p w14:paraId="25412360">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20" w:name="_Toc13629"/>
      <w:bookmarkStart w:id="421" w:name="_Toc163493634"/>
      <w:r>
        <w:rPr>
          <w:rFonts w:hint="eastAsia" w:ascii="宋体" w:hAnsi="宋体" w:eastAsia="宋体" w:cs="宋体"/>
          <w:b/>
          <w:bCs/>
          <w:color w:val="auto"/>
          <w:kern w:val="2"/>
          <w:sz w:val="24"/>
          <w:szCs w:val="24"/>
          <w:highlight w:val="none"/>
          <w:lang w:val="zh-CN" w:eastAsia="zh-CN" w:bidi="ar-SA"/>
        </w:rPr>
        <w:t>（一）资格审查和符合性审查</w:t>
      </w:r>
      <w:bookmarkEnd w:id="420"/>
      <w:bookmarkEnd w:id="421"/>
    </w:p>
    <w:p w14:paraId="64549C54">
      <w:pPr>
        <w:tabs>
          <w:tab w:val="left" w:pos="312"/>
        </w:tabs>
        <w:wordWrap w:val="0"/>
        <w:adjustRightInd w:val="0"/>
        <w:snapToGrid w:val="0"/>
        <w:ind w:firstLine="480" w:firstLineChars="200"/>
        <w:rPr>
          <w:i w:val="0"/>
          <w:iCs w:val="0"/>
          <w:color w:val="auto"/>
          <w:highlight w:val="none"/>
          <w:lang w:val="zh-CN"/>
        </w:rPr>
      </w:pPr>
      <w:r>
        <w:rPr>
          <w:rFonts w:hint="eastAsia"/>
          <w:i w:val="0"/>
          <w:iCs w:val="0"/>
          <w:color w:val="auto"/>
          <w:szCs w:val="24"/>
          <w:highlight w:val="none"/>
        </w:rPr>
        <w:t>1</w:t>
      </w:r>
      <w:r>
        <w:rPr>
          <w:i w:val="0"/>
          <w:iCs w:val="0"/>
          <w:color w:val="auto"/>
          <w:szCs w:val="24"/>
          <w:highlight w:val="none"/>
        </w:rPr>
        <w:t>.</w:t>
      </w:r>
      <w:r>
        <w:rPr>
          <w:rFonts w:hint="eastAsia"/>
          <w:i w:val="0"/>
          <w:iCs w:val="0"/>
          <w:color w:val="auto"/>
          <w:szCs w:val="24"/>
          <w:highlight w:val="none"/>
        </w:rPr>
        <w:t>磋商小组</w:t>
      </w:r>
      <w:r>
        <w:rPr>
          <w:rFonts w:hint="eastAsia" w:cs="宋体"/>
          <w:i w:val="0"/>
          <w:iCs w:val="0"/>
          <w:color w:val="auto"/>
          <w:highlight w:val="none"/>
        </w:rPr>
        <w:t>根据磋商文件规定的供应商资格条件、评</w:t>
      </w:r>
      <w:r>
        <w:rPr>
          <w:rFonts w:hint="eastAsia" w:cs="宋体"/>
          <w:i w:val="0"/>
          <w:iCs w:val="0"/>
          <w:color w:val="auto"/>
          <w:highlight w:val="none"/>
          <w:lang w:val="en-US" w:eastAsia="zh-CN"/>
        </w:rPr>
        <w:t>审</w:t>
      </w:r>
      <w:r>
        <w:rPr>
          <w:rFonts w:hint="eastAsia" w:cs="宋体"/>
          <w:i w:val="0"/>
          <w:iCs w:val="0"/>
          <w:color w:val="auto"/>
          <w:highlight w:val="none"/>
        </w:rPr>
        <w:t>成交的标准等事项，对供应商的响应文件进行评审。资格审查和符合性审查不符合磋商文件要求的响应文件，按</w:t>
      </w:r>
      <w:r>
        <w:rPr>
          <w:rFonts w:hint="eastAsia" w:cs="宋体"/>
          <w:b/>
          <w:bCs/>
          <w:i w:val="0"/>
          <w:iCs w:val="0"/>
          <w:color w:val="auto"/>
          <w:highlight w:val="none"/>
        </w:rPr>
        <w:t>无效文件</w:t>
      </w:r>
      <w:r>
        <w:rPr>
          <w:rFonts w:hint="eastAsia" w:cs="宋体"/>
          <w:i w:val="0"/>
          <w:iCs w:val="0"/>
          <w:color w:val="auto"/>
          <w:highlight w:val="none"/>
        </w:rPr>
        <w:t>处理，不进入磋商，并告知有关供应商</w:t>
      </w:r>
      <w:r>
        <w:rPr>
          <w:rFonts w:hint="eastAsia"/>
          <w:i w:val="0"/>
          <w:iCs w:val="0"/>
          <w:color w:val="auto"/>
          <w:highlight w:val="none"/>
          <w:lang w:val="zh-CN"/>
        </w:rPr>
        <w:t>。</w:t>
      </w:r>
    </w:p>
    <w:p w14:paraId="34DAF073">
      <w:pPr>
        <w:pStyle w:val="33"/>
        <w:ind w:firstLine="480"/>
        <w:rPr>
          <w:i w:val="0"/>
          <w:iCs w:val="0"/>
          <w:color w:val="auto"/>
          <w:highlight w:val="none"/>
        </w:rPr>
      </w:pPr>
      <w:r>
        <w:rPr>
          <w:rFonts w:hint="eastAsia"/>
          <w:i w:val="0"/>
          <w:iCs w:val="0"/>
          <w:color w:val="auto"/>
          <w:highlight w:val="none"/>
        </w:rPr>
        <w:t>2.</w:t>
      </w:r>
      <w:r>
        <w:rPr>
          <w:rFonts w:hint="eastAsia"/>
          <w:i w:val="0"/>
          <w:iCs w:val="0"/>
          <w:highlight w:val="none"/>
          <w:lang w:val="en-US" w:eastAsia="zh-CN"/>
        </w:rPr>
        <w:t>通过</w:t>
      </w:r>
      <w:r>
        <w:rPr>
          <w:rFonts w:hint="eastAsia" w:cs="宋体"/>
          <w:i w:val="0"/>
          <w:iCs w:val="0"/>
          <w:highlight w:val="none"/>
        </w:rPr>
        <w:t>资格性审查和符合性审查</w:t>
      </w:r>
      <w:r>
        <w:rPr>
          <w:rFonts w:hint="eastAsia" w:cs="宋体"/>
          <w:i w:val="0"/>
          <w:iCs w:val="0"/>
          <w:highlight w:val="none"/>
          <w:lang w:val="en-US" w:eastAsia="zh-CN"/>
        </w:rPr>
        <w:t>的</w:t>
      </w:r>
      <w:r>
        <w:rPr>
          <w:rFonts w:hint="eastAsia"/>
          <w:i w:val="0"/>
          <w:iCs w:val="0"/>
          <w:color w:val="auto"/>
          <w:highlight w:val="none"/>
        </w:rPr>
        <w:t>有效</w:t>
      </w:r>
      <w:r>
        <w:rPr>
          <w:rFonts w:hint="eastAsia"/>
          <w:i w:val="0"/>
          <w:iCs w:val="0"/>
          <w:color w:val="auto"/>
          <w:highlight w:val="none"/>
          <w:lang w:eastAsia="zh-CN"/>
        </w:rPr>
        <w:t>供应商</w:t>
      </w:r>
      <w:r>
        <w:rPr>
          <w:rFonts w:hint="eastAsia"/>
          <w:i w:val="0"/>
          <w:iCs w:val="0"/>
          <w:color w:val="auto"/>
          <w:highlight w:val="none"/>
        </w:rPr>
        <w:t>不足3家的应当终止竞争性磋商采购活动，发布项目终止公告并说明原因，重新开展采购活动。</w:t>
      </w:r>
    </w:p>
    <w:p w14:paraId="2480155A">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22" w:name="_Toc163493635"/>
      <w:bookmarkStart w:id="423" w:name="_Toc13955"/>
      <w:bookmarkStart w:id="424" w:name="_Hlk158124046"/>
      <w:bookmarkStart w:id="425" w:name="_Toc102056244"/>
      <w:bookmarkStart w:id="426" w:name="_Toc102119879"/>
      <w:bookmarkStart w:id="427" w:name="_Toc102057744"/>
      <w:bookmarkStart w:id="428" w:name="_Toc102114946"/>
      <w:bookmarkStart w:id="429" w:name="_Toc102116048"/>
      <w:bookmarkStart w:id="430" w:name="_Toc102116178"/>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响应文件澄清</w:t>
      </w:r>
      <w:bookmarkEnd w:id="422"/>
      <w:bookmarkEnd w:id="423"/>
    </w:p>
    <w:p w14:paraId="4E589A43">
      <w:pPr>
        <w:pStyle w:val="33"/>
        <w:ind w:firstLine="480"/>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7E33E43">
      <w:pPr>
        <w:pStyle w:val="33"/>
        <w:ind w:firstLine="480"/>
        <w:rPr>
          <w:i w:val="0"/>
          <w:iCs w:val="0"/>
          <w:color w:val="auto"/>
          <w:highlight w:val="none"/>
        </w:rPr>
      </w:pPr>
      <w:r>
        <w:rPr>
          <w:rFonts w:hint="eastAsia" w:ascii="宋体" w:hAnsi="宋体" w:eastAsia="宋体"/>
          <w:i w:val="0"/>
          <w:iCs w:val="0"/>
          <w:color w:val="auto"/>
          <w:highlight w:val="none"/>
          <w:lang w:val="en-US" w:eastAsia="zh-CN"/>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24"/>
    <w:p w14:paraId="27E4E052">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31" w:name="_Toc163493636"/>
      <w:bookmarkStart w:id="432" w:name="_Toc18013"/>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磋商程序</w:t>
      </w:r>
      <w:bookmarkEnd w:id="431"/>
      <w:bookmarkEnd w:id="432"/>
    </w:p>
    <w:p w14:paraId="3B21DF86">
      <w:pPr>
        <w:pStyle w:val="33"/>
        <w:ind w:firstLine="480"/>
        <w:rPr>
          <w:i w:val="0"/>
          <w:iCs w:val="0"/>
          <w:color w:val="auto"/>
          <w:highlight w:val="none"/>
        </w:rPr>
      </w:pPr>
      <w:r>
        <w:rPr>
          <w:rFonts w:hint="eastAsia"/>
          <w:i w:val="0"/>
          <w:iCs w:val="0"/>
          <w:color w:val="auto"/>
          <w:highlight w:val="none"/>
        </w:rPr>
        <w:t>磋商小组应当依据磋商文件规定的程序、评</w:t>
      </w:r>
      <w:r>
        <w:rPr>
          <w:rFonts w:hint="eastAsia"/>
          <w:i w:val="0"/>
          <w:iCs w:val="0"/>
          <w:color w:val="auto"/>
          <w:highlight w:val="none"/>
          <w:lang w:val="en-US" w:eastAsia="zh-CN"/>
        </w:rPr>
        <w:t>审</w:t>
      </w:r>
      <w:r>
        <w:rPr>
          <w:rFonts w:hint="eastAsia"/>
          <w:i w:val="0"/>
          <w:iCs w:val="0"/>
          <w:color w:val="auto"/>
          <w:highlight w:val="none"/>
        </w:rPr>
        <w:t>成交的标准等事项与</w:t>
      </w:r>
      <w:r>
        <w:rPr>
          <w:rFonts w:hint="eastAsia" w:cs="Helvetica"/>
          <w:i w:val="0"/>
          <w:iCs w:val="0"/>
          <w:color w:val="auto"/>
          <w:szCs w:val="24"/>
          <w:highlight w:val="none"/>
          <w:lang w:val="zh-CN"/>
        </w:rPr>
        <w:t>实质性</w:t>
      </w:r>
      <w:r>
        <w:rPr>
          <w:rFonts w:hint="eastAsia"/>
          <w:i w:val="0"/>
          <w:iCs w:val="0"/>
          <w:color w:val="auto"/>
          <w:highlight w:val="none"/>
        </w:rPr>
        <w:t>响应磋商文件要求的供应商</w:t>
      </w:r>
      <w:r>
        <w:rPr>
          <w:i w:val="0"/>
          <w:iCs w:val="0"/>
          <w:color w:val="auto"/>
          <w:highlight w:val="none"/>
        </w:rPr>
        <w:t>进行</w:t>
      </w:r>
      <w:r>
        <w:rPr>
          <w:rFonts w:hint="eastAsia"/>
          <w:i w:val="0"/>
          <w:iCs w:val="0"/>
          <w:color w:val="auto"/>
          <w:highlight w:val="none"/>
        </w:rPr>
        <w:t>磋商。</w:t>
      </w:r>
    </w:p>
    <w:p w14:paraId="410355B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1.第一轮磋商</w:t>
      </w:r>
    </w:p>
    <w:p w14:paraId="2DE3353A">
      <w:pPr>
        <w:pStyle w:val="33"/>
        <w:ind w:firstLine="480"/>
        <w:rPr>
          <w:rFonts w:cs="宋体"/>
          <w:i w:val="0"/>
          <w:iCs w:val="0"/>
          <w:color w:val="auto"/>
          <w:szCs w:val="24"/>
          <w:highlight w:val="none"/>
        </w:rPr>
      </w:pPr>
      <w:r>
        <w:rPr>
          <w:rFonts w:hint="eastAsia"/>
          <w:i w:val="0"/>
          <w:iCs w:val="0"/>
          <w:color w:val="auto"/>
          <w:highlight w:val="none"/>
          <w:lang w:val="zh-CN"/>
        </w:rPr>
        <w:t>1</w:t>
      </w:r>
      <w:r>
        <w:rPr>
          <w:i w:val="0"/>
          <w:iCs w:val="0"/>
          <w:color w:val="auto"/>
          <w:highlight w:val="none"/>
          <w:lang w:val="zh-CN"/>
        </w:rPr>
        <w:t>.1</w:t>
      </w:r>
      <w:r>
        <w:rPr>
          <w:rFonts w:hint="eastAsia"/>
          <w:i w:val="0"/>
          <w:iCs w:val="0"/>
          <w:color w:val="auto"/>
          <w:highlight w:val="none"/>
          <w:lang w:val="zh-CN"/>
        </w:rPr>
        <w:t>磋商小组将按照系统随机的顺序决定供应商的磋商顺序，并集中与单一供应商分别进行磋商</w:t>
      </w:r>
      <w:r>
        <w:rPr>
          <w:rFonts w:hint="eastAsia" w:cs="宋体"/>
          <w:i w:val="0"/>
          <w:iCs w:val="0"/>
          <w:color w:val="auto"/>
          <w:szCs w:val="24"/>
          <w:highlight w:val="none"/>
        </w:rPr>
        <w:t>。</w:t>
      </w:r>
    </w:p>
    <w:p w14:paraId="51723349">
      <w:pPr>
        <w:pStyle w:val="33"/>
        <w:ind w:firstLine="480"/>
        <w:rPr>
          <w:rFonts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.2</w:t>
      </w:r>
      <w:r>
        <w:rPr>
          <w:rFonts w:hint="eastAsia" w:cs="宋体"/>
          <w:i w:val="0"/>
          <w:iCs w:val="0"/>
          <w:color w:val="auto"/>
          <w:szCs w:val="24"/>
          <w:highlight w:val="none"/>
        </w:rPr>
        <w:t>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71EE9FD4">
      <w:pPr>
        <w:pStyle w:val="33"/>
        <w:ind w:firstLine="480"/>
        <w:rPr>
          <w:rFonts w:hint="eastAsia" w:eastAsia="宋体" w:cs="宋体"/>
          <w:i w:val="0"/>
          <w:iCs w:val="0"/>
          <w:color w:val="auto"/>
          <w:szCs w:val="24"/>
          <w:highlight w:val="none"/>
          <w:lang w:eastAsia="zh-CN"/>
        </w:rPr>
      </w:pPr>
      <w:r>
        <w:rPr>
          <w:rFonts w:hint="eastAsia" w:cs="宋体"/>
          <w:i w:val="0"/>
          <w:iCs w:val="0"/>
          <w:color w:val="auto"/>
          <w:szCs w:val="24"/>
          <w:highlight w:val="none"/>
        </w:rPr>
        <w:t>1</w:t>
      </w:r>
      <w:r>
        <w:rPr>
          <w:rFonts w:cs="宋体"/>
          <w:i w:val="0"/>
          <w:iCs w:val="0"/>
          <w:color w:val="auto"/>
          <w:szCs w:val="24"/>
          <w:highlight w:val="none"/>
        </w:rPr>
        <w:t>.3</w:t>
      </w:r>
      <w:r>
        <w:rPr>
          <w:rFonts w:hint="eastAsia" w:cs="宋体"/>
          <w:i w:val="0"/>
          <w:iCs w:val="0"/>
          <w:color w:val="auto"/>
          <w:szCs w:val="24"/>
          <w:highlight w:val="none"/>
        </w:rPr>
        <w:t>磋商过程中，磋商小组可以根据磋商文件和磋商情况实质性变动采购需求中的技术、服务要求以及合同草案条款，但不得变动磋商文件中的其他内容。实质性变动的内容，须经采购人代表确认。</w:t>
      </w:r>
    </w:p>
    <w:p w14:paraId="5261153F">
      <w:pPr>
        <w:pStyle w:val="33"/>
        <w:ind w:firstLine="480"/>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.4</w:t>
      </w:r>
      <w:r>
        <w:rPr>
          <w:rFonts w:hint="eastAsia" w:cs="宋体"/>
          <w:i w:val="0"/>
          <w:iCs w:val="0"/>
          <w:color w:val="auto"/>
          <w:szCs w:val="24"/>
          <w:highlight w:val="none"/>
        </w:rPr>
        <w:t>对磋商文件作出的实质性变动的内容是磋商文件的有效组成部分。磋商小组应将磋商文件的变动情况以书面</w:t>
      </w:r>
      <w:r>
        <w:rPr>
          <w:rFonts w:hint="eastAsia" w:cs="宋体"/>
          <w:i w:val="0"/>
          <w:iCs w:val="0"/>
          <w:color w:val="auto"/>
          <w:szCs w:val="24"/>
          <w:highlight w:val="none"/>
          <w:lang w:val="en-US" w:eastAsia="zh-CN"/>
        </w:rPr>
        <w:t>形</w:t>
      </w:r>
      <w:r>
        <w:rPr>
          <w:rFonts w:hint="eastAsia" w:cs="宋体"/>
          <w:i w:val="0"/>
          <w:iCs w:val="0"/>
          <w:color w:val="auto"/>
          <w:szCs w:val="24"/>
          <w:highlight w:val="none"/>
        </w:rPr>
        <w:t>式通知所有参加磋商的供应商。</w:t>
      </w:r>
    </w:p>
    <w:p w14:paraId="708F2F98">
      <w:pPr>
        <w:pStyle w:val="33"/>
        <w:ind w:firstLine="480"/>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.5</w:t>
      </w:r>
      <w:r>
        <w:rPr>
          <w:rFonts w:hint="eastAsia" w:cs="宋体"/>
          <w:i w:val="0"/>
          <w:iCs w:val="0"/>
          <w:color w:val="auto"/>
          <w:szCs w:val="24"/>
          <w:highlight w:val="none"/>
        </w:rPr>
        <w:t>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296A5BF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2.多轮磋商</w:t>
      </w:r>
    </w:p>
    <w:p w14:paraId="07D8F4C4">
      <w:pPr>
        <w:pStyle w:val="33"/>
        <w:ind w:firstLine="480"/>
        <w:rPr>
          <w:i w:val="0"/>
          <w:iCs w:val="0"/>
          <w:color w:val="auto"/>
          <w:highlight w:val="none"/>
        </w:rPr>
      </w:pPr>
      <w:r>
        <w:rPr>
          <w:i w:val="0"/>
          <w:iCs w:val="0"/>
          <w:color w:val="auto"/>
          <w:highlight w:val="none"/>
        </w:rPr>
        <w:t>2.1</w:t>
      </w:r>
      <w:r>
        <w:rPr>
          <w:rFonts w:hint="eastAsia"/>
          <w:i w:val="0"/>
          <w:iCs w:val="0"/>
          <w:color w:val="auto"/>
          <w:highlight w:val="none"/>
        </w:rPr>
        <w:t>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7990D9D0">
      <w:pPr>
        <w:pStyle w:val="33"/>
        <w:ind w:firstLine="480"/>
        <w:rPr>
          <w:i w:val="0"/>
          <w:iCs w:val="0"/>
          <w:color w:val="auto"/>
          <w:sz w:val="28"/>
          <w:highlight w:val="none"/>
        </w:rPr>
      </w:pPr>
      <w:r>
        <w:rPr>
          <w:rFonts w:hint="eastAsia"/>
          <w:i w:val="0"/>
          <w:iCs w:val="0"/>
          <w:color w:val="auto"/>
          <w:highlight w:val="none"/>
        </w:rPr>
        <w:t>2</w:t>
      </w:r>
      <w:r>
        <w:rPr>
          <w:i w:val="0"/>
          <w:iCs w:val="0"/>
          <w:color w:val="auto"/>
          <w:highlight w:val="none"/>
        </w:rPr>
        <w:t>.3</w:t>
      </w:r>
      <w:r>
        <w:rPr>
          <w:rFonts w:hint="eastAsia"/>
          <w:i w:val="0"/>
          <w:iCs w:val="0"/>
          <w:color w:val="auto"/>
          <w:highlight w:val="none"/>
        </w:rPr>
        <w:t>磋商程序同第一轮磋商。</w:t>
      </w:r>
    </w:p>
    <w:p w14:paraId="4741324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3.最后报价</w:t>
      </w:r>
    </w:p>
    <w:p w14:paraId="7172DA31">
      <w:pPr>
        <w:pStyle w:val="33"/>
        <w:ind w:firstLine="480"/>
        <w:rPr>
          <w:i w:val="0"/>
          <w:iCs w:val="0"/>
          <w:color w:val="auto"/>
          <w:highlight w:val="none"/>
        </w:rPr>
      </w:pPr>
      <w:r>
        <w:rPr>
          <w:rFonts w:hint="eastAsia"/>
          <w:i w:val="0"/>
          <w:iCs w:val="0"/>
          <w:color w:val="auto"/>
          <w:highlight w:val="none"/>
        </w:rPr>
        <w:t>3</w:t>
      </w:r>
      <w:r>
        <w:rPr>
          <w:i w:val="0"/>
          <w:iCs w:val="0"/>
          <w:color w:val="auto"/>
          <w:highlight w:val="none"/>
        </w:rPr>
        <w:t>.1</w:t>
      </w:r>
      <w:r>
        <w:rPr>
          <w:rFonts w:hint="eastAsia"/>
          <w:i w:val="0"/>
          <w:iCs w:val="0"/>
          <w:color w:val="auto"/>
          <w:highlight w:val="none"/>
        </w:rPr>
        <w:t>磋商文件中能够详细列明采购标的的技术、服务要求的，磋商结束后，磋商小组应当要求所有</w:t>
      </w:r>
      <w:r>
        <w:rPr>
          <w:rFonts w:hint="eastAsia"/>
          <w:i w:val="0"/>
          <w:iCs w:val="0"/>
          <w:color w:val="auto"/>
          <w:highlight w:val="none"/>
          <w:lang w:val="en-US" w:eastAsia="zh-CN"/>
        </w:rPr>
        <w:t>实质性响应</w:t>
      </w:r>
      <w:r>
        <w:rPr>
          <w:rFonts w:hint="eastAsia"/>
          <w:i w:val="0"/>
          <w:iCs w:val="0"/>
          <w:color w:val="auto"/>
          <w:highlight w:val="none"/>
        </w:rPr>
        <w:t>的供应商，在规定时间内，以书面的方式经授权代表签字（或加盖公章）后提交最后报价，提交最后报价的供应商不得少于3家</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w:t>
      </w:r>
    </w:p>
    <w:p w14:paraId="443FE82F">
      <w:pPr>
        <w:pStyle w:val="33"/>
        <w:ind w:firstLine="480"/>
        <w:rPr>
          <w:rFonts w:hint="eastAsia"/>
          <w:i w:val="0"/>
          <w:iCs w:val="0"/>
          <w:color w:val="auto"/>
          <w:highlight w:val="none"/>
        </w:rPr>
      </w:pPr>
      <w:r>
        <w:rPr>
          <w:i w:val="0"/>
          <w:iCs w:val="0"/>
          <w:color w:val="auto"/>
          <w:highlight w:val="none"/>
        </w:rPr>
        <w:t>3.2</w:t>
      </w:r>
      <w:r>
        <w:rPr>
          <w:rFonts w:hint="eastAsia"/>
          <w:i w:val="0"/>
          <w:iCs w:val="0"/>
          <w:color w:val="auto"/>
          <w:highlight w:val="none"/>
        </w:rPr>
        <w:t>磋商文件中不能详细列明采购标的的技术、服务要求，需经磋商由供应商提供最</w:t>
      </w:r>
      <w:r>
        <w:rPr>
          <w:rFonts w:hint="eastAsia"/>
          <w:i w:val="0"/>
          <w:iCs w:val="0"/>
          <w:color w:val="auto"/>
          <w:highlight w:val="none"/>
          <w:lang w:val="en-US" w:eastAsia="zh-CN"/>
        </w:rPr>
        <w:t>终</w:t>
      </w:r>
      <w:r>
        <w:rPr>
          <w:rFonts w:hint="eastAsia"/>
          <w:i w:val="0"/>
          <w:iCs w:val="0"/>
          <w:color w:val="auto"/>
          <w:highlight w:val="none"/>
        </w:rPr>
        <w:t>设计方案或解决方案的，磋商结束后，磋商小组应当按照少数服从多数的原则投票推荐3家以上供应商的设计方案或者解决方案，并要求其在规定时间内提交最后报价。</w:t>
      </w:r>
    </w:p>
    <w:p w14:paraId="78592F04">
      <w:pPr>
        <w:pStyle w:val="33"/>
        <w:ind w:firstLine="480"/>
        <w:rPr>
          <w:rFonts w:ascii="宋体" w:hAnsi="宋体" w:eastAsia="宋体"/>
          <w:i w:val="0"/>
          <w:iCs w:val="0"/>
          <w:color w:val="auto"/>
          <w:highlight w:val="none"/>
        </w:rPr>
      </w:pPr>
      <w:r>
        <w:rPr>
          <w:i w:val="0"/>
          <w:iCs w:val="0"/>
          <w:color w:val="auto"/>
          <w:highlight w:val="none"/>
        </w:rPr>
        <w:t>3.</w:t>
      </w:r>
      <w:r>
        <w:rPr>
          <w:rFonts w:hint="eastAsia"/>
          <w:i w:val="0"/>
          <w:iCs w:val="0"/>
          <w:color w:val="auto"/>
          <w:highlight w:val="none"/>
          <w:lang w:val="en-US" w:eastAsia="zh-CN"/>
        </w:rPr>
        <w:t>3</w:t>
      </w:r>
      <w:r>
        <w:rPr>
          <w:rFonts w:hint="eastAsia"/>
          <w:i w:val="0"/>
          <w:iCs w:val="0"/>
          <w:color w:val="auto"/>
          <w:highlight w:val="none"/>
        </w:rPr>
        <w:t>最后报价是供应商响应文件的有效组成部分。逾时不提交的，视同退出</w:t>
      </w:r>
      <w:r>
        <w:rPr>
          <w:rFonts w:hint="eastAsia" w:ascii="宋体" w:hAnsi="宋体" w:eastAsia="宋体"/>
          <w:i w:val="0"/>
          <w:iCs w:val="0"/>
          <w:color w:val="auto"/>
          <w:highlight w:val="none"/>
        </w:rPr>
        <w:t>磋商。</w:t>
      </w:r>
    </w:p>
    <w:p w14:paraId="24098F81">
      <w:pPr>
        <w:pStyle w:val="33"/>
        <w:ind w:firstLine="480"/>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最后</w:t>
      </w:r>
      <w:r>
        <w:rPr>
          <w:rFonts w:ascii="宋体" w:hAnsi="宋体" w:eastAsia="宋体"/>
          <w:i w:val="0"/>
          <w:iCs w:val="0"/>
          <w:color w:val="auto"/>
          <w:highlight w:val="none"/>
          <w:lang w:val="zh-CN"/>
        </w:rPr>
        <w:t>报价出现</w:t>
      </w:r>
      <w:r>
        <w:rPr>
          <w:rFonts w:hint="eastAsia" w:ascii="宋体" w:hAnsi="宋体" w:eastAsia="宋体"/>
          <w:i w:val="0"/>
          <w:iCs w:val="0"/>
          <w:color w:val="auto"/>
          <w:highlight w:val="none"/>
          <w:lang w:val="zh-CN"/>
        </w:rPr>
        <w:t>前后不一致的</w:t>
      </w:r>
      <w:r>
        <w:rPr>
          <w:rFonts w:ascii="宋体" w:hAnsi="宋体" w:eastAsia="宋体"/>
          <w:i w:val="0"/>
          <w:iCs w:val="0"/>
          <w:color w:val="auto"/>
          <w:highlight w:val="none"/>
          <w:lang w:val="zh-CN"/>
        </w:rPr>
        <w:t>，按照下列规定修正：</w:t>
      </w:r>
    </w:p>
    <w:p w14:paraId="21548021">
      <w:pPr>
        <w:pStyle w:val="33"/>
        <w:ind w:firstLine="480"/>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（1）</w:t>
      </w:r>
      <w:r>
        <w:rPr>
          <w:rFonts w:ascii="宋体" w:hAnsi="宋体" w:eastAsia="宋体"/>
          <w:i w:val="0"/>
          <w:iCs w:val="0"/>
          <w:color w:val="auto"/>
          <w:highlight w:val="none"/>
          <w:lang w:val="zh-CN"/>
        </w:rPr>
        <w:t>大写金额和小写金额不一致的，以大写金额为准</w:t>
      </w:r>
      <w:r>
        <w:rPr>
          <w:rFonts w:hint="eastAsia" w:ascii="宋体" w:hAnsi="宋体" w:eastAsia="宋体"/>
          <w:i w:val="0"/>
          <w:iCs w:val="0"/>
          <w:color w:val="auto"/>
          <w:highlight w:val="none"/>
          <w:lang w:val="zh-CN"/>
        </w:rPr>
        <w:t>；</w:t>
      </w:r>
    </w:p>
    <w:p w14:paraId="4E1BDE3A">
      <w:pPr>
        <w:pStyle w:val="33"/>
        <w:ind w:firstLine="480"/>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（2）</w:t>
      </w:r>
      <w:r>
        <w:rPr>
          <w:rFonts w:ascii="宋体" w:hAnsi="宋体" w:eastAsia="宋体"/>
          <w:i w:val="0"/>
          <w:iCs w:val="0"/>
          <w:color w:val="auto"/>
          <w:highlight w:val="none"/>
          <w:lang w:val="zh-CN"/>
        </w:rPr>
        <w:t>单价金额</w:t>
      </w:r>
      <w:r>
        <w:rPr>
          <w:rFonts w:ascii="宋体" w:hAnsi="宋体" w:eastAsia="宋体"/>
          <w:i w:val="0"/>
          <w:iCs w:val="0"/>
          <w:color w:val="auto"/>
          <w:highlight w:val="none"/>
        </w:rPr>
        <w:t>小数点</w:t>
      </w:r>
      <w:r>
        <w:rPr>
          <w:rFonts w:ascii="宋体" w:hAnsi="宋体" w:eastAsia="宋体"/>
          <w:i w:val="0"/>
          <w:iCs w:val="0"/>
          <w:color w:val="auto"/>
          <w:highlight w:val="none"/>
          <w:lang w:val="zh-CN"/>
        </w:rPr>
        <w:t>或百分比有明显错位的，以</w:t>
      </w:r>
      <w:r>
        <w:rPr>
          <w:rFonts w:hint="eastAsia" w:ascii="宋体" w:hAnsi="宋体" w:eastAsia="宋体"/>
          <w:i w:val="0"/>
          <w:iCs w:val="0"/>
          <w:color w:val="auto"/>
          <w:highlight w:val="none"/>
          <w:lang w:val="zh-CN"/>
        </w:rPr>
        <w:t>最后报价表</w:t>
      </w:r>
      <w:r>
        <w:rPr>
          <w:rFonts w:ascii="宋体" w:hAnsi="宋体" w:eastAsia="宋体"/>
          <w:i w:val="0"/>
          <w:iCs w:val="0"/>
          <w:color w:val="auto"/>
          <w:highlight w:val="none"/>
          <w:lang w:val="zh-CN"/>
        </w:rPr>
        <w:t>的总价为准，并修改单价</w:t>
      </w:r>
      <w:r>
        <w:rPr>
          <w:rFonts w:hint="eastAsia" w:ascii="宋体" w:hAnsi="宋体" w:eastAsia="宋体"/>
          <w:i w:val="0"/>
          <w:iCs w:val="0"/>
          <w:color w:val="auto"/>
          <w:highlight w:val="none"/>
          <w:lang w:val="zh-CN"/>
        </w:rPr>
        <w:t>；</w:t>
      </w:r>
    </w:p>
    <w:p w14:paraId="4EE75050">
      <w:pPr>
        <w:pStyle w:val="33"/>
        <w:ind w:firstLine="480"/>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（3）</w:t>
      </w:r>
      <w:r>
        <w:rPr>
          <w:rFonts w:ascii="宋体" w:hAnsi="宋体" w:eastAsia="宋体"/>
          <w:i w:val="0"/>
          <w:iCs w:val="0"/>
          <w:color w:val="auto"/>
          <w:highlight w:val="none"/>
          <w:lang w:val="zh-CN"/>
        </w:rPr>
        <w:t>总价金额与按单价汇总金额不一致的，以单价金额计算结果为准</w:t>
      </w:r>
      <w:r>
        <w:rPr>
          <w:rFonts w:hint="eastAsia" w:ascii="宋体" w:hAnsi="宋体" w:eastAsia="宋体"/>
          <w:i w:val="0"/>
          <w:iCs w:val="0"/>
          <w:color w:val="auto"/>
          <w:highlight w:val="none"/>
          <w:lang w:val="zh-CN"/>
        </w:rPr>
        <w:t>；</w:t>
      </w:r>
    </w:p>
    <w:p w14:paraId="2FC6DFE7">
      <w:pPr>
        <w:pStyle w:val="33"/>
        <w:ind w:firstLine="480"/>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（4）</w:t>
      </w:r>
      <w:r>
        <w:rPr>
          <w:rFonts w:ascii="宋体" w:hAnsi="宋体" w:eastAsia="宋体"/>
          <w:i w:val="0"/>
          <w:iCs w:val="0"/>
          <w:color w:val="auto"/>
          <w:highlight w:val="none"/>
          <w:lang w:val="zh-CN"/>
        </w:rPr>
        <w:t>同时出现</w:t>
      </w:r>
      <w:r>
        <w:rPr>
          <w:rFonts w:ascii="宋体" w:hAnsi="宋体" w:eastAsia="宋体"/>
          <w:i w:val="0"/>
          <w:iCs w:val="0"/>
          <w:color w:val="auto"/>
          <w:highlight w:val="none"/>
        </w:rPr>
        <w:t>两种</w:t>
      </w:r>
      <w:r>
        <w:rPr>
          <w:rFonts w:ascii="宋体" w:hAnsi="宋体" w:eastAsia="宋体"/>
          <w:i w:val="0"/>
          <w:iCs w:val="0"/>
          <w:color w:val="auto"/>
          <w:highlight w:val="none"/>
          <w:lang w:val="zh-CN"/>
        </w:rPr>
        <w:t>以上不一致的，按照前款规定的顺序修正</w:t>
      </w:r>
      <w:r>
        <w:rPr>
          <w:rFonts w:hint="eastAsia" w:ascii="宋体" w:hAnsi="宋体" w:eastAsia="宋体"/>
          <w:i w:val="0"/>
          <w:iCs w:val="0"/>
          <w:color w:val="auto"/>
          <w:highlight w:val="none"/>
          <w:lang w:val="zh-CN"/>
        </w:rPr>
        <w:t>；</w:t>
      </w:r>
    </w:p>
    <w:p w14:paraId="5DE843A7">
      <w:pPr>
        <w:pStyle w:val="33"/>
        <w:ind w:firstLine="480"/>
        <w:rPr>
          <w:rFonts w:ascii="宋体" w:hAnsi="宋体" w:eastAsia="宋体"/>
          <w:i w:val="0"/>
          <w:iCs w:val="0"/>
          <w:color w:val="auto"/>
          <w:highlight w:val="none"/>
        </w:rPr>
      </w:pPr>
      <w:r>
        <w:rPr>
          <w:rFonts w:ascii="宋体" w:hAnsi="宋体" w:eastAsia="宋体"/>
          <w:i w:val="0"/>
          <w:iCs w:val="0"/>
          <w:color w:val="auto"/>
          <w:highlight w:val="none"/>
          <w:lang w:val="zh-CN"/>
        </w:rPr>
        <w:t>修正后的报价</w:t>
      </w:r>
      <w:r>
        <w:rPr>
          <w:rFonts w:hint="eastAsia" w:ascii="宋体" w:hAnsi="宋体" w:eastAsia="宋体"/>
          <w:i w:val="0"/>
          <w:iCs w:val="0"/>
          <w:color w:val="auto"/>
          <w:highlight w:val="none"/>
          <w:lang w:val="zh-CN"/>
        </w:rPr>
        <w:t>应通过书面方式</w:t>
      </w:r>
      <w:r>
        <w:rPr>
          <w:rFonts w:ascii="宋体" w:hAnsi="宋体" w:eastAsia="宋体"/>
          <w:i w:val="0"/>
          <w:iCs w:val="0"/>
          <w:color w:val="auto"/>
          <w:highlight w:val="none"/>
          <w:lang w:val="zh-CN"/>
        </w:rPr>
        <w:t>通知</w:t>
      </w:r>
      <w:r>
        <w:rPr>
          <w:rFonts w:hint="eastAsia" w:ascii="宋体" w:hAnsi="宋体" w:eastAsia="宋体"/>
          <w:i w:val="0"/>
          <w:iCs w:val="0"/>
          <w:color w:val="auto"/>
          <w:highlight w:val="none"/>
          <w:lang w:val="zh-CN"/>
        </w:rPr>
        <w:t>供应商，由</w:t>
      </w:r>
      <w:r>
        <w:rPr>
          <w:rFonts w:ascii="宋体" w:hAnsi="宋体" w:eastAsia="宋体"/>
          <w:i w:val="0"/>
          <w:iCs w:val="0"/>
          <w:color w:val="auto"/>
          <w:highlight w:val="none"/>
          <w:lang w:val="zh-CN"/>
        </w:rPr>
        <w:t>供应商</w:t>
      </w:r>
      <w:r>
        <w:rPr>
          <w:rFonts w:hint="eastAsia" w:ascii="宋体" w:hAnsi="宋体" w:eastAsia="宋体"/>
          <w:i w:val="0"/>
          <w:iCs w:val="0"/>
          <w:color w:val="auto"/>
          <w:highlight w:val="none"/>
          <w:lang w:val="zh-CN"/>
        </w:rPr>
        <w:t>授权代表签字（或加盖公章）</w:t>
      </w:r>
      <w:r>
        <w:rPr>
          <w:rFonts w:ascii="宋体" w:hAnsi="宋体" w:eastAsia="宋体"/>
          <w:i w:val="0"/>
          <w:iCs w:val="0"/>
          <w:color w:val="auto"/>
          <w:highlight w:val="none"/>
          <w:lang w:val="zh-CN"/>
        </w:rPr>
        <w:t>确认后产生约束力，供应商不确认的，</w:t>
      </w:r>
      <w:r>
        <w:rPr>
          <w:rFonts w:hint="eastAsia" w:ascii="宋体" w:hAnsi="宋体" w:eastAsia="宋体"/>
          <w:i w:val="0"/>
          <w:iCs w:val="0"/>
          <w:color w:val="auto"/>
          <w:highlight w:val="none"/>
          <w:lang w:val="zh-CN"/>
        </w:rPr>
        <w:t>按照</w:t>
      </w:r>
      <w:r>
        <w:rPr>
          <w:rFonts w:ascii="宋体" w:hAnsi="宋体" w:eastAsia="宋体"/>
          <w:b/>
          <w:bCs/>
          <w:i w:val="0"/>
          <w:iCs w:val="0"/>
          <w:color w:val="auto"/>
          <w:highlight w:val="none"/>
          <w:lang w:val="zh-CN"/>
        </w:rPr>
        <w:t>无效</w:t>
      </w:r>
      <w:r>
        <w:rPr>
          <w:rFonts w:hint="eastAsia" w:ascii="宋体" w:hAnsi="宋体" w:eastAsia="宋体"/>
          <w:b/>
          <w:bCs/>
          <w:i w:val="0"/>
          <w:iCs w:val="0"/>
          <w:color w:val="auto"/>
          <w:highlight w:val="none"/>
          <w:lang w:val="zh-CN"/>
        </w:rPr>
        <w:t>响应</w:t>
      </w:r>
      <w:r>
        <w:rPr>
          <w:rFonts w:hint="eastAsia" w:ascii="宋体" w:hAnsi="宋体" w:eastAsia="宋体"/>
          <w:i w:val="0"/>
          <w:iCs w:val="0"/>
          <w:color w:val="auto"/>
          <w:highlight w:val="none"/>
          <w:lang w:val="zh-CN"/>
        </w:rPr>
        <w:t>处理</w:t>
      </w:r>
      <w:r>
        <w:rPr>
          <w:rFonts w:ascii="宋体" w:hAnsi="宋体" w:eastAsia="宋体"/>
          <w:i w:val="0"/>
          <w:iCs w:val="0"/>
          <w:color w:val="auto"/>
          <w:highlight w:val="none"/>
          <w:lang w:val="zh-CN"/>
        </w:rPr>
        <w:t>。</w:t>
      </w:r>
    </w:p>
    <w:p w14:paraId="492B1BCC">
      <w:pPr>
        <w:tabs>
          <w:tab w:val="left" w:pos="993"/>
        </w:tabs>
        <w:wordWrap w:val="0"/>
        <w:adjustRightInd w:val="0"/>
        <w:snapToGrid w:val="0"/>
        <w:ind w:firstLine="480" w:firstLineChars="200"/>
        <w:rPr>
          <w:i w:val="0"/>
          <w:iCs w:val="0"/>
          <w:color w:val="auto"/>
          <w:highlight w:val="none"/>
        </w:rPr>
      </w:pPr>
      <w:r>
        <w:rPr>
          <w:rFonts w:hint="eastAsia" w:ascii="宋体" w:hAnsi="宋体" w:eastAsia="宋体"/>
          <w:i w:val="0"/>
          <w:iCs w:val="0"/>
          <w:color w:val="auto"/>
          <w:highlight w:val="none"/>
          <w:lang w:val="en-US" w:eastAsia="zh-CN"/>
        </w:rPr>
        <w:t>3.4已提交响应文件的供应商，在提交最后报价之前，可以根据磋商情况退出磋商</w:t>
      </w:r>
      <w:r>
        <w:rPr>
          <w:rFonts w:hint="eastAsia"/>
          <w:i w:val="0"/>
          <w:iCs w:val="0"/>
          <w:color w:val="auto"/>
          <w:highlight w:val="none"/>
          <w:lang w:val="en-US" w:eastAsia="zh-CN"/>
        </w:rPr>
        <w:t>，</w:t>
      </w:r>
      <w:r>
        <w:rPr>
          <w:rFonts w:hint="eastAsia" w:ascii="宋体" w:hAnsi="宋体" w:eastAsia="宋体"/>
          <w:i w:val="0"/>
          <w:iCs w:val="0"/>
          <w:color w:val="auto"/>
          <w:highlight w:val="none"/>
          <w:lang w:val="en-US" w:eastAsia="zh-CN"/>
        </w:rPr>
        <w:t>退出磋商供应商的磋商保证金</w:t>
      </w:r>
      <w:r>
        <w:rPr>
          <w:rFonts w:hint="eastAsia"/>
          <w:i w:val="0"/>
          <w:iCs w:val="0"/>
          <w:color w:val="auto"/>
          <w:highlight w:val="none"/>
          <w:lang w:val="en-US" w:eastAsia="zh-CN"/>
        </w:rPr>
        <w:t>可予以</w:t>
      </w:r>
      <w:r>
        <w:rPr>
          <w:rFonts w:hint="eastAsia" w:ascii="宋体" w:hAnsi="宋体" w:eastAsia="宋体"/>
          <w:i w:val="0"/>
          <w:iCs w:val="0"/>
          <w:color w:val="auto"/>
          <w:highlight w:val="none"/>
          <w:lang w:val="en-US" w:eastAsia="zh-CN"/>
        </w:rPr>
        <w:t>退还</w:t>
      </w:r>
      <w:r>
        <w:rPr>
          <w:i w:val="0"/>
          <w:iCs w:val="0"/>
          <w:color w:val="auto"/>
          <w:szCs w:val="24"/>
          <w:highlight w:val="none"/>
          <w:lang w:val="zh-CN"/>
        </w:rPr>
        <w:t>。</w:t>
      </w:r>
    </w:p>
    <w:p w14:paraId="37D01F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3" w:name="_Toc102114947"/>
      <w:bookmarkStart w:id="434" w:name="_Toc102119880"/>
      <w:bookmarkStart w:id="435" w:name="_Toc102116179"/>
      <w:bookmarkStart w:id="436" w:name="_Toc102116049"/>
      <w:bookmarkStart w:id="437" w:name="_Toc102056245"/>
      <w:bookmarkStart w:id="438" w:name="_Toc102057745"/>
      <w:r>
        <w:rPr>
          <w:rFonts w:hint="eastAsia" w:ascii="宋体" w:hAnsi="宋体" w:eastAsia="宋体" w:cs="宋体"/>
          <w:b/>
          <w:bCs/>
          <w:color w:val="auto"/>
          <w:kern w:val="2"/>
          <w:sz w:val="24"/>
          <w:szCs w:val="24"/>
          <w:highlight w:val="none"/>
          <w:lang w:val="en-US" w:eastAsia="zh-CN" w:bidi="ar-SA"/>
        </w:rPr>
        <w:t>4.商务技术评审</w:t>
      </w:r>
    </w:p>
    <w:p w14:paraId="2D2ED263">
      <w:pPr>
        <w:pStyle w:val="33"/>
        <w:ind w:firstLine="480"/>
        <w:rPr>
          <w:i w:val="0"/>
          <w:iCs w:val="0"/>
          <w:color w:val="auto"/>
          <w:highlight w:val="none"/>
          <w:lang w:val="zh-CN"/>
        </w:rPr>
      </w:pPr>
      <w:r>
        <w:rPr>
          <w:rFonts w:hint="eastAsia"/>
          <w:i w:val="0"/>
          <w:iCs w:val="0"/>
          <w:color w:val="auto"/>
          <w:highlight w:val="none"/>
          <w:lang w:val="zh-CN"/>
        </w:rPr>
        <w:t>4</w:t>
      </w:r>
      <w:r>
        <w:rPr>
          <w:i w:val="0"/>
          <w:iCs w:val="0"/>
          <w:color w:val="auto"/>
          <w:highlight w:val="none"/>
          <w:lang w:val="zh-CN"/>
        </w:rPr>
        <w:t>.1</w:t>
      </w:r>
      <w:r>
        <w:rPr>
          <w:rFonts w:hint="eastAsia"/>
          <w:i w:val="0"/>
          <w:iCs w:val="0"/>
          <w:color w:val="auto"/>
          <w:highlight w:val="none"/>
          <w:lang w:val="zh-CN"/>
        </w:rPr>
        <w:t>经磋商确定最终采购需求和提交最后报价的供应商后，由磋商小组采用综合评分法对提交最后报价的供应商的响应文件和最后报价进行综合评分。</w:t>
      </w:r>
    </w:p>
    <w:bookmarkEnd w:id="425"/>
    <w:bookmarkEnd w:id="426"/>
    <w:bookmarkEnd w:id="427"/>
    <w:bookmarkEnd w:id="428"/>
    <w:bookmarkEnd w:id="429"/>
    <w:bookmarkEnd w:id="430"/>
    <w:bookmarkEnd w:id="433"/>
    <w:bookmarkEnd w:id="434"/>
    <w:bookmarkEnd w:id="435"/>
    <w:bookmarkEnd w:id="436"/>
    <w:bookmarkEnd w:id="437"/>
    <w:bookmarkEnd w:id="438"/>
    <w:p w14:paraId="11B2A59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9" w:name="_Toc102116181"/>
      <w:bookmarkStart w:id="440" w:name="_Toc102114949"/>
      <w:bookmarkStart w:id="441" w:name="_Toc102056247"/>
      <w:bookmarkStart w:id="442" w:name="_Toc102116051"/>
      <w:bookmarkStart w:id="443" w:name="_Toc102119882"/>
      <w:bookmarkStart w:id="444" w:name="_Toc102057747"/>
      <w:r>
        <w:rPr>
          <w:rFonts w:hint="eastAsia" w:ascii="宋体" w:hAnsi="宋体" w:eastAsia="宋体" w:cs="宋体"/>
          <w:b/>
          <w:bCs/>
          <w:color w:val="auto"/>
          <w:kern w:val="2"/>
          <w:sz w:val="24"/>
          <w:szCs w:val="24"/>
          <w:highlight w:val="none"/>
          <w:lang w:val="en-US" w:eastAsia="zh-CN" w:bidi="ar-SA"/>
        </w:rPr>
        <w:t>5.报价评</w:t>
      </w:r>
      <w:bookmarkEnd w:id="439"/>
      <w:bookmarkEnd w:id="440"/>
      <w:bookmarkEnd w:id="441"/>
      <w:bookmarkEnd w:id="442"/>
      <w:bookmarkEnd w:id="443"/>
      <w:bookmarkEnd w:id="444"/>
      <w:r>
        <w:rPr>
          <w:rFonts w:hint="eastAsia" w:ascii="宋体" w:hAnsi="宋体" w:eastAsia="宋体" w:cs="宋体"/>
          <w:b/>
          <w:bCs/>
          <w:color w:val="auto"/>
          <w:kern w:val="2"/>
          <w:sz w:val="24"/>
          <w:szCs w:val="24"/>
          <w:highlight w:val="none"/>
          <w:lang w:val="en-US" w:eastAsia="zh-CN" w:bidi="ar-SA"/>
        </w:rPr>
        <w:t>审</w:t>
      </w:r>
    </w:p>
    <w:p w14:paraId="055B48E8">
      <w:pPr>
        <w:pStyle w:val="33"/>
        <w:ind w:firstLine="480"/>
        <w:rPr>
          <w:i w:val="0"/>
          <w:iCs w:val="0"/>
          <w:color w:val="auto"/>
          <w:highlight w:val="none"/>
          <w:lang w:val="zh-CN"/>
        </w:rPr>
      </w:pPr>
      <w:r>
        <w:rPr>
          <w:rFonts w:hint="eastAsia"/>
          <w:i w:val="0"/>
          <w:iCs w:val="0"/>
          <w:color w:val="auto"/>
          <w:highlight w:val="none"/>
          <w:lang w:val="zh-CN"/>
        </w:rPr>
        <w:t>5</w:t>
      </w:r>
      <w:r>
        <w:rPr>
          <w:i w:val="0"/>
          <w:iCs w:val="0"/>
          <w:color w:val="auto"/>
          <w:highlight w:val="none"/>
          <w:lang w:val="zh-CN"/>
        </w:rPr>
        <w:t>.1</w:t>
      </w:r>
      <w:r>
        <w:rPr>
          <w:rFonts w:hint="eastAsia"/>
          <w:i w:val="0"/>
          <w:iCs w:val="0"/>
          <w:color w:val="auto"/>
          <w:highlight w:val="none"/>
          <w:lang w:val="zh-CN"/>
        </w:rPr>
        <w:t>报价合理性说明：磋商</w:t>
      </w:r>
      <w:r>
        <w:rPr>
          <w:i w:val="0"/>
          <w:iCs w:val="0"/>
          <w:color w:val="auto"/>
          <w:highlight w:val="none"/>
          <w:lang w:val="zh-CN"/>
        </w:rPr>
        <w:t>小组认为供应商的</w:t>
      </w:r>
      <w:r>
        <w:rPr>
          <w:rFonts w:hint="eastAsia"/>
          <w:i w:val="0"/>
          <w:iCs w:val="0"/>
          <w:color w:val="auto"/>
          <w:highlight w:val="none"/>
          <w:lang w:val="zh-CN"/>
        </w:rPr>
        <w:t>最后</w:t>
      </w:r>
      <w:r>
        <w:rPr>
          <w:i w:val="0"/>
          <w:iCs w:val="0"/>
          <w:color w:val="auto"/>
          <w:highlight w:val="none"/>
          <w:lang w:val="zh-CN"/>
        </w:rPr>
        <w:t>报价明显低于其他供应商</w:t>
      </w:r>
      <w:r>
        <w:rPr>
          <w:rFonts w:hint="eastAsia"/>
          <w:i w:val="0"/>
          <w:iCs w:val="0"/>
          <w:color w:val="auto"/>
          <w:highlight w:val="none"/>
          <w:lang w:val="zh-CN"/>
        </w:rPr>
        <w:t>最后</w:t>
      </w:r>
      <w:r>
        <w:rPr>
          <w:i w:val="0"/>
          <w:iCs w:val="0"/>
          <w:color w:val="auto"/>
          <w:highlight w:val="none"/>
          <w:lang w:val="zh-CN"/>
        </w:rPr>
        <w:t>报价，有可能影响</w:t>
      </w:r>
      <w:r>
        <w:rPr>
          <w:rFonts w:hint="eastAsia"/>
          <w:i w:val="0"/>
          <w:iCs w:val="0"/>
          <w:color w:val="auto"/>
          <w:highlight w:val="none"/>
          <w:lang w:val="en-US" w:eastAsia="zh-CN"/>
        </w:rPr>
        <w:t>工程</w:t>
      </w:r>
      <w:r>
        <w:rPr>
          <w:i w:val="0"/>
          <w:iCs w:val="0"/>
          <w:color w:val="auto"/>
          <w:highlight w:val="none"/>
          <w:lang w:val="zh-CN"/>
        </w:rPr>
        <w:t>质量或者不能诚信履约的，应当要求其</w:t>
      </w:r>
      <w:r>
        <w:rPr>
          <w:rFonts w:hint="eastAsia"/>
          <w:i w:val="0"/>
          <w:iCs w:val="0"/>
          <w:color w:val="auto"/>
          <w:highlight w:val="none"/>
          <w:lang w:val="zh-CN"/>
        </w:rPr>
        <w:t>在</w:t>
      </w:r>
      <w:r>
        <w:rPr>
          <w:i w:val="0"/>
          <w:iCs w:val="0"/>
          <w:color w:val="auto"/>
          <w:highlight w:val="none"/>
          <w:lang w:val="zh-CN"/>
        </w:rPr>
        <w:t>合理的时间内提供说明，必要时提交相关证明材料；供应商不能证明其</w:t>
      </w:r>
      <w:r>
        <w:rPr>
          <w:rFonts w:hint="eastAsia"/>
          <w:i w:val="0"/>
          <w:iCs w:val="0"/>
          <w:color w:val="auto"/>
          <w:highlight w:val="none"/>
          <w:lang w:val="zh-CN"/>
        </w:rPr>
        <w:t>最后</w:t>
      </w:r>
      <w:r>
        <w:rPr>
          <w:i w:val="0"/>
          <w:iCs w:val="0"/>
          <w:color w:val="auto"/>
          <w:highlight w:val="none"/>
          <w:lang w:val="zh-CN"/>
        </w:rPr>
        <w:t>报价合理性的，</w:t>
      </w:r>
      <w:r>
        <w:rPr>
          <w:rFonts w:hint="eastAsia"/>
          <w:i w:val="0"/>
          <w:iCs w:val="0"/>
          <w:color w:val="auto"/>
          <w:highlight w:val="none"/>
          <w:lang w:val="zh-CN"/>
        </w:rPr>
        <w:t>磋商</w:t>
      </w:r>
      <w:r>
        <w:rPr>
          <w:i w:val="0"/>
          <w:iCs w:val="0"/>
          <w:color w:val="auto"/>
          <w:highlight w:val="none"/>
          <w:lang w:val="zh-CN"/>
        </w:rPr>
        <w:t>小组</w:t>
      </w:r>
      <w:r>
        <w:rPr>
          <w:rFonts w:hint="eastAsia"/>
          <w:i w:val="0"/>
          <w:iCs w:val="0"/>
          <w:color w:val="auto"/>
          <w:highlight w:val="none"/>
          <w:lang w:val="zh-CN"/>
        </w:rPr>
        <w:t>应当将其作</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i w:val="0"/>
          <w:iCs w:val="0"/>
          <w:color w:val="auto"/>
          <w:highlight w:val="none"/>
          <w:lang w:val="zh-CN"/>
        </w:rPr>
        <w:t>。</w:t>
      </w:r>
    </w:p>
    <w:p w14:paraId="1B3E8B52">
      <w:pPr>
        <w:pStyle w:val="33"/>
        <w:ind w:firstLine="480"/>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5.1.1供应商应根据答疑内容在规定的时间内提供说明和相关证明材料，磋商小组认定相关证明材料对此报价的说明或者证明材料可以佐证此报价的工程质量和具有诚信履约能力，予以通过审查；</w:t>
      </w:r>
    </w:p>
    <w:p w14:paraId="61371D00">
      <w:pPr>
        <w:pStyle w:val="33"/>
        <w:ind w:firstLine="480"/>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5.1.2供应商提供的说明或者证明材料必须按照国家相关规定，逐项对其报价作详细陈述，并由法定代表人或者其授权代表签字确认并加盖公章；</w:t>
      </w:r>
    </w:p>
    <w:p w14:paraId="3E3AF71F">
      <w:pPr>
        <w:pStyle w:val="33"/>
        <w:ind w:firstLine="480"/>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5.1.3供应商不能合理说明或者不能提供相关证明材料的，由磋商小组认定该供应商以低于成本报价竞标，有可能影响工程质量或者不能诚信履约，应当</w:t>
      </w:r>
      <w:r>
        <w:rPr>
          <w:rFonts w:hint="eastAsia"/>
          <w:i w:val="0"/>
          <w:iCs w:val="0"/>
          <w:color w:val="auto"/>
          <w:highlight w:val="none"/>
          <w:lang w:val="zh-CN"/>
        </w:rPr>
        <w:t>将其作为</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rFonts w:hint="eastAsia" w:ascii="宋体" w:hAnsi="宋体" w:eastAsia="宋体"/>
          <w:i w:val="0"/>
          <w:iCs w:val="0"/>
          <w:color w:val="auto"/>
          <w:highlight w:val="none"/>
          <w:lang w:val="en-US" w:eastAsia="zh-CN"/>
        </w:rPr>
        <w:t>；</w:t>
      </w:r>
    </w:p>
    <w:p w14:paraId="4914FC82">
      <w:pPr>
        <w:pStyle w:val="33"/>
        <w:ind w:firstLine="480"/>
        <w:rPr>
          <w:i w:val="0"/>
          <w:iCs w:val="0"/>
          <w:color w:val="auto"/>
          <w:highlight w:val="none"/>
          <w:lang w:val="zh-CN"/>
        </w:rPr>
      </w:pPr>
      <w:r>
        <w:rPr>
          <w:rFonts w:hint="eastAsia" w:ascii="宋体" w:hAnsi="宋体" w:eastAsia="宋体"/>
          <w:i w:val="0"/>
          <w:iCs w:val="0"/>
          <w:color w:val="auto"/>
          <w:highlight w:val="none"/>
          <w:lang w:val="en-US" w:eastAsia="zh-CN"/>
        </w:rPr>
        <w:t>5.1.4供应商也可以有预见性地准备好上述要求的书面说明和相关证明材料并加盖公章。</w:t>
      </w:r>
    </w:p>
    <w:p w14:paraId="22BF777A">
      <w:pPr>
        <w:pStyle w:val="33"/>
        <w:ind w:firstLine="480"/>
        <w:rPr>
          <w:i w:val="0"/>
          <w:iCs w:val="0"/>
          <w:color w:val="auto"/>
          <w:highlight w:val="none"/>
          <w:lang w:val="zh-CN"/>
        </w:rPr>
      </w:pPr>
      <w:r>
        <w:rPr>
          <w:rFonts w:hint="eastAsia"/>
          <w:i w:val="0"/>
          <w:iCs w:val="0"/>
          <w:color w:val="auto"/>
          <w:highlight w:val="none"/>
          <w:lang w:val="zh-CN"/>
        </w:rPr>
        <w:t>5</w:t>
      </w:r>
      <w:r>
        <w:rPr>
          <w:i w:val="0"/>
          <w:iCs w:val="0"/>
          <w:color w:val="auto"/>
          <w:highlight w:val="none"/>
          <w:lang w:val="zh-CN"/>
        </w:rPr>
        <w:t>.2</w:t>
      </w:r>
      <w:r>
        <w:rPr>
          <w:rFonts w:hint="eastAsia"/>
          <w:i w:val="0"/>
          <w:iCs w:val="0"/>
          <w:color w:val="auto"/>
          <w:highlight w:val="none"/>
          <w:lang w:val="zh-CN"/>
        </w:rPr>
        <w:t>价格扣除：</w:t>
      </w:r>
      <w:r>
        <w:rPr>
          <w:i w:val="0"/>
          <w:iCs w:val="0"/>
          <w:color w:val="auto"/>
          <w:highlight w:val="none"/>
          <w:lang w:val="zh-CN"/>
        </w:rPr>
        <w:t xml:space="preserve"> </w:t>
      </w:r>
    </w:p>
    <w:p w14:paraId="1F4B5526">
      <w:pPr>
        <w:pStyle w:val="33"/>
        <w:numPr>
          <w:ilvl w:val="0"/>
          <w:numId w:val="0"/>
        </w:numPr>
        <w:shd w:val="clear" w:color="auto" w:fill="FFFFFF" w:themeFill="background1"/>
        <w:ind w:firstLine="480" w:firstLineChars="200"/>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（1）</w:t>
      </w:r>
      <w:r>
        <w:rPr>
          <w:rFonts w:hint="eastAsia"/>
          <w:i w:val="0"/>
          <w:iCs w:val="0"/>
          <w:color w:val="auto"/>
          <w:highlight w:val="none"/>
        </w:rPr>
        <w:t>非专门面向中小企业的采购项目或采购包，对符合规定的小微企业（监狱企业、残疾人福利性单位、联合体各方均为小微企业的联合体、符合小微企业划分标准的个体工商户视同小微企业）报价按照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对小微企业中的监狱企业、残疾人福利性单位、采购产品纳入创新产品应用示范推荐目录内企业、采购产品获得节能产品或环境标志产品认证证书的企业报价按照本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供应商须知前附表”中的规定扣除，用扣除后的价格计算评审基准价。</w:t>
      </w:r>
    </w:p>
    <w:p w14:paraId="72014FEF">
      <w:pPr>
        <w:pStyle w:val="33"/>
        <w:numPr>
          <w:ilvl w:val="0"/>
          <w:numId w:val="0"/>
        </w:numPr>
        <w:shd w:val="clear" w:color="auto" w:fill="FFFFFF" w:themeFill="background1"/>
        <w:ind w:firstLine="480" w:firstLineChars="200"/>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（2）</w:t>
      </w:r>
      <w:r>
        <w:rPr>
          <w:rFonts w:hint="eastAsia"/>
          <w:i w:val="0"/>
          <w:iCs w:val="0"/>
          <w:color w:val="auto"/>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1A495953">
      <w:pPr>
        <w:pStyle w:val="33"/>
        <w:numPr>
          <w:ilvl w:val="0"/>
          <w:numId w:val="0"/>
        </w:numPr>
        <w:shd w:val="clear" w:color="auto" w:fill="FFFFFF" w:themeFill="background1"/>
        <w:ind w:firstLine="480" w:firstLineChars="200"/>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（3）组成联合体或者接受分包的小微企业与联合体内其他企业、分包企业</w:t>
      </w:r>
      <w:r>
        <w:rPr>
          <w:rFonts w:hint="default" w:ascii="宋体" w:hAnsi="宋体" w:eastAsia="宋体" w:cstheme="minorBidi"/>
          <w:i w:val="0"/>
          <w:iCs w:val="0"/>
          <w:color w:val="auto"/>
          <w:kern w:val="2"/>
          <w:sz w:val="24"/>
          <w:szCs w:val="22"/>
          <w:highlight w:val="none"/>
          <w:lang w:val="en-US" w:eastAsia="zh-CN" w:bidi="ar-SA"/>
        </w:rPr>
        <w:t>之间存在直接控股、管理关系的，不享受价格扣除优惠政策。</w:t>
      </w:r>
    </w:p>
    <w:p w14:paraId="60984AA9">
      <w:pPr>
        <w:pStyle w:val="33"/>
        <w:numPr>
          <w:ilvl w:val="0"/>
          <w:numId w:val="0"/>
        </w:numPr>
        <w:shd w:val="clear" w:color="auto" w:fill="FFFFFF" w:themeFill="background1"/>
        <w:ind w:firstLine="480" w:firstLineChars="200"/>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4</w:t>
      </w:r>
      <w:r>
        <w:rPr>
          <w:rFonts w:ascii="宋体" w:hAnsi="宋体" w:eastAsia="宋体" w:cstheme="minorBidi"/>
          <w:i w:val="0"/>
          <w:iCs w:val="0"/>
          <w:color w:val="auto"/>
          <w:kern w:val="2"/>
          <w:sz w:val="24"/>
          <w:szCs w:val="22"/>
          <w:highlight w:val="none"/>
          <w:lang w:val="en-US" w:eastAsia="zh-CN" w:bidi="ar-SA"/>
        </w:rPr>
        <w:t>）价格扣除比例对小型企业和微型企业同等对待，不作区分。</w:t>
      </w:r>
    </w:p>
    <w:p w14:paraId="19B743D0">
      <w:pPr>
        <w:pStyle w:val="33"/>
        <w:numPr>
          <w:ilvl w:val="0"/>
          <w:numId w:val="0"/>
        </w:numPr>
        <w:shd w:val="clear" w:color="auto" w:fill="FFFFFF" w:themeFill="background1"/>
        <w:ind w:firstLine="480" w:firstLineChars="200"/>
        <w:rPr>
          <w:rFonts w:hint="eastAsia"/>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5</w:t>
      </w:r>
      <w:r>
        <w:rPr>
          <w:rFonts w:ascii="宋体" w:hAnsi="宋体" w:eastAsia="宋体" w:cstheme="minorBidi"/>
          <w:i w:val="0"/>
          <w:iCs w:val="0"/>
          <w:color w:val="auto"/>
          <w:kern w:val="2"/>
          <w:sz w:val="24"/>
          <w:szCs w:val="22"/>
          <w:highlight w:val="none"/>
          <w:lang w:val="en-US" w:eastAsia="zh-CN" w:bidi="ar-SA"/>
        </w:rPr>
        <w:t>）</w:t>
      </w:r>
      <w:r>
        <w:rPr>
          <w:rFonts w:hint="eastAsia"/>
          <w:i w:val="0"/>
          <w:iCs w:val="0"/>
          <w:color w:val="auto"/>
          <w:highlight w:val="none"/>
        </w:rPr>
        <w:t>专门面向中小企业、预留部分采购份额面向中小企业采购的项目或采购包，评审时不再进行价格扣除。</w:t>
      </w:r>
    </w:p>
    <w:p w14:paraId="145719F7">
      <w:pPr>
        <w:pStyle w:val="33"/>
        <w:numPr>
          <w:ilvl w:val="0"/>
          <w:numId w:val="0"/>
        </w:numPr>
        <w:shd w:val="clear" w:color="auto" w:fill="FFFFFF" w:themeFill="background1"/>
        <w:ind w:firstLine="480" w:firstLineChars="200"/>
        <w:rPr>
          <w:i w:val="0"/>
          <w:iCs w:val="0"/>
          <w:color w:val="auto"/>
          <w:highlight w:val="none"/>
        </w:rPr>
      </w:pPr>
      <w:r>
        <w:rPr>
          <w:rFonts w:hint="eastAsia"/>
          <w:i w:val="0"/>
          <w:iCs w:val="0"/>
          <w:color w:val="auto"/>
          <w:highlight w:val="none"/>
          <w:lang w:eastAsia="zh-CN"/>
        </w:rPr>
        <w:t>（</w:t>
      </w:r>
      <w:r>
        <w:rPr>
          <w:rFonts w:hint="eastAsia"/>
          <w:i w:val="0"/>
          <w:iCs w:val="0"/>
          <w:color w:val="auto"/>
          <w:highlight w:val="none"/>
          <w:lang w:val="en-US" w:eastAsia="zh-CN"/>
        </w:rPr>
        <w:t>6）若供应商同时属于小型或微型企业、监狱企业、残疾人福利性单位 中的两种及以上，将不重复享受小微企业价格扣减的优惠政策。</w:t>
      </w:r>
    </w:p>
    <w:p w14:paraId="7D70505D">
      <w:pPr>
        <w:pStyle w:val="33"/>
        <w:ind w:firstLine="480"/>
        <w:rPr>
          <w:rFonts w:hint="eastAsia"/>
          <w:i w:val="0"/>
          <w:iCs w:val="0"/>
          <w:color w:val="auto"/>
          <w:highlight w:val="none"/>
          <w:lang w:val="zh-CN"/>
        </w:rPr>
      </w:pPr>
      <w:r>
        <w:rPr>
          <w:i w:val="0"/>
          <w:iCs w:val="0"/>
          <w:color w:val="auto"/>
          <w:highlight w:val="none"/>
          <w:lang w:val="zh-CN"/>
        </w:rPr>
        <w:t>5.3价格分采用</w:t>
      </w:r>
      <w:r>
        <w:rPr>
          <w:i w:val="0"/>
          <w:iCs w:val="0"/>
          <w:color w:val="auto"/>
          <w:szCs w:val="24"/>
          <w:highlight w:val="none"/>
          <w:lang w:val="zh-CN"/>
        </w:rPr>
        <w:t>低价</w:t>
      </w:r>
      <w:r>
        <w:rPr>
          <w:i w:val="0"/>
          <w:iCs w:val="0"/>
          <w:color w:val="auto"/>
          <w:highlight w:val="none"/>
          <w:lang w:val="zh-CN"/>
        </w:rPr>
        <w:t>优先法计算，</w:t>
      </w:r>
      <w:r>
        <w:rPr>
          <w:rFonts w:hint="eastAsia"/>
          <w:i w:val="0"/>
          <w:iCs w:val="0"/>
          <w:color w:val="auto"/>
          <w:highlight w:val="none"/>
          <w:lang w:val="zh-CN"/>
        </w:rPr>
        <w:t>即满足磋商文件要求且最后报价最低的供应商的价格为磋商基准价，其价格分为满分。其他供应商的价格分统一按照下列公式计算：</w:t>
      </w:r>
    </w:p>
    <w:p w14:paraId="75AC352D">
      <w:pPr>
        <w:pStyle w:val="33"/>
        <w:ind w:firstLine="480"/>
        <w:rPr>
          <w:rFonts w:hint="eastAsia"/>
          <w:i w:val="0"/>
          <w:iCs w:val="0"/>
          <w:color w:val="auto"/>
          <w:highlight w:val="none"/>
          <w:lang w:val="zh-CN"/>
        </w:rPr>
      </w:pPr>
      <w:r>
        <w:rPr>
          <w:rFonts w:hint="eastAsia"/>
          <w:i w:val="0"/>
          <w:iCs w:val="0"/>
          <w:color w:val="auto"/>
          <w:highlight w:val="none"/>
          <w:lang w:val="zh-CN"/>
        </w:rPr>
        <w:t>磋商报价得分=（磋商基准价/最后磋商报价）×</w:t>
      </w:r>
      <w:r>
        <w:rPr>
          <w:rFonts w:hint="eastAsia"/>
          <w:i w:val="0"/>
          <w:iCs w:val="0"/>
          <w:color w:val="auto"/>
          <w:highlight w:val="none"/>
        </w:rPr>
        <w:t>价格分值</w:t>
      </w:r>
    </w:p>
    <w:p w14:paraId="72A4C42D">
      <w:pPr>
        <w:pStyle w:val="33"/>
        <w:ind w:firstLine="480"/>
        <w:rPr>
          <w:i w:val="0"/>
          <w:iCs w:val="0"/>
          <w:color w:val="auto"/>
          <w:highlight w:val="none"/>
          <w:lang w:val="zh-CN"/>
        </w:rPr>
      </w:pPr>
      <w:r>
        <w:rPr>
          <w:rFonts w:hint="eastAsia"/>
          <w:i w:val="0"/>
          <w:iCs w:val="0"/>
          <w:color w:val="auto"/>
          <w:highlight w:val="none"/>
          <w:lang w:val="zh-CN"/>
        </w:rPr>
        <w:t>项目评审过程中，不得去掉最后报价中的最高报价和最低报价。</w:t>
      </w:r>
      <w:r>
        <w:rPr>
          <w:i w:val="0"/>
          <w:iCs w:val="0"/>
          <w:color w:val="auto"/>
          <w:highlight w:val="none"/>
          <w:lang w:val="zh-CN"/>
        </w:rPr>
        <w:t>计算方法详见本章“三、</w:t>
      </w:r>
      <w:r>
        <w:rPr>
          <w:rFonts w:hint="eastAsia"/>
          <w:i w:val="0"/>
          <w:iCs w:val="0"/>
          <w:color w:val="auto"/>
          <w:highlight w:val="none"/>
          <w:lang w:val="zh-CN"/>
        </w:rPr>
        <w:t>评审</w:t>
      </w:r>
      <w:r>
        <w:rPr>
          <w:i w:val="0"/>
          <w:iCs w:val="0"/>
          <w:color w:val="auto"/>
          <w:highlight w:val="none"/>
          <w:lang w:val="zh-CN"/>
        </w:rPr>
        <w:t>标准”中的具体计算公式。</w:t>
      </w:r>
    </w:p>
    <w:p w14:paraId="576E982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45" w:name="_Toc102114951"/>
      <w:bookmarkStart w:id="446" w:name="_Toc102116053"/>
      <w:bookmarkStart w:id="447" w:name="_Toc102119884"/>
      <w:bookmarkStart w:id="448" w:name="_Toc102116183"/>
      <w:bookmarkStart w:id="449" w:name="_Toc102057749"/>
      <w:bookmarkStart w:id="450" w:name="_Toc102056249"/>
      <w:bookmarkStart w:id="451" w:name="_Toc102057750"/>
      <w:bookmarkStart w:id="452" w:name="_Toc102116054"/>
      <w:bookmarkStart w:id="453" w:name="_Toc102116184"/>
      <w:bookmarkStart w:id="454" w:name="_Toc102056250"/>
      <w:bookmarkStart w:id="455" w:name="_Toc102114952"/>
      <w:bookmarkStart w:id="456" w:name="_Toc102119885"/>
      <w:r>
        <w:rPr>
          <w:rFonts w:hint="eastAsia" w:ascii="宋体" w:hAnsi="宋体" w:eastAsia="宋体" w:cs="宋体"/>
          <w:b/>
          <w:bCs/>
          <w:color w:val="auto"/>
          <w:kern w:val="2"/>
          <w:sz w:val="24"/>
          <w:szCs w:val="24"/>
          <w:highlight w:val="none"/>
          <w:lang w:val="en-US" w:eastAsia="zh-CN" w:bidi="ar-SA"/>
        </w:rPr>
        <w:t>6.计分办法</w:t>
      </w:r>
      <w:bookmarkEnd w:id="445"/>
      <w:bookmarkEnd w:id="446"/>
      <w:bookmarkEnd w:id="447"/>
      <w:bookmarkEnd w:id="448"/>
      <w:bookmarkEnd w:id="449"/>
      <w:bookmarkEnd w:id="450"/>
      <w:r>
        <w:rPr>
          <w:rFonts w:hint="eastAsia" w:ascii="宋体" w:hAnsi="宋体" w:eastAsia="宋体" w:cs="宋体"/>
          <w:b/>
          <w:bCs/>
          <w:color w:val="auto"/>
          <w:kern w:val="2"/>
          <w:sz w:val="24"/>
          <w:szCs w:val="24"/>
          <w:highlight w:val="none"/>
          <w:lang w:val="en-US" w:eastAsia="zh-CN" w:bidi="ar-SA"/>
        </w:rPr>
        <w:t>及复核</w:t>
      </w:r>
    </w:p>
    <w:p w14:paraId="3C92B2FD">
      <w:pPr>
        <w:pStyle w:val="33"/>
        <w:ind w:firstLine="480"/>
        <w:rPr>
          <w:i w:val="0"/>
          <w:iCs w:val="0"/>
          <w:color w:val="auto"/>
          <w:kern w:val="0"/>
          <w:highlight w:val="none"/>
          <w:lang w:val="zh-CN"/>
        </w:rPr>
      </w:pPr>
      <w:r>
        <w:rPr>
          <w:rFonts w:hint="eastAsia"/>
          <w:i w:val="0"/>
          <w:iCs w:val="0"/>
          <w:color w:val="auto"/>
          <w:highlight w:val="none"/>
          <w:lang w:val="zh-CN"/>
        </w:rPr>
        <w:t>6</w:t>
      </w:r>
      <w:r>
        <w:rPr>
          <w:i w:val="0"/>
          <w:iCs w:val="0"/>
          <w:color w:val="auto"/>
          <w:highlight w:val="none"/>
          <w:lang w:val="zh-CN"/>
        </w:rPr>
        <w:t>.1</w:t>
      </w:r>
      <w:r>
        <w:rPr>
          <w:rFonts w:hint="eastAsia"/>
          <w:i w:val="0"/>
          <w:iCs w:val="0"/>
          <w:color w:val="auto"/>
          <w:highlight w:val="none"/>
          <w:lang w:val="zh-CN"/>
        </w:rPr>
        <w:t>评审过程中，各项分值一般精确到小数点后两位，评审得分应当为商务评分、技术评分、报价评分之和。磋商小组各成员应当汇总每个供应商的得分。</w:t>
      </w:r>
    </w:p>
    <w:p w14:paraId="7ED690F0">
      <w:pPr>
        <w:pStyle w:val="33"/>
        <w:ind w:firstLine="480"/>
        <w:rPr>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.2</w:t>
      </w:r>
      <w:r>
        <w:rPr>
          <w:rFonts w:hint="eastAsia"/>
          <w:i w:val="0"/>
          <w:iCs w:val="0"/>
          <w:color w:val="auto"/>
          <w:highlight w:val="none"/>
          <w:lang w:val="zh-CN"/>
        </w:rPr>
        <w:t>评审结果汇总完成后，采购代理机构应当对评审结果进行复核。经复核发现存在以下情形之一的，磋商小组应当当场修改评审结果，并在评审报告中记载：</w:t>
      </w:r>
    </w:p>
    <w:p w14:paraId="51E15D43">
      <w:pPr>
        <w:pStyle w:val="33"/>
        <w:ind w:firstLine="480"/>
        <w:rPr>
          <w:rFonts w:cs="Times New Roman"/>
          <w:i w:val="0"/>
          <w:iCs w:val="0"/>
          <w:color w:val="auto"/>
          <w:szCs w:val="20"/>
          <w:highlight w:val="none"/>
          <w:lang w:val="zh-CN"/>
        </w:rPr>
      </w:pPr>
      <w:r>
        <w:rPr>
          <w:rFonts w:hint="eastAsia"/>
          <w:i w:val="0"/>
          <w:iCs w:val="0"/>
          <w:color w:val="auto"/>
          <w:highlight w:val="none"/>
          <w:lang w:val="zh-CN"/>
        </w:rPr>
        <w:t>（1）</w:t>
      </w:r>
      <w:r>
        <w:rPr>
          <w:rFonts w:hint="eastAsia"/>
          <w:i w:val="0"/>
          <w:iCs w:val="0"/>
          <w:color w:val="auto"/>
          <w:highlight w:val="none"/>
          <w:lang w:val="zh-CN" w:eastAsia="zh-CN"/>
        </w:rPr>
        <w:t>资格性检查认定错误</w:t>
      </w:r>
      <w:r>
        <w:rPr>
          <w:rFonts w:hint="eastAsia"/>
          <w:i w:val="0"/>
          <w:iCs w:val="0"/>
          <w:color w:val="auto"/>
          <w:highlight w:val="none"/>
          <w:lang w:val="zh-CN"/>
        </w:rPr>
        <w:t xml:space="preserve">的； </w:t>
      </w:r>
    </w:p>
    <w:p w14:paraId="3DE5652F">
      <w:pPr>
        <w:pStyle w:val="33"/>
        <w:ind w:firstLine="480"/>
        <w:rPr>
          <w:rFonts w:cs="Times New Roman"/>
          <w:i w:val="0"/>
          <w:iCs w:val="0"/>
          <w:color w:val="auto"/>
          <w:szCs w:val="20"/>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2</w:t>
      </w:r>
      <w:r>
        <w:rPr>
          <w:rFonts w:hint="eastAsia"/>
          <w:i w:val="0"/>
          <w:iCs w:val="0"/>
          <w:color w:val="auto"/>
          <w:highlight w:val="none"/>
          <w:lang w:val="zh-CN"/>
        </w:rPr>
        <w:t xml:space="preserve">）分值汇总计算错误的； </w:t>
      </w:r>
    </w:p>
    <w:p w14:paraId="37EA074D">
      <w:pPr>
        <w:pStyle w:val="33"/>
        <w:ind w:firstLine="480"/>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3</w:t>
      </w:r>
      <w:r>
        <w:rPr>
          <w:rFonts w:hint="eastAsia"/>
          <w:i w:val="0"/>
          <w:iCs w:val="0"/>
          <w:color w:val="auto"/>
          <w:highlight w:val="none"/>
          <w:lang w:val="zh-CN"/>
        </w:rPr>
        <w:t>）分项评分超出评分标准范围的；</w:t>
      </w:r>
    </w:p>
    <w:p w14:paraId="5B7DD6FF">
      <w:pPr>
        <w:pStyle w:val="33"/>
        <w:ind w:firstLine="480"/>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4</w:t>
      </w:r>
      <w:r>
        <w:rPr>
          <w:rFonts w:hint="eastAsia"/>
          <w:i w:val="0"/>
          <w:iCs w:val="0"/>
          <w:color w:val="auto"/>
          <w:highlight w:val="none"/>
          <w:lang w:val="zh-CN"/>
        </w:rPr>
        <w:t>）</w:t>
      </w:r>
      <w:r>
        <w:rPr>
          <w:rFonts w:hint="eastAsia" w:cs="Helvetica"/>
          <w:i w:val="0"/>
          <w:iCs w:val="0"/>
          <w:color w:val="auto"/>
          <w:szCs w:val="24"/>
          <w:highlight w:val="none"/>
          <w:lang w:val="zh-CN"/>
        </w:rPr>
        <w:t>磋商小组</w:t>
      </w:r>
      <w:r>
        <w:rPr>
          <w:rFonts w:hint="eastAsia"/>
          <w:i w:val="0"/>
          <w:iCs w:val="0"/>
          <w:color w:val="auto"/>
          <w:highlight w:val="none"/>
          <w:lang w:val="zh-CN"/>
        </w:rPr>
        <w:t>成员对客观</w:t>
      </w:r>
      <w:r>
        <w:rPr>
          <w:rFonts w:hint="eastAsia"/>
          <w:i w:val="0"/>
          <w:iCs w:val="0"/>
          <w:color w:val="auto"/>
          <w:highlight w:val="none"/>
          <w:lang w:val="en-US" w:eastAsia="zh-CN"/>
        </w:rPr>
        <w:t>分</w:t>
      </w:r>
      <w:r>
        <w:rPr>
          <w:rFonts w:hint="eastAsia"/>
          <w:i w:val="0"/>
          <w:iCs w:val="0"/>
          <w:color w:val="auto"/>
          <w:highlight w:val="none"/>
          <w:lang w:val="zh-CN"/>
        </w:rPr>
        <w:t>评分不一致的；</w:t>
      </w:r>
    </w:p>
    <w:p w14:paraId="3B75BF42">
      <w:pPr>
        <w:pStyle w:val="33"/>
        <w:ind w:firstLine="480"/>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5</w:t>
      </w:r>
      <w:r>
        <w:rPr>
          <w:rFonts w:hint="eastAsia"/>
          <w:i w:val="0"/>
          <w:iCs w:val="0"/>
          <w:color w:val="auto"/>
          <w:highlight w:val="none"/>
          <w:lang w:val="zh-CN"/>
        </w:rPr>
        <w:t>）经</w:t>
      </w:r>
      <w:r>
        <w:rPr>
          <w:rFonts w:hint="eastAsia" w:cs="Helvetica"/>
          <w:i w:val="0"/>
          <w:iCs w:val="0"/>
          <w:color w:val="auto"/>
          <w:szCs w:val="24"/>
          <w:highlight w:val="none"/>
          <w:lang w:val="zh-CN"/>
        </w:rPr>
        <w:t>磋商小组</w:t>
      </w:r>
      <w:r>
        <w:rPr>
          <w:rFonts w:hint="eastAsia" w:cs="Helvetica"/>
          <w:i w:val="0"/>
          <w:iCs w:val="0"/>
          <w:color w:val="auto"/>
          <w:szCs w:val="24"/>
          <w:highlight w:val="none"/>
          <w:lang w:val="en-US" w:eastAsia="zh-CN"/>
        </w:rPr>
        <w:t>一致</w:t>
      </w:r>
      <w:r>
        <w:rPr>
          <w:rFonts w:hint="eastAsia"/>
          <w:i w:val="0"/>
          <w:iCs w:val="0"/>
          <w:color w:val="auto"/>
          <w:highlight w:val="none"/>
          <w:lang w:val="zh-CN"/>
        </w:rPr>
        <w:t>认定评分畸高、畸低的。</w:t>
      </w:r>
    </w:p>
    <w:p w14:paraId="10B8F738">
      <w:pPr>
        <w:pStyle w:val="33"/>
        <w:ind w:firstLine="480"/>
        <w:rPr>
          <w:rFonts w:hint="eastAsia"/>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.3</w:t>
      </w:r>
      <w:r>
        <w:rPr>
          <w:rFonts w:hint="eastAsia"/>
          <w:i w:val="0"/>
          <w:iCs w:val="0"/>
          <w:color w:val="auto"/>
          <w:highlight w:val="none"/>
          <w:lang w:val="zh-CN"/>
        </w:rPr>
        <w:t>各供应商的最终得分为磋商小组所有成员对各供应商评审得分汇总后的算术平均值。</w:t>
      </w:r>
    </w:p>
    <w:p w14:paraId="502A4CD0">
      <w:pPr>
        <w:pStyle w:val="33"/>
        <w:ind w:firstLine="480"/>
        <w:rPr>
          <w:rFonts w:hint="eastAsia"/>
          <w:i w:val="0"/>
          <w:iCs w:val="0"/>
          <w:color w:val="auto"/>
          <w:highlight w:val="none"/>
          <w:lang w:val="en-US" w:eastAsia="zh-CN"/>
        </w:rPr>
      </w:pPr>
      <w:r>
        <w:rPr>
          <w:rFonts w:hint="eastAsia"/>
          <w:i w:val="0"/>
          <w:iCs w:val="0"/>
          <w:color w:val="auto"/>
          <w:highlight w:val="none"/>
          <w:lang w:val="en-US" w:eastAsia="zh-CN"/>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3A5AB6DE">
      <w:pPr>
        <w:pStyle w:val="33"/>
        <w:ind w:firstLine="480"/>
        <w:rPr>
          <w:rFonts w:hint="eastAsia"/>
          <w:i w:val="0"/>
          <w:iCs w:val="0"/>
          <w:color w:val="auto"/>
          <w:highlight w:val="none"/>
          <w:lang w:val="en-US" w:eastAsia="zh-CN"/>
        </w:rPr>
      </w:pPr>
      <w:r>
        <w:rPr>
          <w:rFonts w:hint="eastAsia"/>
          <w:i w:val="0"/>
          <w:iCs w:val="0"/>
          <w:color w:val="auto"/>
          <w:highlight w:val="none"/>
          <w:lang w:val="en-US" w:eastAsia="zh-CN"/>
        </w:rPr>
        <w:t>6.5采购人或者采购代理机构不得通过对供应商进行考察等方式改变评审结果。</w:t>
      </w:r>
    </w:p>
    <w:p w14:paraId="1F8EBB8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7.评审报告</w:t>
      </w:r>
      <w:bookmarkEnd w:id="451"/>
      <w:bookmarkEnd w:id="452"/>
      <w:bookmarkEnd w:id="453"/>
      <w:bookmarkEnd w:id="454"/>
      <w:bookmarkEnd w:id="455"/>
      <w:bookmarkEnd w:id="456"/>
    </w:p>
    <w:p w14:paraId="2AE7A31A">
      <w:pPr>
        <w:pStyle w:val="33"/>
        <w:ind w:firstLine="480"/>
        <w:rPr>
          <w:rFonts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.1</w:t>
      </w:r>
      <w:r>
        <w:rPr>
          <w:rFonts w:hint="eastAsia" w:cs="Helvetica"/>
          <w:i w:val="0"/>
          <w:iCs w:val="0"/>
          <w:color w:val="auto"/>
          <w:szCs w:val="24"/>
          <w:highlight w:val="none"/>
          <w:lang w:val="zh-CN"/>
        </w:rPr>
        <w:t>磋商小组</w:t>
      </w:r>
      <w:r>
        <w:rPr>
          <w:rFonts w:hint="eastAsia"/>
          <w:i w:val="0"/>
          <w:iCs w:val="0"/>
          <w:color w:val="auto"/>
          <w:highlight w:val="none"/>
        </w:rPr>
        <w:t>从质量和服务均能满足磋商文件实质性要求的供应商中，按照综合得分由高到低的顺序推荐3名</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以上</w:t>
      </w:r>
      <w:r>
        <w:rPr>
          <w:rFonts w:hint="eastAsia" w:cs="Helvetica"/>
          <w:i w:val="0"/>
          <w:iCs w:val="0"/>
          <w:color w:val="auto"/>
          <w:szCs w:val="24"/>
          <w:highlight w:val="none"/>
          <w:lang w:val="zh-CN"/>
        </w:rPr>
        <w:t>成交</w:t>
      </w:r>
      <w:r>
        <w:rPr>
          <w:rFonts w:hint="eastAsia"/>
          <w:i w:val="0"/>
          <w:iCs w:val="0"/>
          <w:color w:val="auto"/>
          <w:highlight w:val="none"/>
        </w:rPr>
        <w:t>候选供应商。评审得</w:t>
      </w:r>
      <w:r>
        <w:rPr>
          <w:i w:val="0"/>
          <w:iCs w:val="0"/>
          <w:color w:val="auto"/>
          <w:highlight w:val="none"/>
        </w:rPr>
        <w:t>分相同的，</w:t>
      </w:r>
      <w:r>
        <w:rPr>
          <w:rFonts w:hint="eastAsia" w:cs="Helvetica"/>
          <w:i w:val="0"/>
          <w:iCs w:val="0"/>
          <w:color w:val="auto"/>
          <w:szCs w:val="24"/>
          <w:highlight w:val="none"/>
          <w:lang w:val="zh-CN"/>
        </w:rPr>
        <w:t>磋商小组</w:t>
      </w:r>
      <w:r>
        <w:rPr>
          <w:rFonts w:hint="eastAsia"/>
          <w:i w:val="0"/>
          <w:iCs w:val="0"/>
          <w:color w:val="auto"/>
          <w:highlight w:val="none"/>
        </w:rPr>
        <w:t>按照最后报价由低到高的顺序</w:t>
      </w:r>
      <w:r>
        <w:rPr>
          <w:i w:val="0"/>
          <w:iCs w:val="0"/>
          <w:color w:val="auto"/>
          <w:highlight w:val="none"/>
        </w:rPr>
        <w:t>推荐</w:t>
      </w:r>
      <w:r>
        <w:rPr>
          <w:rFonts w:hint="eastAsia"/>
          <w:i w:val="0"/>
          <w:iCs w:val="0"/>
          <w:color w:val="auto"/>
          <w:highlight w:val="none"/>
        </w:rPr>
        <w:t>；得分相同且最后报价相同的，按</w:t>
      </w:r>
      <w:r>
        <w:rPr>
          <w:rFonts w:hint="eastAsia"/>
          <w:i w:val="0"/>
          <w:iCs w:val="0"/>
          <w:color w:val="auto"/>
          <w:highlight w:val="none"/>
          <w:lang w:val="en-US" w:eastAsia="zh-CN"/>
        </w:rPr>
        <w:t>照</w:t>
      </w:r>
      <w:r>
        <w:rPr>
          <w:rFonts w:hint="eastAsia"/>
          <w:i w:val="0"/>
          <w:iCs w:val="0"/>
          <w:color w:val="auto"/>
          <w:highlight w:val="none"/>
        </w:rPr>
        <w:t>技术</w:t>
      </w:r>
      <w:r>
        <w:rPr>
          <w:rFonts w:hint="eastAsia"/>
          <w:i w:val="0"/>
          <w:iCs w:val="0"/>
          <w:color w:val="auto"/>
          <w:highlight w:val="none"/>
          <w:lang w:val="en-US" w:eastAsia="zh-CN"/>
        </w:rPr>
        <w:t>指标</w:t>
      </w:r>
      <w:r>
        <w:rPr>
          <w:rFonts w:hint="eastAsia"/>
          <w:i w:val="0"/>
          <w:iCs w:val="0"/>
          <w:color w:val="auto"/>
          <w:highlight w:val="none"/>
        </w:rPr>
        <w:t>优劣顺序推荐</w:t>
      </w:r>
      <w:r>
        <w:rPr>
          <w:rFonts w:hint="eastAsia" w:cs="Helvetica"/>
          <w:i w:val="0"/>
          <w:iCs w:val="0"/>
          <w:color w:val="auto"/>
          <w:szCs w:val="24"/>
          <w:highlight w:val="none"/>
          <w:lang w:val="zh-CN"/>
        </w:rPr>
        <w:t>。响应文件满足磋商文件全部实质性要求且评审得分</w:t>
      </w:r>
      <w:r>
        <w:rPr>
          <w:rFonts w:cs="Helvetica"/>
          <w:i w:val="0"/>
          <w:iCs w:val="0"/>
          <w:color w:val="auto"/>
          <w:szCs w:val="24"/>
          <w:highlight w:val="none"/>
          <w:lang w:val="zh-CN"/>
        </w:rPr>
        <w:t>最高</w:t>
      </w:r>
      <w:r>
        <w:rPr>
          <w:rFonts w:hint="eastAsia" w:cs="Helvetica"/>
          <w:i w:val="0"/>
          <w:iCs w:val="0"/>
          <w:color w:val="auto"/>
          <w:szCs w:val="24"/>
          <w:highlight w:val="none"/>
          <w:lang w:val="zh-CN"/>
        </w:rPr>
        <w:t>的供应商为排名第一的成交候选供应商。</w:t>
      </w:r>
      <w:r>
        <w:rPr>
          <w:rFonts w:hint="eastAsia"/>
          <w:i w:val="0"/>
          <w:iCs w:val="0"/>
          <w:color w:val="auto"/>
          <w:highlight w:val="none"/>
        </w:rPr>
        <w:t>磋商小组依据评审结果</w:t>
      </w:r>
      <w:r>
        <w:rPr>
          <w:rFonts w:hint="eastAsia"/>
          <w:i w:val="0"/>
          <w:iCs w:val="0"/>
          <w:color w:val="auto"/>
          <w:highlight w:val="none"/>
          <w:lang w:eastAsia="zh-CN"/>
        </w:rPr>
        <w:t>形成评审报告。</w:t>
      </w:r>
    </w:p>
    <w:p w14:paraId="110BB818">
      <w:pPr>
        <w:pStyle w:val="33"/>
        <w:ind w:firstLine="480"/>
        <w:rPr>
          <w:rFonts w:hint="eastAsia"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w:t>
      </w:r>
      <w:r>
        <w:rPr>
          <w:rFonts w:hint="eastAsia" w:cs="Helvetica"/>
          <w:i w:val="0"/>
          <w:iCs w:val="0"/>
          <w:color w:val="auto"/>
          <w:szCs w:val="24"/>
          <w:highlight w:val="none"/>
          <w:lang w:val="en-US" w:eastAsia="zh-CN"/>
        </w:rPr>
        <w:t>2</w:t>
      </w:r>
      <w:r>
        <w:rPr>
          <w:rFonts w:hint="eastAsia"/>
          <w:i w:val="0"/>
          <w:iCs w:val="0"/>
          <w:color w:val="auto"/>
          <w:highlight w:val="none"/>
          <w:lang w:val="zh-CN" w:eastAsia="zh-CN"/>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r>
        <w:rPr>
          <w:rFonts w:hint="eastAsia" w:cs="Helvetica"/>
          <w:i w:val="0"/>
          <w:iCs w:val="0"/>
          <w:color w:val="auto"/>
          <w:szCs w:val="24"/>
          <w:highlight w:val="none"/>
          <w:lang w:val="zh-CN"/>
        </w:rPr>
        <w:t>。</w:t>
      </w:r>
    </w:p>
    <w:p w14:paraId="25913F0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8.响应无效的情形</w:t>
      </w:r>
    </w:p>
    <w:p w14:paraId="21B88F58">
      <w:pPr>
        <w:keepNext w:val="0"/>
        <w:keepLines w:val="0"/>
        <w:widowControl/>
        <w:suppressLineNumbers w:val="0"/>
        <w:ind w:firstLine="480" w:firstLineChars="200"/>
        <w:jc w:val="left"/>
        <w:rPr>
          <w:rFonts w:hint="eastAsia" w:cstheme="minorBidi"/>
          <w:i w:val="0"/>
          <w:iCs w:val="0"/>
          <w:color w:val="auto"/>
          <w:kern w:val="2"/>
          <w:sz w:val="24"/>
          <w:szCs w:val="22"/>
          <w:highlight w:val="none"/>
          <w:lang w:val="en-US" w:eastAsia="zh-CN" w:bidi="ar-SA"/>
        </w:rPr>
      </w:pPr>
      <w:r>
        <w:rPr>
          <w:rFonts w:hint="eastAsia" w:cstheme="minorBidi"/>
          <w:i w:val="0"/>
          <w:iCs w:val="0"/>
          <w:color w:val="auto"/>
          <w:kern w:val="2"/>
          <w:sz w:val="24"/>
          <w:szCs w:val="22"/>
          <w:highlight w:val="none"/>
          <w:lang w:val="en-US" w:eastAsia="zh-CN" w:bidi="ar-SA"/>
        </w:rPr>
        <w:t>8.1</w:t>
      </w:r>
      <w:r>
        <w:rPr>
          <w:rFonts w:hint="eastAsia" w:ascii="宋体" w:hAnsi="宋体" w:eastAsia="宋体" w:cs="宋体"/>
          <w:b w:val="0"/>
          <w:bCs w:val="0"/>
          <w:i w:val="0"/>
          <w:iCs w:val="0"/>
          <w:color w:val="auto"/>
          <w:sz w:val="24"/>
          <w:szCs w:val="24"/>
          <w:highlight w:val="none"/>
        </w:rPr>
        <w:t>供应商存在下列情况之一的，</w:t>
      </w:r>
      <w:r>
        <w:rPr>
          <w:rFonts w:hint="eastAsia" w:cs="宋体"/>
          <w:b w:val="0"/>
          <w:bCs w:val="0"/>
          <w:i w:val="0"/>
          <w:iCs w:val="0"/>
          <w:color w:val="auto"/>
          <w:sz w:val="24"/>
          <w:szCs w:val="24"/>
          <w:highlight w:val="none"/>
          <w:lang w:val="en-US" w:eastAsia="zh-CN"/>
        </w:rPr>
        <w:t>其</w:t>
      </w:r>
      <w:r>
        <w:rPr>
          <w:rFonts w:hint="eastAsia" w:cs="宋体"/>
          <w:b/>
          <w:bCs/>
          <w:i w:val="0"/>
          <w:iCs w:val="0"/>
          <w:color w:val="auto"/>
          <w:sz w:val="24"/>
          <w:szCs w:val="24"/>
          <w:highlight w:val="none"/>
          <w:lang w:val="en-US" w:eastAsia="zh-CN"/>
        </w:rPr>
        <w:t>响应</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val="0"/>
          <w:bCs w:val="0"/>
          <w:i w:val="0"/>
          <w:iCs w:val="0"/>
          <w:color w:val="auto"/>
          <w:sz w:val="24"/>
          <w:szCs w:val="24"/>
          <w:highlight w:val="none"/>
        </w:rPr>
        <w:t>：</w:t>
      </w:r>
    </w:p>
    <w:p w14:paraId="702D1A6A">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1）</w:t>
      </w:r>
      <w:r>
        <w:rPr>
          <w:rFonts w:hint="eastAsia" w:ascii="宋体" w:hAnsi="宋体" w:eastAsia="宋体" w:cs="宋体"/>
          <w:b w:val="0"/>
          <w:bCs w:val="0"/>
          <w:i w:val="0"/>
          <w:iCs w:val="0"/>
          <w:color w:val="auto"/>
          <w:sz w:val="24"/>
          <w:szCs w:val="24"/>
          <w:highlight w:val="none"/>
        </w:rPr>
        <w:t>不同供应商的响应文件由同一单位或者个人编制；</w:t>
      </w:r>
    </w:p>
    <w:p w14:paraId="2B2A7ABE">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不同供应商委托同一单位或者个人办理</w:t>
      </w:r>
      <w:r>
        <w:rPr>
          <w:rFonts w:hint="eastAsia" w:ascii="宋体" w:hAnsi="宋体" w:eastAsia="宋体" w:cs="宋体"/>
          <w:b w:val="0"/>
          <w:bCs w:val="0"/>
          <w:i w:val="0"/>
          <w:iCs w:val="0"/>
          <w:color w:val="auto"/>
          <w:sz w:val="24"/>
          <w:szCs w:val="24"/>
          <w:highlight w:val="none"/>
          <w:lang w:val="en-US" w:eastAsia="zh-CN"/>
        </w:rPr>
        <w:t>磋商响应</w:t>
      </w:r>
      <w:r>
        <w:rPr>
          <w:rFonts w:hint="eastAsia" w:ascii="宋体" w:hAnsi="宋体" w:eastAsia="宋体" w:cs="宋体"/>
          <w:b w:val="0"/>
          <w:bCs w:val="0"/>
          <w:i w:val="0"/>
          <w:iCs w:val="0"/>
          <w:color w:val="auto"/>
          <w:sz w:val="24"/>
          <w:szCs w:val="24"/>
          <w:highlight w:val="none"/>
        </w:rPr>
        <w:t>事宜；</w:t>
      </w:r>
    </w:p>
    <w:p w14:paraId="4EE2FB0A">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不同供应商的响应文件载明的项目管理成员或者联系人员为同一人；</w:t>
      </w:r>
    </w:p>
    <w:p w14:paraId="53A78381">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4）</w:t>
      </w:r>
      <w:r>
        <w:rPr>
          <w:rFonts w:hint="eastAsia" w:ascii="宋体" w:hAnsi="宋体" w:eastAsia="宋体" w:cs="宋体"/>
          <w:b w:val="0"/>
          <w:bCs w:val="0"/>
          <w:i w:val="0"/>
          <w:iCs w:val="0"/>
          <w:color w:val="auto"/>
          <w:sz w:val="24"/>
          <w:szCs w:val="24"/>
          <w:highlight w:val="none"/>
        </w:rPr>
        <w:t>不同供应商的响应文件异常一致或者</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报价呈规律性差异；</w:t>
      </w:r>
    </w:p>
    <w:p w14:paraId="60D5A539">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5）</w:t>
      </w:r>
      <w:r>
        <w:rPr>
          <w:rFonts w:hint="eastAsia" w:ascii="宋体" w:hAnsi="宋体" w:eastAsia="宋体" w:cs="宋体"/>
          <w:b w:val="0"/>
          <w:bCs w:val="0"/>
          <w:i w:val="0"/>
          <w:iCs w:val="0"/>
          <w:color w:val="auto"/>
          <w:sz w:val="24"/>
          <w:szCs w:val="24"/>
          <w:highlight w:val="none"/>
        </w:rPr>
        <w:t>不同供应商的响应文件相互混装；</w:t>
      </w:r>
    </w:p>
    <w:p w14:paraId="2FF50D83">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6）</w:t>
      </w:r>
      <w:r>
        <w:rPr>
          <w:rFonts w:hint="eastAsia" w:ascii="宋体" w:hAnsi="宋体" w:eastAsia="宋体" w:cs="宋体"/>
          <w:b w:val="0"/>
          <w:bCs w:val="0"/>
          <w:i w:val="0"/>
          <w:iCs w:val="0"/>
          <w:color w:val="auto"/>
          <w:sz w:val="24"/>
          <w:szCs w:val="24"/>
          <w:highlight w:val="none"/>
        </w:rPr>
        <w:t>不同供应商的磋商保证金从同一单位或者个人的账户转出</w:t>
      </w:r>
      <w:r>
        <w:rPr>
          <w:rFonts w:hint="eastAsia" w:ascii="宋体" w:hAnsi="宋体" w:eastAsia="宋体" w:cs="宋体"/>
          <w:b w:val="0"/>
          <w:bCs w:val="0"/>
          <w:i w:val="0"/>
          <w:iCs w:val="0"/>
          <w:color w:val="auto"/>
          <w:sz w:val="24"/>
          <w:szCs w:val="24"/>
          <w:highlight w:val="none"/>
          <w:lang w:val="en-US" w:eastAsia="zh-CN"/>
        </w:rPr>
        <w:t>；</w:t>
      </w:r>
    </w:p>
    <w:p w14:paraId="1C3AF755">
      <w:pPr>
        <w:pStyle w:val="33"/>
        <w:rPr>
          <w:rFonts w:hint="eastAsia"/>
          <w:i w:val="0"/>
          <w:iCs w:val="0"/>
          <w:color w:val="auto"/>
          <w:highlight w:val="none"/>
          <w:lang w:val="en-US" w:eastAsia="zh-CN"/>
        </w:rPr>
      </w:pPr>
      <w:r>
        <w:rPr>
          <w:rFonts w:hint="eastAsia"/>
          <w:i w:val="0"/>
          <w:iCs w:val="0"/>
          <w:color w:val="auto"/>
          <w:highlight w:val="none"/>
          <w:lang w:val="en-US" w:eastAsia="zh-CN"/>
        </w:rPr>
        <w:t>（7）</w:t>
      </w:r>
      <w:r>
        <w:rPr>
          <w:rFonts w:hint="eastAsia"/>
          <w:i w:val="0"/>
          <w:iCs w:val="0"/>
          <w:color w:val="auto"/>
          <w:highlight w:val="none"/>
          <w:lang w:val="zh-CN" w:eastAsia="zh-CN"/>
        </w:rPr>
        <w:t>不同</w:t>
      </w:r>
      <w:r>
        <w:rPr>
          <w:rFonts w:hint="eastAsia"/>
          <w:i w:val="0"/>
          <w:iCs w:val="0"/>
          <w:color w:val="auto"/>
          <w:highlight w:val="none"/>
          <w:lang w:val="en-US" w:eastAsia="zh-CN"/>
        </w:rPr>
        <w:t>供应商</w:t>
      </w:r>
      <w:r>
        <w:rPr>
          <w:rFonts w:hint="eastAsia"/>
          <w:i w:val="0"/>
          <w:iCs w:val="0"/>
          <w:color w:val="auto"/>
          <w:highlight w:val="none"/>
          <w:lang w:val="zh-CN" w:eastAsia="zh-CN"/>
        </w:rPr>
        <w:t>使用同一电脑（机器特征值一致：如MAC地址等）或使用同一电子密钥，编制或上传电子</w:t>
      </w:r>
      <w:r>
        <w:rPr>
          <w:rFonts w:hint="eastAsia"/>
          <w:i w:val="0"/>
          <w:iCs w:val="0"/>
          <w:color w:val="auto"/>
          <w:highlight w:val="none"/>
          <w:lang w:val="en-US" w:eastAsia="zh-CN"/>
        </w:rPr>
        <w:t>响应</w:t>
      </w:r>
      <w:r>
        <w:rPr>
          <w:rFonts w:hint="eastAsia"/>
          <w:i w:val="0"/>
          <w:iCs w:val="0"/>
          <w:color w:val="auto"/>
          <w:highlight w:val="none"/>
          <w:lang w:val="zh-CN" w:eastAsia="zh-CN"/>
        </w:rPr>
        <w:t>文件</w:t>
      </w:r>
      <w:r>
        <w:rPr>
          <w:rFonts w:hint="eastAsia"/>
          <w:i w:val="0"/>
          <w:iCs w:val="0"/>
          <w:color w:val="auto"/>
          <w:highlight w:val="none"/>
          <w:lang w:val="en-US" w:eastAsia="zh-CN"/>
        </w:rPr>
        <w:t>；</w:t>
      </w:r>
    </w:p>
    <w:p w14:paraId="29DA958A">
      <w:pPr>
        <w:pStyle w:val="33"/>
        <w:rPr>
          <w:rFonts w:hint="eastAsia"/>
          <w:i w:val="0"/>
          <w:iCs w:val="0"/>
          <w:color w:val="auto"/>
          <w:highlight w:val="none"/>
          <w:lang w:val="en-US" w:eastAsia="zh-CN"/>
        </w:rPr>
      </w:pPr>
      <w:r>
        <w:rPr>
          <w:rFonts w:hint="eastAsia"/>
          <w:i w:val="0"/>
          <w:iCs w:val="0"/>
          <w:color w:val="auto"/>
          <w:highlight w:val="none"/>
          <w:lang w:val="en-US" w:eastAsia="zh-CN"/>
        </w:rPr>
        <w:t>（8）法律、法规、规章和竞争性磋商文件规定的其他响应无效的情形。</w:t>
      </w:r>
    </w:p>
    <w:p w14:paraId="51CFEB2F">
      <w:pPr>
        <w:pStyle w:val="55"/>
        <w:pageBreakBefore w:val="0"/>
        <w:kinsoku/>
        <w:wordWrap/>
        <w:overflowPunct/>
        <w:topLinePunct w:val="0"/>
        <w:bidi w:val="0"/>
        <w:spacing w:line="360" w:lineRule="auto"/>
        <w:ind w:firstLine="480" w:firstLineChars="200"/>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 xml:space="preserve"> </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小组应当审查</w:t>
      </w:r>
      <w:r>
        <w:rPr>
          <w:rFonts w:hint="eastAsia" w:ascii="宋体" w:hAnsi="宋体" w:eastAsia="宋体" w:cs="宋体"/>
          <w:b w:val="0"/>
          <w:bCs w:val="0"/>
          <w:i w:val="0"/>
          <w:iCs w:val="0"/>
          <w:color w:val="auto"/>
          <w:sz w:val="24"/>
          <w:szCs w:val="24"/>
          <w:highlight w:val="none"/>
          <w:lang w:val="en-US" w:eastAsia="zh-CN"/>
        </w:rPr>
        <w:t>所有供应商的</w:t>
      </w:r>
      <w:r>
        <w:rPr>
          <w:rFonts w:hint="eastAsia" w:ascii="宋体" w:hAnsi="宋体" w:eastAsia="宋体" w:cs="宋体"/>
          <w:b w:val="0"/>
          <w:bCs w:val="0"/>
          <w:i w:val="0"/>
          <w:iCs w:val="0"/>
          <w:color w:val="auto"/>
          <w:sz w:val="24"/>
          <w:szCs w:val="24"/>
          <w:highlight w:val="none"/>
        </w:rPr>
        <w:t>响应文件是否对竞争性磋商文件提出的所有实质性要求和条件做出响应。未能在实质上响应的</w:t>
      </w:r>
      <w:r>
        <w:rPr>
          <w:rFonts w:hint="eastAsia" w:ascii="宋体" w:hAnsi="宋体" w:eastAsia="宋体" w:cs="宋体"/>
          <w:b w:val="0"/>
          <w:bCs w:val="0"/>
          <w:i w:val="0"/>
          <w:iCs w:val="0"/>
          <w:color w:val="auto"/>
          <w:sz w:val="24"/>
          <w:szCs w:val="24"/>
          <w:highlight w:val="none"/>
          <w:lang w:val="en-US" w:eastAsia="zh-CN"/>
        </w:rPr>
        <w:t>供应商</w:t>
      </w:r>
      <w:r>
        <w:rPr>
          <w:rFonts w:hint="eastAsia" w:ascii="宋体" w:hAnsi="宋体" w:eastAsia="宋体" w:cs="宋体"/>
          <w:b w:val="0"/>
          <w:bCs w:val="0"/>
          <w:i w:val="0"/>
          <w:iCs w:val="0"/>
          <w:color w:val="auto"/>
          <w:sz w:val="24"/>
          <w:szCs w:val="24"/>
          <w:highlight w:val="none"/>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6F68AA68">
      <w:pPr>
        <w:pStyle w:val="33"/>
        <w:ind w:firstLine="480"/>
        <w:rPr>
          <w:rFonts w:hint="eastAsia" w:cs="Helvetica"/>
          <w:i w:val="0"/>
          <w:iCs w:val="0"/>
          <w:color w:val="auto"/>
          <w:szCs w:val="24"/>
          <w:highlight w:val="none"/>
          <w:lang w:val="zh-CN"/>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 xml:space="preserve"> 供应商不得误导、干扰</w:t>
      </w:r>
      <w:r>
        <w:rPr>
          <w:rFonts w:hint="eastAsia" w:ascii="宋体" w:hAnsi="宋体" w:eastAsia="宋体" w:cs="宋体"/>
          <w:b w:val="0"/>
          <w:bCs w:val="0"/>
          <w:i w:val="0"/>
          <w:iCs w:val="0"/>
          <w:color w:val="auto"/>
          <w:sz w:val="24"/>
          <w:szCs w:val="24"/>
          <w:highlight w:val="none"/>
          <w:lang w:val="en-US" w:eastAsia="zh-CN"/>
        </w:rPr>
        <w:t>磋商小组</w:t>
      </w:r>
      <w:r>
        <w:rPr>
          <w:rFonts w:hint="eastAsia" w:ascii="宋体" w:hAnsi="宋体" w:eastAsia="宋体" w:cs="宋体"/>
          <w:b w:val="0"/>
          <w:bCs w:val="0"/>
          <w:i w:val="0"/>
          <w:iCs w:val="0"/>
          <w:color w:val="auto"/>
          <w:sz w:val="24"/>
          <w:szCs w:val="24"/>
          <w:highlight w:val="none"/>
        </w:rPr>
        <w:t>的评审活动，否则其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054A61A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57" w:name="_Toc102114920"/>
      <w:bookmarkStart w:id="458" w:name="_Toc102116152"/>
      <w:bookmarkStart w:id="459" w:name="_Toc102116022"/>
      <w:bookmarkStart w:id="460" w:name="_Toc102119853"/>
      <w:bookmarkStart w:id="461" w:name="_Toc102056218"/>
      <w:bookmarkStart w:id="462" w:name="_Toc102057718"/>
      <w:r>
        <w:rPr>
          <w:rFonts w:hint="eastAsia" w:ascii="宋体" w:hAnsi="宋体" w:eastAsia="宋体" w:cs="宋体"/>
          <w:b/>
          <w:bCs/>
          <w:color w:val="auto"/>
          <w:kern w:val="2"/>
          <w:sz w:val="24"/>
          <w:szCs w:val="24"/>
          <w:highlight w:val="none"/>
          <w:lang w:val="en-US" w:eastAsia="zh-CN" w:bidi="ar-SA"/>
        </w:rPr>
        <w:t>9.停止评审的情形</w:t>
      </w:r>
      <w:bookmarkEnd w:id="457"/>
      <w:bookmarkEnd w:id="458"/>
      <w:bookmarkEnd w:id="459"/>
      <w:bookmarkEnd w:id="460"/>
      <w:bookmarkEnd w:id="461"/>
      <w:bookmarkEnd w:id="462"/>
    </w:p>
    <w:p w14:paraId="58A3D9D5">
      <w:pPr>
        <w:keepNext w:val="0"/>
        <w:keepLines w:val="0"/>
        <w:widowControl/>
        <w:suppressLineNumbers w:val="0"/>
        <w:ind w:firstLine="480" w:firstLineChars="200"/>
        <w:jc w:val="left"/>
        <w:rPr>
          <w:rFonts w:hint="eastAsia" w:ascii="宋体" w:hAnsi="宋体" w:eastAsia="宋体" w:cstheme="minorBidi"/>
          <w:i w:val="0"/>
          <w:iCs w:val="0"/>
          <w:color w:val="auto"/>
          <w:kern w:val="2"/>
          <w:sz w:val="24"/>
          <w:szCs w:val="22"/>
          <w:highlight w:val="none"/>
          <w:lang w:val="zh-CN" w:eastAsia="zh-CN" w:bidi="ar-SA"/>
        </w:rPr>
      </w:pPr>
      <w:r>
        <w:rPr>
          <w:rFonts w:hint="eastAsia"/>
          <w:i w:val="0"/>
          <w:iCs w:val="0"/>
          <w:color w:val="auto"/>
          <w:highlight w:val="none"/>
          <w:lang w:val="en-US" w:eastAsia="zh-CN"/>
        </w:rPr>
        <w:t>9</w:t>
      </w:r>
      <w:r>
        <w:rPr>
          <w:i w:val="0"/>
          <w:iCs w:val="0"/>
          <w:color w:val="auto"/>
          <w:highlight w:val="none"/>
          <w:lang w:val="zh-CN"/>
        </w:rPr>
        <w:t>.1</w:t>
      </w:r>
      <w:r>
        <w:rPr>
          <w:rFonts w:hint="eastAsia" w:ascii="宋体" w:hAnsi="宋体" w:eastAsia="宋体" w:cstheme="minorBidi"/>
          <w:i w:val="0"/>
          <w:iCs w:val="0"/>
          <w:color w:val="auto"/>
          <w:kern w:val="2"/>
          <w:sz w:val="24"/>
          <w:szCs w:val="22"/>
          <w:highlight w:val="none"/>
          <w:lang w:val="en-US" w:eastAsia="zh-CN" w:bidi="ar-SA"/>
        </w:rPr>
        <w:t>磋商小组在评审过程中发现供应商有行贿、提供虚假材料或者串通等违法行为的，应当及时向财政部门报告。</w:t>
      </w:r>
    </w:p>
    <w:p w14:paraId="51B564B3">
      <w:pPr>
        <w:pStyle w:val="33"/>
        <w:ind w:firstLine="480"/>
        <w:rPr>
          <w:i w:val="0"/>
          <w:iCs w:val="0"/>
          <w:color w:val="auto"/>
          <w:highlight w:val="none"/>
          <w:lang w:val="zh-CN"/>
        </w:rPr>
      </w:pPr>
      <w:r>
        <w:rPr>
          <w:rFonts w:hint="eastAsia"/>
          <w:i w:val="0"/>
          <w:iCs w:val="0"/>
          <w:color w:val="auto"/>
          <w:highlight w:val="none"/>
          <w:lang w:val="en-US" w:eastAsia="zh-CN"/>
        </w:rPr>
        <w:t>9.2</w:t>
      </w:r>
      <w:r>
        <w:rPr>
          <w:rFonts w:hint="eastAsia"/>
          <w:i w:val="0"/>
          <w:iCs w:val="0"/>
          <w:color w:val="auto"/>
          <w:highlight w:val="none"/>
          <w:lang w:val="zh-CN"/>
        </w:rPr>
        <w:t>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14:paraId="72A0944C">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default" w:ascii="宋体" w:hAnsi="宋体" w:eastAsia="宋体" w:cs="宋体"/>
          <w:color w:val="auto"/>
          <w:sz w:val="28"/>
          <w:szCs w:val="28"/>
          <w:highlight w:val="none"/>
          <w:lang w:val="en-US" w:eastAsia="zh-CN"/>
        </w:rPr>
      </w:pPr>
      <w:bookmarkStart w:id="463" w:name="_Toc20411"/>
      <w:bookmarkStart w:id="464" w:name="_Toc163493639"/>
      <w:bookmarkStart w:id="465" w:name="_Toc156490348"/>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lang w:val="zh-CN" w:eastAsia="zh-CN"/>
        </w:rPr>
        <w:t>评审</w:t>
      </w:r>
      <w:r>
        <w:rPr>
          <w:rFonts w:hint="eastAsia" w:ascii="宋体" w:hAnsi="宋体" w:eastAsia="宋体" w:cs="宋体"/>
          <w:color w:val="auto"/>
          <w:sz w:val="28"/>
          <w:szCs w:val="28"/>
          <w:highlight w:val="none"/>
          <w:lang w:val="en-US" w:eastAsia="zh-CN"/>
        </w:rPr>
        <w:t>其他要求</w:t>
      </w:r>
      <w:bookmarkEnd w:id="463"/>
    </w:p>
    <w:p w14:paraId="3B9B7B2C">
      <w:pPr>
        <w:pStyle w:val="33"/>
        <w:keepNext w:val="0"/>
        <w:keepLines w:val="0"/>
        <w:pageBreakBefore w:val="0"/>
        <w:widowControl w:val="0"/>
        <w:kinsoku/>
        <w:overflowPunct/>
        <w:topLinePunct w:val="0"/>
        <w:autoSpaceDE/>
        <w:autoSpaceDN/>
        <w:bidi w:val="0"/>
        <w:adjustRightInd/>
        <w:snapToGrid/>
        <w:ind w:firstLine="480" w:firstLineChars="0"/>
        <w:textAlignment w:val="auto"/>
        <w:rPr>
          <w:rFonts w:hint="eastAsia"/>
          <w:i w:val="0"/>
          <w:iCs w:val="0"/>
          <w:color w:val="auto"/>
          <w:highlight w:val="none"/>
          <w:shd w:val="clear" w:color="auto" w:fill="FFFFFF" w:themeFill="background1"/>
          <w:lang w:val="en-US" w:eastAsia="zh-CN"/>
        </w:rPr>
      </w:pPr>
      <w:r>
        <w:rPr>
          <w:rFonts w:hint="eastAsia"/>
          <w:i w:val="0"/>
          <w:iCs w:val="0"/>
          <w:color w:val="auto"/>
          <w:highlight w:val="none"/>
          <w:shd w:val="clear" w:color="auto" w:fill="FFFFFF" w:themeFill="background1"/>
          <w:lang w:val="zh-CN" w:eastAsia="zh-CN"/>
        </w:rPr>
        <w:t>【</w:t>
      </w:r>
      <w:r>
        <w:rPr>
          <w:rFonts w:hint="eastAsia"/>
          <w:i w:val="0"/>
          <w:iCs w:val="0"/>
          <w:color w:val="auto"/>
          <w:highlight w:val="none"/>
          <w:shd w:val="clear" w:color="auto" w:fill="FFFFFF" w:themeFill="background1"/>
          <w:lang w:val="en-US" w:eastAsia="zh-CN"/>
        </w:rPr>
        <w:t>可根据项目的情况增加上述内容中未包含的要求</w:t>
      </w:r>
      <w:r>
        <w:rPr>
          <w:rFonts w:hint="eastAsia"/>
          <w:i w:val="0"/>
          <w:iCs w:val="0"/>
          <w:color w:val="auto"/>
          <w:highlight w:val="none"/>
          <w:shd w:val="clear" w:color="auto" w:fill="FFFFFF" w:themeFill="background1"/>
          <w:lang w:val="zh-CN" w:eastAsia="zh-CN"/>
        </w:rPr>
        <w:t>】</w:t>
      </w:r>
    </w:p>
    <w:p w14:paraId="5672636A">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466" w:name="_Toc27919"/>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lang w:val="zh-CN" w:eastAsia="zh-CN"/>
        </w:rPr>
        <w:t>评审标准</w:t>
      </w:r>
      <w:bookmarkEnd w:id="466"/>
    </w:p>
    <w:p w14:paraId="32B0EEA1">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7" w:name="_Toc31800"/>
      <w:bookmarkStart w:id="468" w:name="_Toc163493638"/>
      <w:r>
        <w:rPr>
          <w:rFonts w:hint="eastAsia" w:ascii="宋体" w:hAnsi="宋体" w:eastAsia="宋体" w:cs="宋体"/>
          <w:b/>
          <w:bCs/>
          <w:color w:val="auto"/>
          <w:kern w:val="2"/>
          <w:sz w:val="24"/>
          <w:szCs w:val="24"/>
          <w:highlight w:val="none"/>
          <w:lang w:val="en-US" w:eastAsia="zh-CN" w:bidi="ar-SA"/>
        </w:rPr>
        <w:t>（一）</w:t>
      </w:r>
      <w:r>
        <w:rPr>
          <w:rFonts w:hint="eastAsia" w:ascii="宋体" w:hAnsi="宋体" w:eastAsia="宋体" w:cs="宋体"/>
          <w:b/>
          <w:bCs/>
          <w:color w:val="auto"/>
          <w:kern w:val="2"/>
          <w:sz w:val="24"/>
          <w:szCs w:val="24"/>
          <w:highlight w:val="none"/>
          <w:lang w:val="zh-CN" w:eastAsia="zh-CN" w:bidi="ar-SA"/>
        </w:rPr>
        <w:t>资格审查表</w:t>
      </w:r>
      <w:bookmarkEnd w:id="467"/>
      <w:bookmarkEnd w:id="468"/>
    </w:p>
    <w:tbl>
      <w:tblPr>
        <w:tblStyle w:val="27"/>
        <w:tblpPr w:leftFromText="180" w:rightFromText="180" w:vertAnchor="text" w:horzAnchor="page" w:tblpX="1295" w:tblpY="569"/>
        <w:tblOverlap w:val="never"/>
        <w:tblW w:w="562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1"/>
        <w:gridCol w:w="1764"/>
        <w:gridCol w:w="5663"/>
        <w:gridCol w:w="1336"/>
      </w:tblGrid>
      <w:tr w14:paraId="4DF11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44" w:hRule="atLeast"/>
        </w:trPr>
        <w:tc>
          <w:tcPr>
            <w:tcW w:w="427" w:type="pct"/>
            <w:shd w:val="clear" w:color="auto" w:fill="D8D8D8" w:themeFill="background1" w:themeFillShade="D9"/>
            <w:vAlign w:val="center"/>
          </w:tcPr>
          <w:p w14:paraId="739948C3">
            <w:pPr>
              <w:pStyle w:val="44"/>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920" w:type="pct"/>
            <w:shd w:val="clear" w:color="auto" w:fill="D8D8D8" w:themeFill="background1" w:themeFillShade="D9"/>
            <w:vAlign w:val="center"/>
          </w:tcPr>
          <w:p w14:paraId="0B2B681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953" w:type="pct"/>
            <w:shd w:val="clear" w:color="auto" w:fill="D8D8D8" w:themeFill="background1" w:themeFillShade="D9"/>
            <w:vAlign w:val="center"/>
          </w:tcPr>
          <w:p w14:paraId="16B5F1EB">
            <w:pPr>
              <w:pStyle w:val="44"/>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697" w:type="pct"/>
            <w:shd w:val="clear" w:color="auto" w:fill="D8D8D8" w:themeFill="background1" w:themeFillShade="D9"/>
            <w:vAlign w:val="center"/>
          </w:tcPr>
          <w:p w14:paraId="104DB71C">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0C9EE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8" w:hRule="atLeast"/>
        </w:trPr>
        <w:tc>
          <w:tcPr>
            <w:tcW w:w="427" w:type="pct"/>
            <w:shd w:val="clear" w:color="auto" w:fill="FFFFFF" w:themeFill="background1"/>
            <w:vAlign w:val="center"/>
          </w:tcPr>
          <w:p w14:paraId="639EA4A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20" w:type="pct"/>
            <w:shd w:val="clear" w:color="auto" w:fill="FFFFFF" w:themeFill="background1"/>
            <w:vAlign w:val="center"/>
          </w:tcPr>
          <w:p w14:paraId="7711340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满足《政府采购法》第二十二条规定</w:t>
            </w:r>
          </w:p>
        </w:tc>
        <w:tc>
          <w:tcPr>
            <w:tcW w:w="2953" w:type="pct"/>
            <w:shd w:val="clear" w:color="auto" w:fill="FFFFFF" w:themeFill="background1"/>
            <w:vAlign w:val="center"/>
          </w:tcPr>
          <w:p w14:paraId="16F6299C">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竞争性磋商公告”</w:t>
            </w:r>
          </w:p>
        </w:tc>
        <w:tc>
          <w:tcPr>
            <w:tcW w:w="697" w:type="pct"/>
            <w:shd w:val="clear" w:color="auto" w:fill="FFFFFF" w:themeFill="background1"/>
            <w:vAlign w:val="center"/>
          </w:tcPr>
          <w:p w14:paraId="783E3D7C">
            <w:pPr>
              <w:pStyle w:val="44"/>
              <w:jc w:val="center"/>
              <w:rPr>
                <w:rFonts w:hint="eastAsia" w:ascii="宋体" w:hAnsi="宋体" w:eastAsia="宋体" w:cs="宋体"/>
                <w:b/>
                <w:bCs/>
                <w:color w:val="auto"/>
                <w:sz w:val="24"/>
                <w:szCs w:val="24"/>
                <w:highlight w:val="none"/>
              </w:rPr>
            </w:pPr>
          </w:p>
        </w:tc>
      </w:tr>
      <w:tr w14:paraId="16547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724" w:hRule="atLeast"/>
        </w:trPr>
        <w:tc>
          <w:tcPr>
            <w:tcW w:w="427" w:type="pct"/>
            <w:shd w:val="clear" w:color="auto" w:fill="FFFFFF" w:themeFill="background1"/>
            <w:vAlign w:val="center"/>
          </w:tcPr>
          <w:p w14:paraId="0EC190CB">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p>
        </w:tc>
        <w:tc>
          <w:tcPr>
            <w:tcW w:w="920" w:type="pct"/>
            <w:shd w:val="clear" w:color="auto" w:fill="FFFFFF" w:themeFill="background1"/>
            <w:vAlign w:val="center"/>
          </w:tcPr>
          <w:p w14:paraId="0DBBBB5F">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营业执照等证明文件</w:t>
            </w:r>
          </w:p>
        </w:tc>
        <w:tc>
          <w:tcPr>
            <w:tcW w:w="2953" w:type="pct"/>
            <w:shd w:val="clear" w:color="auto" w:fill="FFFFFF" w:themeFill="background1"/>
            <w:vAlign w:val="center"/>
          </w:tcPr>
          <w:p w14:paraId="4D71A66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供应商为企业（包括合伙企业）的，应提供有效的“营业执照”； </w:t>
            </w:r>
          </w:p>
          <w:p w14:paraId="2971D36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供应商为事业单位的，应提供有效的“事业单位法人证书” ； </w:t>
            </w:r>
          </w:p>
          <w:p w14:paraId="5168B178">
            <w:pPr>
              <w:keepNext w:val="0"/>
              <w:keepLines w:val="0"/>
              <w:pageBreakBefore w:val="0"/>
              <w:widowControl/>
              <w:suppressLineNumbers w:val="0"/>
              <w:tabs>
                <w:tab w:val="left" w:pos="5280"/>
              </w:tabs>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供应商是非企业机构的，应提供有效的“执业许可证”、“登记证书”等证明文件； </w:t>
            </w:r>
          </w:p>
          <w:p w14:paraId="72695DE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供应商是个体工商户的，应提供有效的“个体工商户营业执照”； </w:t>
            </w:r>
          </w:p>
          <w:p w14:paraId="09BA0F8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i w:val="0"/>
                <w:iCs w:val="0"/>
                <w:color w:val="auto"/>
                <w:spacing w:val="-6"/>
                <w:kern w:val="0"/>
                <w:sz w:val="24"/>
                <w:szCs w:val="24"/>
                <w:highlight w:val="none"/>
                <w:lang w:val="en-US" w:eastAsia="zh-CN" w:bidi="ar"/>
              </w:rPr>
              <w:t>供应商</w:t>
            </w:r>
            <w:r>
              <w:rPr>
                <w:rFonts w:hint="eastAsia" w:ascii="宋体" w:hAnsi="宋体" w:eastAsia="宋体" w:cs="宋体"/>
                <w:i w:val="0"/>
                <w:iCs w:val="0"/>
                <w:color w:val="auto"/>
                <w:spacing w:val="-11"/>
                <w:kern w:val="0"/>
                <w:sz w:val="24"/>
                <w:szCs w:val="24"/>
                <w:highlight w:val="none"/>
                <w:lang w:val="en-US" w:eastAsia="zh-CN" w:bidi="ar"/>
              </w:rPr>
              <w:t>是自然人的，应提供有效的自然人身份证明。</w:t>
            </w:r>
          </w:p>
        </w:tc>
        <w:tc>
          <w:tcPr>
            <w:tcW w:w="697" w:type="pct"/>
            <w:shd w:val="clear" w:color="auto" w:fill="FFFFFF" w:themeFill="background1"/>
            <w:vAlign w:val="center"/>
          </w:tcPr>
          <w:p w14:paraId="4159EB6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2019A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6" w:hRule="atLeast"/>
        </w:trPr>
        <w:tc>
          <w:tcPr>
            <w:tcW w:w="427" w:type="pct"/>
            <w:shd w:val="clear" w:color="auto" w:fill="FFFFFF" w:themeFill="background1"/>
            <w:vAlign w:val="center"/>
          </w:tcPr>
          <w:p w14:paraId="69B2240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w:t>
            </w:r>
          </w:p>
        </w:tc>
        <w:tc>
          <w:tcPr>
            <w:tcW w:w="920" w:type="pct"/>
            <w:shd w:val="clear" w:color="auto" w:fill="FFFFFF" w:themeFill="background1"/>
            <w:vAlign w:val="center"/>
          </w:tcPr>
          <w:p w14:paraId="1702607C">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sz w:val="24"/>
                <w:szCs w:val="24"/>
                <w:highlight w:val="none"/>
                <w:lang w:val="en-US" w:eastAsia="zh-CN"/>
              </w:rPr>
              <w:t>信用承诺</w:t>
            </w:r>
          </w:p>
        </w:tc>
        <w:tc>
          <w:tcPr>
            <w:tcW w:w="2953" w:type="pct"/>
            <w:shd w:val="clear" w:color="auto" w:fill="FFFFFF" w:themeFill="background1"/>
            <w:vAlign w:val="center"/>
          </w:tcPr>
          <w:p w14:paraId="5B6DD91E">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提供了符合竞争性磋商文件要求的《</w:t>
            </w:r>
            <w:r>
              <w:rPr>
                <w:rFonts w:hint="eastAsia" w:cs="宋体"/>
                <w:color w:val="auto"/>
                <w:sz w:val="24"/>
                <w:szCs w:val="24"/>
                <w:highlight w:val="none"/>
                <w:lang w:val="en-US" w:eastAsia="zh-CN"/>
              </w:rPr>
              <w:t>新疆政府采购</w:t>
            </w:r>
            <w:r>
              <w:rPr>
                <w:rFonts w:hint="eastAsia" w:ascii="宋体" w:hAnsi="宋体" w:eastAsia="宋体" w:cs="宋体"/>
                <w:color w:val="auto"/>
                <w:sz w:val="24"/>
                <w:szCs w:val="24"/>
                <w:highlight w:val="none"/>
                <w:lang w:val="en-US" w:eastAsia="zh-CN"/>
              </w:rPr>
              <w:t>供应商信用承诺函》。</w:t>
            </w:r>
          </w:p>
        </w:tc>
        <w:tc>
          <w:tcPr>
            <w:tcW w:w="697" w:type="pct"/>
            <w:shd w:val="clear" w:color="auto" w:fill="FFFFFF" w:themeFill="background1"/>
            <w:vAlign w:val="center"/>
          </w:tcPr>
          <w:p w14:paraId="1D3A4621">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1307F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76" w:hRule="atLeast"/>
        </w:trPr>
        <w:tc>
          <w:tcPr>
            <w:tcW w:w="427" w:type="pct"/>
            <w:shd w:val="clear" w:color="auto" w:fill="FFFFFF" w:themeFill="background1"/>
            <w:vAlign w:val="center"/>
          </w:tcPr>
          <w:p w14:paraId="609B5B21">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w:t>
            </w:r>
          </w:p>
        </w:tc>
        <w:tc>
          <w:tcPr>
            <w:tcW w:w="920" w:type="pct"/>
            <w:shd w:val="clear" w:color="auto" w:fill="FFFFFF" w:themeFill="background1"/>
            <w:vAlign w:val="center"/>
          </w:tcPr>
          <w:p w14:paraId="719DA0FF">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sz w:val="24"/>
                <w:szCs w:val="24"/>
                <w:highlight w:val="none"/>
                <w:lang w:val="en-US" w:eastAsia="zh-CN"/>
              </w:rPr>
              <w:t>信用记录查询</w:t>
            </w:r>
          </w:p>
        </w:tc>
        <w:tc>
          <w:tcPr>
            <w:tcW w:w="2953" w:type="pct"/>
            <w:shd w:val="clear" w:color="auto" w:fill="FFFFFF" w:themeFill="background1"/>
            <w:vAlign w:val="center"/>
          </w:tcPr>
          <w:p w14:paraId="26973C54">
            <w:pPr>
              <w:pStyle w:val="44"/>
              <w:keepNext w:val="0"/>
              <w:keepLines w:val="0"/>
              <w:pageBreakBefore w:val="0"/>
              <w:widowControl w:val="0"/>
              <w:kinsoku/>
              <w:wordWrap w:val="0"/>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查询渠道：信用中国网站和中国政府采购网（ www.creditchina.gov.cn 、www.ccgp.gov.cn）；</w:t>
            </w:r>
            <w:r>
              <w:rPr>
                <w:rFonts w:hint="eastAsia" w:ascii="宋体" w:hAnsi="宋体" w:eastAsia="宋体" w:cs="宋体"/>
                <w:color w:val="auto"/>
                <w:sz w:val="24"/>
                <w:szCs w:val="24"/>
                <w:highlight w:val="none"/>
                <w:lang w:val="en-US" w:eastAsia="zh-CN"/>
              </w:rPr>
              <w:t xml:space="preserve"> </w:t>
            </w:r>
          </w:p>
          <w:p w14:paraId="6688E035">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截止时间：递交响应文件截止时间以后、资格审查阶段对供应商信用记录的实际查询时间； </w:t>
            </w:r>
          </w:p>
          <w:p w14:paraId="0D18C770">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信用信息查询记录和证据留存具体方式：查询结果网页打印页作为查询记录和证据，与其他采购文件一并保存； </w:t>
            </w:r>
          </w:p>
          <w:p w14:paraId="4BC42D2C">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信用记录的使用原</w:t>
            </w:r>
            <w:r>
              <w:rPr>
                <w:rFonts w:hint="eastAsia" w:ascii="宋体" w:hAnsi="宋体" w:eastAsia="宋体" w:cs="宋体"/>
                <w:color w:val="auto"/>
                <w:spacing w:val="-6"/>
                <w:sz w:val="24"/>
                <w:szCs w:val="24"/>
                <w:highlight w:val="none"/>
                <w:shd w:val="clear"/>
                <w:lang w:val="en-US" w:eastAsia="zh-CN"/>
              </w:rPr>
              <w:t>则：经认定被列入失信被执行人、重大税收违法失信主体、政府采购严重违法失信行为记录名单的</w:t>
            </w:r>
            <w:r>
              <w:rPr>
                <w:rFonts w:hint="eastAsia" w:ascii="宋体" w:hAnsi="宋体" w:eastAsia="宋体" w:cs="宋体"/>
                <w:color w:val="auto"/>
                <w:spacing w:val="-6"/>
                <w:kern w:val="0"/>
                <w:sz w:val="24"/>
                <w:szCs w:val="24"/>
                <w:highlight w:val="none"/>
                <w:shd w:val="clear"/>
                <w:lang w:val="en-US" w:eastAsia="zh-CN" w:bidi="ar"/>
              </w:rPr>
              <w:t>供应商</w:t>
            </w:r>
            <w:r>
              <w:rPr>
                <w:rFonts w:hint="eastAsia" w:ascii="宋体" w:hAnsi="宋体" w:eastAsia="宋体" w:cs="宋体"/>
                <w:color w:val="auto"/>
                <w:spacing w:val="-6"/>
                <w:sz w:val="24"/>
                <w:szCs w:val="24"/>
                <w:highlight w:val="none"/>
                <w:shd w:val="clear"/>
                <w:lang w:val="en-US" w:eastAsia="zh-CN"/>
              </w:rPr>
              <w:t>，</w:t>
            </w:r>
            <w:r>
              <w:rPr>
                <w:rFonts w:hint="eastAsia" w:ascii="宋体" w:hAnsi="宋体" w:eastAsia="宋体" w:cs="宋体"/>
                <w:b/>
                <w:bCs/>
                <w:color w:val="auto"/>
                <w:spacing w:val="-6"/>
                <w:sz w:val="24"/>
                <w:szCs w:val="24"/>
                <w:highlight w:val="none"/>
                <w:shd w:val="clear"/>
                <w:lang w:val="en-US" w:eastAsia="zh-CN"/>
              </w:rPr>
              <w:t>其磋商响应无效</w:t>
            </w:r>
            <w:r>
              <w:rPr>
                <w:rFonts w:hint="eastAsia" w:ascii="宋体" w:hAnsi="宋体" w:eastAsia="宋体" w:cs="宋体"/>
                <w:color w:val="auto"/>
                <w:spacing w:val="-6"/>
                <w:sz w:val="24"/>
                <w:szCs w:val="24"/>
                <w:highlight w:val="none"/>
                <w:shd w:val="clear"/>
                <w:lang w:val="en-US" w:eastAsia="zh-CN"/>
              </w:rPr>
              <w:t>。联合体形式响应的，联合体成员存在不良信用记录，视同联合体存</w:t>
            </w:r>
            <w:r>
              <w:rPr>
                <w:rFonts w:hint="eastAsia" w:ascii="宋体" w:hAnsi="宋体" w:eastAsia="宋体" w:cs="宋体"/>
                <w:color w:val="auto"/>
                <w:spacing w:val="-6"/>
                <w:sz w:val="24"/>
                <w:szCs w:val="24"/>
                <w:highlight w:val="none"/>
                <w:lang w:val="en-US" w:eastAsia="zh-CN"/>
              </w:rPr>
              <w:t>在不良信用记录。</w:t>
            </w:r>
          </w:p>
        </w:tc>
        <w:tc>
          <w:tcPr>
            <w:tcW w:w="697" w:type="pct"/>
            <w:shd w:val="clear" w:color="auto" w:fill="FFFFFF" w:themeFill="background1"/>
            <w:vAlign w:val="center"/>
          </w:tcPr>
          <w:p w14:paraId="26F259C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default"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 xml:space="preserve">附相关证明材料 </w:t>
            </w:r>
          </w:p>
        </w:tc>
      </w:tr>
      <w:tr w14:paraId="43014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4" w:hRule="atLeast"/>
        </w:trPr>
        <w:tc>
          <w:tcPr>
            <w:tcW w:w="427" w:type="pct"/>
            <w:shd w:val="clear" w:color="auto" w:fill="FFFFFF" w:themeFill="background1"/>
            <w:vAlign w:val="center"/>
          </w:tcPr>
          <w:p w14:paraId="64FECD8C">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w:t>
            </w:r>
          </w:p>
        </w:tc>
        <w:tc>
          <w:tcPr>
            <w:tcW w:w="920" w:type="pct"/>
            <w:shd w:val="clear" w:color="auto" w:fill="FFFFFF" w:themeFill="background1"/>
            <w:vAlign w:val="center"/>
          </w:tcPr>
          <w:p w14:paraId="4BFB730A">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2953" w:type="pct"/>
            <w:shd w:val="clear" w:color="auto" w:fill="FFFFFF" w:themeFill="background1"/>
            <w:vAlign w:val="center"/>
          </w:tcPr>
          <w:p w14:paraId="2F331E24">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697" w:type="pct"/>
            <w:shd w:val="clear" w:color="auto" w:fill="FFFFFF" w:themeFill="background1"/>
            <w:vAlign w:val="center"/>
          </w:tcPr>
          <w:p w14:paraId="7606D0B7">
            <w:pPr>
              <w:pStyle w:val="44"/>
              <w:jc w:val="center"/>
              <w:rPr>
                <w:rFonts w:hint="eastAsia" w:ascii="宋体" w:hAnsi="宋体" w:eastAsia="宋体" w:cs="宋体"/>
                <w:b/>
                <w:bCs/>
                <w:color w:val="auto"/>
                <w:sz w:val="24"/>
                <w:szCs w:val="24"/>
                <w:highlight w:val="none"/>
              </w:rPr>
            </w:pPr>
          </w:p>
        </w:tc>
      </w:tr>
      <w:tr w14:paraId="5D71B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20" w:hRule="atLeast"/>
        </w:trPr>
        <w:tc>
          <w:tcPr>
            <w:tcW w:w="427" w:type="pct"/>
            <w:shd w:val="clear" w:color="auto" w:fill="FFFFFF" w:themeFill="background1"/>
            <w:vAlign w:val="center"/>
          </w:tcPr>
          <w:p w14:paraId="6E8E1F87">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920" w:type="pct"/>
            <w:shd w:val="clear" w:color="auto" w:fill="FFFFFF" w:themeFill="background1"/>
            <w:vAlign w:val="center"/>
          </w:tcPr>
          <w:p w14:paraId="59AE655B">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953" w:type="pct"/>
            <w:shd w:val="clear" w:color="auto" w:fill="FFFFFF" w:themeFill="background1"/>
            <w:vAlign w:val="center"/>
          </w:tcPr>
          <w:p w14:paraId="1FBA5312">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具体要求见“第一章 竞争性磋商公告”</w:t>
            </w:r>
          </w:p>
        </w:tc>
        <w:tc>
          <w:tcPr>
            <w:tcW w:w="697" w:type="pct"/>
            <w:shd w:val="clear" w:color="auto" w:fill="FFFFFF" w:themeFill="background1"/>
            <w:vAlign w:val="center"/>
          </w:tcPr>
          <w:p w14:paraId="0F1CA644">
            <w:pPr>
              <w:pStyle w:val="44"/>
              <w:jc w:val="center"/>
              <w:rPr>
                <w:rFonts w:hint="eastAsia" w:ascii="宋体" w:hAnsi="宋体" w:eastAsia="宋体" w:cs="宋体"/>
                <w:b/>
                <w:bCs/>
                <w:color w:val="auto"/>
                <w:sz w:val="24"/>
                <w:szCs w:val="24"/>
                <w:highlight w:val="none"/>
              </w:rPr>
            </w:pPr>
          </w:p>
        </w:tc>
      </w:tr>
      <w:tr w14:paraId="0C38F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06" w:hRule="atLeast"/>
        </w:trPr>
        <w:tc>
          <w:tcPr>
            <w:tcW w:w="427" w:type="pct"/>
            <w:shd w:val="clear" w:color="auto" w:fill="FFFFFF" w:themeFill="background1"/>
            <w:vAlign w:val="center"/>
          </w:tcPr>
          <w:p w14:paraId="1CE38C01">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920" w:type="pct"/>
            <w:shd w:val="clear" w:color="auto" w:fill="FFFFFF" w:themeFill="background1"/>
            <w:vAlign w:val="center"/>
          </w:tcPr>
          <w:p w14:paraId="718B9CD5">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中小企业政策</w:t>
            </w:r>
          </w:p>
        </w:tc>
        <w:tc>
          <w:tcPr>
            <w:tcW w:w="2953" w:type="pct"/>
            <w:shd w:val="clear" w:color="auto" w:fill="FFFFFF" w:themeFill="background1"/>
            <w:vAlign w:val="center"/>
          </w:tcPr>
          <w:p w14:paraId="35DB295D">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具体要求见</w:t>
            </w:r>
            <w:r>
              <w:rPr>
                <w:rFonts w:hint="eastAsia" w:ascii="宋体" w:hAnsi="宋体" w:eastAsia="宋体" w:cs="宋体"/>
                <w:color w:val="auto"/>
                <w:sz w:val="24"/>
                <w:szCs w:val="24"/>
                <w:highlight w:val="none"/>
                <w:lang w:val="en-US" w:eastAsia="zh-CN"/>
              </w:rPr>
              <w:t>“第一章 竞争性磋商公告”</w:t>
            </w:r>
          </w:p>
        </w:tc>
        <w:tc>
          <w:tcPr>
            <w:tcW w:w="697" w:type="pct"/>
            <w:shd w:val="clear" w:color="auto" w:fill="FFFFFF" w:themeFill="background1"/>
            <w:vAlign w:val="center"/>
          </w:tcPr>
          <w:p w14:paraId="66552262">
            <w:pPr>
              <w:pStyle w:val="44"/>
              <w:jc w:val="center"/>
              <w:rPr>
                <w:rFonts w:hint="eastAsia" w:ascii="宋体" w:hAnsi="宋体" w:eastAsia="宋体" w:cs="宋体"/>
                <w:b/>
                <w:bCs/>
                <w:color w:val="auto"/>
                <w:sz w:val="24"/>
                <w:szCs w:val="24"/>
                <w:highlight w:val="none"/>
              </w:rPr>
            </w:pPr>
          </w:p>
        </w:tc>
      </w:tr>
      <w:tr w14:paraId="768F7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648" w:hRule="atLeast"/>
        </w:trPr>
        <w:tc>
          <w:tcPr>
            <w:tcW w:w="427" w:type="pct"/>
            <w:shd w:val="clear" w:color="auto" w:fill="FFFFFF" w:themeFill="background1"/>
            <w:vAlign w:val="center"/>
          </w:tcPr>
          <w:p w14:paraId="755889C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p>
        </w:tc>
        <w:tc>
          <w:tcPr>
            <w:tcW w:w="920" w:type="pct"/>
            <w:shd w:val="clear" w:color="auto" w:fill="FFFFFF" w:themeFill="background1"/>
            <w:vAlign w:val="center"/>
          </w:tcPr>
          <w:p w14:paraId="3202ECFD">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953" w:type="pct"/>
            <w:shd w:val="clear" w:color="auto" w:fill="FFFFFF" w:themeFill="background1"/>
            <w:vAlign w:val="center"/>
          </w:tcPr>
          <w:p w14:paraId="280FDC69">
            <w:pPr>
              <w:pStyle w:val="44"/>
              <w:spacing w:line="240" w:lineRule="auto"/>
              <w:jc w:val="both"/>
              <w:rPr>
                <w:rFonts w:hint="eastAsia" w:ascii="宋体" w:hAnsi="宋体" w:eastAsia="宋体" w:cs="宋体"/>
                <w:i/>
                <w:iCs/>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【当本项目（包）涉及预留份额专门面向中小企业采购，此时建议在《资格证明文件》中提供】</w:t>
            </w:r>
          </w:p>
          <w:p w14:paraId="79463FF3">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单独响应的，应提供“中小企业声明函”或“残疾人福利性单位声明函”或由省级以上监狱管理局、戒毒管理局（含新疆生产建设兵团）出具的属于监狱企业的证明文件。 </w:t>
            </w:r>
          </w:p>
          <w:p w14:paraId="26D9D224">
            <w:pPr>
              <w:pStyle w:val="44"/>
              <w:spacing w:line="240" w:lineRule="auto"/>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pacing w:val="-6"/>
                <w:kern w:val="0"/>
                <w:sz w:val="24"/>
                <w:szCs w:val="24"/>
                <w:highlight w:val="none"/>
                <w:lang w:val="en-US" w:eastAsia="zh-CN" w:bidi="ar"/>
              </w:rPr>
              <w:t>文件允许以联合体形式参加或者允许合同分包的，且供应商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pacing w:val="-6"/>
                <w:kern w:val="0"/>
                <w:sz w:val="24"/>
                <w:szCs w:val="24"/>
                <w:highlight w:val="none"/>
                <w:lang w:val="en-US" w:eastAsia="zh-CN" w:bidi="ar"/>
              </w:rPr>
              <w:t>文件关于预留份额的要求。</w:t>
            </w:r>
          </w:p>
        </w:tc>
        <w:tc>
          <w:tcPr>
            <w:tcW w:w="697" w:type="pct"/>
            <w:shd w:val="clear" w:color="auto" w:fill="FFFFFF" w:themeFill="background1"/>
            <w:vAlign w:val="center"/>
          </w:tcPr>
          <w:p w14:paraId="2C62C3D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59F08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96" w:hRule="atLeast"/>
        </w:trPr>
        <w:tc>
          <w:tcPr>
            <w:tcW w:w="427" w:type="pct"/>
            <w:shd w:val="clear" w:color="auto" w:fill="FFFFFF" w:themeFill="background1"/>
            <w:vAlign w:val="center"/>
          </w:tcPr>
          <w:p w14:paraId="3C00FF53">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2-1-2</w:t>
            </w:r>
          </w:p>
        </w:tc>
        <w:tc>
          <w:tcPr>
            <w:tcW w:w="920" w:type="pct"/>
            <w:shd w:val="clear" w:color="auto" w:fill="FFFFFF" w:themeFill="background1"/>
            <w:vAlign w:val="center"/>
          </w:tcPr>
          <w:p w14:paraId="6B99B570">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拟分包情况说明及分包意向协议书</w:t>
            </w:r>
          </w:p>
        </w:tc>
        <w:tc>
          <w:tcPr>
            <w:tcW w:w="2953" w:type="pct"/>
            <w:shd w:val="clear" w:color="auto" w:fill="FFFFFF" w:themeFill="background1"/>
            <w:vAlign w:val="center"/>
          </w:tcPr>
          <w:p w14:paraId="102F2CBF">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如本项目（包）要求通过分包措施预留部分采购份额面向中小企业采购、且</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因落实政府采购政策拟进行分包的，必须提供；否则无须提供。 </w:t>
            </w:r>
          </w:p>
          <w:p w14:paraId="3EF65FA2">
            <w:pPr>
              <w:pStyle w:val="44"/>
              <w:spacing w:line="24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697" w:type="pct"/>
            <w:shd w:val="clear" w:color="auto" w:fill="FFFFFF" w:themeFill="background1"/>
            <w:vAlign w:val="center"/>
          </w:tcPr>
          <w:p w14:paraId="565F10B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p w14:paraId="5170D6A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p>
        </w:tc>
      </w:tr>
      <w:tr w14:paraId="77909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40" w:hRule="atLeast"/>
        </w:trPr>
        <w:tc>
          <w:tcPr>
            <w:tcW w:w="427" w:type="pct"/>
            <w:shd w:val="clear" w:color="auto" w:fill="FFFFFF" w:themeFill="background1"/>
            <w:vAlign w:val="center"/>
          </w:tcPr>
          <w:p w14:paraId="31EF4711">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w:t>
            </w:r>
          </w:p>
        </w:tc>
        <w:tc>
          <w:tcPr>
            <w:tcW w:w="920" w:type="pct"/>
            <w:shd w:val="clear" w:color="auto" w:fill="FFFFFF" w:themeFill="background1"/>
            <w:vAlign w:val="center"/>
          </w:tcPr>
          <w:p w14:paraId="1D9FA03E">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其它落实政府采购政策的资格要求</w:t>
            </w:r>
          </w:p>
        </w:tc>
        <w:tc>
          <w:tcPr>
            <w:tcW w:w="2953" w:type="pct"/>
            <w:shd w:val="clear" w:color="auto" w:fill="FFFFFF" w:themeFill="background1"/>
            <w:vAlign w:val="center"/>
          </w:tcPr>
          <w:p w14:paraId="46261EAA">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竞争性磋商公告”</w:t>
            </w:r>
          </w:p>
        </w:tc>
        <w:tc>
          <w:tcPr>
            <w:tcW w:w="697" w:type="pct"/>
            <w:shd w:val="clear" w:color="auto" w:fill="FFFFFF" w:themeFill="background1"/>
            <w:vAlign w:val="center"/>
          </w:tcPr>
          <w:p w14:paraId="6CEBF245">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59A1D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96" w:hRule="atLeast"/>
        </w:trPr>
        <w:tc>
          <w:tcPr>
            <w:tcW w:w="427" w:type="pct"/>
            <w:shd w:val="clear" w:color="auto" w:fill="FFFFFF" w:themeFill="background1"/>
            <w:vAlign w:val="center"/>
          </w:tcPr>
          <w:p w14:paraId="54D57AB3">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920" w:type="pct"/>
            <w:shd w:val="clear" w:color="auto" w:fill="FFFFFF" w:themeFill="background1"/>
            <w:vAlign w:val="center"/>
          </w:tcPr>
          <w:p w14:paraId="5E496E55">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953" w:type="pct"/>
            <w:shd w:val="clear" w:color="auto" w:fill="FFFFFF" w:themeFill="background1"/>
            <w:vAlign w:val="center"/>
          </w:tcPr>
          <w:p w14:paraId="0BD0F936">
            <w:pPr>
              <w:pStyle w:val="44"/>
              <w:jc w:val="both"/>
              <w:rPr>
                <w:rFonts w:hint="default"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无</w:t>
            </w:r>
          </w:p>
        </w:tc>
        <w:tc>
          <w:tcPr>
            <w:tcW w:w="697" w:type="pct"/>
            <w:shd w:val="clear" w:color="auto" w:fill="FFFFFF" w:themeFill="background1"/>
            <w:vAlign w:val="center"/>
          </w:tcPr>
          <w:p w14:paraId="51DA9439">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2A7A6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220" w:hRule="atLeast"/>
        </w:trPr>
        <w:tc>
          <w:tcPr>
            <w:tcW w:w="427" w:type="pct"/>
            <w:shd w:val="clear" w:color="auto" w:fill="FFFFFF" w:themeFill="background1"/>
            <w:vAlign w:val="center"/>
          </w:tcPr>
          <w:p w14:paraId="6A7A3192">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w:t>
            </w:r>
          </w:p>
        </w:tc>
        <w:tc>
          <w:tcPr>
            <w:tcW w:w="920" w:type="pct"/>
            <w:shd w:val="clear" w:color="auto" w:fill="FFFFFF" w:themeFill="background1"/>
            <w:vAlign w:val="center"/>
          </w:tcPr>
          <w:p w14:paraId="67412655">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本项目对于联合体的要求</w:t>
            </w:r>
          </w:p>
        </w:tc>
        <w:tc>
          <w:tcPr>
            <w:tcW w:w="2953" w:type="pct"/>
            <w:shd w:val="clear" w:color="auto" w:fill="FFFFFF" w:themeFill="background1"/>
            <w:vAlign w:val="center"/>
          </w:tcPr>
          <w:p w14:paraId="448BCA0A">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1、如本项目接受联合体磋商，且</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为联合体时必须提供《联合体协议书》，明确各方拟承担的工作和责任，并指定联合体牵头人，授权其代表所有联合体成员负责本项目磋商和合同实施阶段的牵头、协调工作。该联合体协议书应当作为响应文件的组成部分，与响应文件其他内容同时递交。 </w:t>
            </w:r>
          </w:p>
          <w:p w14:paraId="6A264DBE">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2、联合体各成员单位均须提供本表中序号1-1、1-2 的证明文件。联合体各成员单位均应满足本表 1-3 及 1-4 项规定。 </w:t>
            </w:r>
          </w:p>
          <w:p w14:paraId="7A8183EE">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spacing w:val="-6"/>
                <w:kern w:val="0"/>
                <w:sz w:val="24"/>
                <w:szCs w:val="24"/>
                <w:highlight w:val="none"/>
                <w:lang w:val="en-US" w:eastAsia="zh-CN" w:bidi="ar"/>
              </w:rPr>
              <w:t>本表序号 3-2 项规定的其他特定资格要求中的每一小项要求，按照《联合体协议书》的分工，联合体各方应具备承担工作所需的特定资格要求并提供证明材料。</w:t>
            </w:r>
            <w:r>
              <w:rPr>
                <w:rFonts w:hint="eastAsia" w:ascii="宋体" w:hAnsi="宋体" w:eastAsia="宋体" w:cs="宋体"/>
                <w:color w:val="auto"/>
                <w:kern w:val="0"/>
                <w:sz w:val="24"/>
                <w:szCs w:val="24"/>
                <w:highlight w:val="none"/>
                <w:lang w:val="en-US" w:eastAsia="zh-CN" w:bidi="ar"/>
              </w:rPr>
              <w:t xml:space="preserve"> </w:t>
            </w:r>
          </w:p>
          <w:p w14:paraId="62435554">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4、联合体中有同类资质的供应商按照联合体分工承担相同工作的，应当按照资质等级较低的供应商确定资质等级。 </w:t>
            </w:r>
          </w:p>
          <w:p w14:paraId="090D2AFD">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5、以联合体形式参加政府采购活动的，联合体各方不得再单独参加或者与其他供应商另外组成联合体参加同一合同项下的政府采购活动。 </w:t>
            </w:r>
          </w:p>
          <w:p w14:paraId="4354D389">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6、若联合体中任一成员单位中途退出，则该联合体的响应无效。 </w:t>
            </w:r>
          </w:p>
          <w:p w14:paraId="538EED60">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7、本项目不接受联合体磋商时，</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不得为联合体。</w:t>
            </w:r>
          </w:p>
        </w:tc>
        <w:tc>
          <w:tcPr>
            <w:tcW w:w="697" w:type="pct"/>
            <w:shd w:val="clear" w:color="auto" w:fill="FFFFFF" w:themeFill="background1"/>
            <w:vAlign w:val="center"/>
          </w:tcPr>
          <w:p w14:paraId="6E8DD649">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提供《联合体协议书》原件的电子件 </w:t>
            </w:r>
          </w:p>
          <w:p w14:paraId="1CBB417D">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74DCC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30" w:hRule="atLeast"/>
        </w:trPr>
        <w:tc>
          <w:tcPr>
            <w:tcW w:w="427" w:type="pct"/>
            <w:shd w:val="clear" w:color="auto" w:fill="FFFFFF" w:themeFill="background1"/>
            <w:vAlign w:val="center"/>
          </w:tcPr>
          <w:p w14:paraId="7774558E">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w:t>
            </w:r>
          </w:p>
        </w:tc>
        <w:tc>
          <w:tcPr>
            <w:tcW w:w="920" w:type="pct"/>
            <w:shd w:val="clear" w:color="auto" w:fill="FFFFFF" w:themeFill="background1"/>
            <w:vAlign w:val="center"/>
          </w:tcPr>
          <w:p w14:paraId="0FF0FF6F">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其他特定资格要求</w:t>
            </w:r>
          </w:p>
        </w:tc>
        <w:tc>
          <w:tcPr>
            <w:tcW w:w="2953" w:type="pct"/>
            <w:shd w:val="clear" w:color="auto" w:fill="FFFFFF" w:themeFill="background1"/>
            <w:vAlign w:val="center"/>
          </w:tcPr>
          <w:p w14:paraId="0175309B">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697" w:type="pct"/>
            <w:shd w:val="clear" w:color="auto" w:fill="FFFFFF" w:themeFill="background1"/>
            <w:vAlign w:val="center"/>
          </w:tcPr>
          <w:p w14:paraId="55985B4B">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bl>
    <w:p w14:paraId="53A41A5F">
      <w:pPr>
        <w:spacing w:line="360" w:lineRule="auto"/>
        <w:rPr>
          <w:b/>
          <w:bCs/>
          <w:i w:val="0"/>
          <w:iCs w:val="0"/>
          <w:color w:val="auto"/>
          <w:sz w:val="21"/>
          <w:szCs w:val="21"/>
          <w:highlight w:val="none"/>
        </w:rPr>
      </w:pPr>
      <w:r>
        <w:rPr>
          <w:rFonts w:hint="eastAsia"/>
          <w:b/>
          <w:bCs/>
          <w:i w:val="0"/>
          <w:iCs w:val="0"/>
          <w:color w:val="auto"/>
          <w:sz w:val="21"/>
          <w:szCs w:val="21"/>
          <w:highlight w:val="none"/>
        </w:rPr>
        <w:t>备注：</w:t>
      </w:r>
    </w:p>
    <w:p w14:paraId="509818B3">
      <w:pPr>
        <w:pStyle w:val="37"/>
        <w:keepNext w:val="0"/>
        <w:keepLines w:val="0"/>
        <w:pageBreakBefore w:val="0"/>
        <w:widowControl w:val="0"/>
        <w:kinsoku/>
        <w:overflowPunct/>
        <w:topLinePunct w:val="0"/>
        <w:autoSpaceDE/>
        <w:autoSpaceDN/>
        <w:bidi w:val="0"/>
        <w:adjustRightInd/>
        <w:snapToGrid/>
        <w:spacing w:line="360" w:lineRule="auto"/>
        <w:ind w:firstLine="480"/>
        <w:textAlignment w:val="auto"/>
        <w:rPr>
          <w:i w:val="0"/>
          <w:iCs w:val="0"/>
          <w:color w:val="auto"/>
          <w:sz w:val="21"/>
          <w:szCs w:val="21"/>
          <w:highlight w:val="none"/>
        </w:rPr>
      </w:pPr>
      <w:r>
        <w:rPr>
          <w:i w:val="0"/>
          <w:iCs w:val="0"/>
          <w:color w:val="auto"/>
          <w:sz w:val="21"/>
          <w:szCs w:val="21"/>
          <w:highlight w:val="none"/>
        </w:rPr>
        <w:t>1.</w:t>
      </w:r>
      <w:r>
        <w:rPr>
          <w:rFonts w:hint="eastAsia"/>
          <w:i w:val="0"/>
          <w:iCs w:val="0"/>
          <w:color w:val="auto"/>
          <w:sz w:val="21"/>
          <w:szCs w:val="21"/>
          <w:highlight w:val="none"/>
          <w:lang w:eastAsia="zh-CN"/>
        </w:rPr>
        <w:t>供应商须按上表格式要求提供相关证明文件</w:t>
      </w:r>
      <w:r>
        <w:rPr>
          <w:rFonts w:hint="eastAsia"/>
          <w:i w:val="0"/>
          <w:iCs w:val="0"/>
          <w:color w:val="auto"/>
          <w:sz w:val="21"/>
          <w:szCs w:val="21"/>
          <w:highlight w:val="none"/>
        </w:rPr>
        <w:t>，响应文件中须编入清晰的扫描件或网页截图。所有证明材料须清晰可辨认，如因证明材料模糊无法辨认，缺页、漏页导致无法进行评审认定的</w:t>
      </w:r>
      <w:r>
        <w:rPr>
          <w:rFonts w:hint="eastAsia"/>
          <w:i w:val="0"/>
          <w:iCs w:val="0"/>
          <w:color w:val="auto"/>
          <w:sz w:val="21"/>
          <w:szCs w:val="21"/>
          <w:highlight w:val="none"/>
          <w:lang w:eastAsia="zh-CN"/>
        </w:rPr>
        <w:t>，</w:t>
      </w:r>
      <w:r>
        <w:rPr>
          <w:rFonts w:hint="eastAsia"/>
          <w:i w:val="0"/>
          <w:iCs w:val="0"/>
          <w:color w:val="auto"/>
          <w:sz w:val="21"/>
          <w:szCs w:val="21"/>
          <w:highlight w:val="none"/>
        </w:rPr>
        <w:t>责任由供应商</w:t>
      </w:r>
      <w:r>
        <w:rPr>
          <w:rFonts w:hint="eastAsia"/>
          <w:i w:val="0"/>
          <w:iCs w:val="0"/>
          <w:color w:val="auto"/>
          <w:sz w:val="21"/>
          <w:szCs w:val="21"/>
          <w:highlight w:val="none"/>
          <w:lang w:val="en-US" w:eastAsia="zh-CN"/>
        </w:rPr>
        <w:t>承担</w:t>
      </w:r>
      <w:r>
        <w:rPr>
          <w:rFonts w:hint="eastAsia"/>
          <w:i w:val="0"/>
          <w:iCs w:val="0"/>
          <w:color w:val="auto"/>
          <w:sz w:val="21"/>
          <w:szCs w:val="21"/>
          <w:highlight w:val="none"/>
        </w:rPr>
        <w:t>。</w:t>
      </w:r>
    </w:p>
    <w:p w14:paraId="7CBBBAE9">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2.</w:t>
      </w:r>
      <w:r>
        <w:rPr>
          <w:rFonts w:hint="eastAsia"/>
          <w:i w:val="0"/>
          <w:iCs w:val="0"/>
          <w:color w:val="auto"/>
          <w:sz w:val="21"/>
          <w:szCs w:val="21"/>
          <w:highlight w:val="none"/>
          <w:lang w:val="zh-CN"/>
        </w:rPr>
        <w:t>信用信息核</w:t>
      </w:r>
      <w:r>
        <w:rPr>
          <w:rFonts w:hint="eastAsia"/>
          <w:i w:val="0"/>
          <w:iCs w:val="0"/>
          <w:color w:val="auto"/>
          <w:sz w:val="21"/>
          <w:szCs w:val="21"/>
          <w:highlight w:val="none"/>
        </w:rPr>
        <w:t>查</w:t>
      </w:r>
    </w:p>
    <w:p w14:paraId="0FB875AC">
      <w:pPr>
        <w:pStyle w:val="33"/>
        <w:keepNext w:val="0"/>
        <w:keepLines w:val="0"/>
        <w:pageBreakBefore w:val="0"/>
        <w:widowControl w:val="0"/>
        <w:kinsoku/>
        <w:overflowPunct/>
        <w:topLinePunct w:val="0"/>
        <w:autoSpaceDE/>
        <w:autoSpaceDN/>
        <w:bidi w:val="0"/>
        <w:adjustRightInd/>
        <w:snapToGrid/>
        <w:spacing w:line="360" w:lineRule="auto"/>
        <w:ind w:firstLine="480"/>
        <w:textAlignment w:val="auto"/>
        <w:rPr>
          <w:i w:val="0"/>
          <w:iCs w:val="0"/>
          <w:color w:val="auto"/>
          <w:sz w:val="21"/>
          <w:szCs w:val="21"/>
          <w:highlight w:val="none"/>
        </w:rPr>
      </w:pPr>
      <w:r>
        <w:rPr>
          <w:rFonts w:hint="eastAsia"/>
          <w:i w:val="0"/>
          <w:iCs w:val="0"/>
          <w:color w:val="auto"/>
          <w:sz w:val="21"/>
          <w:szCs w:val="21"/>
          <w:highlight w:val="none"/>
        </w:rPr>
        <w:t>2.1资格审查</w:t>
      </w:r>
      <w:r>
        <w:rPr>
          <w:rFonts w:hint="eastAsia"/>
          <w:i w:val="0"/>
          <w:iCs w:val="0"/>
          <w:color w:val="auto"/>
          <w:sz w:val="21"/>
          <w:szCs w:val="21"/>
          <w:highlight w:val="none"/>
          <w:lang w:eastAsia="zh-CN"/>
        </w:rPr>
        <w:t>阶段</w:t>
      </w:r>
      <w:r>
        <w:rPr>
          <w:rFonts w:hint="eastAsia"/>
          <w:i w:val="0"/>
          <w:iCs w:val="0"/>
          <w:color w:val="auto"/>
          <w:sz w:val="21"/>
          <w:szCs w:val="21"/>
          <w:highlight w:val="none"/>
        </w:rPr>
        <w:t>应当核查供应商信用记录，供应商被列入失信被执行人、重大税收违法失信主体、政府采购严重违法失信行为记录名单的，采购</w:t>
      </w:r>
      <w:r>
        <w:rPr>
          <w:rFonts w:hint="eastAsia"/>
          <w:i w:val="0"/>
          <w:iCs w:val="0"/>
          <w:color w:val="auto"/>
          <w:sz w:val="21"/>
          <w:szCs w:val="21"/>
          <w:highlight w:val="none"/>
          <w:lang w:val="en-US" w:eastAsia="zh-CN"/>
        </w:rPr>
        <w:t>人</w:t>
      </w:r>
      <w:r>
        <w:rPr>
          <w:rFonts w:hint="eastAsia"/>
          <w:i w:val="0"/>
          <w:iCs w:val="0"/>
          <w:color w:val="auto"/>
          <w:sz w:val="21"/>
          <w:szCs w:val="21"/>
          <w:highlight w:val="none"/>
        </w:rPr>
        <w:t>拒绝其参与政府采购活动。</w:t>
      </w:r>
    </w:p>
    <w:p w14:paraId="6C038B85">
      <w:pPr>
        <w:pStyle w:val="33"/>
        <w:keepNext w:val="0"/>
        <w:keepLines w:val="0"/>
        <w:pageBreakBefore w:val="0"/>
        <w:widowControl w:val="0"/>
        <w:kinsoku/>
        <w:overflowPunct/>
        <w:topLinePunct w:val="0"/>
        <w:autoSpaceDE/>
        <w:autoSpaceDN/>
        <w:bidi w:val="0"/>
        <w:adjustRightInd/>
        <w:snapToGrid/>
        <w:spacing w:line="360" w:lineRule="auto"/>
        <w:ind w:firstLine="480"/>
        <w:textAlignment w:val="auto"/>
        <w:rPr>
          <w:i w:val="0"/>
          <w:iCs w:val="0"/>
          <w:color w:val="auto"/>
          <w:sz w:val="21"/>
          <w:szCs w:val="21"/>
          <w:highlight w:val="none"/>
        </w:rPr>
      </w:pPr>
      <w:r>
        <w:rPr>
          <w:rFonts w:hint="eastAsia"/>
          <w:i w:val="0"/>
          <w:iCs w:val="0"/>
          <w:color w:val="auto"/>
          <w:sz w:val="21"/>
          <w:szCs w:val="21"/>
          <w:highlight w:val="none"/>
        </w:rPr>
        <w:t>2.2以联合体形式参与磋商的，应当核查联合体所有成员和信用记录，联合体成员存在不良信用记录的，视同联合体存在不良信用信息。</w:t>
      </w:r>
    </w:p>
    <w:p w14:paraId="5E74E935">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3.</w:t>
      </w:r>
      <w:r>
        <w:rPr>
          <w:rFonts w:hint="eastAsia"/>
          <w:i w:val="0"/>
          <w:iCs w:val="0"/>
          <w:color w:val="auto"/>
          <w:sz w:val="21"/>
          <w:szCs w:val="21"/>
          <w:highlight w:val="none"/>
        </w:rPr>
        <w:t>对于响应文件中有任意一条不满足上表要求的</w:t>
      </w:r>
      <w:r>
        <w:rPr>
          <w:rFonts w:hint="eastAsia"/>
          <w:i w:val="0"/>
          <w:iCs w:val="0"/>
          <w:color w:val="auto"/>
          <w:sz w:val="21"/>
          <w:szCs w:val="21"/>
          <w:highlight w:val="none"/>
          <w:lang w:eastAsia="zh-CN"/>
        </w:rPr>
        <w:t>，</w:t>
      </w:r>
      <w:r>
        <w:rPr>
          <w:rFonts w:hint="eastAsia"/>
          <w:i w:val="0"/>
          <w:iCs w:val="0"/>
          <w:color w:val="auto"/>
          <w:sz w:val="21"/>
          <w:szCs w:val="21"/>
          <w:highlight w:val="none"/>
        </w:rPr>
        <w:t>将导致其</w:t>
      </w:r>
      <w:r>
        <w:rPr>
          <w:rFonts w:hint="eastAsia"/>
          <w:b/>
          <w:bCs/>
          <w:i w:val="0"/>
          <w:iCs w:val="0"/>
          <w:color w:val="auto"/>
          <w:sz w:val="21"/>
          <w:szCs w:val="21"/>
          <w:highlight w:val="none"/>
        </w:rPr>
        <w:t>响应无效</w:t>
      </w:r>
      <w:r>
        <w:rPr>
          <w:rFonts w:hint="eastAsia"/>
          <w:i w:val="0"/>
          <w:iCs w:val="0"/>
          <w:color w:val="auto"/>
          <w:sz w:val="21"/>
          <w:szCs w:val="21"/>
          <w:highlight w:val="none"/>
        </w:rPr>
        <w:t>，不</w:t>
      </w:r>
      <w:r>
        <w:rPr>
          <w:rFonts w:hint="eastAsia"/>
          <w:i w:val="0"/>
          <w:iCs w:val="0"/>
          <w:color w:val="auto"/>
          <w:sz w:val="21"/>
          <w:szCs w:val="21"/>
          <w:highlight w:val="none"/>
          <w:lang w:val="en-US" w:eastAsia="zh-CN"/>
        </w:rPr>
        <w:t>得</w:t>
      </w:r>
      <w:r>
        <w:rPr>
          <w:rFonts w:hint="eastAsia"/>
          <w:i w:val="0"/>
          <w:iCs w:val="0"/>
          <w:color w:val="auto"/>
          <w:sz w:val="21"/>
          <w:szCs w:val="21"/>
          <w:highlight w:val="none"/>
        </w:rPr>
        <w:t>进入下一项评审。</w:t>
      </w:r>
    </w:p>
    <w:p w14:paraId="72E0CBEB">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0F5B96CA">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6CC5F584">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0233ACA1">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66B8B37C">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692825F5">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6D6BE119">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2EDC3ECA">
      <w:pPr>
        <w:pStyle w:val="37"/>
        <w:keepNext w:val="0"/>
        <w:keepLines w:val="0"/>
        <w:pageBreakBefore w:val="0"/>
        <w:widowControl w:val="0"/>
        <w:numPr>
          <w:ilvl w:val="0"/>
          <w:numId w:val="0"/>
        </w:numPr>
        <w:kinsoku/>
        <w:overflowPunct/>
        <w:topLinePunct w:val="0"/>
        <w:autoSpaceDE/>
        <w:autoSpaceDN/>
        <w:bidi w:val="0"/>
        <w:adjustRightInd/>
        <w:snapToGrid/>
        <w:spacing w:line="360" w:lineRule="auto"/>
        <w:ind w:firstLine="420" w:firstLineChars="200"/>
        <w:textAlignment w:val="auto"/>
        <w:rPr>
          <w:rFonts w:hint="eastAsia"/>
          <w:i w:val="0"/>
          <w:iCs w:val="0"/>
          <w:color w:val="auto"/>
          <w:sz w:val="21"/>
          <w:szCs w:val="21"/>
          <w:highlight w:val="none"/>
        </w:rPr>
      </w:pPr>
    </w:p>
    <w:p w14:paraId="613615CA">
      <w:pPr>
        <w:pStyle w:val="4"/>
        <w:keepNext w:val="0"/>
        <w:keepLines w:val="0"/>
        <w:pageBreakBefore w:val="0"/>
        <w:widowControl w:val="0"/>
        <w:numPr>
          <w:ilvl w:val="0"/>
          <w:numId w:val="3"/>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9" w:name="_Toc7933"/>
      <w:r>
        <w:rPr>
          <w:rFonts w:hint="eastAsia" w:ascii="宋体" w:hAnsi="宋体" w:eastAsia="宋体" w:cs="宋体"/>
          <w:b/>
          <w:bCs/>
          <w:color w:val="auto"/>
          <w:kern w:val="2"/>
          <w:sz w:val="24"/>
          <w:szCs w:val="24"/>
          <w:highlight w:val="none"/>
          <w:lang w:val="zh-CN" w:eastAsia="zh-CN" w:bidi="ar-SA"/>
        </w:rPr>
        <w:t>符合性审查表</w:t>
      </w:r>
      <w:bookmarkEnd w:id="464"/>
      <w:bookmarkEnd w:id="465"/>
      <w:bookmarkEnd w:id="469"/>
    </w:p>
    <w:tbl>
      <w:tblPr>
        <w:tblStyle w:val="27"/>
        <w:tblW w:w="5424" w:type="pct"/>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06"/>
        <w:gridCol w:w="1302"/>
        <w:gridCol w:w="5483"/>
        <w:gridCol w:w="866"/>
        <w:gridCol w:w="1088"/>
      </w:tblGrid>
      <w:tr w14:paraId="2F09A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74" w:type="pct"/>
            <w:vMerge w:val="restart"/>
            <w:shd w:val="clear" w:color="auto" w:fill="D8D8D8" w:themeFill="background1" w:themeFillShade="D9"/>
            <w:vAlign w:val="center"/>
          </w:tcPr>
          <w:p w14:paraId="0C5112C4">
            <w:pPr>
              <w:pStyle w:val="44"/>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序号</w:t>
            </w:r>
          </w:p>
        </w:tc>
        <w:tc>
          <w:tcPr>
            <w:tcW w:w="704" w:type="pct"/>
            <w:vMerge w:val="restart"/>
            <w:shd w:val="clear" w:color="auto" w:fill="D8D8D8" w:themeFill="background1" w:themeFillShade="D9"/>
            <w:vAlign w:val="center"/>
          </w:tcPr>
          <w:p w14:paraId="2B70F8E9">
            <w:pPr>
              <w:pStyle w:val="44"/>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2964" w:type="pct"/>
            <w:vMerge w:val="restart"/>
            <w:shd w:val="clear" w:color="auto" w:fill="D8D8D8" w:themeFill="background1" w:themeFillShade="D9"/>
            <w:vAlign w:val="center"/>
          </w:tcPr>
          <w:p w14:paraId="04F639BE">
            <w:pPr>
              <w:pStyle w:val="44"/>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1056" w:type="pct"/>
            <w:gridSpan w:val="2"/>
            <w:shd w:val="clear" w:color="auto" w:fill="D8D8D8" w:themeFill="background1" w:themeFillShade="D9"/>
            <w:vAlign w:val="center"/>
          </w:tcPr>
          <w:p w14:paraId="4B8D54BB">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2DA4A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74" w:type="pct"/>
            <w:vMerge w:val="continue"/>
            <w:shd w:val="clear" w:color="auto" w:fill="D8D8D8" w:themeFill="background1" w:themeFillShade="D9"/>
            <w:vAlign w:val="center"/>
          </w:tcPr>
          <w:p w14:paraId="2A443576">
            <w:pPr>
              <w:pStyle w:val="44"/>
              <w:jc w:val="center"/>
              <w:rPr>
                <w:rFonts w:hint="eastAsia" w:ascii="宋体" w:hAnsi="宋体" w:eastAsia="宋体" w:cs="宋体"/>
                <w:b/>
                <w:bCs/>
                <w:color w:val="auto"/>
                <w:sz w:val="21"/>
                <w:szCs w:val="21"/>
                <w:highlight w:val="none"/>
                <w:lang w:val="zh-CN"/>
              </w:rPr>
            </w:pPr>
          </w:p>
        </w:tc>
        <w:tc>
          <w:tcPr>
            <w:tcW w:w="704" w:type="pct"/>
            <w:vMerge w:val="continue"/>
            <w:shd w:val="clear" w:color="auto" w:fill="D8D8D8" w:themeFill="background1" w:themeFillShade="D9"/>
            <w:vAlign w:val="center"/>
          </w:tcPr>
          <w:p w14:paraId="1F5FC0C4">
            <w:pPr>
              <w:pStyle w:val="44"/>
              <w:jc w:val="center"/>
              <w:rPr>
                <w:rFonts w:hint="eastAsia" w:ascii="宋体" w:hAnsi="宋体" w:eastAsia="宋体" w:cs="宋体"/>
                <w:b/>
                <w:bCs/>
                <w:color w:val="auto"/>
                <w:sz w:val="21"/>
                <w:szCs w:val="21"/>
                <w:highlight w:val="none"/>
                <w:lang w:val="zh-CN"/>
              </w:rPr>
            </w:pPr>
          </w:p>
        </w:tc>
        <w:tc>
          <w:tcPr>
            <w:tcW w:w="2964" w:type="pct"/>
            <w:vMerge w:val="continue"/>
            <w:shd w:val="clear" w:color="auto" w:fill="D8D8D8" w:themeFill="background1" w:themeFillShade="D9"/>
            <w:vAlign w:val="center"/>
          </w:tcPr>
          <w:p w14:paraId="46AA8EA0">
            <w:pPr>
              <w:pStyle w:val="44"/>
              <w:jc w:val="center"/>
              <w:rPr>
                <w:rFonts w:hint="eastAsia" w:ascii="宋体" w:hAnsi="宋体" w:eastAsia="宋体" w:cs="宋体"/>
                <w:b/>
                <w:bCs/>
                <w:color w:val="auto"/>
                <w:sz w:val="21"/>
                <w:szCs w:val="21"/>
                <w:highlight w:val="none"/>
                <w:lang w:val="zh-CN"/>
              </w:rPr>
            </w:pPr>
          </w:p>
        </w:tc>
        <w:tc>
          <w:tcPr>
            <w:tcW w:w="468" w:type="pct"/>
            <w:shd w:val="clear" w:color="auto" w:fill="D8D8D8" w:themeFill="background1" w:themeFillShade="D9"/>
            <w:vAlign w:val="center"/>
          </w:tcPr>
          <w:p w14:paraId="48383252">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588" w:type="pct"/>
            <w:shd w:val="clear" w:color="auto" w:fill="D8D8D8" w:themeFill="background1" w:themeFillShade="D9"/>
            <w:vAlign w:val="center"/>
          </w:tcPr>
          <w:p w14:paraId="7F59F84C">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482DAD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274" w:type="pct"/>
            <w:shd w:val="clear" w:color="auto" w:fill="auto"/>
            <w:vAlign w:val="center"/>
          </w:tcPr>
          <w:p w14:paraId="382820A1">
            <w:pPr>
              <w:pStyle w:val="44"/>
              <w:numPr>
                <w:ilvl w:val="0"/>
                <w:numId w:val="0"/>
              </w:numPr>
              <w:ind w:left="420" w:leftChars="0" w:hanging="42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704" w:type="pct"/>
            <w:vAlign w:val="center"/>
          </w:tcPr>
          <w:p w14:paraId="451C16FD">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rPr>
              <w:t>签署</w:t>
            </w:r>
          </w:p>
        </w:tc>
        <w:tc>
          <w:tcPr>
            <w:tcW w:w="2964" w:type="pct"/>
            <w:shd w:val="clear" w:color="auto" w:fill="auto"/>
            <w:vAlign w:val="center"/>
          </w:tcPr>
          <w:p w14:paraId="7DF9C999">
            <w:pPr>
              <w:pStyle w:val="44"/>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lang w:val="en-US" w:eastAsia="zh-CN"/>
              </w:rPr>
              <w:t>按磋商文件要求签署、盖章的</w:t>
            </w:r>
          </w:p>
        </w:tc>
        <w:tc>
          <w:tcPr>
            <w:tcW w:w="468" w:type="pct"/>
            <w:shd w:val="clear" w:color="auto" w:fill="auto"/>
            <w:vAlign w:val="center"/>
          </w:tcPr>
          <w:p w14:paraId="16786E29">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2584859E">
            <w:pPr>
              <w:pStyle w:val="44"/>
              <w:rPr>
                <w:rFonts w:hint="eastAsia" w:ascii="宋体" w:hAnsi="宋体" w:eastAsia="宋体" w:cs="宋体"/>
                <w:color w:val="auto"/>
                <w:sz w:val="21"/>
                <w:szCs w:val="21"/>
                <w:highlight w:val="none"/>
                <w:lang w:val="zh-CN"/>
              </w:rPr>
            </w:pPr>
          </w:p>
        </w:tc>
      </w:tr>
      <w:tr w14:paraId="0F353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274" w:type="pct"/>
            <w:shd w:val="clear" w:color="auto" w:fill="auto"/>
            <w:vAlign w:val="center"/>
          </w:tcPr>
          <w:p w14:paraId="5E880000">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704" w:type="pct"/>
            <w:shd w:val="clear" w:color="auto" w:fill="auto"/>
            <w:vAlign w:val="center"/>
          </w:tcPr>
          <w:p w14:paraId="5FAF91BF">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2964" w:type="pct"/>
            <w:shd w:val="clear" w:color="auto" w:fill="auto"/>
            <w:vAlign w:val="center"/>
          </w:tcPr>
          <w:p w14:paraId="2C183466">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lang w:val="zh-CN" w:eastAsia="zh-CN"/>
              </w:rPr>
              <w:t>满足</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eastAsia="zh-CN"/>
              </w:rPr>
              <w:t>文件中的实质性条款（或指标）要求的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468" w:type="pct"/>
            <w:shd w:val="clear" w:color="auto" w:fill="auto"/>
            <w:vAlign w:val="center"/>
          </w:tcPr>
          <w:p w14:paraId="242AB3F4">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47B46A16">
            <w:pPr>
              <w:pStyle w:val="44"/>
              <w:rPr>
                <w:rFonts w:hint="eastAsia" w:ascii="宋体" w:hAnsi="宋体" w:eastAsia="宋体" w:cs="宋体"/>
                <w:color w:val="auto"/>
                <w:sz w:val="21"/>
                <w:szCs w:val="21"/>
                <w:highlight w:val="none"/>
                <w:lang w:val="zh-CN"/>
              </w:rPr>
            </w:pPr>
          </w:p>
        </w:tc>
      </w:tr>
      <w:tr w14:paraId="503C1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274" w:type="pct"/>
            <w:shd w:val="clear" w:color="auto" w:fill="auto"/>
            <w:vAlign w:val="center"/>
          </w:tcPr>
          <w:p w14:paraId="2A67BF17">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704" w:type="pct"/>
            <w:vAlign w:val="center"/>
          </w:tcPr>
          <w:p w14:paraId="619BE462">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磋商响应性报价</w:t>
            </w:r>
          </w:p>
        </w:tc>
        <w:tc>
          <w:tcPr>
            <w:tcW w:w="2964" w:type="pct"/>
            <w:shd w:val="clear" w:color="auto" w:fill="auto"/>
            <w:vAlign w:val="center"/>
          </w:tcPr>
          <w:p w14:paraId="6D0C2D68">
            <w:pPr>
              <w:pStyle w:val="44"/>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供应商报价未超过磋商文件中规定的最高限价或者预算金额的</w:t>
            </w:r>
          </w:p>
        </w:tc>
        <w:tc>
          <w:tcPr>
            <w:tcW w:w="468" w:type="pct"/>
            <w:shd w:val="clear" w:color="auto" w:fill="auto"/>
            <w:vAlign w:val="center"/>
          </w:tcPr>
          <w:p w14:paraId="0C59FA74">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30D4DE5C">
            <w:pPr>
              <w:pStyle w:val="44"/>
              <w:rPr>
                <w:rFonts w:hint="eastAsia" w:ascii="宋体" w:hAnsi="宋体" w:eastAsia="宋体" w:cs="宋体"/>
                <w:color w:val="auto"/>
                <w:sz w:val="21"/>
                <w:szCs w:val="21"/>
                <w:highlight w:val="none"/>
                <w:lang w:val="zh-CN"/>
              </w:rPr>
            </w:pPr>
          </w:p>
        </w:tc>
      </w:tr>
      <w:tr w14:paraId="20CF5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trPr>
        <w:tc>
          <w:tcPr>
            <w:tcW w:w="274" w:type="pct"/>
            <w:shd w:val="clear" w:color="auto" w:fill="auto"/>
            <w:vAlign w:val="center"/>
          </w:tcPr>
          <w:p w14:paraId="5F4D3238">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704" w:type="pct"/>
            <w:vAlign w:val="center"/>
          </w:tcPr>
          <w:p w14:paraId="76D0F904">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2964" w:type="pct"/>
            <w:shd w:val="clear" w:color="auto" w:fill="auto"/>
            <w:vAlign w:val="center"/>
          </w:tcPr>
          <w:p w14:paraId="7134E19D">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468" w:type="pct"/>
            <w:shd w:val="clear" w:color="auto" w:fill="auto"/>
            <w:vAlign w:val="center"/>
          </w:tcPr>
          <w:p w14:paraId="0184BCF8">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1EB60CA3">
            <w:pPr>
              <w:pStyle w:val="44"/>
              <w:rPr>
                <w:rFonts w:hint="eastAsia" w:ascii="宋体" w:hAnsi="宋体" w:eastAsia="宋体" w:cs="宋体"/>
                <w:color w:val="auto"/>
                <w:sz w:val="21"/>
                <w:szCs w:val="21"/>
                <w:highlight w:val="none"/>
                <w:lang w:val="zh-CN"/>
              </w:rPr>
            </w:pPr>
          </w:p>
        </w:tc>
      </w:tr>
      <w:tr w14:paraId="081EE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2" w:hRule="atLeast"/>
        </w:trPr>
        <w:tc>
          <w:tcPr>
            <w:tcW w:w="274" w:type="pct"/>
            <w:shd w:val="clear" w:color="auto" w:fill="auto"/>
            <w:vAlign w:val="center"/>
          </w:tcPr>
          <w:p w14:paraId="16A307B2">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5</w:t>
            </w:r>
          </w:p>
        </w:tc>
        <w:tc>
          <w:tcPr>
            <w:tcW w:w="704" w:type="pct"/>
            <w:vAlign w:val="center"/>
          </w:tcPr>
          <w:p w14:paraId="619E55E6">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联合体</w:t>
            </w:r>
          </w:p>
        </w:tc>
        <w:tc>
          <w:tcPr>
            <w:tcW w:w="2964" w:type="pct"/>
            <w:shd w:val="clear" w:color="auto" w:fill="auto"/>
            <w:vAlign w:val="center"/>
          </w:tcPr>
          <w:p w14:paraId="1DBEC404">
            <w:pPr>
              <w:pStyle w:val="44"/>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磋商文件规定接受联合体磋商的，</w:t>
            </w:r>
            <w:r>
              <w:rPr>
                <w:rFonts w:hint="eastAsia" w:ascii="宋体" w:hAnsi="宋体" w:eastAsia="宋体" w:cs="宋体"/>
                <w:color w:val="auto"/>
                <w:sz w:val="21"/>
                <w:szCs w:val="21"/>
                <w:highlight w:val="none"/>
                <w:lang w:val="zh-CN" w:eastAsia="zh-CN"/>
              </w:rPr>
              <w:t>联合体供应商提交</w:t>
            </w:r>
            <w:r>
              <w:rPr>
                <w:rFonts w:hint="eastAsia" w:ascii="宋体" w:hAnsi="宋体" w:eastAsia="宋体" w:cs="宋体"/>
                <w:color w:val="auto"/>
                <w:sz w:val="21"/>
                <w:szCs w:val="21"/>
                <w:highlight w:val="none"/>
                <w:lang w:val="en-US" w:eastAsia="zh-CN"/>
              </w:rPr>
              <w:t>了</w:t>
            </w:r>
            <w:r>
              <w:rPr>
                <w:rFonts w:hint="eastAsia" w:ascii="宋体" w:hAnsi="宋体" w:eastAsia="宋体" w:cs="宋体"/>
                <w:color w:val="auto"/>
                <w:sz w:val="21"/>
                <w:szCs w:val="21"/>
                <w:highlight w:val="none"/>
                <w:lang w:val="zh-CN" w:eastAsia="zh-CN"/>
              </w:rPr>
              <w:t>各方共同签署的联合体协议【</w:t>
            </w:r>
            <w:r>
              <w:rPr>
                <w:rFonts w:hint="eastAsia" w:ascii="宋体" w:hAnsi="宋体" w:eastAsia="宋体" w:cs="宋体"/>
                <w:color w:val="auto"/>
                <w:sz w:val="21"/>
                <w:szCs w:val="21"/>
                <w:highlight w:val="none"/>
                <w:lang w:val="en-US" w:eastAsia="zh-CN"/>
              </w:rPr>
              <w:t>如允许联合体磋商的</w:t>
            </w:r>
            <w:r>
              <w:rPr>
                <w:rFonts w:hint="eastAsia" w:ascii="宋体" w:hAnsi="宋体" w:eastAsia="宋体" w:cs="宋体"/>
                <w:color w:val="auto"/>
                <w:sz w:val="21"/>
                <w:szCs w:val="21"/>
                <w:highlight w:val="none"/>
                <w:lang w:val="zh-CN" w:eastAsia="zh-CN"/>
              </w:rPr>
              <w:t>】</w:t>
            </w:r>
          </w:p>
        </w:tc>
        <w:tc>
          <w:tcPr>
            <w:tcW w:w="468" w:type="pct"/>
            <w:shd w:val="clear" w:color="auto" w:fill="auto"/>
            <w:vAlign w:val="center"/>
          </w:tcPr>
          <w:p w14:paraId="659C4200">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6EF9A6AA">
            <w:pPr>
              <w:pStyle w:val="44"/>
              <w:rPr>
                <w:rFonts w:hint="eastAsia" w:ascii="宋体" w:hAnsi="宋体" w:eastAsia="宋体" w:cs="宋体"/>
                <w:color w:val="auto"/>
                <w:sz w:val="21"/>
                <w:szCs w:val="21"/>
                <w:highlight w:val="none"/>
                <w:lang w:val="zh-CN"/>
              </w:rPr>
            </w:pPr>
          </w:p>
        </w:tc>
      </w:tr>
      <w:tr w14:paraId="55DD4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trPr>
        <w:tc>
          <w:tcPr>
            <w:tcW w:w="274" w:type="pct"/>
            <w:shd w:val="clear" w:color="auto" w:fill="auto"/>
            <w:vAlign w:val="center"/>
          </w:tcPr>
          <w:p w14:paraId="32F68312">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cs="宋体"/>
                <w:color w:val="auto"/>
                <w:kern w:val="2"/>
                <w:sz w:val="21"/>
                <w:szCs w:val="21"/>
                <w:highlight w:val="none"/>
                <w:lang w:val="en-US" w:eastAsia="zh-CN" w:bidi="ar-SA"/>
              </w:rPr>
              <w:t>6</w:t>
            </w:r>
          </w:p>
        </w:tc>
        <w:tc>
          <w:tcPr>
            <w:tcW w:w="704" w:type="pct"/>
            <w:vAlign w:val="center"/>
          </w:tcPr>
          <w:p w14:paraId="15A028E0">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供应商影响评审</w:t>
            </w:r>
          </w:p>
        </w:tc>
        <w:tc>
          <w:tcPr>
            <w:tcW w:w="2964" w:type="pct"/>
            <w:shd w:val="clear" w:color="auto" w:fill="auto"/>
            <w:vAlign w:val="center"/>
          </w:tcPr>
          <w:p w14:paraId="3B89B5A6">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zh-CN" w:eastAsia="zh-CN"/>
              </w:rPr>
              <w:t>对采购人、采购代理机构、磋商小组及其工作人员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行为的</w:t>
            </w:r>
          </w:p>
        </w:tc>
        <w:tc>
          <w:tcPr>
            <w:tcW w:w="468" w:type="pct"/>
            <w:shd w:val="clear" w:color="auto" w:fill="auto"/>
            <w:vAlign w:val="center"/>
          </w:tcPr>
          <w:p w14:paraId="7D5FB6F5">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06C40CBF">
            <w:pPr>
              <w:pStyle w:val="44"/>
              <w:rPr>
                <w:rFonts w:hint="eastAsia" w:ascii="宋体" w:hAnsi="宋体" w:eastAsia="宋体" w:cs="宋体"/>
                <w:color w:val="auto"/>
                <w:sz w:val="21"/>
                <w:szCs w:val="21"/>
                <w:highlight w:val="none"/>
                <w:lang w:val="zh-CN"/>
              </w:rPr>
            </w:pPr>
          </w:p>
        </w:tc>
      </w:tr>
      <w:tr w14:paraId="4DBE66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4" w:type="pct"/>
            <w:shd w:val="clear" w:color="auto" w:fill="auto"/>
            <w:vAlign w:val="center"/>
          </w:tcPr>
          <w:p w14:paraId="79A708D7">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7</w:t>
            </w:r>
          </w:p>
        </w:tc>
        <w:tc>
          <w:tcPr>
            <w:tcW w:w="704" w:type="pct"/>
            <w:vAlign w:val="center"/>
          </w:tcPr>
          <w:p w14:paraId="4AB4DAF4">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2964" w:type="pct"/>
            <w:shd w:val="clear" w:color="auto" w:fill="auto"/>
            <w:vAlign w:val="center"/>
          </w:tcPr>
          <w:p w14:paraId="6E2818B8">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响应文件没有采购人不能接受的附加条件的</w:t>
            </w:r>
          </w:p>
        </w:tc>
        <w:tc>
          <w:tcPr>
            <w:tcW w:w="468" w:type="pct"/>
            <w:shd w:val="clear" w:color="auto" w:fill="auto"/>
            <w:vAlign w:val="center"/>
          </w:tcPr>
          <w:p w14:paraId="77C20F70">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605AE374">
            <w:pPr>
              <w:pStyle w:val="44"/>
              <w:rPr>
                <w:rFonts w:hint="eastAsia" w:ascii="宋体" w:hAnsi="宋体" w:eastAsia="宋体" w:cs="宋体"/>
                <w:color w:val="auto"/>
                <w:sz w:val="21"/>
                <w:szCs w:val="21"/>
                <w:highlight w:val="none"/>
                <w:lang w:val="zh-CN"/>
              </w:rPr>
            </w:pPr>
          </w:p>
        </w:tc>
      </w:tr>
      <w:tr w14:paraId="5FDDB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4" w:type="pct"/>
            <w:shd w:val="clear" w:color="auto" w:fill="auto"/>
            <w:vAlign w:val="center"/>
          </w:tcPr>
          <w:p w14:paraId="42A18317">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8</w:t>
            </w:r>
          </w:p>
        </w:tc>
        <w:tc>
          <w:tcPr>
            <w:tcW w:w="704" w:type="pct"/>
            <w:vAlign w:val="center"/>
          </w:tcPr>
          <w:p w14:paraId="23CA0548">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2964" w:type="pct"/>
            <w:shd w:val="clear" w:color="auto" w:fill="auto"/>
            <w:vAlign w:val="center"/>
          </w:tcPr>
          <w:p w14:paraId="5D1C8249">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未出现</w:t>
            </w:r>
            <w:r>
              <w:rPr>
                <w:rFonts w:hint="eastAsia" w:ascii="宋体" w:hAnsi="宋体" w:eastAsia="宋体" w:cs="宋体"/>
                <w:color w:val="auto"/>
                <w:sz w:val="21"/>
                <w:szCs w:val="21"/>
                <w:highlight w:val="none"/>
                <w:lang w:val="zh-CN" w:eastAsia="zh-CN"/>
              </w:rPr>
              <w:t>法律、法规、规章以及本磋商文件规定属于</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无效的其他情形。</w:t>
            </w:r>
          </w:p>
        </w:tc>
        <w:tc>
          <w:tcPr>
            <w:tcW w:w="468" w:type="pct"/>
            <w:shd w:val="clear" w:color="auto" w:fill="auto"/>
            <w:vAlign w:val="center"/>
          </w:tcPr>
          <w:p w14:paraId="2F1922D9">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07C471B0">
            <w:pPr>
              <w:pStyle w:val="44"/>
              <w:rPr>
                <w:rFonts w:hint="eastAsia" w:ascii="宋体" w:hAnsi="宋体" w:eastAsia="宋体" w:cs="宋体"/>
                <w:color w:val="auto"/>
                <w:sz w:val="21"/>
                <w:szCs w:val="21"/>
                <w:highlight w:val="none"/>
                <w:lang w:val="zh-CN"/>
              </w:rPr>
            </w:pPr>
          </w:p>
        </w:tc>
      </w:tr>
      <w:tr w14:paraId="13EA9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4" w:type="pct"/>
            <w:shd w:val="clear" w:color="auto" w:fill="auto"/>
            <w:vAlign w:val="center"/>
          </w:tcPr>
          <w:p w14:paraId="33FE3863">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p>
        </w:tc>
        <w:tc>
          <w:tcPr>
            <w:tcW w:w="704" w:type="pct"/>
            <w:vAlign w:val="center"/>
          </w:tcPr>
          <w:p w14:paraId="4F880DC0">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p>
        </w:tc>
        <w:tc>
          <w:tcPr>
            <w:tcW w:w="2964" w:type="pct"/>
            <w:shd w:val="clear" w:color="auto" w:fill="auto"/>
            <w:vAlign w:val="center"/>
          </w:tcPr>
          <w:p w14:paraId="482F9695">
            <w:pPr>
              <w:pStyle w:val="44"/>
              <w:rPr>
                <w:rFonts w:hint="eastAsia" w:ascii="宋体" w:hAnsi="宋体" w:eastAsia="宋体" w:cs="宋体"/>
                <w:color w:val="auto"/>
                <w:sz w:val="21"/>
                <w:szCs w:val="21"/>
                <w:highlight w:val="none"/>
                <w:lang w:val="zh-CN" w:eastAsia="zh-CN"/>
              </w:rPr>
            </w:pPr>
          </w:p>
        </w:tc>
        <w:tc>
          <w:tcPr>
            <w:tcW w:w="468" w:type="pct"/>
            <w:shd w:val="clear" w:color="auto" w:fill="auto"/>
            <w:vAlign w:val="center"/>
          </w:tcPr>
          <w:p w14:paraId="23A0AD37">
            <w:pPr>
              <w:pStyle w:val="44"/>
              <w:rPr>
                <w:rFonts w:hint="eastAsia" w:ascii="宋体" w:hAnsi="宋体" w:eastAsia="宋体" w:cs="宋体"/>
                <w:color w:val="auto"/>
                <w:sz w:val="21"/>
                <w:szCs w:val="21"/>
                <w:highlight w:val="none"/>
                <w:lang w:val="zh-CN"/>
              </w:rPr>
            </w:pPr>
          </w:p>
        </w:tc>
        <w:tc>
          <w:tcPr>
            <w:tcW w:w="588" w:type="pct"/>
            <w:shd w:val="clear" w:color="auto" w:fill="auto"/>
            <w:vAlign w:val="center"/>
          </w:tcPr>
          <w:p w14:paraId="73BFC1FA">
            <w:pPr>
              <w:pStyle w:val="44"/>
              <w:rPr>
                <w:rFonts w:hint="eastAsia" w:ascii="宋体" w:hAnsi="宋体" w:eastAsia="宋体" w:cs="宋体"/>
                <w:color w:val="auto"/>
                <w:sz w:val="21"/>
                <w:szCs w:val="21"/>
                <w:highlight w:val="none"/>
                <w:lang w:val="zh-CN"/>
              </w:rPr>
            </w:pPr>
          </w:p>
        </w:tc>
      </w:tr>
    </w:tbl>
    <w:p w14:paraId="3265AAB7">
      <w:pPr>
        <w:rPr>
          <w:rFonts w:hint="eastAsia" w:ascii="宋体" w:hAnsi="宋体" w:eastAsia="宋体" w:cs="宋体"/>
          <w:b/>
          <w:bCs/>
          <w:color w:val="auto"/>
          <w:kern w:val="2"/>
          <w:sz w:val="24"/>
          <w:szCs w:val="24"/>
          <w:highlight w:val="none"/>
          <w:lang w:val="zh-CN" w:eastAsia="zh-CN" w:bidi="ar-SA"/>
        </w:rPr>
      </w:pPr>
    </w:p>
    <w:p w14:paraId="410B8B97">
      <w:pPr>
        <w:rPr>
          <w:rFonts w:hint="eastAsia" w:ascii="宋体" w:hAnsi="宋体" w:eastAsia="宋体" w:cs="宋体"/>
          <w:b/>
          <w:bCs/>
          <w:color w:val="auto"/>
          <w:kern w:val="2"/>
          <w:sz w:val="24"/>
          <w:szCs w:val="24"/>
          <w:highlight w:val="none"/>
          <w:lang w:val="zh-CN" w:eastAsia="zh-CN" w:bidi="ar-SA"/>
        </w:rPr>
      </w:pPr>
    </w:p>
    <w:p w14:paraId="5B48B109">
      <w:pPr>
        <w:rPr>
          <w:rFonts w:hint="eastAsia" w:ascii="宋体" w:hAnsi="宋体" w:eastAsia="宋体" w:cs="宋体"/>
          <w:b/>
          <w:bCs/>
          <w:color w:val="auto"/>
          <w:kern w:val="2"/>
          <w:sz w:val="24"/>
          <w:szCs w:val="24"/>
          <w:highlight w:val="none"/>
          <w:lang w:val="zh-CN" w:eastAsia="zh-CN" w:bidi="ar-SA"/>
        </w:rPr>
      </w:pPr>
    </w:p>
    <w:p w14:paraId="7EE8DAAA">
      <w:pPr>
        <w:widowControl w:val="0"/>
        <w:numPr>
          <w:ilvl w:val="0"/>
          <w:numId w:val="0"/>
        </w:numPr>
        <w:spacing w:line="360" w:lineRule="auto"/>
        <w:rPr>
          <w:rFonts w:hint="eastAsia"/>
          <w:lang w:val="zh-CN" w:eastAsia="zh-CN"/>
        </w:rPr>
      </w:pPr>
    </w:p>
    <w:p w14:paraId="7063D3FA">
      <w:pPr>
        <w:widowControl w:val="0"/>
        <w:numPr>
          <w:ilvl w:val="0"/>
          <w:numId w:val="0"/>
        </w:numPr>
        <w:spacing w:line="360" w:lineRule="auto"/>
        <w:rPr>
          <w:rFonts w:hint="eastAsia"/>
          <w:lang w:val="zh-CN" w:eastAsia="zh-CN"/>
        </w:rPr>
      </w:pPr>
    </w:p>
    <w:p w14:paraId="084190F7">
      <w:pPr>
        <w:widowControl w:val="0"/>
        <w:numPr>
          <w:ilvl w:val="0"/>
          <w:numId w:val="0"/>
        </w:numPr>
        <w:spacing w:line="360" w:lineRule="auto"/>
        <w:rPr>
          <w:rFonts w:hint="eastAsia"/>
          <w:lang w:val="zh-CN" w:eastAsia="zh-CN"/>
        </w:rPr>
      </w:pPr>
    </w:p>
    <w:p w14:paraId="7733189A">
      <w:pPr>
        <w:widowControl w:val="0"/>
        <w:numPr>
          <w:ilvl w:val="0"/>
          <w:numId w:val="0"/>
        </w:numPr>
        <w:spacing w:line="360" w:lineRule="auto"/>
        <w:rPr>
          <w:rFonts w:hint="eastAsia"/>
          <w:lang w:val="zh-CN" w:eastAsia="zh-CN"/>
        </w:rPr>
      </w:pPr>
    </w:p>
    <w:p w14:paraId="7039A672">
      <w:pPr>
        <w:widowControl w:val="0"/>
        <w:numPr>
          <w:ilvl w:val="0"/>
          <w:numId w:val="0"/>
        </w:numPr>
        <w:spacing w:line="360" w:lineRule="auto"/>
        <w:rPr>
          <w:rFonts w:hint="eastAsia"/>
          <w:lang w:val="zh-CN" w:eastAsia="zh-CN"/>
        </w:rPr>
      </w:pPr>
    </w:p>
    <w:p w14:paraId="37D448A7">
      <w:pPr>
        <w:widowControl w:val="0"/>
        <w:numPr>
          <w:ilvl w:val="0"/>
          <w:numId w:val="0"/>
        </w:numPr>
        <w:spacing w:line="360" w:lineRule="auto"/>
        <w:rPr>
          <w:rFonts w:hint="eastAsia"/>
          <w:lang w:val="zh-CN" w:eastAsia="zh-CN"/>
        </w:rPr>
      </w:pPr>
    </w:p>
    <w:p w14:paraId="4BB18C2E">
      <w:pPr>
        <w:widowControl w:val="0"/>
        <w:numPr>
          <w:ilvl w:val="0"/>
          <w:numId w:val="0"/>
        </w:numPr>
        <w:spacing w:line="360" w:lineRule="auto"/>
        <w:rPr>
          <w:rFonts w:hint="eastAsia"/>
          <w:lang w:val="zh-CN" w:eastAsia="zh-CN"/>
        </w:rPr>
      </w:pPr>
    </w:p>
    <w:p w14:paraId="50832D74">
      <w:pPr>
        <w:widowControl w:val="0"/>
        <w:numPr>
          <w:ilvl w:val="0"/>
          <w:numId w:val="0"/>
        </w:numPr>
        <w:spacing w:line="360" w:lineRule="auto"/>
        <w:rPr>
          <w:rFonts w:hint="eastAsia"/>
          <w:lang w:val="zh-CN" w:eastAsia="zh-CN"/>
        </w:rPr>
      </w:pPr>
    </w:p>
    <w:p w14:paraId="5039C59A">
      <w:pPr>
        <w:shd w:val="clear" w:color="auto" w:fill="FFFFFF"/>
        <w:tabs>
          <w:tab w:val="left" w:pos="3045"/>
        </w:tabs>
        <w:autoSpaceDE w:val="0"/>
        <w:autoSpaceDN w:val="0"/>
        <w:adjustRightInd w:val="0"/>
        <w:snapToGrid w:val="0"/>
        <w:spacing w:line="360" w:lineRule="exact"/>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ascii="宋体" w:hAnsi="宋体" w:cs="宋体"/>
          <w:b/>
          <w:color w:val="auto"/>
          <w:sz w:val="24"/>
          <w:highlight w:val="none"/>
        </w:rPr>
        <w:t>检查</w:t>
      </w:r>
      <w:r>
        <w:rPr>
          <w:rFonts w:hint="eastAsia" w:cs="宋体"/>
          <w:b/>
          <w:color w:val="auto"/>
          <w:sz w:val="24"/>
          <w:highlight w:val="none"/>
          <w:lang w:val="en-US" w:eastAsia="zh-CN"/>
        </w:rPr>
        <w:t>-</w:t>
      </w:r>
      <w:r>
        <w:rPr>
          <w:rFonts w:hint="eastAsia" w:ascii="宋体" w:hAnsi="宋体" w:cs="宋体"/>
          <w:b/>
          <w:color w:val="auto"/>
          <w:sz w:val="24"/>
          <w:highlight w:val="none"/>
        </w:rPr>
        <w:t>附表</w:t>
      </w:r>
    </w:p>
    <w:p w14:paraId="5B0DC6FD">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470" w:name="_Toc29921"/>
      <w:r>
        <w:rPr>
          <w:rFonts w:hint="eastAsia" w:ascii="宋体" w:hAnsi="宋体" w:eastAsia="宋体" w:cstheme="minorBidi"/>
          <w:b/>
          <w:bCs/>
          <w:color w:val="auto"/>
          <w:kern w:val="2"/>
          <w:sz w:val="28"/>
          <w:szCs w:val="28"/>
          <w:highlight w:val="none"/>
          <w:lang w:val="zh-CN" w:eastAsia="zh-CN" w:bidi="ar-SA"/>
        </w:rPr>
        <w:t>实质性响应一览表</w:t>
      </w:r>
      <w:bookmarkEnd w:id="470"/>
    </w:p>
    <w:p w14:paraId="24AB75D6">
      <w:pPr>
        <w:shd w:val="clear" w:color="auto" w:fill="FFFFFF"/>
        <w:tabs>
          <w:tab w:val="left" w:pos="3045"/>
        </w:tabs>
        <w:autoSpaceDE w:val="0"/>
        <w:autoSpaceDN w:val="0"/>
        <w:adjustRightInd w:val="0"/>
        <w:snapToGrid w:val="0"/>
        <w:spacing w:line="360" w:lineRule="exact"/>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（供应商须对本附表所有内容逐条响应且无负偏离，否则</w:t>
      </w:r>
      <w:r>
        <w:rPr>
          <w:rFonts w:hint="eastAsia" w:cs="宋体"/>
          <w:b/>
          <w:color w:val="auto"/>
          <w:sz w:val="24"/>
          <w:highlight w:val="none"/>
          <w:lang w:val="en-US" w:eastAsia="zh-CN"/>
        </w:rPr>
        <w:t>响应</w:t>
      </w:r>
      <w:r>
        <w:rPr>
          <w:rFonts w:hint="eastAsia" w:ascii="宋体" w:hAnsi="宋体" w:cs="宋体"/>
          <w:b/>
          <w:color w:val="auto"/>
          <w:sz w:val="24"/>
          <w:highlight w:val="none"/>
        </w:rPr>
        <w:t>无效</w:t>
      </w:r>
      <w:r>
        <w:rPr>
          <w:rFonts w:hint="eastAsia" w:ascii="宋体" w:hAnsi="宋体" w:cs="宋体"/>
          <w:b w:val="0"/>
          <w:bCs/>
          <w:color w:val="auto"/>
          <w:sz w:val="24"/>
          <w:highlight w:val="none"/>
        </w:rPr>
        <w:t>）</w:t>
      </w:r>
    </w:p>
    <w:tbl>
      <w:tblPr>
        <w:tblStyle w:val="27"/>
        <w:tblW w:w="5512" w:type="pct"/>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88"/>
        <w:gridCol w:w="1579"/>
        <w:gridCol w:w="5683"/>
        <w:gridCol w:w="726"/>
        <w:gridCol w:w="919"/>
      </w:tblGrid>
      <w:tr w14:paraId="4A5A7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4" w:hRule="atLeast"/>
        </w:trPr>
        <w:tc>
          <w:tcPr>
            <w:tcW w:w="260" w:type="pct"/>
            <w:vMerge w:val="restart"/>
            <w:shd w:val="clear" w:color="auto" w:fill="D8D8D8" w:themeFill="background1" w:themeFillShade="D9"/>
            <w:vAlign w:val="center"/>
          </w:tcPr>
          <w:p w14:paraId="1A18265C">
            <w:pPr>
              <w:pStyle w:val="44"/>
              <w:jc w:val="center"/>
              <w:rPr>
                <w:rFonts w:hint="eastAsia" w:cs="宋体"/>
                <w:b/>
                <w:bCs/>
                <w:sz w:val="21"/>
                <w:szCs w:val="21"/>
                <w:highlight w:val="none"/>
                <w:lang w:val="zh-CN"/>
              </w:rPr>
            </w:pPr>
            <w:r>
              <w:rPr>
                <w:rFonts w:hint="eastAsia" w:cs="宋体"/>
                <w:b/>
                <w:bCs/>
                <w:sz w:val="21"/>
                <w:szCs w:val="21"/>
                <w:highlight w:val="none"/>
                <w:lang w:val="zh-CN"/>
              </w:rPr>
              <w:t>序号</w:t>
            </w:r>
          </w:p>
        </w:tc>
        <w:tc>
          <w:tcPr>
            <w:tcW w:w="840" w:type="pct"/>
            <w:vMerge w:val="restart"/>
            <w:shd w:val="clear" w:color="auto" w:fill="D8D8D8" w:themeFill="background1" w:themeFillShade="D9"/>
            <w:vAlign w:val="center"/>
          </w:tcPr>
          <w:p w14:paraId="5373536E">
            <w:pPr>
              <w:pStyle w:val="44"/>
              <w:jc w:val="center"/>
              <w:rPr>
                <w:rFonts w:hint="eastAsia" w:cs="宋体"/>
                <w:b/>
                <w:bCs/>
                <w:sz w:val="21"/>
                <w:szCs w:val="21"/>
                <w:highlight w:val="none"/>
                <w:lang w:val="zh-CN"/>
              </w:rPr>
            </w:pPr>
            <w:r>
              <w:rPr>
                <w:rFonts w:hint="eastAsia" w:cs="宋体"/>
                <w:b/>
                <w:bCs/>
                <w:sz w:val="21"/>
                <w:szCs w:val="21"/>
                <w:highlight w:val="none"/>
                <w:lang w:val="zh-CN"/>
              </w:rPr>
              <w:t>审查项名称</w:t>
            </w:r>
          </w:p>
        </w:tc>
        <w:tc>
          <w:tcPr>
            <w:tcW w:w="3023" w:type="pct"/>
            <w:vMerge w:val="restart"/>
            <w:shd w:val="clear" w:color="auto" w:fill="D8D8D8" w:themeFill="background1" w:themeFillShade="D9"/>
            <w:vAlign w:val="center"/>
          </w:tcPr>
          <w:p w14:paraId="3CA90125">
            <w:pPr>
              <w:pStyle w:val="44"/>
              <w:jc w:val="center"/>
              <w:rPr>
                <w:rFonts w:hint="eastAsia" w:cs="宋体"/>
                <w:b/>
                <w:bCs/>
                <w:sz w:val="21"/>
                <w:szCs w:val="21"/>
                <w:highlight w:val="none"/>
                <w:lang w:val="zh-CN"/>
              </w:rPr>
            </w:pPr>
            <w:r>
              <w:rPr>
                <w:rFonts w:hint="eastAsia" w:cs="宋体"/>
                <w:b/>
                <w:bCs/>
                <w:sz w:val="21"/>
                <w:szCs w:val="21"/>
                <w:highlight w:val="none"/>
                <w:lang w:val="zh-CN"/>
              </w:rPr>
              <w:t>审查内容</w:t>
            </w:r>
          </w:p>
        </w:tc>
        <w:tc>
          <w:tcPr>
            <w:tcW w:w="875" w:type="pct"/>
            <w:gridSpan w:val="2"/>
            <w:shd w:val="clear" w:color="auto" w:fill="D8D8D8" w:themeFill="background1" w:themeFillShade="D9"/>
            <w:vAlign w:val="center"/>
          </w:tcPr>
          <w:p w14:paraId="6B4DBF75">
            <w:pPr>
              <w:pStyle w:val="44"/>
              <w:jc w:val="center"/>
              <w:rPr>
                <w:rFonts w:hint="eastAsia" w:cs="宋体"/>
                <w:b/>
                <w:bCs/>
                <w:sz w:val="21"/>
                <w:szCs w:val="21"/>
                <w:highlight w:val="none"/>
              </w:rPr>
            </w:pPr>
            <w:r>
              <w:rPr>
                <w:rFonts w:hint="eastAsia" w:cs="宋体"/>
                <w:b/>
                <w:bCs/>
                <w:sz w:val="21"/>
                <w:szCs w:val="21"/>
                <w:highlight w:val="none"/>
              </w:rPr>
              <w:t>审查结果</w:t>
            </w:r>
          </w:p>
        </w:tc>
      </w:tr>
      <w:tr w14:paraId="779FA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 w:hRule="atLeast"/>
        </w:trPr>
        <w:tc>
          <w:tcPr>
            <w:tcW w:w="260" w:type="pct"/>
            <w:vMerge w:val="continue"/>
            <w:shd w:val="clear" w:color="auto" w:fill="D8D8D8" w:themeFill="background1" w:themeFillShade="D9"/>
            <w:vAlign w:val="center"/>
          </w:tcPr>
          <w:p w14:paraId="4D8FC515">
            <w:pPr>
              <w:pStyle w:val="44"/>
              <w:jc w:val="center"/>
              <w:rPr>
                <w:rFonts w:hint="eastAsia" w:cs="宋体"/>
                <w:b/>
                <w:bCs/>
                <w:sz w:val="21"/>
                <w:szCs w:val="21"/>
                <w:highlight w:val="none"/>
                <w:lang w:val="zh-CN"/>
              </w:rPr>
            </w:pPr>
          </w:p>
        </w:tc>
        <w:tc>
          <w:tcPr>
            <w:tcW w:w="840" w:type="pct"/>
            <w:vMerge w:val="continue"/>
            <w:shd w:val="clear" w:color="auto" w:fill="D8D8D8" w:themeFill="background1" w:themeFillShade="D9"/>
            <w:vAlign w:val="center"/>
          </w:tcPr>
          <w:p w14:paraId="6546585C">
            <w:pPr>
              <w:pStyle w:val="44"/>
              <w:jc w:val="center"/>
              <w:rPr>
                <w:rFonts w:hint="eastAsia" w:cs="宋体"/>
                <w:b/>
                <w:bCs/>
                <w:sz w:val="21"/>
                <w:szCs w:val="21"/>
                <w:highlight w:val="none"/>
                <w:lang w:val="zh-CN"/>
              </w:rPr>
            </w:pPr>
          </w:p>
        </w:tc>
        <w:tc>
          <w:tcPr>
            <w:tcW w:w="3023" w:type="pct"/>
            <w:vMerge w:val="continue"/>
            <w:shd w:val="clear" w:color="auto" w:fill="D8D8D8" w:themeFill="background1" w:themeFillShade="D9"/>
            <w:vAlign w:val="center"/>
          </w:tcPr>
          <w:p w14:paraId="3476831B">
            <w:pPr>
              <w:pStyle w:val="44"/>
              <w:jc w:val="center"/>
              <w:rPr>
                <w:rFonts w:hint="eastAsia" w:cs="宋体"/>
                <w:b/>
                <w:bCs/>
                <w:sz w:val="21"/>
                <w:szCs w:val="21"/>
                <w:highlight w:val="none"/>
                <w:lang w:val="zh-CN"/>
              </w:rPr>
            </w:pPr>
          </w:p>
        </w:tc>
        <w:tc>
          <w:tcPr>
            <w:tcW w:w="386" w:type="pct"/>
            <w:shd w:val="clear" w:color="auto" w:fill="D8D8D8" w:themeFill="background1" w:themeFillShade="D9"/>
            <w:vAlign w:val="center"/>
          </w:tcPr>
          <w:p w14:paraId="5F695940">
            <w:pPr>
              <w:pStyle w:val="44"/>
              <w:jc w:val="center"/>
              <w:rPr>
                <w:rFonts w:hint="eastAsia" w:cs="宋体"/>
                <w:b/>
                <w:bCs/>
                <w:sz w:val="21"/>
                <w:szCs w:val="21"/>
                <w:highlight w:val="none"/>
              </w:rPr>
            </w:pPr>
            <w:r>
              <w:rPr>
                <w:rFonts w:hint="eastAsia" w:cs="宋体"/>
                <w:b/>
                <w:bCs/>
                <w:sz w:val="21"/>
                <w:szCs w:val="21"/>
                <w:highlight w:val="none"/>
              </w:rPr>
              <w:t>符合</w:t>
            </w:r>
          </w:p>
        </w:tc>
        <w:tc>
          <w:tcPr>
            <w:tcW w:w="489" w:type="pct"/>
            <w:shd w:val="clear" w:color="auto" w:fill="D8D8D8" w:themeFill="background1" w:themeFillShade="D9"/>
            <w:vAlign w:val="center"/>
          </w:tcPr>
          <w:p w14:paraId="6066E1C2">
            <w:pPr>
              <w:pStyle w:val="44"/>
              <w:jc w:val="center"/>
              <w:rPr>
                <w:rFonts w:hint="eastAsia" w:cs="宋体"/>
                <w:b/>
                <w:bCs/>
                <w:sz w:val="21"/>
                <w:szCs w:val="21"/>
                <w:highlight w:val="none"/>
              </w:rPr>
            </w:pPr>
            <w:r>
              <w:rPr>
                <w:rFonts w:hint="eastAsia" w:cs="宋体"/>
                <w:b/>
                <w:bCs/>
                <w:sz w:val="21"/>
                <w:szCs w:val="21"/>
                <w:highlight w:val="none"/>
              </w:rPr>
              <w:t>不符合</w:t>
            </w:r>
          </w:p>
        </w:tc>
      </w:tr>
      <w:tr w14:paraId="57841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4" w:hRule="atLeast"/>
        </w:trPr>
        <w:tc>
          <w:tcPr>
            <w:tcW w:w="260" w:type="pct"/>
            <w:shd w:val="clear" w:color="auto" w:fill="auto"/>
            <w:vAlign w:val="center"/>
          </w:tcPr>
          <w:p w14:paraId="2376CA8B">
            <w:pPr>
              <w:pStyle w:val="44"/>
              <w:ind w:left="420" w:hanging="420"/>
              <w:jc w:val="center"/>
              <w:rPr>
                <w:rFonts w:hint="eastAsia" w:cs="宋体"/>
                <w:sz w:val="21"/>
                <w:szCs w:val="21"/>
                <w:highlight w:val="none"/>
                <w:lang w:val="zh-CN"/>
              </w:rPr>
            </w:pPr>
            <w:r>
              <w:rPr>
                <w:rFonts w:hint="eastAsia" w:cs="宋体"/>
                <w:sz w:val="21"/>
                <w:szCs w:val="21"/>
                <w:highlight w:val="none"/>
                <w:lang w:val="zh-CN"/>
              </w:rPr>
              <w:t>1</w:t>
            </w:r>
          </w:p>
        </w:tc>
        <w:tc>
          <w:tcPr>
            <w:tcW w:w="840" w:type="pct"/>
            <w:vAlign w:val="center"/>
          </w:tcPr>
          <w:p w14:paraId="6337A363">
            <w:pPr>
              <w:pStyle w:val="44"/>
              <w:rPr>
                <w:rFonts w:hint="eastAsia" w:cs="宋体"/>
                <w:sz w:val="21"/>
                <w:szCs w:val="21"/>
                <w:highlight w:val="none"/>
                <w:lang w:val="zh-CN"/>
              </w:rPr>
            </w:pPr>
            <w:r>
              <w:rPr>
                <w:rFonts w:hint="eastAsia" w:cs="宋体"/>
                <w:sz w:val="21"/>
                <w:szCs w:val="21"/>
                <w:highlight w:val="none"/>
                <w:lang w:val="zh-CN"/>
              </w:rPr>
              <w:t>投标文件</w:t>
            </w:r>
            <w:r>
              <w:rPr>
                <w:rFonts w:hint="eastAsia" w:cs="宋体"/>
                <w:sz w:val="21"/>
                <w:szCs w:val="21"/>
                <w:highlight w:val="none"/>
              </w:rPr>
              <w:t>签署</w:t>
            </w:r>
          </w:p>
        </w:tc>
        <w:tc>
          <w:tcPr>
            <w:tcW w:w="3023" w:type="pct"/>
            <w:shd w:val="clear" w:color="auto" w:fill="auto"/>
            <w:vAlign w:val="center"/>
          </w:tcPr>
          <w:p w14:paraId="42B6090E">
            <w:pPr>
              <w:pStyle w:val="44"/>
              <w:rPr>
                <w:rFonts w:hint="eastAsia" w:cs="宋体"/>
                <w:sz w:val="21"/>
                <w:szCs w:val="21"/>
                <w:highlight w:val="none"/>
                <w:lang w:val="zh-CN"/>
              </w:rPr>
            </w:pPr>
            <w:r>
              <w:rPr>
                <w:rFonts w:hint="eastAsia" w:cs="宋体"/>
                <w:sz w:val="21"/>
                <w:szCs w:val="21"/>
                <w:highlight w:val="none"/>
              </w:rPr>
              <w:t>投标文件按招标文件要求签署、盖章的</w:t>
            </w:r>
          </w:p>
        </w:tc>
        <w:tc>
          <w:tcPr>
            <w:tcW w:w="386" w:type="pct"/>
            <w:shd w:val="clear" w:color="auto" w:fill="auto"/>
            <w:vAlign w:val="center"/>
          </w:tcPr>
          <w:p w14:paraId="5501243E">
            <w:pPr>
              <w:pStyle w:val="44"/>
              <w:rPr>
                <w:rFonts w:hint="eastAsia" w:cs="宋体"/>
                <w:sz w:val="21"/>
                <w:szCs w:val="21"/>
                <w:highlight w:val="none"/>
                <w:lang w:val="zh-CN"/>
              </w:rPr>
            </w:pPr>
          </w:p>
        </w:tc>
        <w:tc>
          <w:tcPr>
            <w:tcW w:w="489" w:type="pct"/>
            <w:shd w:val="clear" w:color="auto" w:fill="auto"/>
            <w:vAlign w:val="center"/>
          </w:tcPr>
          <w:p w14:paraId="5CA8AF99">
            <w:pPr>
              <w:pStyle w:val="44"/>
              <w:rPr>
                <w:rFonts w:hint="eastAsia" w:cs="宋体"/>
                <w:sz w:val="21"/>
                <w:szCs w:val="21"/>
                <w:highlight w:val="none"/>
                <w:lang w:val="zh-CN"/>
              </w:rPr>
            </w:pPr>
          </w:p>
        </w:tc>
      </w:tr>
      <w:tr w14:paraId="3D5AA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4" w:hRule="atLeast"/>
        </w:trPr>
        <w:tc>
          <w:tcPr>
            <w:tcW w:w="260" w:type="pct"/>
            <w:shd w:val="clear" w:color="auto" w:fill="auto"/>
            <w:vAlign w:val="center"/>
          </w:tcPr>
          <w:p w14:paraId="313F6E1E">
            <w:pPr>
              <w:pStyle w:val="44"/>
              <w:ind w:left="420" w:hanging="420"/>
              <w:jc w:val="center"/>
              <w:rPr>
                <w:rFonts w:hint="eastAsia" w:cs="宋体"/>
                <w:sz w:val="21"/>
                <w:szCs w:val="21"/>
                <w:highlight w:val="none"/>
                <w:lang w:val="zh-CN"/>
              </w:rPr>
            </w:pPr>
            <w:r>
              <w:rPr>
                <w:rFonts w:hint="eastAsia" w:cs="宋体"/>
                <w:sz w:val="21"/>
                <w:szCs w:val="21"/>
                <w:highlight w:val="none"/>
                <w:lang w:val="zh-CN"/>
              </w:rPr>
              <w:t>2</w:t>
            </w:r>
          </w:p>
        </w:tc>
        <w:tc>
          <w:tcPr>
            <w:tcW w:w="840" w:type="pct"/>
            <w:shd w:val="clear" w:color="auto" w:fill="auto"/>
            <w:vAlign w:val="center"/>
          </w:tcPr>
          <w:p w14:paraId="4D197CB1">
            <w:pPr>
              <w:pStyle w:val="44"/>
              <w:rPr>
                <w:rFonts w:hint="eastAsia" w:cs="宋体"/>
                <w:sz w:val="21"/>
                <w:szCs w:val="21"/>
                <w:highlight w:val="none"/>
                <w:lang w:val="zh-CN"/>
              </w:rPr>
            </w:pPr>
            <w:r>
              <w:rPr>
                <w:rFonts w:hint="eastAsia" w:cs="宋体"/>
                <w:sz w:val="21"/>
                <w:szCs w:val="21"/>
                <w:highlight w:val="none"/>
                <w:lang w:val="zh-CN"/>
              </w:rPr>
              <w:t>实质性要求</w:t>
            </w:r>
          </w:p>
        </w:tc>
        <w:tc>
          <w:tcPr>
            <w:tcW w:w="3023" w:type="pct"/>
            <w:shd w:val="clear" w:color="auto" w:fill="auto"/>
            <w:vAlign w:val="center"/>
          </w:tcPr>
          <w:p w14:paraId="6BE6E895">
            <w:pPr>
              <w:pStyle w:val="44"/>
              <w:rPr>
                <w:rFonts w:hint="eastAsia" w:cs="宋体"/>
                <w:sz w:val="21"/>
                <w:szCs w:val="21"/>
                <w:highlight w:val="none"/>
                <w:lang w:val="zh-CN"/>
              </w:rPr>
            </w:pPr>
            <w:r>
              <w:rPr>
                <w:rFonts w:hint="eastAsia" w:cs="宋体"/>
                <w:sz w:val="21"/>
                <w:szCs w:val="21"/>
                <w:highlight w:val="none"/>
              </w:rPr>
              <w:t>投标</w:t>
            </w:r>
            <w:r>
              <w:rPr>
                <w:rFonts w:hint="eastAsia" w:cs="宋体"/>
                <w:sz w:val="21"/>
                <w:szCs w:val="21"/>
                <w:highlight w:val="none"/>
                <w:lang w:val="zh-CN"/>
              </w:rPr>
              <w:t>文件满足</w:t>
            </w:r>
            <w:r>
              <w:rPr>
                <w:rFonts w:hint="eastAsia" w:cs="宋体"/>
                <w:sz w:val="21"/>
                <w:szCs w:val="21"/>
                <w:highlight w:val="none"/>
              </w:rPr>
              <w:t>招标</w:t>
            </w:r>
            <w:r>
              <w:rPr>
                <w:rFonts w:hint="eastAsia" w:cs="宋体"/>
                <w:sz w:val="21"/>
                <w:szCs w:val="21"/>
                <w:highlight w:val="none"/>
                <w:lang w:val="zh-CN"/>
              </w:rPr>
              <w:t>文件中标注“★”号的实质性条款（或指标）要求的</w:t>
            </w:r>
            <w:r>
              <w:rPr>
                <w:rFonts w:hint="eastAsia" w:cs="宋体"/>
                <w:sz w:val="21"/>
                <w:szCs w:val="21"/>
                <w:highlight w:val="none"/>
              </w:rPr>
              <w:t>，具体详见</w:t>
            </w:r>
            <w:r>
              <w:rPr>
                <w:rFonts w:hint="eastAsia" w:cs="宋体"/>
                <w:sz w:val="21"/>
                <w:szCs w:val="21"/>
                <w:highlight w:val="none"/>
                <w:lang w:val="zh-CN"/>
              </w:rPr>
              <w:t>“实质性响应一览表”</w:t>
            </w:r>
          </w:p>
        </w:tc>
        <w:tc>
          <w:tcPr>
            <w:tcW w:w="386" w:type="pct"/>
            <w:shd w:val="clear" w:color="auto" w:fill="auto"/>
            <w:vAlign w:val="center"/>
          </w:tcPr>
          <w:p w14:paraId="2A1EC97F">
            <w:pPr>
              <w:pStyle w:val="44"/>
              <w:rPr>
                <w:rFonts w:hint="eastAsia" w:cs="宋体"/>
                <w:sz w:val="21"/>
                <w:szCs w:val="21"/>
                <w:highlight w:val="none"/>
                <w:lang w:val="zh-CN"/>
              </w:rPr>
            </w:pPr>
          </w:p>
        </w:tc>
        <w:tc>
          <w:tcPr>
            <w:tcW w:w="489" w:type="pct"/>
            <w:shd w:val="clear" w:color="auto" w:fill="auto"/>
            <w:vAlign w:val="center"/>
          </w:tcPr>
          <w:p w14:paraId="72379FFC">
            <w:pPr>
              <w:pStyle w:val="44"/>
              <w:rPr>
                <w:rFonts w:hint="eastAsia" w:cs="宋体"/>
                <w:sz w:val="21"/>
                <w:szCs w:val="21"/>
                <w:highlight w:val="none"/>
                <w:lang w:val="zh-CN"/>
              </w:rPr>
            </w:pPr>
          </w:p>
        </w:tc>
      </w:tr>
      <w:tr w14:paraId="14E60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2" w:hRule="atLeast"/>
        </w:trPr>
        <w:tc>
          <w:tcPr>
            <w:tcW w:w="260" w:type="pct"/>
            <w:shd w:val="clear" w:color="auto" w:fill="auto"/>
            <w:vAlign w:val="center"/>
          </w:tcPr>
          <w:p w14:paraId="5C5A466A">
            <w:pPr>
              <w:pStyle w:val="44"/>
              <w:ind w:left="420" w:hanging="420"/>
              <w:jc w:val="center"/>
              <w:rPr>
                <w:rFonts w:hint="eastAsia" w:cs="宋体"/>
                <w:sz w:val="21"/>
                <w:szCs w:val="21"/>
                <w:highlight w:val="none"/>
                <w:lang w:val="zh-CN"/>
              </w:rPr>
            </w:pPr>
            <w:r>
              <w:rPr>
                <w:rFonts w:hint="eastAsia" w:cs="宋体"/>
                <w:sz w:val="21"/>
                <w:szCs w:val="21"/>
                <w:highlight w:val="none"/>
                <w:lang w:val="zh-CN"/>
              </w:rPr>
              <w:t>3</w:t>
            </w:r>
          </w:p>
        </w:tc>
        <w:tc>
          <w:tcPr>
            <w:tcW w:w="840" w:type="pct"/>
            <w:vAlign w:val="center"/>
          </w:tcPr>
          <w:p w14:paraId="634C6749">
            <w:pPr>
              <w:pStyle w:val="44"/>
              <w:rPr>
                <w:rFonts w:hint="eastAsia" w:cs="宋体"/>
                <w:sz w:val="21"/>
                <w:szCs w:val="21"/>
                <w:highlight w:val="none"/>
                <w:lang w:val="zh-CN"/>
              </w:rPr>
            </w:pPr>
            <w:r>
              <w:rPr>
                <w:rFonts w:hint="eastAsia" w:cs="宋体"/>
                <w:sz w:val="21"/>
                <w:szCs w:val="21"/>
                <w:highlight w:val="none"/>
                <w:lang w:val="zh-CN"/>
              </w:rPr>
              <w:t>投标报价</w:t>
            </w:r>
          </w:p>
        </w:tc>
        <w:tc>
          <w:tcPr>
            <w:tcW w:w="3023" w:type="pct"/>
            <w:shd w:val="clear" w:color="auto" w:fill="auto"/>
            <w:vAlign w:val="center"/>
          </w:tcPr>
          <w:p w14:paraId="44DBF76D">
            <w:pPr>
              <w:pStyle w:val="44"/>
              <w:rPr>
                <w:rFonts w:hint="eastAsia" w:cs="宋体"/>
                <w:sz w:val="21"/>
                <w:szCs w:val="21"/>
                <w:highlight w:val="none"/>
              </w:rPr>
            </w:pPr>
            <w:r>
              <w:rPr>
                <w:rFonts w:hint="eastAsia" w:cs="宋体"/>
                <w:sz w:val="21"/>
                <w:szCs w:val="21"/>
                <w:highlight w:val="none"/>
              </w:rPr>
              <w:t>投标人报价未超过招标文件中规定的最高限价或者预算金额的</w:t>
            </w:r>
          </w:p>
        </w:tc>
        <w:tc>
          <w:tcPr>
            <w:tcW w:w="386" w:type="pct"/>
            <w:shd w:val="clear" w:color="auto" w:fill="auto"/>
            <w:vAlign w:val="center"/>
          </w:tcPr>
          <w:p w14:paraId="0ABD4BED">
            <w:pPr>
              <w:pStyle w:val="44"/>
              <w:rPr>
                <w:rFonts w:hint="eastAsia" w:cs="宋体"/>
                <w:sz w:val="21"/>
                <w:szCs w:val="21"/>
                <w:highlight w:val="none"/>
                <w:lang w:val="zh-CN"/>
              </w:rPr>
            </w:pPr>
          </w:p>
        </w:tc>
        <w:tc>
          <w:tcPr>
            <w:tcW w:w="489" w:type="pct"/>
            <w:shd w:val="clear" w:color="auto" w:fill="auto"/>
            <w:vAlign w:val="center"/>
          </w:tcPr>
          <w:p w14:paraId="4B758EC6">
            <w:pPr>
              <w:pStyle w:val="44"/>
              <w:rPr>
                <w:rFonts w:hint="eastAsia" w:cs="宋体"/>
                <w:sz w:val="21"/>
                <w:szCs w:val="21"/>
                <w:highlight w:val="none"/>
                <w:lang w:val="zh-CN"/>
              </w:rPr>
            </w:pPr>
          </w:p>
        </w:tc>
      </w:tr>
      <w:tr w14:paraId="45347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6" w:hRule="atLeast"/>
        </w:trPr>
        <w:tc>
          <w:tcPr>
            <w:tcW w:w="260" w:type="pct"/>
            <w:shd w:val="clear" w:color="auto" w:fill="auto"/>
            <w:vAlign w:val="center"/>
          </w:tcPr>
          <w:p w14:paraId="22B2DEB8">
            <w:pPr>
              <w:pStyle w:val="44"/>
              <w:ind w:left="420" w:hanging="420"/>
              <w:jc w:val="center"/>
              <w:rPr>
                <w:rFonts w:hint="eastAsia" w:cs="宋体"/>
                <w:sz w:val="21"/>
                <w:szCs w:val="21"/>
                <w:highlight w:val="none"/>
                <w:lang w:val="zh-CN"/>
              </w:rPr>
            </w:pPr>
            <w:r>
              <w:rPr>
                <w:rFonts w:hint="eastAsia" w:cs="宋体"/>
                <w:sz w:val="21"/>
                <w:szCs w:val="21"/>
                <w:highlight w:val="none"/>
                <w:lang w:val="zh-CN"/>
              </w:rPr>
              <w:t>4</w:t>
            </w:r>
          </w:p>
        </w:tc>
        <w:tc>
          <w:tcPr>
            <w:tcW w:w="840" w:type="pct"/>
            <w:vAlign w:val="center"/>
          </w:tcPr>
          <w:p w14:paraId="7A6E2BC9">
            <w:pPr>
              <w:pStyle w:val="44"/>
              <w:rPr>
                <w:rFonts w:hint="eastAsia" w:cs="宋体"/>
                <w:sz w:val="21"/>
                <w:szCs w:val="21"/>
                <w:highlight w:val="none"/>
              </w:rPr>
            </w:pPr>
            <w:r>
              <w:rPr>
                <w:rFonts w:hint="eastAsia" w:cs="宋体"/>
                <w:sz w:val="21"/>
                <w:szCs w:val="21"/>
                <w:highlight w:val="none"/>
              </w:rPr>
              <w:t>虚假材料</w:t>
            </w:r>
          </w:p>
        </w:tc>
        <w:tc>
          <w:tcPr>
            <w:tcW w:w="3023" w:type="pct"/>
            <w:shd w:val="clear" w:color="auto" w:fill="auto"/>
            <w:vAlign w:val="center"/>
          </w:tcPr>
          <w:p w14:paraId="12DED9E2">
            <w:pPr>
              <w:pStyle w:val="44"/>
              <w:rPr>
                <w:rFonts w:hint="eastAsia" w:cs="宋体"/>
                <w:sz w:val="21"/>
                <w:szCs w:val="21"/>
                <w:highlight w:val="none"/>
                <w:lang w:val="zh-CN"/>
              </w:rPr>
            </w:pPr>
            <w:r>
              <w:rPr>
                <w:rFonts w:hint="eastAsia" w:cs="宋体"/>
                <w:sz w:val="21"/>
                <w:szCs w:val="21"/>
                <w:highlight w:val="none"/>
              </w:rPr>
              <w:t>投标</w:t>
            </w:r>
            <w:r>
              <w:rPr>
                <w:rFonts w:hint="eastAsia" w:cs="宋体"/>
                <w:sz w:val="21"/>
                <w:szCs w:val="21"/>
                <w:highlight w:val="none"/>
                <w:lang w:val="zh-CN"/>
              </w:rPr>
              <w:t>文件</w:t>
            </w:r>
            <w:r>
              <w:rPr>
                <w:rFonts w:hint="eastAsia" w:cs="宋体"/>
                <w:sz w:val="21"/>
                <w:szCs w:val="21"/>
                <w:highlight w:val="none"/>
              </w:rPr>
              <w:t>未</w:t>
            </w:r>
            <w:r>
              <w:rPr>
                <w:rFonts w:hint="eastAsia" w:cs="宋体"/>
                <w:sz w:val="21"/>
                <w:szCs w:val="21"/>
                <w:highlight w:val="none"/>
                <w:lang w:val="zh-CN"/>
              </w:rPr>
              <w:t>提供虚假材料的</w:t>
            </w:r>
          </w:p>
        </w:tc>
        <w:tc>
          <w:tcPr>
            <w:tcW w:w="386" w:type="pct"/>
            <w:shd w:val="clear" w:color="auto" w:fill="auto"/>
            <w:vAlign w:val="center"/>
          </w:tcPr>
          <w:p w14:paraId="6AD42321">
            <w:pPr>
              <w:pStyle w:val="44"/>
              <w:rPr>
                <w:rFonts w:hint="eastAsia" w:cs="宋体"/>
                <w:sz w:val="21"/>
                <w:szCs w:val="21"/>
                <w:highlight w:val="none"/>
                <w:lang w:val="zh-CN"/>
              </w:rPr>
            </w:pPr>
          </w:p>
        </w:tc>
        <w:tc>
          <w:tcPr>
            <w:tcW w:w="489" w:type="pct"/>
            <w:shd w:val="clear" w:color="auto" w:fill="auto"/>
            <w:vAlign w:val="center"/>
          </w:tcPr>
          <w:p w14:paraId="73799C7D">
            <w:pPr>
              <w:pStyle w:val="44"/>
              <w:rPr>
                <w:rFonts w:hint="eastAsia" w:cs="宋体"/>
                <w:sz w:val="21"/>
                <w:szCs w:val="21"/>
                <w:highlight w:val="none"/>
                <w:lang w:val="zh-CN"/>
              </w:rPr>
            </w:pPr>
          </w:p>
        </w:tc>
      </w:tr>
      <w:tr w14:paraId="31D65A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trPr>
        <w:tc>
          <w:tcPr>
            <w:tcW w:w="260" w:type="pct"/>
            <w:shd w:val="clear" w:color="auto" w:fill="auto"/>
            <w:vAlign w:val="center"/>
          </w:tcPr>
          <w:p w14:paraId="5CCD34E3">
            <w:pPr>
              <w:pStyle w:val="44"/>
              <w:ind w:left="420" w:hanging="420"/>
              <w:jc w:val="center"/>
              <w:rPr>
                <w:rFonts w:hint="eastAsia" w:cs="宋体"/>
                <w:sz w:val="21"/>
                <w:szCs w:val="21"/>
                <w:highlight w:val="none"/>
                <w:lang w:val="zh-CN"/>
              </w:rPr>
            </w:pPr>
            <w:r>
              <w:rPr>
                <w:rFonts w:hint="eastAsia" w:cs="宋体"/>
                <w:sz w:val="21"/>
                <w:szCs w:val="21"/>
                <w:highlight w:val="none"/>
                <w:lang w:val="zh-CN"/>
              </w:rPr>
              <w:t>5</w:t>
            </w:r>
          </w:p>
        </w:tc>
        <w:tc>
          <w:tcPr>
            <w:tcW w:w="840" w:type="pct"/>
            <w:vAlign w:val="center"/>
          </w:tcPr>
          <w:p w14:paraId="7EADAFC0">
            <w:pPr>
              <w:pStyle w:val="44"/>
              <w:rPr>
                <w:rFonts w:hint="eastAsia" w:cs="宋体"/>
                <w:sz w:val="21"/>
                <w:szCs w:val="21"/>
                <w:highlight w:val="none"/>
              </w:rPr>
            </w:pPr>
            <w:r>
              <w:rPr>
                <w:rFonts w:hint="eastAsia" w:cs="宋体"/>
                <w:sz w:val="21"/>
                <w:szCs w:val="21"/>
                <w:highlight w:val="none"/>
              </w:rPr>
              <w:t>联合体</w:t>
            </w:r>
          </w:p>
        </w:tc>
        <w:tc>
          <w:tcPr>
            <w:tcW w:w="3023" w:type="pct"/>
            <w:shd w:val="clear" w:color="auto" w:fill="auto"/>
            <w:vAlign w:val="center"/>
          </w:tcPr>
          <w:p w14:paraId="4C42551C">
            <w:pPr>
              <w:pStyle w:val="44"/>
              <w:rPr>
                <w:rFonts w:hint="eastAsia" w:cs="宋体"/>
                <w:sz w:val="21"/>
                <w:szCs w:val="21"/>
                <w:highlight w:val="none"/>
              </w:rPr>
            </w:pPr>
            <w:r>
              <w:rPr>
                <w:rFonts w:hint="eastAsia" w:cs="宋体"/>
                <w:sz w:val="21"/>
                <w:szCs w:val="21"/>
                <w:highlight w:val="none"/>
                <w:lang w:val="zh-CN"/>
              </w:rPr>
              <w:t>联合体的供应商提交</w:t>
            </w:r>
            <w:r>
              <w:rPr>
                <w:rFonts w:hint="eastAsia" w:cs="宋体"/>
                <w:sz w:val="21"/>
                <w:szCs w:val="21"/>
                <w:highlight w:val="none"/>
              </w:rPr>
              <w:t>了</w:t>
            </w:r>
            <w:r>
              <w:rPr>
                <w:rFonts w:hint="eastAsia" w:cs="宋体"/>
                <w:sz w:val="21"/>
                <w:szCs w:val="21"/>
                <w:highlight w:val="none"/>
                <w:lang w:val="zh-CN"/>
              </w:rPr>
              <w:t>各方共同签署的联合体协议的【</w:t>
            </w:r>
            <w:r>
              <w:rPr>
                <w:rFonts w:hint="eastAsia" w:cs="宋体"/>
                <w:sz w:val="21"/>
                <w:szCs w:val="21"/>
                <w:highlight w:val="none"/>
              </w:rPr>
              <w:t>如允许联合体投标的</w:t>
            </w:r>
            <w:r>
              <w:rPr>
                <w:rFonts w:hint="eastAsia" w:cs="宋体"/>
                <w:sz w:val="21"/>
                <w:szCs w:val="21"/>
                <w:highlight w:val="none"/>
                <w:lang w:val="zh-CN"/>
              </w:rPr>
              <w:t>】</w:t>
            </w:r>
          </w:p>
        </w:tc>
        <w:tc>
          <w:tcPr>
            <w:tcW w:w="386" w:type="pct"/>
            <w:shd w:val="clear" w:color="auto" w:fill="auto"/>
            <w:vAlign w:val="center"/>
          </w:tcPr>
          <w:p w14:paraId="6D9F455E">
            <w:pPr>
              <w:pStyle w:val="44"/>
              <w:rPr>
                <w:rFonts w:hint="eastAsia" w:cs="宋体"/>
                <w:sz w:val="21"/>
                <w:szCs w:val="21"/>
                <w:highlight w:val="none"/>
                <w:lang w:val="zh-CN"/>
              </w:rPr>
            </w:pPr>
          </w:p>
        </w:tc>
        <w:tc>
          <w:tcPr>
            <w:tcW w:w="489" w:type="pct"/>
            <w:shd w:val="clear" w:color="auto" w:fill="auto"/>
            <w:vAlign w:val="center"/>
          </w:tcPr>
          <w:p w14:paraId="3C219401">
            <w:pPr>
              <w:pStyle w:val="44"/>
              <w:rPr>
                <w:rFonts w:hint="eastAsia" w:cs="宋体"/>
                <w:sz w:val="21"/>
                <w:szCs w:val="21"/>
                <w:highlight w:val="none"/>
                <w:lang w:val="zh-CN"/>
              </w:rPr>
            </w:pPr>
          </w:p>
        </w:tc>
      </w:tr>
      <w:tr w14:paraId="526EE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2" w:hRule="atLeast"/>
        </w:trPr>
        <w:tc>
          <w:tcPr>
            <w:tcW w:w="260" w:type="pct"/>
            <w:shd w:val="clear" w:color="auto" w:fill="auto"/>
            <w:vAlign w:val="center"/>
          </w:tcPr>
          <w:p w14:paraId="5570911D">
            <w:pPr>
              <w:pStyle w:val="44"/>
              <w:ind w:left="420" w:hanging="420"/>
              <w:jc w:val="center"/>
              <w:rPr>
                <w:rFonts w:hint="eastAsia" w:eastAsia="宋体" w:cs="宋体"/>
                <w:sz w:val="21"/>
                <w:szCs w:val="21"/>
                <w:highlight w:val="none"/>
                <w:lang w:val="zh-CN" w:eastAsia="zh-CN"/>
              </w:rPr>
            </w:pPr>
            <w:r>
              <w:rPr>
                <w:rFonts w:hint="eastAsia" w:cs="宋体"/>
                <w:sz w:val="21"/>
                <w:szCs w:val="21"/>
                <w:highlight w:val="none"/>
                <w:lang w:val="en-US" w:eastAsia="zh-CN"/>
              </w:rPr>
              <w:t>6</w:t>
            </w:r>
          </w:p>
        </w:tc>
        <w:tc>
          <w:tcPr>
            <w:tcW w:w="840" w:type="pct"/>
            <w:vAlign w:val="center"/>
          </w:tcPr>
          <w:p w14:paraId="1811319F">
            <w:pPr>
              <w:pStyle w:val="44"/>
              <w:rPr>
                <w:rFonts w:hint="eastAsia" w:cs="宋体"/>
                <w:sz w:val="21"/>
                <w:szCs w:val="21"/>
                <w:highlight w:val="none"/>
              </w:rPr>
            </w:pPr>
            <w:r>
              <w:rPr>
                <w:rFonts w:hint="eastAsia" w:cs="宋体"/>
                <w:sz w:val="21"/>
                <w:szCs w:val="21"/>
                <w:highlight w:val="none"/>
              </w:rPr>
              <w:t>投标人影响评标</w:t>
            </w:r>
          </w:p>
        </w:tc>
        <w:tc>
          <w:tcPr>
            <w:tcW w:w="3023" w:type="pct"/>
            <w:shd w:val="clear" w:color="auto" w:fill="auto"/>
            <w:vAlign w:val="center"/>
          </w:tcPr>
          <w:p w14:paraId="204E5CA7">
            <w:pPr>
              <w:pStyle w:val="44"/>
              <w:rPr>
                <w:rFonts w:hint="eastAsia" w:cs="宋体"/>
                <w:sz w:val="21"/>
                <w:szCs w:val="21"/>
                <w:highlight w:val="none"/>
              </w:rPr>
            </w:pPr>
            <w:r>
              <w:rPr>
                <w:rFonts w:hint="eastAsia" w:cs="宋体"/>
                <w:sz w:val="21"/>
                <w:szCs w:val="21"/>
                <w:highlight w:val="none"/>
              </w:rPr>
              <w:t>投标人</w:t>
            </w:r>
            <w:r>
              <w:rPr>
                <w:rFonts w:hint="eastAsia" w:cs="宋体"/>
                <w:sz w:val="21"/>
                <w:szCs w:val="21"/>
                <w:highlight w:val="none"/>
                <w:lang w:val="zh-CN"/>
              </w:rPr>
              <w:t>对采购人、采购代理机构、评标委员会及其工作人员</w:t>
            </w:r>
            <w:r>
              <w:rPr>
                <w:rFonts w:hint="eastAsia" w:cs="宋体"/>
                <w:sz w:val="21"/>
                <w:szCs w:val="21"/>
                <w:highlight w:val="none"/>
              </w:rPr>
              <w:t>未</w:t>
            </w:r>
            <w:r>
              <w:rPr>
                <w:rFonts w:hint="eastAsia" w:cs="宋体"/>
                <w:sz w:val="21"/>
                <w:szCs w:val="21"/>
                <w:highlight w:val="none"/>
                <w:lang w:val="zh-CN"/>
              </w:rPr>
              <w:t>施加影响,</w:t>
            </w:r>
            <w:r>
              <w:rPr>
                <w:rFonts w:hint="eastAsia" w:cs="宋体"/>
                <w:sz w:val="21"/>
                <w:szCs w:val="21"/>
                <w:highlight w:val="none"/>
              </w:rPr>
              <w:t>无</w:t>
            </w:r>
            <w:r>
              <w:rPr>
                <w:rFonts w:hint="eastAsia" w:cs="宋体"/>
                <w:sz w:val="21"/>
                <w:szCs w:val="21"/>
                <w:highlight w:val="none"/>
                <w:lang w:val="zh-CN"/>
              </w:rPr>
              <w:t>有碍公平、公正</w:t>
            </w:r>
            <w:r>
              <w:rPr>
                <w:rFonts w:hint="eastAsia" w:cs="宋体"/>
                <w:sz w:val="21"/>
                <w:szCs w:val="21"/>
                <w:highlight w:val="none"/>
              </w:rPr>
              <w:t>的</w:t>
            </w:r>
          </w:p>
        </w:tc>
        <w:tc>
          <w:tcPr>
            <w:tcW w:w="386" w:type="pct"/>
            <w:shd w:val="clear" w:color="auto" w:fill="auto"/>
            <w:vAlign w:val="center"/>
          </w:tcPr>
          <w:p w14:paraId="512F5947">
            <w:pPr>
              <w:pStyle w:val="44"/>
              <w:rPr>
                <w:rFonts w:hint="eastAsia" w:cs="宋体"/>
                <w:sz w:val="21"/>
                <w:szCs w:val="21"/>
                <w:highlight w:val="none"/>
                <w:lang w:val="zh-CN"/>
              </w:rPr>
            </w:pPr>
          </w:p>
        </w:tc>
        <w:tc>
          <w:tcPr>
            <w:tcW w:w="489" w:type="pct"/>
            <w:shd w:val="clear" w:color="auto" w:fill="auto"/>
            <w:vAlign w:val="center"/>
          </w:tcPr>
          <w:p w14:paraId="5AE4A3A0">
            <w:pPr>
              <w:pStyle w:val="44"/>
              <w:rPr>
                <w:rFonts w:hint="eastAsia" w:cs="宋体"/>
                <w:sz w:val="21"/>
                <w:szCs w:val="21"/>
                <w:highlight w:val="none"/>
                <w:lang w:val="zh-CN"/>
              </w:rPr>
            </w:pPr>
          </w:p>
        </w:tc>
      </w:tr>
      <w:tr w14:paraId="5EA62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260" w:type="pct"/>
            <w:shd w:val="clear" w:color="auto" w:fill="auto"/>
            <w:vAlign w:val="center"/>
          </w:tcPr>
          <w:p w14:paraId="4685C37F">
            <w:pPr>
              <w:pStyle w:val="44"/>
              <w:ind w:left="420" w:hanging="420"/>
              <w:jc w:val="center"/>
              <w:rPr>
                <w:rFonts w:hint="eastAsia" w:eastAsia="宋体" w:cs="宋体"/>
                <w:sz w:val="21"/>
                <w:szCs w:val="21"/>
                <w:highlight w:val="none"/>
                <w:lang w:eastAsia="zh-CN"/>
              </w:rPr>
            </w:pPr>
            <w:r>
              <w:rPr>
                <w:rFonts w:hint="eastAsia" w:cs="宋体"/>
                <w:sz w:val="21"/>
                <w:szCs w:val="21"/>
                <w:highlight w:val="none"/>
                <w:lang w:val="en-US" w:eastAsia="zh-CN"/>
              </w:rPr>
              <w:t>7</w:t>
            </w:r>
          </w:p>
        </w:tc>
        <w:tc>
          <w:tcPr>
            <w:tcW w:w="840" w:type="pct"/>
            <w:vAlign w:val="center"/>
          </w:tcPr>
          <w:p w14:paraId="06EF9B9E">
            <w:pPr>
              <w:pStyle w:val="44"/>
              <w:rPr>
                <w:rFonts w:hint="eastAsia" w:cs="宋体"/>
                <w:sz w:val="21"/>
                <w:szCs w:val="21"/>
                <w:highlight w:val="none"/>
                <w:lang w:val="zh-CN"/>
              </w:rPr>
            </w:pPr>
            <w:r>
              <w:rPr>
                <w:rFonts w:hint="eastAsia" w:cs="宋体"/>
                <w:sz w:val="21"/>
                <w:szCs w:val="21"/>
                <w:highlight w:val="none"/>
              </w:rPr>
              <w:t>围标串标情形</w:t>
            </w:r>
          </w:p>
        </w:tc>
        <w:tc>
          <w:tcPr>
            <w:tcW w:w="3023" w:type="pct"/>
            <w:shd w:val="clear" w:color="auto" w:fill="auto"/>
            <w:vAlign w:val="center"/>
          </w:tcPr>
          <w:p w14:paraId="51373528">
            <w:pPr>
              <w:pStyle w:val="44"/>
              <w:rPr>
                <w:rFonts w:hint="eastAsia" w:cs="宋体"/>
                <w:sz w:val="21"/>
                <w:szCs w:val="21"/>
                <w:highlight w:val="none"/>
              </w:rPr>
            </w:pPr>
            <w:r>
              <w:rPr>
                <w:rFonts w:hint="eastAsia" w:cs="宋体"/>
                <w:sz w:val="21"/>
                <w:szCs w:val="21"/>
                <w:highlight w:val="none"/>
              </w:rPr>
              <w:t>没有</w:t>
            </w:r>
            <w:r>
              <w:rPr>
                <w:rFonts w:hint="eastAsia" w:cs="宋体"/>
                <w:sz w:val="21"/>
                <w:szCs w:val="21"/>
                <w:highlight w:val="none"/>
                <w:lang w:val="zh-CN"/>
              </w:rPr>
              <w:t>“第五章 评标方法及标准”</w:t>
            </w:r>
            <w:r>
              <w:rPr>
                <w:rFonts w:hint="eastAsia" w:cs="宋体"/>
                <w:sz w:val="21"/>
                <w:szCs w:val="21"/>
                <w:highlight w:val="none"/>
              </w:rPr>
              <w:t>第21条情形之一的</w:t>
            </w:r>
          </w:p>
        </w:tc>
        <w:tc>
          <w:tcPr>
            <w:tcW w:w="386" w:type="pct"/>
            <w:shd w:val="clear" w:color="auto" w:fill="auto"/>
            <w:vAlign w:val="center"/>
          </w:tcPr>
          <w:p w14:paraId="1499C252">
            <w:pPr>
              <w:pStyle w:val="44"/>
              <w:rPr>
                <w:rFonts w:hint="eastAsia" w:cs="宋体"/>
                <w:sz w:val="21"/>
                <w:szCs w:val="21"/>
                <w:highlight w:val="none"/>
                <w:lang w:val="zh-CN"/>
              </w:rPr>
            </w:pPr>
          </w:p>
        </w:tc>
        <w:tc>
          <w:tcPr>
            <w:tcW w:w="489" w:type="pct"/>
            <w:shd w:val="clear" w:color="auto" w:fill="auto"/>
            <w:vAlign w:val="center"/>
          </w:tcPr>
          <w:p w14:paraId="3CE402E1">
            <w:pPr>
              <w:pStyle w:val="44"/>
              <w:rPr>
                <w:rFonts w:hint="eastAsia" w:cs="宋体"/>
                <w:sz w:val="21"/>
                <w:szCs w:val="21"/>
                <w:highlight w:val="none"/>
                <w:lang w:val="zh-CN"/>
              </w:rPr>
            </w:pPr>
          </w:p>
        </w:tc>
      </w:tr>
      <w:tr w14:paraId="57450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1" w:hRule="atLeast"/>
        </w:trPr>
        <w:tc>
          <w:tcPr>
            <w:tcW w:w="260" w:type="pct"/>
            <w:shd w:val="clear" w:color="auto" w:fill="auto"/>
            <w:vAlign w:val="center"/>
          </w:tcPr>
          <w:p w14:paraId="33BC2911">
            <w:pPr>
              <w:pStyle w:val="44"/>
              <w:ind w:left="420" w:hanging="420"/>
              <w:jc w:val="center"/>
              <w:rPr>
                <w:rFonts w:hint="eastAsia" w:eastAsia="宋体" w:cs="宋体"/>
                <w:sz w:val="21"/>
                <w:szCs w:val="21"/>
                <w:highlight w:val="none"/>
                <w:lang w:eastAsia="zh-CN"/>
              </w:rPr>
            </w:pPr>
            <w:r>
              <w:rPr>
                <w:rFonts w:hint="eastAsia" w:cs="宋体"/>
                <w:sz w:val="21"/>
                <w:szCs w:val="21"/>
                <w:highlight w:val="none"/>
                <w:lang w:val="en-US" w:eastAsia="zh-CN"/>
              </w:rPr>
              <w:t>8</w:t>
            </w:r>
          </w:p>
        </w:tc>
        <w:tc>
          <w:tcPr>
            <w:tcW w:w="840" w:type="pct"/>
            <w:vAlign w:val="center"/>
          </w:tcPr>
          <w:p w14:paraId="3BFEC15C">
            <w:pPr>
              <w:pStyle w:val="44"/>
              <w:rPr>
                <w:rFonts w:hint="eastAsia" w:cs="宋体"/>
                <w:sz w:val="21"/>
                <w:szCs w:val="21"/>
                <w:highlight w:val="none"/>
                <w:lang w:val="zh-CN"/>
              </w:rPr>
            </w:pPr>
            <w:r>
              <w:rPr>
                <w:rFonts w:hint="eastAsia" w:cs="宋体"/>
                <w:sz w:val="21"/>
                <w:szCs w:val="21"/>
                <w:highlight w:val="none"/>
                <w:lang w:val="zh-CN"/>
              </w:rPr>
              <w:t>其他无效情形</w:t>
            </w:r>
          </w:p>
        </w:tc>
        <w:tc>
          <w:tcPr>
            <w:tcW w:w="3023" w:type="pct"/>
            <w:shd w:val="clear" w:color="auto" w:fill="auto"/>
            <w:vAlign w:val="center"/>
          </w:tcPr>
          <w:p w14:paraId="0F8031AC">
            <w:pPr>
              <w:pStyle w:val="44"/>
              <w:rPr>
                <w:rFonts w:hint="eastAsia" w:cs="宋体"/>
                <w:sz w:val="21"/>
                <w:szCs w:val="21"/>
                <w:highlight w:val="none"/>
                <w:lang w:val="zh-CN"/>
              </w:rPr>
            </w:pPr>
            <w:r>
              <w:rPr>
                <w:rFonts w:hint="eastAsia" w:cs="宋体"/>
                <w:sz w:val="21"/>
                <w:szCs w:val="21"/>
                <w:highlight w:val="none"/>
              </w:rPr>
              <w:t>没有</w:t>
            </w:r>
            <w:r>
              <w:rPr>
                <w:rFonts w:hint="eastAsia" w:cs="宋体"/>
                <w:sz w:val="21"/>
                <w:szCs w:val="21"/>
                <w:highlight w:val="none"/>
                <w:lang w:val="zh-CN"/>
              </w:rPr>
              <w:t>法律、法规、规章规定属于</w:t>
            </w:r>
            <w:r>
              <w:rPr>
                <w:rFonts w:hint="eastAsia" w:cs="宋体"/>
                <w:sz w:val="21"/>
                <w:szCs w:val="21"/>
                <w:highlight w:val="none"/>
              </w:rPr>
              <w:t>投标</w:t>
            </w:r>
            <w:r>
              <w:rPr>
                <w:rFonts w:hint="eastAsia" w:cs="宋体"/>
                <w:sz w:val="21"/>
                <w:szCs w:val="21"/>
                <w:highlight w:val="none"/>
                <w:lang w:val="zh-CN"/>
              </w:rPr>
              <w:t>无效的其他情形。</w:t>
            </w:r>
          </w:p>
        </w:tc>
        <w:tc>
          <w:tcPr>
            <w:tcW w:w="386" w:type="pct"/>
            <w:shd w:val="clear" w:color="auto" w:fill="auto"/>
            <w:vAlign w:val="center"/>
          </w:tcPr>
          <w:p w14:paraId="1D68D8A9">
            <w:pPr>
              <w:pStyle w:val="44"/>
              <w:rPr>
                <w:rFonts w:hint="eastAsia" w:cs="宋体"/>
                <w:sz w:val="21"/>
                <w:szCs w:val="21"/>
                <w:highlight w:val="none"/>
                <w:lang w:val="zh-CN"/>
              </w:rPr>
            </w:pPr>
          </w:p>
        </w:tc>
        <w:tc>
          <w:tcPr>
            <w:tcW w:w="489" w:type="pct"/>
            <w:shd w:val="clear" w:color="auto" w:fill="auto"/>
            <w:vAlign w:val="center"/>
          </w:tcPr>
          <w:p w14:paraId="269257F8">
            <w:pPr>
              <w:pStyle w:val="44"/>
              <w:rPr>
                <w:rFonts w:hint="eastAsia" w:cs="宋体"/>
                <w:sz w:val="21"/>
                <w:szCs w:val="21"/>
                <w:highlight w:val="none"/>
                <w:lang w:val="zh-CN"/>
              </w:rPr>
            </w:pPr>
          </w:p>
        </w:tc>
      </w:tr>
    </w:tbl>
    <w:p w14:paraId="73C7580B">
      <w:pPr>
        <w:rPr>
          <w:rFonts w:hint="eastAsia"/>
          <w:b/>
          <w:bCs/>
          <w:i w:val="0"/>
          <w:iCs w:val="0"/>
          <w:color w:val="auto"/>
          <w:sz w:val="21"/>
          <w:szCs w:val="21"/>
          <w:highlight w:val="none"/>
          <w:lang w:val="en-US" w:eastAsia="zh-CN"/>
        </w:rPr>
      </w:pPr>
      <w:r>
        <w:rPr>
          <w:rFonts w:hint="eastAsia"/>
          <w:b/>
          <w:bCs/>
          <w:i w:val="0"/>
          <w:iCs w:val="0"/>
          <w:color w:val="auto"/>
          <w:sz w:val="21"/>
          <w:szCs w:val="21"/>
          <w:highlight w:val="none"/>
          <w:lang w:val="en-US" w:eastAsia="zh-CN"/>
        </w:rPr>
        <w:t>注：“实质性响应一览表”中的内容为参考，可根据项目情况自行设置。</w:t>
      </w:r>
    </w:p>
    <w:p w14:paraId="3ADA5781">
      <w:pPr>
        <w:rPr>
          <w:rFonts w:hint="eastAsia"/>
          <w:b/>
          <w:bCs/>
          <w:i w:val="0"/>
          <w:iCs w:val="0"/>
          <w:color w:val="auto"/>
          <w:sz w:val="21"/>
          <w:szCs w:val="21"/>
          <w:highlight w:val="none"/>
          <w:lang w:val="en-US" w:eastAsia="zh-CN"/>
        </w:rPr>
      </w:pPr>
    </w:p>
    <w:p w14:paraId="5EDCF349">
      <w:pPr>
        <w:rPr>
          <w:rFonts w:hint="eastAsia"/>
          <w:b/>
          <w:bCs/>
          <w:i w:val="0"/>
          <w:iCs w:val="0"/>
          <w:color w:val="auto"/>
          <w:sz w:val="21"/>
          <w:szCs w:val="21"/>
          <w:highlight w:val="none"/>
          <w:lang w:val="en-US" w:eastAsia="zh-CN"/>
        </w:rPr>
      </w:pPr>
    </w:p>
    <w:p w14:paraId="34F7301E">
      <w:pPr>
        <w:rPr>
          <w:rFonts w:hint="eastAsia"/>
          <w:b/>
          <w:bCs/>
          <w:i w:val="0"/>
          <w:iCs w:val="0"/>
          <w:color w:val="auto"/>
          <w:sz w:val="21"/>
          <w:szCs w:val="21"/>
          <w:highlight w:val="none"/>
          <w:lang w:val="en-US" w:eastAsia="zh-CN"/>
        </w:rPr>
      </w:pPr>
    </w:p>
    <w:p w14:paraId="7F72A493">
      <w:pPr>
        <w:rPr>
          <w:rFonts w:hint="eastAsia"/>
          <w:b/>
          <w:bCs/>
          <w:i w:val="0"/>
          <w:iCs w:val="0"/>
          <w:color w:val="auto"/>
          <w:sz w:val="21"/>
          <w:szCs w:val="21"/>
          <w:highlight w:val="none"/>
          <w:lang w:val="en-US" w:eastAsia="zh-CN"/>
        </w:rPr>
      </w:pPr>
    </w:p>
    <w:p w14:paraId="0FDEACEA">
      <w:pPr>
        <w:rPr>
          <w:rFonts w:hint="eastAsia"/>
          <w:b/>
          <w:bCs/>
          <w:i w:val="0"/>
          <w:iCs w:val="0"/>
          <w:color w:val="auto"/>
          <w:sz w:val="21"/>
          <w:szCs w:val="21"/>
          <w:highlight w:val="none"/>
          <w:lang w:val="en-US" w:eastAsia="zh-CN"/>
        </w:rPr>
      </w:pPr>
    </w:p>
    <w:p w14:paraId="7139E077">
      <w:pPr>
        <w:rPr>
          <w:rFonts w:hint="eastAsia"/>
          <w:b/>
          <w:bCs/>
          <w:i w:val="0"/>
          <w:iCs w:val="0"/>
          <w:color w:val="auto"/>
          <w:sz w:val="21"/>
          <w:szCs w:val="21"/>
          <w:highlight w:val="none"/>
          <w:lang w:val="en-US" w:eastAsia="zh-CN"/>
        </w:rPr>
      </w:pPr>
    </w:p>
    <w:p w14:paraId="5FEBE956">
      <w:pPr>
        <w:rPr>
          <w:rFonts w:hint="eastAsia"/>
          <w:b/>
          <w:bCs/>
          <w:i w:val="0"/>
          <w:iCs w:val="0"/>
          <w:color w:val="auto"/>
          <w:sz w:val="21"/>
          <w:szCs w:val="21"/>
          <w:highlight w:val="none"/>
          <w:lang w:val="en-US" w:eastAsia="zh-CN"/>
        </w:rPr>
      </w:pPr>
    </w:p>
    <w:p w14:paraId="52709EC5">
      <w:pPr>
        <w:rPr>
          <w:rFonts w:hint="eastAsia"/>
          <w:b/>
          <w:bCs/>
          <w:i w:val="0"/>
          <w:iCs w:val="0"/>
          <w:color w:val="auto"/>
          <w:sz w:val="21"/>
          <w:szCs w:val="21"/>
          <w:highlight w:val="none"/>
          <w:lang w:val="en-US" w:eastAsia="zh-CN"/>
        </w:rPr>
      </w:pPr>
    </w:p>
    <w:p w14:paraId="3D420025">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71" w:name="_Toc27596"/>
      <w:bookmarkStart w:id="472" w:name="_Toc163493640"/>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评分标准</w:t>
      </w:r>
      <w:bookmarkEnd w:id="471"/>
      <w:bookmarkEnd w:id="472"/>
    </w:p>
    <w:p w14:paraId="06EEC6BD">
      <w:pPr>
        <w:rPr>
          <w:rFonts w:hint="eastAsia"/>
          <w:i w:val="0"/>
          <w:iCs w:val="0"/>
          <w:color w:val="auto"/>
          <w:sz w:val="21"/>
          <w:szCs w:val="21"/>
          <w:highlight w:val="none"/>
          <w:lang w:val="en-US" w:eastAsia="zh-CN"/>
        </w:rPr>
      </w:pPr>
      <w:r>
        <w:rPr>
          <w:rFonts w:hint="eastAsia"/>
          <w:i w:val="0"/>
          <w:iCs w:val="0"/>
          <w:color w:val="auto"/>
          <w:sz w:val="21"/>
          <w:szCs w:val="21"/>
          <w:highlight w:val="none"/>
          <w:lang w:val="en-US" w:eastAsia="zh-CN"/>
        </w:rPr>
        <w:t>注：以下评标分项根据项目实际情况可自行设置。</w:t>
      </w:r>
    </w:p>
    <w:tbl>
      <w:tblPr>
        <w:tblStyle w:val="27"/>
        <w:tblW w:w="54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1578"/>
        <w:gridCol w:w="974"/>
        <w:gridCol w:w="6015"/>
      </w:tblGrid>
      <w:tr w14:paraId="431E7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16" w:type="pct"/>
            <w:shd w:val="clear" w:color="auto" w:fill="D8D8D8" w:themeFill="background1" w:themeFillShade="D9"/>
            <w:vAlign w:val="center"/>
          </w:tcPr>
          <w:p w14:paraId="387709D1">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评标项目</w:t>
            </w:r>
          </w:p>
        </w:tc>
        <w:tc>
          <w:tcPr>
            <w:tcW w:w="843" w:type="pct"/>
            <w:shd w:val="clear" w:color="auto" w:fill="D8D8D8" w:themeFill="background1" w:themeFillShade="D9"/>
            <w:vAlign w:val="center"/>
          </w:tcPr>
          <w:p w14:paraId="6DDEA34C">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评标分项</w:t>
            </w:r>
          </w:p>
        </w:tc>
        <w:tc>
          <w:tcPr>
            <w:tcW w:w="521" w:type="pct"/>
            <w:shd w:val="clear" w:color="auto" w:fill="D8D8D8" w:themeFill="background1" w:themeFillShade="D9"/>
            <w:vAlign w:val="center"/>
          </w:tcPr>
          <w:p w14:paraId="115414B7">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c>
          <w:tcPr>
            <w:tcW w:w="3218" w:type="pct"/>
            <w:shd w:val="clear" w:color="auto" w:fill="D8D8D8" w:themeFill="background1" w:themeFillShade="D9"/>
            <w:vAlign w:val="center"/>
          </w:tcPr>
          <w:p w14:paraId="1ED35C90">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子项目及分值</w:t>
            </w:r>
          </w:p>
        </w:tc>
      </w:tr>
      <w:tr w14:paraId="7CD13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jc w:val="center"/>
        </w:trPr>
        <w:tc>
          <w:tcPr>
            <w:tcW w:w="416" w:type="pct"/>
            <w:vAlign w:val="center"/>
          </w:tcPr>
          <w:p w14:paraId="28B21B4D">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价格部分</w:t>
            </w:r>
          </w:p>
          <w:p w14:paraId="51839859">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c>
          <w:tcPr>
            <w:tcW w:w="843" w:type="pct"/>
            <w:tcBorders>
              <w:bottom w:val="single" w:color="auto" w:sz="4" w:space="0"/>
            </w:tcBorders>
            <w:vAlign w:val="center"/>
          </w:tcPr>
          <w:p w14:paraId="0AB2CF98">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最后</w:t>
            </w:r>
            <w:r>
              <w:rPr>
                <w:rFonts w:hint="eastAsia" w:ascii="宋体" w:hAnsi="宋体" w:eastAsia="宋体" w:cs="宋体"/>
                <w:color w:val="auto"/>
                <w:sz w:val="21"/>
                <w:szCs w:val="21"/>
                <w:highlight w:val="none"/>
              </w:rPr>
              <w:t>报价</w:t>
            </w:r>
          </w:p>
        </w:tc>
        <w:tc>
          <w:tcPr>
            <w:tcW w:w="521" w:type="pct"/>
            <w:vAlign w:val="center"/>
          </w:tcPr>
          <w:p w14:paraId="18AE6769">
            <w:pPr>
              <w:pStyle w:val="44"/>
              <w:jc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（30分）</w:t>
            </w:r>
          </w:p>
        </w:tc>
        <w:tc>
          <w:tcPr>
            <w:tcW w:w="3218" w:type="pct"/>
            <w:vAlign w:val="center"/>
          </w:tcPr>
          <w:p w14:paraId="58203E40">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评标基准价=有效投标报价的最低值，有效投标报价等于基准值的得满分，投标报价得分=（评标基准价/投标报价）×30。有效投标报价为通过初步审查的供应商报价。注：投标供应商在填写报价一览表时，应按所报折扣率进行填写。（为不影响该供应商投标报价分值计算，如不清楚可电话咨询采购代理机构。）</w:t>
            </w:r>
          </w:p>
        </w:tc>
      </w:tr>
      <w:tr w14:paraId="31258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6" w:type="pct"/>
            <w:vMerge w:val="restart"/>
            <w:vAlign w:val="center"/>
          </w:tcPr>
          <w:p w14:paraId="64146DD9">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p>
          <w:p w14:paraId="535AEAE7">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20</w:t>
            </w:r>
            <w:r>
              <w:rPr>
                <w:rFonts w:hint="eastAsia" w:ascii="宋体" w:hAnsi="宋体" w:eastAsia="宋体" w:cs="宋体"/>
                <w:color w:val="auto"/>
                <w:sz w:val="21"/>
                <w:szCs w:val="21"/>
                <w:highlight w:val="none"/>
              </w:rPr>
              <w:t>分）</w:t>
            </w:r>
          </w:p>
        </w:tc>
        <w:tc>
          <w:tcPr>
            <w:tcW w:w="843" w:type="pct"/>
            <w:tcBorders>
              <w:top w:val="single" w:color="auto" w:sz="4" w:space="0"/>
            </w:tcBorders>
            <w:vAlign w:val="center"/>
          </w:tcPr>
          <w:p w14:paraId="64213005">
            <w:pPr>
              <w:pStyle w:val="44"/>
              <w:jc w:val="center"/>
              <w:rPr>
                <w:rFonts w:hint="eastAsia" w:ascii="宋体" w:hAnsi="宋体" w:eastAsia="宋体" w:cs="宋体"/>
                <w:color w:val="auto"/>
                <w:sz w:val="21"/>
                <w:szCs w:val="21"/>
                <w:highlight w:val="none"/>
                <w:lang w:val="en-US" w:eastAsia="zh-CN"/>
              </w:rPr>
            </w:pPr>
          </w:p>
          <w:p w14:paraId="08C8DF4A">
            <w:pPr>
              <w:pStyle w:val="44"/>
              <w:jc w:val="cente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 xml:space="preserve">业绩 </w:t>
            </w:r>
          </w:p>
          <w:p w14:paraId="42FDE7AA">
            <w:pPr>
              <w:pStyle w:val="44"/>
              <w:jc w:val="both"/>
              <w:rPr>
                <w:rFonts w:hint="eastAsia" w:ascii="宋体" w:hAnsi="宋体" w:eastAsia="宋体" w:cs="宋体"/>
                <w:color w:val="auto"/>
                <w:sz w:val="21"/>
                <w:szCs w:val="21"/>
                <w:highlight w:val="none"/>
                <w:lang w:val="en-US"/>
              </w:rPr>
            </w:pPr>
          </w:p>
          <w:p w14:paraId="7DD08FD0">
            <w:pPr>
              <w:pStyle w:val="44"/>
              <w:jc w:val="center"/>
              <w:rPr>
                <w:rFonts w:hint="eastAsia" w:ascii="宋体" w:hAnsi="宋体" w:eastAsia="宋体" w:cs="宋体"/>
                <w:color w:val="auto"/>
                <w:sz w:val="21"/>
                <w:szCs w:val="21"/>
                <w:highlight w:val="none"/>
              </w:rPr>
            </w:pPr>
          </w:p>
        </w:tc>
        <w:tc>
          <w:tcPr>
            <w:tcW w:w="521" w:type="pct"/>
            <w:vAlign w:val="center"/>
          </w:tcPr>
          <w:p w14:paraId="46117A39">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0B5412A7">
            <w:pPr>
              <w:pStyle w:val="44"/>
              <w:jc w:val="both"/>
              <w:rPr>
                <w:rFonts w:hint="eastAsia" w:ascii="宋体" w:hAnsi="宋体" w:eastAsia="宋体" w:cs="宋体"/>
                <w:color w:val="auto"/>
                <w:sz w:val="21"/>
                <w:szCs w:val="21"/>
                <w:highlight w:val="none"/>
              </w:rPr>
            </w:pPr>
          </w:p>
        </w:tc>
        <w:tc>
          <w:tcPr>
            <w:tcW w:w="3218" w:type="pct"/>
            <w:vAlign w:val="center"/>
          </w:tcPr>
          <w:p w14:paraId="4AD461A3">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具有近三年（2022年 1 月 1 日至今）类似业绩，需提供相应的证明文件，证明文件为中标通知书或供货合同或验收报告，每个业绩得 1 分，最高 4 分。注：合同作为证明材料时必须提供项目合同首页、关键内容页和签字盖章页的复印件并加盖公章，否则不予认定。</w:t>
            </w:r>
          </w:p>
        </w:tc>
      </w:tr>
      <w:tr w14:paraId="1EC42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416" w:type="pct"/>
            <w:vMerge w:val="continue"/>
            <w:vAlign w:val="center"/>
          </w:tcPr>
          <w:p w14:paraId="5BF5EB3E">
            <w:pPr>
              <w:pStyle w:val="44"/>
              <w:jc w:val="center"/>
              <w:rPr>
                <w:rFonts w:hint="eastAsia" w:ascii="宋体" w:hAnsi="宋体" w:eastAsia="宋体" w:cs="宋体"/>
                <w:color w:val="auto"/>
                <w:sz w:val="21"/>
                <w:szCs w:val="21"/>
                <w:highlight w:val="none"/>
              </w:rPr>
            </w:pPr>
          </w:p>
        </w:tc>
        <w:tc>
          <w:tcPr>
            <w:tcW w:w="843" w:type="pct"/>
            <w:tcBorders>
              <w:top w:val="single" w:color="auto" w:sz="4" w:space="0"/>
            </w:tcBorders>
            <w:vAlign w:val="center"/>
          </w:tcPr>
          <w:p w14:paraId="34C85361">
            <w:pPr>
              <w:pStyle w:val="44"/>
              <w:jc w:val="cente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企业管理水平</w:t>
            </w:r>
          </w:p>
        </w:tc>
        <w:tc>
          <w:tcPr>
            <w:tcW w:w="521" w:type="pct"/>
            <w:vAlign w:val="center"/>
          </w:tcPr>
          <w:p w14:paraId="72CF6116">
            <w:pPr>
              <w:pStyle w:val="44"/>
              <w:jc w:val="center"/>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5分</w:t>
            </w:r>
          </w:p>
        </w:tc>
        <w:tc>
          <w:tcPr>
            <w:tcW w:w="3218" w:type="pct"/>
            <w:vAlign w:val="center"/>
          </w:tcPr>
          <w:p w14:paraId="49E829BD">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供应商经营管理措施(团队配置、人员管理、工作规范、责任明确、服务质量等相关规章制度与考评制度)制定合理，完全满足项目需求且能够保证服务水平及质量的得 5 分，每出现一项缺失（或不满足）的扣 1 分，扣完为止；每项出现描述不清晰或阐述不全面或内容有不足存在瑕疵的，每有一处扣 0.5 分。</w:t>
            </w:r>
          </w:p>
        </w:tc>
      </w:tr>
      <w:tr w14:paraId="05A34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416" w:type="pct"/>
            <w:vMerge w:val="continue"/>
            <w:vAlign w:val="center"/>
          </w:tcPr>
          <w:p w14:paraId="3BD7C09E">
            <w:pPr>
              <w:pStyle w:val="44"/>
              <w:jc w:val="center"/>
              <w:rPr>
                <w:rFonts w:hint="eastAsia" w:ascii="宋体" w:hAnsi="宋体" w:eastAsia="宋体" w:cs="宋体"/>
                <w:color w:val="auto"/>
                <w:sz w:val="21"/>
                <w:szCs w:val="21"/>
                <w:highlight w:val="none"/>
              </w:rPr>
            </w:pPr>
          </w:p>
        </w:tc>
        <w:tc>
          <w:tcPr>
            <w:tcW w:w="843" w:type="pct"/>
            <w:tcBorders>
              <w:top w:val="single" w:color="auto" w:sz="4" w:space="0"/>
            </w:tcBorders>
            <w:vAlign w:val="center"/>
          </w:tcPr>
          <w:p w14:paraId="6B9EB51E">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备品备件</w:t>
            </w:r>
          </w:p>
        </w:tc>
        <w:tc>
          <w:tcPr>
            <w:tcW w:w="521" w:type="pct"/>
            <w:vAlign w:val="center"/>
          </w:tcPr>
          <w:p w14:paraId="5CC6F5C7">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5分</w:t>
            </w:r>
          </w:p>
        </w:tc>
        <w:tc>
          <w:tcPr>
            <w:tcW w:w="3218" w:type="pct"/>
            <w:vAlign w:val="center"/>
          </w:tcPr>
          <w:p w14:paraId="423C2D10">
            <w:pPr>
              <w:pStyle w:val="44"/>
              <w:rPr>
                <w:rFonts w:hint="eastAsia" w:ascii="宋体" w:hAnsi="宋体" w:eastAsia="宋体" w:cs="宋体"/>
                <w:color w:val="auto"/>
                <w:sz w:val="21"/>
                <w:szCs w:val="21"/>
                <w:highlight w:val="none"/>
              </w:rPr>
            </w:pPr>
            <w:r>
              <w:rPr>
                <w:rFonts w:hint="eastAsia" w:cs="宋体"/>
                <w:color w:val="auto"/>
                <w:sz w:val="21"/>
                <w:szCs w:val="21"/>
                <w:highlight w:val="none"/>
                <w:lang w:eastAsia="zh-CN"/>
              </w:rPr>
              <w:t>供应商</w:t>
            </w:r>
            <w:r>
              <w:rPr>
                <w:rFonts w:hint="eastAsia" w:ascii="宋体" w:hAnsi="宋体" w:eastAsia="宋体" w:cs="宋体"/>
                <w:color w:val="auto"/>
                <w:sz w:val="21"/>
                <w:szCs w:val="21"/>
                <w:highlight w:val="none"/>
              </w:rPr>
              <w:t xml:space="preserve">提供备品备件方案得 </w:t>
            </w: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.5 分；提供免费退换，及时退、换有质量问题的货物得 </w:t>
            </w: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.5 分；不提供不得分。 本项最多得 </w:t>
            </w: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1E7CC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16" w:type="pct"/>
            <w:vMerge w:val="continue"/>
            <w:vAlign w:val="center"/>
          </w:tcPr>
          <w:p w14:paraId="62336E52">
            <w:pPr>
              <w:pStyle w:val="44"/>
              <w:jc w:val="center"/>
              <w:rPr>
                <w:rFonts w:hint="eastAsia" w:ascii="宋体" w:hAnsi="宋体" w:eastAsia="宋体" w:cs="宋体"/>
                <w:color w:val="auto"/>
                <w:sz w:val="21"/>
                <w:szCs w:val="21"/>
                <w:highlight w:val="none"/>
              </w:rPr>
            </w:pPr>
          </w:p>
        </w:tc>
        <w:tc>
          <w:tcPr>
            <w:tcW w:w="843" w:type="pct"/>
            <w:tcBorders>
              <w:top w:val="single" w:color="auto" w:sz="4" w:space="0"/>
            </w:tcBorders>
            <w:vAlign w:val="center"/>
          </w:tcPr>
          <w:p w14:paraId="16595CC7">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产品质量</w:t>
            </w:r>
          </w:p>
        </w:tc>
        <w:tc>
          <w:tcPr>
            <w:tcW w:w="521" w:type="pct"/>
            <w:vAlign w:val="center"/>
          </w:tcPr>
          <w:p w14:paraId="48AA2DE0">
            <w:pPr>
              <w:pStyle w:val="44"/>
              <w:jc w:val="center"/>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6分</w:t>
            </w:r>
          </w:p>
        </w:tc>
        <w:tc>
          <w:tcPr>
            <w:tcW w:w="3218" w:type="pct"/>
            <w:vAlign w:val="center"/>
          </w:tcPr>
          <w:p w14:paraId="36694946">
            <w:pPr>
              <w:pStyle w:val="44"/>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eastAsia="zh-CN"/>
              </w:rPr>
              <w:t>供应商提供产品检测报告得</w:t>
            </w:r>
            <w:r>
              <w:rPr>
                <w:rFonts w:hint="eastAsia" w:cs="宋体"/>
                <w:color w:val="auto"/>
                <w:sz w:val="21"/>
                <w:szCs w:val="21"/>
                <w:highlight w:val="none"/>
                <w:lang w:val="en-US" w:eastAsia="zh-CN"/>
              </w:rPr>
              <w:t>2分；提供产品宣传彩页得2分；提供产品生产厂家授权书及售后服务承诺书得2分</w:t>
            </w:r>
          </w:p>
        </w:tc>
      </w:tr>
      <w:tr w14:paraId="562D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16" w:type="pct"/>
            <w:vMerge w:val="restart"/>
            <w:vAlign w:val="center"/>
          </w:tcPr>
          <w:p w14:paraId="057F7BAA">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p>
          <w:p w14:paraId="323462F0">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50</w:t>
            </w:r>
            <w:r>
              <w:rPr>
                <w:rFonts w:hint="eastAsia" w:ascii="宋体" w:hAnsi="宋体" w:eastAsia="宋体" w:cs="宋体"/>
                <w:color w:val="auto"/>
                <w:sz w:val="21"/>
                <w:szCs w:val="21"/>
                <w:highlight w:val="none"/>
              </w:rPr>
              <w:t>分）</w:t>
            </w:r>
          </w:p>
        </w:tc>
        <w:tc>
          <w:tcPr>
            <w:tcW w:w="843" w:type="pct"/>
            <w:tcBorders>
              <w:top w:val="single" w:color="auto" w:sz="4" w:space="0"/>
            </w:tcBorders>
            <w:vAlign w:val="center"/>
          </w:tcPr>
          <w:p w14:paraId="04722E60">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实施方案 </w:t>
            </w:r>
          </w:p>
        </w:tc>
        <w:tc>
          <w:tcPr>
            <w:tcW w:w="521" w:type="pct"/>
            <w:vAlign w:val="center"/>
          </w:tcPr>
          <w:p w14:paraId="415120D2">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分</w:t>
            </w:r>
          </w:p>
        </w:tc>
        <w:tc>
          <w:tcPr>
            <w:tcW w:w="3218" w:type="pct"/>
            <w:vAlign w:val="center"/>
          </w:tcPr>
          <w:p w14:paraId="6DDF5934">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①实施方案中设备质量、供货安装、项目安全措施、应急处理、进度安排完全满足项目实际要求的得 4 分；方案描述不清晰或有缺失内容的每一项扣 0.5 分，扣完为止；未提供的不得分。</w:t>
            </w:r>
          </w:p>
          <w:p w14:paraId="35A13CCE">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②项目安装、调试、测试方案合理且操作性较强，完全满足项目实际要求的得 4 分；方案描述不清晰或有缺失内容的每一项扣 0.5 分，扣完为止；未提供的不得分。</w:t>
            </w:r>
          </w:p>
          <w:p w14:paraId="1E50FF5E">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③有明确的项目质量管理方案和制度，项目管理机构及职责分配合理，符合项目实际，具有操作性；完全满足项目实际要求的得 4 分；方案描述不清晰或可行性低的每一项扣 0.5 分，扣完为止；未提供的不得分。本项最高得 12 分。</w:t>
            </w:r>
          </w:p>
        </w:tc>
      </w:tr>
      <w:tr w14:paraId="0F4A1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6" w:type="pct"/>
            <w:vMerge w:val="continue"/>
            <w:vAlign w:val="center"/>
          </w:tcPr>
          <w:p w14:paraId="359FBBBB">
            <w:pPr>
              <w:pStyle w:val="44"/>
              <w:jc w:val="center"/>
              <w:rPr>
                <w:rFonts w:hint="eastAsia" w:ascii="宋体" w:hAnsi="宋体" w:eastAsia="宋体" w:cs="宋体"/>
                <w:color w:val="auto"/>
                <w:sz w:val="21"/>
                <w:szCs w:val="21"/>
                <w:highlight w:val="none"/>
              </w:rPr>
            </w:pPr>
          </w:p>
        </w:tc>
        <w:tc>
          <w:tcPr>
            <w:tcW w:w="843" w:type="pct"/>
            <w:vAlign w:val="center"/>
          </w:tcPr>
          <w:p w14:paraId="746BB982">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设备培训方案 </w:t>
            </w:r>
          </w:p>
        </w:tc>
        <w:tc>
          <w:tcPr>
            <w:tcW w:w="521" w:type="pct"/>
            <w:vAlign w:val="center"/>
          </w:tcPr>
          <w:p w14:paraId="0699561E">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3218" w:type="pct"/>
            <w:vAlign w:val="center"/>
          </w:tcPr>
          <w:p w14:paraId="163AF018">
            <w:pPr>
              <w:keepNext w:val="0"/>
              <w:keepLines w:val="0"/>
              <w:widowControl/>
              <w:suppressLineNumbers w:val="0"/>
              <w:spacing w:line="240" w:lineRule="auto"/>
              <w:jc w:val="left"/>
              <w:rPr>
                <w:highlight w:val="none"/>
              </w:rPr>
            </w:pPr>
            <w:r>
              <w:rPr>
                <w:rFonts w:hint="eastAsia" w:ascii="宋体" w:hAnsi="宋体" w:eastAsia="宋体" w:cs="宋体"/>
                <w:color w:val="000000"/>
                <w:kern w:val="0"/>
                <w:sz w:val="21"/>
                <w:szCs w:val="21"/>
                <w:highlight w:val="none"/>
                <w:lang w:val="en-US" w:eastAsia="zh-CN" w:bidi="ar"/>
              </w:rPr>
              <w:t xml:space="preserve">培训计划情况，应含详细合理的培训方案（包含：①培训时间； ②培训地点；③培训产品基本原理、④操作使用和保养维修；⑤培训方式） 培训方案中包含以上每项内容，且方案切实可行，满足采购方需求得 5 分， 每有一项内容缺失的扣 1 分，每有一项内容阐述不全面、不 </w:t>
            </w:r>
          </w:p>
          <w:p w14:paraId="3BA8AD65">
            <w:pPr>
              <w:keepNext w:val="0"/>
              <w:keepLines w:val="0"/>
              <w:widowControl/>
              <w:suppressLineNumbers w:val="0"/>
              <w:spacing w:line="240" w:lineRule="auto"/>
              <w:jc w:val="left"/>
              <w:rPr>
                <w:highlight w:val="none"/>
              </w:rPr>
            </w:pPr>
            <w:r>
              <w:rPr>
                <w:rFonts w:hint="eastAsia" w:ascii="宋体" w:hAnsi="宋体" w:eastAsia="宋体" w:cs="宋体"/>
                <w:color w:val="000000"/>
                <w:kern w:val="0"/>
                <w:sz w:val="21"/>
                <w:szCs w:val="21"/>
                <w:highlight w:val="none"/>
                <w:lang w:val="en-US" w:eastAsia="zh-CN" w:bidi="ar"/>
              </w:rPr>
              <w:t>符合项目实际 情况、无法满足采购需求的扣 0.5 分，扣完为止。本项最高得 5 分。</w:t>
            </w:r>
          </w:p>
          <w:p w14:paraId="30F9E4C5">
            <w:pPr>
              <w:pStyle w:val="44"/>
              <w:rPr>
                <w:rFonts w:hint="eastAsia" w:ascii="宋体" w:hAnsi="宋体" w:eastAsia="宋体" w:cs="宋体"/>
                <w:color w:val="auto"/>
                <w:sz w:val="21"/>
                <w:szCs w:val="21"/>
                <w:highlight w:val="none"/>
              </w:rPr>
            </w:pPr>
          </w:p>
        </w:tc>
      </w:tr>
      <w:tr w14:paraId="0E200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16" w:type="pct"/>
            <w:vMerge w:val="continue"/>
            <w:vAlign w:val="center"/>
          </w:tcPr>
          <w:p w14:paraId="25558BDD">
            <w:pPr>
              <w:pStyle w:val="44"/>
              <w:jc w:val="center"/>
              <w:rPr>
                <w:rFonts w:hint="eastAsia" w:ascii="宋体" w:hAnsi="宋体" w:eastAsia="宋体" w:cs="宋体"/>
                <w:color w:val="auto"/>
                <w:sz w:val="21"/>
                <w:szCs w:val="21"/>
                <w:highlight w:val="none"/>
              </w:rPr>
            </w:pPr>
          </w:p>
        </w:tc>
        <w:tc>
          <w:tcPr>
            <w:tcW w:w="843" w:type="pct"/>
            <w:vAlign w:val="center"/>
          </w:tcPr>
          <w:p w14:paraId="4A3BF317">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售后服务体系</w:t>
            </w:r>
          </w:p>
        </w:tc>
        <w:tc>
          <w:tcPr>
            <w:tcW w:w="521" w:type="pct"/>
            <w:vAlign w:val="center"/>
          </w:tcPr>
          <w:p w14:paraId="5580CC48">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 xml:space="preserve">分 </w:t>
            </w:r>
          </w:p>
        </w:tc>
        <w:tc>
          <w:tcPr>
            <w:tcW w:w="3218" w:type="pct"/>
            <w:vAlign w:val="center"/>
          </w:tcPr>
          <w:p w14:paraId="1BED5741">
            <w:pPr>
              <w:pStyle w:val="44"/>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有明确的①售后服务人员名单、②售后服务机构组成、③售后服务方式、④售后服务流程、⑤ 售后服务保障措施，⑥完善的售后服务方案；全部提供得 6 分。每缺少 1 方面内容扣 1 分，每有 1 处内容存在不足(指内容不全面或不完善、与项目实际不匹配或存在偏差、内容缺乏逻</w:t>
            </w:r>
          </w:p>
          <w:p w14:paraId="156939E1">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辑性等)扣 0.5 分，扣完为止</w:t>
            </w:r>
            <w:r>
              <w:rPr>
                <w:rFonts w:hint="eastAsia" w:cs="宋体"/>
                <w:color w:val="auto"/>
                <w:sz w:val="21"/>
                <w:szCs w:val="21"/>
                <w:highlight w:val="none"/>
                <w:lang w:val="en-US" w:eastAsia="zh-CN"/>
              </w:rPr>
              <w:t>。</w:t>
            </w:r>
          </w:p>
        </w:tc>
      </w:tr>
      <w:tr w14:paraId="76CA6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6" w:type="pct"/>
            <w:vMerge w:val="continue"/>
            <w:vAlign w:val="center"/>
          </w:tcPr>
          <w:p w14:paraId="0520050F">
            <w:pPr>
              <w:pStyle w:val="44"/>
              <w:jc w:val="center"/>
              <w:rPr>
                <w:rFonts w:hint="eastAsia" w:ascii="宋体" w:hAnsi="宋体" w:eastAsia="宋体" w:cs="宋体"/>
                <w:color w:val="auto"/>
                <w:sz w:val="21"/>
                <w:szCs w:val="21"/>
                <w:highlight w:val="none"/>
              </w:rPr>
            </w:pPr>
          </w:p>
        </w:tc>
        <w:tc>
          <w:tcPr>
            <w:tcW w:w="843" w:type="pct"/>
            <w:vAlign w:val="center"/>
          </w:tcPr>
          <w:p w14:paraId="10214EAC">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其他优惠条件</w:t>
            </w:r>
          </w:p>
        </w:tc>
        <w:tc>
          <w:tcPr>
            <w:tcW w:w="521" w:type="pct"/>
            <w:vAlign w:val="center"/>
          </w:tcPr>
          <w:p w14:paraId="294EA06C">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tc>
        <w:tc>
          <w:tcPr>
            <w:tcW w:w="3218" w:type="pct"/>
            <w:vAlign w:val="center"/>
          </w:tcPr>
          <w:p w14:paraId="127B40C9">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根据采购需求提出其他优惠条件承诺的得 1 分</w:t>
            </w:r>
          </w:p>
        </w:tc>
      </w:tr>
      <w:tr w14:paraId="530D2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16" w:type="pct"/>
            <w:vMerge w:val="continue"/>
            <w:vAlign w:val="center"/>
          </w:tcPr>
          <w:p w14:paraId="12A0A0BD">
            <w:pPr>
              <w:pStyle w:val="44"/>
              <w:jc w:val="center"/>
              <w:rPr>
                <w:rFonts w:hint="eastAsia" w:ascii="宋体" w:hAnsi="宋体" w:eastAsia="宋体" w:cs="宋体"/>
                <w:color w:val="auto"/>
                <w:sz w:val="21"/>
                <w:szCs w:val="21"/>
                <w:highlight w:val="none"/>
              </w:rPr>
            </w:pPr>
          </w:p>
        </w:tc>
        <w:tc>
          <w:tcPr>
            <w:tcW w:w="843" w:type="pct"/>
            <w:tcBorders>
              <w:top w:val="single" w:color="auto" w:sz="4" w:space="0"/>
            </w:tcBorders>
            <w:vAlign w:val="center"/>
          </w:tcPr>
          <w:p w14:paraId="4C402DF9">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技术特点、性能指标</w:t>
            </w:r>
          </w:p>
        </w:tc>
        <w:tc>
          <w:tcPr>
            <w:tcW w:w="521" w:type="pct"/>
            <w:vAlign w:val="center"/>
          </w:tcPr>
          <w:p w14:paraId="44B3C9FA">
            <w:pPr>
              <w:pStyle w:val="44"/>
              <w:jc w:val="both"/>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 xml:space="preserve"> 26分</w:t>
            </w:r>
          </w:p>
        </w:tc>
        <w:tc>
          <w:tcPr>
            <w:tcW w:w="3218" w:type="pct"/>
            <w:vAlign w:val="center"/>
          </w:tcPr>
          <w:p w14:paraId="5E2454BE">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此项目技术参数中，完全满足招标文件要求的得 26 分。招标文件技术参数中★项重要技术参数的，★技术指标一项不满足扣 1 分，未标注★项的技术指标一项不满足扣 0.5 分，扣完为止。</w:t>
            </w:r>
          </w:p>
        </w:tc>
      </w:tr>
      <w:tr w14:paraId="36FB8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260" w:type="pct"/>
            <w:gridSpan w:val="2"/>
            <w:vAlign w:val="center"/>
          </w:tcPr>
          <w:p w14:paraId="3F0CD9FF">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521" w:type="pct"/>
            <w:tcBorders>
              <w:bottom w:val="single" w:color="auto" w:sz="4" w:space="0"/>
            </w:tcBorders>
            <w:vAlign w:val="center"/>
          </w:tcPr>
          <w:p w14:paraId="2A17AB56">
            <w:pPr>
              <w:pStyle w:val="44"/>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=SUM(ABOVE)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100</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lang w:val="en-US" w:eastAsia="zh-CN"/>
              </w:rPr>
              <w:t>分</w:t>
            </w:r>
          </w:p>
        </w:tc>
        <w:tc>
          <w:tcPr>
            <w:tcW w:w="3218" w:type="pct"/>
            <w:tcBorders>
              <w:bottom w:val="single" w:color="auto" w:sz="4" w:space="0"/>
            </w:tcBorders>
            <w:vAlign w:val="center"/>
          </w:tcPr>
          <w:p w14:paraId="707693D0">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注： 1、计算过程中，算术平均值保留 2 位小数（百分比亦取 2 位小数），第三位小 数四舍五入。 </w:t>
            </w:r>
          </w:p>
          <w:p w14:paraId="76A923D0">
            <w:pPr>
              <w:pStyle w:val="4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2、供应商的最终得分为：所有评委对其评分的算术平均值。</w:t>
            </w:r>
          </w:p>
          <w:p w14:paraId="130BC1F9">
            <w:pPr>
              <w:pStyle w:val="44"/>
              <w:rPr>
                <w:rFonts w:hint="eastAsia" w:ascii="宋体" w:hAnsi="宋体" w:eastAsia="宋体" w:cs="宋体"/>
                <w:color w:val="auto"/>
                <w:sz w:val="21"/>
                <w:szCs w:val="21"/>
                <w:highlight w:val="none"/>
              </w:rPr>
            </w:pPr>
          </w:p>
        </w:tc>
      </w:tr>
    </w:tbl>
    <w:p w14:paraId="0F415EF0">
      <w:pPr>
        <w:rPr>
          <w:rFonts w:hint="eastAsia"/>
          <w:i w:val="0"/>
          <w:iCs w:val="0"/>
          <w:color w:val="auto"/>
          <w:sz w:val="21"/>
          <w:szCs w:val="21"/>
          <w:highlight w:val="none"/>
          <w:lang w:val="en-US" w:eastAsia="zh-CN"/>
        </w:rPr>
      </w:pPr>
    </w:p>
    <w:p w14:paraId="51E495DD">
      <w:pPr>
        <w:rPr>
          <w:rFonts w:hint="eastAsia"/>
          <w:i w:val="0"/>
          <w:iCs w:val="0"/>
          <w:color w:val="auto"/>
          <w:sz w:val="21"/>
          <w:szCs w:val="21"/>
          <w:highlight w:val="none"/>
          <w:lang w:val="en-US" w:eastAsia="zh-CN"/>
        </w:rPr>
      </w:pPr>
    </w:p>
    <w:p w14:paraId="1C7C01DE">
      <w:pPr>
        <w:rPr>
          <w:rFonts w:hint="eastAsia"/>
          <w:i w:val="0"/>
          <w:iCs w:val="0"/>
          <w:color w:val="auto"/>
          <w:sz w:val="21"/>
          <w:szCs w:val="21"/>
          <w:highlight w:val="none"/>
          <w:lang w:val="en-US" w:eastAsia="zh-CN"/>
        </w:rPr>
      </w:pPr>
    </w:p>
    <w:p w14:paraId="18317602">
      <w:pPr>
        <w:rPr>
          <w:rFonts w:hint="eastAsia"/>
          <w:i w:val="0"/>
          <w:iCs w:val="0"/>
          <w:color w:val="auto"/>
          <w:sz w:val="21"/>
          <w:szCs w:val="21"/>
          <w:highlight w:val="none"/>
          <w:lang w:val="en-US" w:eastAsia="zh-CN"/>
        </w:rPr>
      </w:pPr>
    </w:p>
    <w:p w14:paraId="3E2F185B">
      <w:pPr>
        <w:rPr>
          <w:rFonts w:hint="eastAsia"/>
          <w:i w:val="0"/>
          <w:iCs w:val="0"/>
          <w:color w:val="auto"/>
          <w:sz w:val="21"/>
          <w:szCs w:val="21"/>
          <w:highlight w:val="none"/>
          <w:lang w:val="en-US" w:eastAsia="zh-CN"/>
        </w:rPr>
      </w:pPr>
    </w:p>
    <w:p w14:paraId="3E8DDED3">
      <w:pPr>
        <w:rPr>
          <w:rFonts w:hint="eastAsia"/>
          <w:i w:val="0"/>
          <w:iCs w:val="0"/>
          <w:color w:val="auto"/>
          <w:sz w:val="21"/>
          <w:szCs w:val="21"/>
          <w:highlight w:val="none"/>
          <w:lang w:val="en-US" w:eastAsia="zh-CN"/>
        </w:rPr>
      </w:pPr>
    </w:p>
    <w:p w14:paraId="40A656FE">
      <w:pPr>
        <w:rPr>
          <w:rFonts w:hint="eastAsia"/>
          <w:i w:val="0"/>
          <w:iCs w:val="0"/>
          <w:color w:val="auto"/>
          <w:sz w:val="21"/>
          <w:szCs w:val="21"/>
          <w:highlight w:val="none"/>
          <w:lang w:val="en-US" w:eastAsia="zh-CN"/>
        </w:rPr>
      </w:pPr>
    </w:p>
    <w:p w14:paraId="4A7D7393">
      <w:pPr>
        <w:rPr>
          <w:rFonts w:hint="eastAsia"/>
          <w:i w:val="0"/>
          <w:iCs w:val="0"/>
          <w:color w:val="auto"/>
          <w:sz w:val="21"/>
          <w:szCs w:val="21"/>
          <w:highlight w:val="none"/>
          <w:lang w:val="en-US" w:eastAsia="zh-CN"/>
        </w:rPr>
      </w:pPr>
    </w:p>
    <w:p w14:paraId="3284967F">
      <w:pPr>
        <w:rPr>
          <w:rFonts w:hint="eastAsia"/>
          <w:i w:val="0"/>
          <w:iCs w:val="0"/>
          <w:color w:val="auto"/>
          <w:sz w:val="21"/>
          <w:szCs w:val="21"/>
          <w:highlight w:val="none"/>
          <w:lang w:val="en-US" w:eastAsia="zh-CN"/>
        </w:rPr>
      </w:pPr>
    </w:p>
    <w:p w14:paraId="372630DD">
      <w:pPr>
        <w:rPr>
          <w:rFonts w:hint="eastAsia"/>
          <w:i w:val="0"/>
          <w:iCs w:val="0"/>
          <w:color w:val="auto"/>
          <w:sz w:val="21"/>
          <w:szCs w:val="21"/>
          <w:highlight w:val="none"/>
          <w:lang w:val="en-US" w:eastAsia="zh-CN"/>
        </w:rPr>
      </w:pPr>
    </w:p>
    <w:p w14:paraId="0D0FAA6B">
      <w:pPr>
        <w:rPr>
          <w:rFonts w:hint="eastAsia"/>
          <w:i w:val="0"/>
          <w:iCs w:val="0"/>
          <w:color w:val="auto"/>
          <w:sz w:val="21"/>
          <w:szCs w:val="21"/>
          <w:highlight w:val="none"/>
          <w:lang w:val="en-US" w:eastAsia="zh-CN"/>
        </w:rPr>
      </w:pPr>
    </w:p>
    <w:p w14:paraId="3963D7BA">
      <w:pPr>
        <w:rPr>
          <w:rFonts w:hint="eastAsia"/>
          <w:i w:val="0"/>
          <w:iCs w:val="0"/>
          <w:color w:val="auto"/>
          <w:sz w:val="21"/>
          <w:szCs w:val="21"/>
          <w:highlight w:val="none"/>
          <w:lang w:val="en-US" w:eastAsia="zh-CN"/>
        </w:rPr>
      </w:pPr>
    </w:p>
    <w:p w14:paraId="3AE65777">
      <w:pPr>
        <w:rPr>
          <w:rFonts w:hint="eastAsia"/>
          <w:i w:val="0"/>
          <w:iCs w:val="0"/>
          <w:color w:val="auto"/>
          <w:sz w:val="21"/>
          <w:szCs w:val="21"/>
          <w:highlight w:val="none"/>
          <w:lang w:val="en-US" w:eastAsia="zh-CN"/>
        </w:rPr>
      </w:pPr>
    </w:p>
    <w:p w14:paraId="5E407624">
      <w:pPr>
        <w:rPr>
          <w:rFonts w:hint="eastAsia"/>
          <w:i w:val="0"/>
          <w:iCs w:val="0"/>
          <w:color w:val="auto"/>
          <w:sz w:val="21"/>
          <w:szCs w:val="21"/>
          <w:highlight w:val="none"/>
          <w:lang w:val="en-US" w:eastAsia="zh-CN"/>
        </w:rPr>
      </w:pPr>
    </w:p>
    <w:p w14:paraId="445CE097">
      <w:pPr>
        <w:rPr>
          <w:rFonts w:hint="eastAsia"/>
          <w:i w:val="0"/>
          <w:iCs w:val="0"/>
          <w:color w:val="auto"/>
          <w:sz w:val="21"/>
          <w:szCs w:val="21"/>
          <w:highlight w:val="none"/>
          <w:lang w:val="en-US" w:eastAsia="zh-CN"/>
        </w:rPr>
      </w:pPr>
    </w:p>
    <w:p w14:paraId="340400BB">
      <w:pPr>
        <w:rPr>
          <w:rFonts w:hint="eastAsia"/>
          <w:i w:val="0"/>
          <w:iCs w:val="0"/>
          <w:color w:val="auto"/>
          <w:sz w:val="21"/>
          <w:szCs w:val="21"/>
          <w:highlight w:val="none"/>
          <w:lang w:val="en-US" w:eastAsia="zh-CN"/>
        </w:rPr>
      </w:pPr>
    </w:p>
    <w:p w14:paraId="641B48DF">
      <w:pPr>
        <w:pStyle w:val="2"/>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i w:val="0"/>
          <w:iCs w:val="0"/>
          <w:color w:val="auto"/>
          <w:highlight w:val="none"/>
        </w:rPr>
      </w:pPr>
      <w:bookmarkStart w:id="473" w:name="_Toc17336"/>
      <w:r>
        <w:rPr>
          <w:rFonts w:hint="eastAsia" w:ascii="宋体" w:hAnsi="宋体" w:eastAsia="宋体" w:cs="宋体"/>
          <w:b/>
          <w:bCs/>
          <w:color w:val="auto"/>
          <w:kern w:val="44"/>
          <w:sz w:val="36"/>
          <w:szCs w:val="36"/>
          <w:highlight w:val="none"/>
          <w:lang w:val="en-US" w:eastAsia="zh-CN" w:bidi="ar-SA"/>
        </w:rPr>
        <w:t xml:space="preserve">第五章 </w:t>
      </w:r>
      <w:r>
        <w:rPr>
          <w:rFonts w:hint="eastAsia" w:ascii="宋体" w:hAnsi="宋体" w:eastAsia="宋体" w:cs="宋体"/>
          <w:b/>
          <w:bCs/>
          <w:color w:val="auto"/>
          <w:kern w:val="44"/>
          <w:sz w:val="36"/>
          <w:szCs w:val="36"/>
          <w:highlight w:val="none"/>
          <w:lang w:val="zh-CN" w:eastAsia="zh-CN" w:bidi="ar-SA"/>
        </w:rPr>
        <w:t>合同草案</w:t>
      </w:r>
      <w:bookmarkEnd w:id="473"/>
    </w:p>
    <w:p w14:paraId="0F73DEB3">
      <w:pPr>
        <w:wordWrap w:val="0"/>
        <w:spacing w:line="240" w:lineRule="auto"/>
        <w:ind w:firstLine="480" w:firstLineChars="200"/>
        <w:jc w:val="left"/>
        <w:rPr>
          <w:rFonts w:hint="eastAsia" w:ascii="宋体" w:hAnsi="宋体" w:eastAsia="宋体" w:cs="宋体"/>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snapToGrid w:val="0"/>
          <w:color w:val="auto"/>
          <w:kern w:val="0"/>
          <w:sz w:val="24"/>
          <w:szCs w:val="24"/>
          <w:highlight w:val="none"/>
        </w:rPr>
        <w:t>参考住房城乡建设部、原国家工商行政管理总局制定的《建设工程施工合同（示范文本）（GF-2017-0201）</w:t>
      </w:r>
      <w:r>
        <w:rPr>
          <w:rFonts w:hint="eastAsia" w:ascii="宋体" w:hAnsi="宋体" w:eastAsia="宋体" w:cs="宋体"/>
          <w:i w:val="0"/>
          <w:iCs w:val="0"/>
          <w:snapToGrid w:val="0"/>
          <w:color w:val="auto"/>
          <w:kern w:val="0"/>
          <w:sz w:val="24"/>
          <w:szCs w:val="24"/>
          <w:highlight w:val="none"/>
          <w:lang w:eastAsia="zh-CN"/>
        </w:rPr>
        <w:t>，</w:t>
      </w:r>
      <w:r>
        <w:rPr>
          <w:rFonts w:hint="eastAsia" w:ascii="宋体" w:hAnsi="宋体" w:eastAsia="宋体" w:cs="宋体"/>
          <w:i w:val="0"/>
          <w:iCs w:val="0"/>
          <w:color w:val="auto"/>
          <w:sz w:val="24"/>
          <w:szCs w:val="24"/>
          <w:highlight w:val="none"/>
        </w:rPr>
        <w:t>此合同书仅作为签订正式合同时的参考，正式合同书应包括本参考格式的内容</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 xml:space="preserve"> </w:t>
      </w:r>
    </w:p>
    <w:p w14:paraId="51E629DD">
      <w:pPr>
        <w:wordWrap w:val="0"/>
        <w:spacing w:line="240" w:lineRule="auto"/>
        <w:rPr>
          <w:bCs/>
          <w:i w:val="0"/>
          <w:iCs w:val="0"/>
          <w:color w:val="auto"/>
          <w:sz w:val="28"/>
          <w:szCs w:val="28"/>
          <w:highlight w:val="none"/>
        </w:rPr>
      </w:pPr>
      <w:r>
        <w:rPr>
          <w:rFonts w:hint="eastAsia" w:ascii="宋体" w:hAnsi="宋体" w:eastAsia="宋体" w:cs="宋体"/>
          <w:bCs/>
          <w:i w:val="0"/>
          <w:iCs w:val="0"/>
          <w:color w:val="auto"/>
          <w:sz w:val="24"/>
          <w:szCs w:val="24"/>
          <w:highlight w:val="none"/>
          <w:lang w:val="zh-CN"/>
        </w:rPr>
        <w:t>合同编号：</w:t>
      </w:r>
      <w:r>
        <w:rPr>
          <w:rFonts w:hint="eastAsia" w:ascii="宋体" w:hAnsi="宋体" w:eastAsia="宋体" w:cs="宋体"/>
          <w:bCs/>
          <w:i w:val="0"/>
          <w:iCs w:val="0"/>
          <w:color w:val="auto"/>
          <w:sz w:val="24"/>
          <w:szCs w:val="24"/>
          <w:highlight w:val="none"/>
          <w:u w:val="single"/>
        </w:rPr>
        <w:t xml:space="preserve">              </w:t>
      </w:r>
    </w:p>
    <w:p w14:paraId="5C1E293D">
      <w:pPr>
        <w:snapToGrid w:val="0"/>
        <w:spacing w:line="240" w:lineRule="auto"/>
        <w:ind w:firstLine="480" w:firstLineChars="200"/>
        <w:jc w:val="left"/>
        <w:rPr>
          <w:rFonts w:hint="eastAsia" w:ascii="宋体" w:hAnsi="宋体" w:eastAsia="宋体"/>
          <w:i w:val="0"/>
          <w:iCs w:val="0"/>
          <w:snapToGrid w:val="0"/>
          <w:color w:val="auto"/>
          <w:kern w:val="0"/>
          <w:sz w:val="24"/>
          <w:szCs w:val="20"/>
          <w:highlight w:val="none"/>
        </w:rPr>
      </w:pPr>
      <w:bookmarkStart w:id="474" w:name="_Toc3995"/>
    </w:p>
    <w:p w14:paraId="515E6EB0">
      <w:pPr>
        <w:keepNext/>
        <w:keepLines/>
        <w:numPr>
          <w:ilvl w:val="1"/>
          <w:numId w:val="0"/>
        </w:numPr>
        <w:snapToGrid w:val="0"/>
        <w:spacing w:before="100" w:line="360" w:lineRule="auto"/>
        <w:jc w:val="center"/>
        <w:rPr>
          <w:rFonts w:ascii="宋体" w:hAnsi="宋体" w:cs="宋体"/>
          <w:b/>
          <w:bCs/>
          <w:i w:val="0"/>
          <w:iCs w:val="0"/>
          <w:snapToGrid w:val="0"/>
          <w:color w:val="auto"/>
          <w:kern w:val="44"/>
          <w:sz w:val="36"/>
          <w:szCs w:val="36"/>
          <w:highlight w:val="none"/>
        </w:rPr>
      </w:pPr>
      <w:bookmarkStart w:id="475" w:name="_Toc97299497"/>
      <w:bookmarkStart w:id="476" w:name="_Toc32130"/>
      <w:r>
        <w:rPr>
          <w:rFonts w:hint="eastAsia" w:ascii="宋体" w:hAnsi="宋体" w:cs="宋体"/>
          <w:b/>
          <w:bCs/>
          <w:i w:val="0"/>
          <w:iCs w:val="0"/>
          <w:snapToGrid w:val="0"/>
          <w:color w:val="auto"/>
          <w:kern w:val="44"/>
          <w:sz w:val="36"/>
          <w:szCs w:val="36"/>
          <w:highlight w:val="none"/>
        </w:rPr>
        <w:t>第一部分  合同协议书</w:t>
      </w:r>
      <w:bookmarkEnd w:id="475"/>
      <w:bookmarkEnd w:id="476"/>
    </w:p>
    <w:p w14:paraId="7F33F97F">
      <w:pPr>
        <w:snapToGrid w:val="0"/>
        <w:spacing w:line="360" w:lineRule="auto"/>
        <w:ind w:firstLine="470" w:firstLineChars="196"/>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发包人（全称）：</w:t>
      </w:r>
      <w:r>
        <w:rPr>
          <w:rFonts w:hint="eastAsia" w:ascii="宋体" w:hAnsi="宋体" w:cs="宋体"/>
          <w:i w:val="0"/>
          <w:iCs w:val="0"/>
          <w:snapToGrid w:val="0"/>
          <w:color w:val="auto"/>
          <w:kern w:val="0"/>
          <w:sz w:val="24"/>
          <w:highlight w:val="none"/>
          <w:u w:val="single"/>
        </w:rPr>
        <w:t xml:space="preserve">    </w:t>
      </w:r>
      <w:bookmarkStart w:id="477" w:name="SOA_hhxys_fbr"/>
      <w:r>
        <w:rPr>
          <w:rFonts w:hint="eastAsia" w:ascii="宋体" w:hAnsi="宋体" w:cs="宋体"/>
          <w:i w:val="0"/>
          <w:iCs w:val="0"/>
          <w:snapToGrid w:val="0"/>
          <w:color w:val="auto"/>
          <w:kern w:val="0"/>
          <w:sz w:val="24"/>
          <w:highlight w:val="none"/>
          <w:u w:val="single"/>
        </w:rPr>
        <w:t xml:space="preserve">                  </w:t>
      </w:r>
      <w:bookmarkEnd w:id="477"/>
      <w:r>
        <w:rPr>
          <w:rFonts w:hint="eastAsia" w:ascii="宋体" w:hAnsi="宋体" w:cs="宋体"/>
          <w:i w:val="0"/>
          <w:iCs w:val="0"/>
          <w:snapToGrid w:val="0"/>
          <w:color w:val="auto"/>
          <w:kern w:val="0"/>
          <w:sz w:val="24"/>
          <w:highlight w:val="none"/>
          <w:u w:val="single"/>
        </w:rPr>
        <w:t xml:space="preserve"> </w:t>
      </w:r>
    </w:p>
    <w:p w14:paraId="38EF0FE7">
      <w:pPr>
        <w:snapToGrid w:val="0"/>
        <w:spacing w:line="360" w:lineRule="auto"/>
        <w:ind w:firstLine="470" w:firstLineChars="196"/>
        <w:rPr>
          <w:rFonts w:ascii="宋体" w:hAnsi="宋体" w:cs="宋体"/>
          <w:b/>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承包人（全称）：</w:t>
      </w:r>
      <w:r>
        <w:rPr>
          <w:rFonts w:hint="eastAsia" w:ascii="宋体" w:hAnsi="宋体" w:cs="宋体"/>
          <w:i w:val="0"/>
          <w:iCs w:val="0"/>
          <w:snapToGrid w:val="0"/>
          <w:color w:val="auto"/>
          <w:kern w:val="0"/>
          <w:sz w:val="24"/>
          <w:highlight w:val="none"/>
          <w:u w:val="single"/>
        </w:rPr>
        <w:t xml:space="preserve">                  </w:t>
      </w:r>
      <w:bookmarkStart w:id="478" w:name="SOA_hhxys_cbr"/>
      <w:r>
        <w:rPr>
          <w:rFonts w:hint="eastAsia" w:ascii="宋体" w:hAnsi="宋体" w:cs="宋体"/>
          <w:i w:val="0"/>
          <w:iCs w:val="0"/>
          <w:snapToGrid w:val="0"/>
          <w:color w:val="auto"/>
          <w:kern w:val="0"/>
          <w:sz w:val="24"/>
          <w:highlight w:val="none"/>
          <w:u w:val="single"/>
        </w:rPr>
        <w:t xml:space="preserve">  </w:t>
      </w:r>
      <w:r>
        <w:rPr>
          <w:rFonts w:hint="eastAsia" w:ascii="宋体" w:hAnsi="宋体" w:cs="宋体"/>
          <w:b/>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u w:val="single"/>
        </w:rPr>
        <w:t xml:space="preserve">    </w:t>
      </w:r>
      <w:bookmarkEnd w:id="478"/>
      <w:r>
        <w:rPr>
          <w:rFonts w:hint="eastAsia" w:ascii="宋体" w:hAnsi="宋体" w:cs="宋体"/>
          <w:i w:val="0"/>
          <w:iCs w:val="0"/>
          <w:snapToGrid w:val="0"/>
          <w:color w:val="auto"/>
          <w:kern w:val="0"/>
          <w:sz w:val="24"/>
          <w:highlight w:val="none"/>
          <w:u w:val="single"/>
        </w:rPr>
        <w:t xml:space="preserve">   </w:t>
      </w:r>
    </w:p>
    <w:p w14:paraId="47424FF0">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根据《中华人民共和国民法典》、《中华人民共和国建筑法》及有关法律规定，遵循平等、自愿、公平和诚实信用的原则，双方就</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工程施工及有关事项协商一致，共同达成如下协议：</w:t>
      </w:r>
    </w:p>
    <w:p w14:paraId="19628630">
      <w:pPr>
        <w:snapToGrid w:val="0"/>
        <w:spacing w:before="24" w:beforeLines="10" w:after="24" w:afterLines="10" w:line="360" w:lineRule="auto"/>
        <w:outlineLvl w:val="1"/>
        <w:rPr>
          <w:rFonts w:ascii="宋体" w:hAnsi="宋体" w:cs="宋体"/>
          <w:b/>
          <w:bCs/>
          <w:i w:val="0"/>
          <w:iCs w:val="0"/>
          <w:snapToGrid w:val="0"/>
          <w:color w:val="auto"/>
          <w:kern w:val="0"/>
          <w:sz w:val="24"/>
          <w:highlight w:val="none"/>
        </w:rPr>
      </w:pPr>
      <w:bookmarkStart w:id="479" w:name="_Toc361220410"/>
      <w:bookmarkStart w:id="480" w:name="_Toc97299498"/>
      <w:bookmarkStart w:id="481" w:name="_Toc21153"/>
      <w:r>
        <w:rPr>
          <w:rFonts w:hint="eastAsia" w:ascii="宋体" w:hAnsi="宋体" w:cs="宋体"/>
          <w:b/>
          <w:bCs/>
          <w:i w:val="0"/>
          <w:iCs w:val="0"/>
          <w:snapToGrid w:val="0"/>
          <w:color w:val="auto"/>
          <w:kern w:val="0"/>
          <w:sz w:val="24"/>
          <w:highlight w:val="none"/>
        </w:rPr>
        <w:t>一、工程概况</w:t>
      </w:r>
      <w:bookmarkEnd w:id="479"/>
      <w:bookmarkEnd w:id="480"/>
      <w:bookmarkEnd w:id="481"/>
    </w:p>
    <w:p w14:paraId="09411BC5">
      <w:pPr>
        <w:snapToGrid w:val="0"/>
        <w:spacing w:line="360" w:lineRule="auto"/>
        <w:ind w:firstLine="470" w:firstLineChars="196"/>
        <w:rPr>
          <w:rFonts w:ascii="宋体" w:hAnsi="宋体" w:cs="宋体"/>
          <w:i w:val="0"/>
          <w:iCs w:val="0"/>
          <w:snapToGrid w:val="0"/>
          <w:color w:val="auto"/>
          <w:kern w:val="0"/>
          <w:sz w:val="24"/>
          <w:highlight w:val="none"/>
          <w:u w:val="single"/>
        </w:rPr>
      </w:pPr>
      <w:r>
        <w:rPr>
          <w:rFonts w:hint="eastAsia" w:ascii="宋体" w:hAnsi="宋体" w:cs="宋体"/>
          <w:bCs/>
          <w:i w:val="0"/>
          <w:iCs w:val="0"/>
          <w:snapToGrid w:val="0"/>
          <w:color w:val="auto"/>
          <w:kern w:val="0"/>
          <w:sz w:val="24"/>
          <w:highlight w:val="none"/>
        </w:rPr>
        <w:t>1.工程名称</w:t>
      </w:r>
      <w:r>
        <w:rPr>
          <w:rFonts w:hint="eastAsia" w:ascii="宋体" w:hAnsi="宋体" w:cs="宋体"/>
          <w:i w:val="0"/>
          <w:iCs w:val="0"/>
          <w:snapToGrid w:val="0"/>
          <w:color w:val="auto"/>
          <w:kern w:val="0"/>
          <w:sz w:val="24"/>
          <w:highlight w:val="none"/>
        </w:rPr>
        <w:t>：</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w:t>
      </w:r>
    </w:p>
    <w:p w14:paraId="5DE332EB">
      <w:pPr>
        <w:snapToGrid w:val="0"/>
        <w:spacing w:line="360" w:lineRule="auto"/>
        <w:ind w:firstLine="470" w:firstLineChars="196"/>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2.工程地点：</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w:t>
      </w:r>
    </w:p>
    <w:p w14:paraId="59121CED">
      <w:pPr>
        <w:snapToGrid w:val="0"/>
        <w:spacing w:line="360" w:lineRule="auto"/>
        <w:ind w:firstLine="470" w:firstLineChars="196"/>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3.工程立项批准文号：</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w:t>
      </w:r>
    </w:p>
    <w:p w14:paraId="405FCAF8">
      <w:pPr>
        <w:snapToGrid w:val="0"/>
        <w:spacing w:line="360" w:lineRule="auto"/>
        <w:ind w:firstLine="470" w:firstLineChars="196"/>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4.资金来源：</w:t>
      </w:r>
      <w:r>
        <w:rPr>
          <w:rFonts w:hint="eastAsia" w:ascii="宋体" w:hAnsi="宋体" w:cs="宋体"/>
          <w:i w:val="0"/>
          <w:iCs w:val="0"/>
          <w:snapToGrid w:val="0"/>
          <w:color w:val="auto"/>
          <w:kern w:val="0"/>
          <w:sz w:val="24"/>
          <w:highlight w:val="none"/>
          <w:u w:val="single"/>
        </w:rPr>
        <w:t>        </w:t>
      </w:r>
      <w:r>
        <w:rPr>
          <w:rFonts w:hint="eastAsia" w:ascii="宋体" w:hAnsi="宋体" w:cs="宋体"/>
          <w:bCs/>
          <w:i w:val="0"/>
          <w:iCs w:val="0"/>
          <w:snapToGrid w:val="0"/>
          <w:color w:val="auto"/>
          <w:kern w:val="0"/>
          <w:sz w:val="24"/>
          <w:highlight w:val="none"/>
        </w:rPr>
        <w:t>。</w:t>
      </w:r>
    </w:p>
    <w:p w14:paraId="4C2AA162">
      <w:pPr>
        <w:snapToGrid w:val="0"/>
        <w:spacing w:line="360" w:lineRule="auto"/>
        <w:ind w:firstLine="463" w:firstLineChars="193"/>
        <w:rPr>
          <w:rFonts w:ascii="宋体" w:hAnsi="宋体" w:cs="宋体"/>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 xml:space="preserve">5.工程内容：                           </w:t>
      </w:r>
      <w:r>
        <w:rPr>
          <w:rFonts w:hint="eastAsia" w:ascii="宋体" w:hAnsi="宋体" w:cs="宋体"/>
          <w:i w:val="0"/>
          <w:iCs w:val="0"/>
          <w:snapToGrid w:val="0"/>
          <w:color w:val="auto"/>
          <w:kern w:val="0"/>
          <w:sz w:val="24"/>
          <w:highlight w:val="none"/>
        </w:rPr>
        <w:t xml:space="preserve"> </w:t>
      </w:r>
    </w:p>
    <w:p w14:paraId="3EE9B044">
      <w:pPr>
        <w:snapToGrid w:val="0"/>
        <w:spacing w:line="360" w:lineRule="auto"/>
        <w:ind w:firstLine="470" w:firstLineChars="196"/>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6.工程承包范围：</w:t>
      </w:r>
    </w:p>
    <w:p w14:paraId="01ACADCB">
      <w:pPr>
        <w:snapToGrid w:val="0"/>
        <w:spacing w:line="360" w:lineRule="auto"/>
        <w:outlineLvl w:val="1"/>
        <w:rPr>
          <w:rFonts w:ascii="宋体" w:hAnsi="宋体" w:cs="宋体"/>
          <w:b/>
          <w:bCs/>
          <w:i w:val="0"/>
          <w:iCs w:val="0"/>
          <w:snapToGrid w:val="0"/>
          <w:color w:val="auto"/>
          <w:kern w:val="0"/>
          <w:sz w:val="24"/>
          <w:highlight w:val="none"/>
        </w:rPr>
      </w:pPr>
      <w:bookmarkStart w:id="482" w:name="_Toc97299499"/>
      <w:bookmarkStart w:id="483" w:name="_Toc15307"/>
      <w:bookmarkStart w:id="484" w:name="_Toc361220411"/>
      <w:r>
        <w:rPr>
          <w:rFonts w:hint="eastAsia" w:ascii="宋体" w:hAnsi="宋体" w:cs="宋体"/>
          <w:b/>
          <w:bCs/>
          <w:i w:val="0"/>
          <w:iCs w:val="0"/>
          <w:snapToGrid w:val="0"/>
          <w:color w:val="auto"/>
          <w:kern w:val="0"/>
          <w:sz w:val="24"/>
          <w:highlight w:val="none"/>
        </w:rPr>
        <w:t>二、合同工期</w:t>
      </w:r>
      <w:bookmarkEnd w:id="482"/>
      <w:bookmarkEnd w:id="483"/>
      <w:bookmarkEnd w:id="484"/>
    </w:p>
    <w:p w14:paraId="152C4E24">
      <w:pPr>
        <w:snapToGrid w:val="0"/>
        <w:spacing w:line="360" w:lineRule="auto"/>
        <w:ind w:firstLine="459"/>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计划开工日期：</w:t>
      </w:r>
      <w:r>
        <w:rPr>
          <w:rFonts w:hint="eastAsia" w:cs="宋体"/>
          <w:i w:val="0"/>
          <w:iCs w:val="0"/>
          <w:snapToGrid w:val="0"/>
          <w:color w:val="auto"/>
          <w:kern w:val="0"/>
          <w:sz w:val="24"/>
          <w:highlight w:val="none"/>
          <w:u w:val="single"/>
          <w:lang w:val="en-US" w:eastAsia="zh-CN"/>
        </w:rPr>
        <w:t xml:space="preserve">   </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年</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月</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日；</w:t>
      </w:r>
    </w:p>
    <w:p w14:paraId="45FA3E38">
      <w:pPr>
        <w:snapToGrid w:val="0"/>
        <w:spacing w:line="360" w:lineRule="auto"/>
        <w:ind w:firstLine="459"/>
        <w:rPr>
          <w:rFonts w:ascii="宋体" w:hAnsi="宋体" w:cs="宋体"/>
          <w:i w:val="0"/>
          <w:iCs w:val="0"/>
          <w:snapToGrid w:val="0"/>
          <w:color w:val="auto"/>
          <w:kern w:val="0"/>
          <w:sz w:val="24"/>
          <w:highlight w:val="none"/>
        </w:rPr>
      </w:pPr>
      <w:bookmarkStart w:id="485" w:name="SOA_hhxys_jgn"/>
      <w:r>
        <w:rPr>
          <w:rFonts w:hint="eastAsia" w:ascii="宋体" w:hAnsi="宋体" w:cs="宋体"/>
          <w:i w:val="0"/>
          <w:iCs w:val="0"/>
          <w:snapToGrid w:val="0"/>
          <w:color w:val="auto"/>
          <w:kern w:val="0"/>
          <w:sz w:val="24"/>
          <w:highlight w:val="none"/>
        </w:rPr>
        <w:t>计划竣工日期：</w:t>
      </w:r>
      <w:r>
        <w:rPr>
          <w:rFonts w:hint="eastAsia" w:cs="宋体"/>
          <w:i w:val="0"/>
          <w:iCs w:val="0"/>
          <w:snapToGrid w:val="0"/>
          <w:color w:val="auto"/>
          <w:kern w:val="0"/>
          <w:sz w:val="24"/>
          <w:highlight w:val="none"/>
          <w:u w:val="single"/>
          <w:lang w:val="en-US" w:eastAsia="zh-CN"/>
        </w:rPr>
        <w:t xml:space="preserve">   </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年</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月</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日；</w:t>
      </w:r>
      <w:bookmarkEnd w:id="485"/>
    </w:p>
    <w:p w14:paraId="407B3DD0">
      <w:pPr>
        <w:snapToGrid w:val="0"/>
        <w:spacing w:line="360" w:lineRule="auto"/>
        <w:ind w:firstLine="459"/>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工期总日历天数：</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天。工期总日历天数与根据前述计划开竣工日期计算的工期天数不一致的，以工期总日历天数为准。</w:t>
      </w:r>
    </w:p>
    <w:p w14:paraId="46F2E2FB">
      <w:pPr>
        <w:snapToGrid w:val="0"/>
        <w:spacing w:line="360" w:lineRule="auto"/>
        <w:outlineLvl w:val="1"/>
        <w:rPr>
          <w:rFonts w:ascii="宋体" w:hAnsi="宋体" w:cs="宋体"/>
          <w:b/>
          <w:bCs/>
          <w:i w:val="0"/>
          <w:iCs w:val="0"/>
          <w:snapToGrid w:val="0"/>
          <w:color w:val="auto"/>
          <w:kern w:val="0"/>
          <w:sz w:val="24"/>
          <w:highlight w:val="none"/>
        </w:rPr>
      </w:pPr>
      <w:bookmarkStart w:id="486" w:name="_Toc28874"/>
      <w:bookmarkStart w:id="487" w:name="_Toc361220412"/>
      <w:bookmarkStart w:id="488" w:name="_Toc97299500"/>
      <w:r>
        <w:rPr>
          <w:rFonts w:hint="eastAsia" w:ascii="宋体" w:hAnsi="宋体" w:cs="宋体"/>
          <w:b/>
          <w:bCs/>
          <w:i w:val="0"/>
          <w:iCs w:val="0"/>
          <w:snapToGrid w:val="0"/>
          <w:color w:val="auto"/>
          <w:kern w:val="0"/>
          <w:sz w:val="24"/>
          <w:highlight w:val="none"/>
        </w:rPr>
        <w:t>三、质量标准</w:t>
      </w:r>
      <w:bookmarkEnd w:id="486"/>
      <w:bookmarkEnd w:id="487"/>
      <w:bookmarkEnd w:id="488"/>
    </w:p>
    <w:p w14:paraId="0F052729">
      <w:pPr>
        <w:snapToGrid w:val="0"/>
        <w:spacing w:line="360" w:lineRule="auto"/>
        <w:ind w:firstLine="459"/>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工程质量符合</w:t>
      </w:r>
      <w:r>
        <w:rPr>
          <w:rFonts w:hint="eastAsia" w:ascii="宋体" w:hAnsi="宋体" w:cs="宋体"/>
          <w:i w:val="0"/>
          <w:iCs w:val="0"/>
          <w:snapToGrid w:val="0"/>
          <w:color w:val="auto"/>
          <w:kern w:val="0"/>
          <w:sz w:val="24"/>
          <w:highlight w:val="none"/>
          <w:u w:val="single"/>
        </w:rPr>
        <w:t></w:t>
      </w:r>
      <w:bookmarkStart w:id="489" w:name="SOA_hhxys_zlbz"/>
      <w:r>
        <w:rPr>
          <w:rFonts w:hint="eastAsia" w:ascii="宋体" w:hAnsi="宋体" w:cs="宋体"/>
          <w:i w:val="0"/>
          <w:iCs w:val="0"/>
          <w:snapToGrid w:val="0"/>
          <w:color w:val="auto"/>
          <w:kern w:val="0"/>
          <w:sz w:val="24"/>
          <w:highlight w:val="none"/>
          <w:u w:val="single"/>
        </w:rPr>
        <w:t xml:space="preserve">       </w:t>
      </w:r>
      <w:bookmarkEnd w:id="489"/>
      <w:r>
        <w:rPr>
          <w:rFonts w:hint="eastAsia" w:ascii="宋体" w:hAnsi="宋体" w:cs="宋体"/>
          <w:i w:val="0"/>
          <w:iCs w:val="0"/>
          <w:snapToGrid w:val="0"/>
          <w:color w:val="auto"/>
          <w:kern w:val="0"/>
          <w:sz w:val="24"/>
          <w:highlight w:val="none"/>
          <w:u w:val="single"/>
        </w:rPr>
        <w:t></w:t>
      </w:r>
      <w:r>
        <w:rPr>
          <w:rFonts w:hint="eastAsia" w:ascii="宋体" w:hAnsi="宋体" w:cs="宋体"/>
          <w:i w:val="0"/>
          <w:iCs w:val="0"/>
          <w:snapToGrid w:val="0"/>
          <w:color w:val="auto"/>
          <w:kern w:val="0"/>
          <w:sz w:val="24"/>
          <w:highlight w:val="none"/>
        </w:rPr>
        <w:t>标准。</w:t>
      </w:r>
    </w:p>
    <w:p w14:paraId="394C2841">
      <w:pPr>
        <w:snapToGrid w:val="0"/>
        <w:spacing w:line="360" w:lineRule="auto"/>
        <w:outlineLvl w:val="1"/>
        <w:rPr>
          <w:rFonts w:ascii="宋体" w:hAnsi="宋体" w:cs="宋体"/>
          <w:b/>
          <w:bCs/>
          <w:i w:val="0"/>
          <w:iCs w:val="0"/>
          <w:snapToGrid w:val="0"/>
          <w:color w:val="auto"/>
          <w:kern w:val="0"/>
          <w:sz w:val="24"/>
          <w:highlight w:val="none"/>
        </w:rPr>
      </w:pPr>
      <w:bookmarkStart w:id="490" w:name="_Toc97299501"/>
      <w:bookmarkStart w:id="491" w:name="_Toc361220413"/>
      <w:bookmarkStart w:id="492" w:name="_Toc10697"/>
      <w:r>
        <w:rPr>
          <w:rFonts w:hint="eastAsia" w:ascii="宋体" w:hAnsi="宋体" w:cs="宋体"/>
          <w:b/>
          <w:bCs/>
          <w:i w:val="0"/>
          <w:iCs w:val="0"/>
          <w:snapToGrid w:val="0"/>
          <w:color w:val="auto"/>
          <w:kern w:val="0"/>
          <w:sz w:val="24"/>
          <w:highlight w:val="none"/>
        </w:rPr>
        <w:t>四、签约合同价与合同价格形式</w:t>
      </w:r>
      <w:bookmarkEnd w:id="490"/>
      <w:bookmarkEnd w:id="491"/>
      <w:bookmarkEnd w:id="492"/>
    </w:p>
    <w:p w14:paraId="73B3EAD9">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1.签约合同价为：</w:t>
      </w:r>
    </w:p>
    <w:p w14:paraId="79A46C83">
      <w:pPr>
        <w:snapToGrid w:val="0"/>
        <w:spacing w:line="360" w:lineRule="auto"/>
        <w:ind w:firstLine="600" w:firstLineChars="25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人民币（大写）</w:t>
      </w:r>
      <w:bookmarkStart w:id="493" w:name="SOA_hhxys_htjdx"/>
      <w:r>
        <w:rPr>
          <w:rFonts w:hint="eastAsia" w:ascii="宋体" w:hAnsi="宋体" w:cs="宋体"/>
          <w:i w:val="0"/>
          <w:iCs w:val="0"/>
          <w:snapToGrid w:val="0"/>
          <w:color w:val="auto"/>
          <w:kern w:val="0"/>
          <w:sz w:val="24"/>
          <w:highlight w:val="none"/>
          <w:u w:val="single"/>
        </w:rPr>
        <w:t xml:space="preserve">                   </w:t>
      </w:r>
      <w:bookmarkEnd w:id="493"/>
      <w:r>
        <w:rPr>
          <w:rFonts w:hint="eastAsia" w:ascii="宋体" w:hAnsi="宋体" w:cs="宋体"/>
          <w:i w:val="0"/>
          <w:iCs w:val="0"/>
          <w:snapToGrid w:val="0"/>
          <w:color w:val="auto"/>
          <w:kern w:val="0"/>
          <w:sz w:val="24"/>
          <w:highlight w:val="none"/>
        </w:rPr>
        <w:t>(¥</w:t>
      </w:r>
      <w:r>
        <w:rPr>
          <w:rFonts w:hint="eastAsia" w:ascii="宋体" w:hAnsi="宋体" w:cs="宋体"/>
          <w:i w:val="0"/>
          <w:iCs w:val="0"/>
          <w:snapToGrid w:val="0"/>
          <w:color w:val="auto"/>
          <w:kern w:val="0"/>
          <w:sz w:val="24"/>
          <w:highlight w:val="none"/>
          <w:u w:val="single"/>
        </w:rPr>
        <w:t xml:space="preserve"> </w:t>
      </w:r>
      <w:bookmarkStart w:id="494" w:name="SOA_hhxys_htjxx"/>
      <w:r>
        <w:rPr>
          <w:rFonts w:hint="eastAsia" w:ascii="宋体" w:hAnsi="宋体" w:cs="宋体"/>
          <w:i w:val="0"/>
          <w:iCs w:val="0"/>
          <w:snapToGrid w:val="0"/>
          <w:color w:val="auto"/>
          <w:kern w:val="0"/>
          <w:sz w:val="24"/>
          <w:highlight w:val="none"/>
          <w:u w:val="single"/>
        </w:rPr>
        <w:t xml:space="preserve">            </w:t>
      </w:r>
      <w:bookmarkEnd w:id="494"/>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元)；</w:t>
      </w:r>
    </w:p>
    <w:p w14:paraId="39AEEDD2">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其中：</w:t>
      </w:r>
    </w:p>
    <w:p w14:paraId="62DB156E">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（1）安全文明施工费：</w:t>
      </w:r>
    </w:p>
    <w:p w14:paraId="0978259E">
      <w:pPr>
        <w:snapToGrid w:val="0"/>
        <w:spacing w:line="360" w:lineRule="auto"/>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 xml:space="preserve">     </w:t>
      </w:r>
      <w:r>
        <w:rPr>
          <w:rFonts w:hint="eastAsia" w:cs="宋体"/>
          <w:i w:val="0"/>
          <w:iCs w:val="0"/>
          <w:snapToGrid w:val="0"/>
          <w:color w:val="auto"/>
          <w:kern w:val="0"/>
          <w:sz w:val="24"/>
          <w:highlight w:val="none"/>
          <w:lang w:val="en-US" w:eastAsia="zh-CN"/>
        </w:rPr>
        <w:t xml:space="preserve">    </w:t>
      </w:r>
      <w:r>
        <w:rPr>
          <w:rFonts w:hint="eastAsia" w:ascii="宋体" w:hAnsi="宋体" w:cs="宋体"/>
          <w:i w:val="0"/>
          <w:iCs w:val="0"/>
          <w:snapToGrid w:val="0"/>
          <w:color w:val="auto"/>
          <w:kern w:val="0"/>
          <w:sz w:val="24"/>
          <w:highlight w:val="none"/>
        </w:rPr>
        <w:t>人民币（大写）</w:t>
      </w:r>
      <w:bookmarkStart w:id="495" w:name="SOA_hhxys_wmsgfdx"/>
      <w:r>
        <w:rPr>
          <w:rFonts w:hint="eastAsia" w:ascii="宋体" w:hAnsi="宋体" w:cs="宋体"/>
          <w:i w:val="0"/>
          <w:iCs w:val="0"/>
          <w:snapToGrid w:val="0"/>
          <w:color w:val="auto"/>
          <w:kern w:val="0"/>
          <w:sz w:val="24"/>
          <w:highlight w:val="none"/>
          <w:u w:val="single"/>
        </w:rPr>
        <w:t xml:space="preserve">                </w:t>
      </w:r>
      <w:bookmarkEnd w:id="495"/>
      <w:r>
        <w:rPr>
          <w:rFonts w:hint="eastAsia" w:ascii="宋体" w:hAnsi="宋体" w:cs="宋体"/>
          <w:i w:val="0"/>
          <w:iCs w:val="0"/>
          <w:snapToGrid w:val="0"/>
          <w:color w:val="auto"/>
          <w:kern w:val="0"/>
          <w:sz w:val="24"/>
          <w:highlight w:val="none"/>
        </w:rPr>
        <w:t>(¥</w:t>
      </w:r>
      <w:bookmarkStart w:id="496" w:name="SOA_hhxys_wmsgfxx"/>
      <w:r>
        <w:rPr>
          <w:rFonts w:hint="eastAsia" w:ascii="宋体" w:hAnsi="宋体" w:cs="宋体"/>
          <w:i w:val="0"/>
          <w:iCs w:val="0"/>
          <w:snapToGrid w:val="0"/>
          <w:color w:val="auto"/>
          <w:kern w:val="0"/>
          <w:sz w:val="24"/>
          <w:highlight w:val="none"/>
          <w:u w:val="single"/>
        </w:rPr>
        <w:t xml:space="preserve">                  </w:t>
      </w:r>
      <w:bookmarkEnd w:id="496"/>
      <w:r>
        <w:rPr>
          <w:rFonts w:hint="eastAsia" w:ascii="宋体" w:hAnsi="宋体" w:cs="宋体"/>
          <w:i w:val="0"/>
          <w:iCs w:val="0"/>
          <w:snapToGrid w:val="0"/>
          <w:color w:val="auto"/>
          <w:kern w:val="0"/>
          <w:sz w:val="24"/>
          <w:highlight w:val="none"/>
        </w:rPr>
        <w:t>元)；</w:t>
      </w:r>
    </w:p>
    <w:p w14:paraId="3BC2C1B8">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（2）材料和工程设备暂估价金额：</w:t>
      </w:r>
    </w:p>
    <w:p w14:paraId="0F60F132">
      <w:pPr>
        <w:snapToGrid w:val="0"/>
        <w:spacing w:line="360" w:lineRule="auto"/>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 xml:space="preserve">     </w:t>
      </w:r>
      <w:r>
        <w:rPr>
          <w:rFonts w:hint="eastAsia" w:cs="宋体"/>
          <w:i w:val="0"/>
          <w:iCs w:val="0"/>
          <w:snapToGrid w:val="0"/>
          <w:color w:val="auto"/>
          <w:kern w:val="0"/>
          <w:sz w:val="24"/>
          <w:highlight w:val="none"/>
          <w:lang w:val="en-US" w:eastAsia="zh-CN"/>
        </w:rPr>
        <w:t xml:space="preserve">    </w:t>
      </w:r>
      <w:r>
        <w:rPr>
          <w:rFonts w:hint="eastAsia" w:ascii="宋体" w:hAnsi="宋体" w:cs="宋体"/>
          <w:i w:val="0"/>
          <w:iCs w:val="0"/>
          <w:snapToGrid w:val="0"/>
          <w:color w:val="auto"/>
          <w:kern w:val="0"/>
          <w:sz w:val="24"/>
          <w:highlight w:val="none"/>
        </w:rPr>
        <w:t>人民币（大写）</w:t>
      </w:r>
      <w:bookmarkStart w:id="497" w:name="SOA_hhxys_sbzgjdx"/>
      <w:r>
        <w:rPr>
          <w:rFonts w:hint="eastAsia" w:ascii="宋体" w:hAnsi="宋体" w:cs="宋体"/>
          <w:i w:val="0"/>
          <w:iCs w:val="0"/>
          <w:snapToGrid w:val="0"/>
          <w:color w:val="auto"/>
          <w:kern w:val="0"/>
          <w:sz w:val="24"/>
          <w:highlight w:val="none"/>
          <w:u w:val="single"/>
        </w:rPr>
        <w:t xml:space="preserve">       </w:t>
      </w:r>
      <w:bookmarkEnd w:id="497"/>
      <w:r>
        <w:rPr>
          <w:rFonts w:hint="eastAsia" w:ascii="宋体" w:hAnsi="宋体" w:cs="宋体"/>
          <w:i w:val="0"/>
          <w:iCs w:val="0"/>
          <w:snapToGrid w:val="0"/>
          <w:color w:val="auto"/>
          <w:kern w:val="0"/>
          <w:sz w:val="24"/>
          <w:highlight w:val="none"/>
        </w:rPr>
        <w:t>(¥</w:t>
      </w:r>
      <w:bookmarkStart w:id="498" w:name="SOA_hhxys_sbzgjxx"/>
      <w:r>
        <w:rPr>
          <w:rFonts w:hint="eastAsia" w:ascii="宋体" w:hAnsi="宋体" w:cs="宋体"/>
          <w:i w:val="0"/>
          <w:iCs w:val="0"/>
          <w:snapToGrid w:val="0"/>
          <w:color w:val="auto"/>
          <w:kern w:val="0"/>
          <w:sz w:val="24"/>
          <w:highlight w:val="none"/>
          <w:u w:val="single"/>
        </w:rPr>
        <w:t xml:space="preserve">      </w:t>
      </w:r>
      <w:bookmarkEnd w:id="498"/>
      <w:r>
        <w:rPr>
          <w:rFonts w:hint="eastAsia" w:ascii="宋体" w:hAnsi="宋体" w:cs="宋体"/>
          <w:i w:val="0"/>
          <w:iCs w:val="0"/>
          <w:snapToGrid w:val="0"/>
          <w:color w:val="auto"/>
          <w:kern w:val="0"/>
          <w:sz w:val="24"/>
          <w:highlight w:val="none"/>
        </w:rPr>
        <w:t>元)；</w:t>
      </w:r>
    </w:p>
    <w:p w14:paraId="57398F34">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（3）专业工程暂估价金额：</w:t>
      </w:r>
    </w:p>
    <w:p w14:paraId="0ED52EE4">
      <w:pPr>
        <w:snapToGrid w:val="0"/>
        <w:spacing w:line="360" w:lineRule="auto"/>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 xml:space="preserve">     </w:t>
      </w:r>
      <w:r>
        <w:rPr>
          <w:rFonts w:hint="eastAsia" w:cs="宋体"/>
          <w:i w:val="0"/>
          <w:iCs w:val="0"/>
          <w:snapToGrid w:val="0"/>
          <w:color w:val="auto"/>
          <w:kern w:val="0"/>
          <w:sz w:val="24"/>
          <w:highlight w:val="none"/>
          <w:lang w:val="en-US" w:eastAsia="zh-CN"/>
        </w:rPr>
        <w:t xml:space="preserve">    </w:t>
      </w:r>
      <w:r>
        <w:rPr>
          <w:rFonts w:hint="eastAsia" w:ascii="宋体" w:hAnsi="宋体" w:cs="宋体"/>
          <w:i w:val="0"/>
          <w:iCs w:val="0"/>
          <w:snapToGrid w:val="0"/>
          <w:color w:val="auto"/>
          <w:kern w:val="0"/>
          <w:sz w:val="24"/>
          <w:highlight w:val="none"/>
        </w:rPr>
        <w:t>人民币（大写）</w:t>
      </w:r>
      <w:bookmarkStart w:id="499" w:name="SOA_hhxys_gczgjdx"/>
      <w:r>
        <w:rPr>
          <w:rFonts w:hint="eastAsia" w:ascii="宋体" w:hAnsi="宋体" w:cs="宋体"/>
          <w:i w:val="0"/>
          <w:iCs w:val="0"/>
          <w:snapToGrid w:val="0"/>
          <w:color w:val="auto"/>
          <w:kern w:val="0"/>
          <w:sz w:val="24"/>
          <w:highlight w:val="none"/>
          <w:u w:val="single"/>
        </w:rPr>
        <w:t xml:space="preserve">       </w:t>
      </w:r>
      <w:bookmarkEnd w:id="499"/>
      <w:r>
        <w:rPr>
          <w:rFonts w:hint="eastAsia" w:ascii="宋体" w:hAnsi="宋体" w:cs="宋体"/>
          <w:i w:val="0"/>
          <w:iCs w:val="0"/>
          <w:snapToGrid w:val="0"/>
          <w:color w:val="auto"/>
          <w:kern w:val="0"/>
          <w:sz w:val="24"/>
          <w:highlight w:val="none"/>
        </w:rPr>
        <w:t>(¥</w:t>
      </w:r>
      <w:bookmarkStart w:id="500" w:name="SOA_hhxys_gczgjxx"/>
      <w:r>
        <w:rPr>
          <w:rFonts w:hint="eastAsia" w:ascii="宋体" w:hAnsi="宋体" w:cs="宋体"/>
          <w:i w:val="0"/>
          <w:iCs w:val="0"/>
          <w:snapToGrid w:val="0"/>
          <w:color w:val="auto"/>
          <w:kern w:val="0"/>
          <w:sz w:val="24"/>
          <w:highlight w:val="none"/>
          <w:u w:val="single"/>
        </w:rPr>
        <w:t xml:space="preserve">       </w:t>
      </w:r>
      <w:bookmarkEnd w:id="500"/>
      <w:r>
        <w:rPr>
          <w:rFonts w:hint="eastAsia" w:ascii="宋体" w:hAnsi="宋体" w:cs="宋体"/>
          <w:i w:val="0"/>
          <w:iCs w:val="0"/>
          <w:snapToGrid w:val="0"/>
          <w:color w:val="auto"/>
          <w:kern w:val="0"/>
          <w:sz w:val="24"/>
          <w:highlight w:val="none"/>
        </w:rPr>
        <w:t>元)；</w:t>
      </w:r>
    </w:p>
    <w:p w14:paraId="1BA638F3">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（4）暂列金额：</w:t>
      </w:r>
    </w:p>
    <w:p w14:paraId="714CA6D3">
      <w:pPr>
        <w:snapToGrid w:val="0"/>
        <w:spacing w:line="360" w:lineRule="auto"/>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 xml:space="preserve">    </w:t>
      </w:r>
      <w:r>
        <w:rPr>
          <w:rFonts w:hint="eastAsia" w:cs="宋体"/>
          <w:i w:val="0"/>
          <w:iCs w:val="0"/>
          <w:snapToGrid w:val="0"/>
          <w:color w:val="auto"/>
          <w:kern w:val="0"/>
          <w:sz w:val="24"/>
          <w:highlight w:val="none"/>
          <w:lang w:val="en-US" w:eastAsia="zh-CN"/>
        </w:rPr>
        <w:t xml:space="preserve">    </w:t>
      </w:r>
      <w:r>
        <w:rPr>
          <w:rFonts w:hint="eastAsia" w:ascii="宋体" w:hAnsi="宋体" w:cs="宋体"/>
          <w:i w:val="0"/>
          <w:iCs w:val="0"/>
          <w:snapToGrid w:val="0"/>
          <w:color w:val="auto"/>
          <w:kern w:val="0"/>
          <w:sz w:val="24"/>
          <w:highlight w:val="none"/>
        </w:rPr>
        <w:t xml:space="preserve"> 人民币（大写）</w:t>
      </w:r>
      <w:bookmarkStart w:id="501" w:name="SOA_hhxys_zljedx"/>
      <w:r>
        <w:rPr>
          <w:rFonts w:hint="eastAsia" w:ascii="宋体" w:hAnsi="宋体" w:cs="宋体"/>
          <w:i w:val="0"/>
          <w:iCs w:val="0"/>
          <w:snapToGrid w:val="0"/>
          <w:color w:val="auto"/>
          <w:kern w:val="0"/>
          <w:sz w:val="24"/>
          <w:highlight w:val="none"/>
          <w:u w:val="single"/>
        </w:rPr>
        <w:t xml:space="preserve">       </w:t>
      </w:r>
      <w:bookmarkEnd w:id="501"/>
      <w:r>
        <w:rPr>
          <w:rFonts w:hint="eastAsia" w:ascii="宋体" w:hAnsi="宋体" w:cs="宋体"/>
          <w:i w:val="0"/>
          <w:iCs w:val="0"/>
          <w:snapToGrid w:val="0"/>
          <w:color w:val="auto"/>
          <w:kern w:val="0"/>
          <w:sz w:val="24"/>
          <w:highlight w:val="none"/>
        </w:rPr>
        <w:t>(¥</w:t>
      </w:r>
      <w:bookmarkStart w:id="502" w:name="SOA_hhxys_zljexx"/>
      <w:r>
        <w:rPr>
          <w:rFonts w:hint="eastAsia" w:ascii="宋体" w:hAnsi="宋体" w:cs="宋体"/>
          <w:i w:val="0"/>
          <w:iCs w:val="0"/>
          <w:snapToGrid w:val="0"/>
          <w:color w:val="auto"/>
          <w:kern w:val="0"/>
          <w:sz w:val="24"/>
          <w:highlight w:val="none"/>
          <w:u w:val="single"/>
        </w:rPr>
        <w:t xml:space="preserve">        </w:t>
      </w:r>
      <w:bookmarkEnd w:id="502"/>
      <w:r>
        <w:rPr>
          <w:rFonts w:hint="eastAsia" w:ascii="宋体" w:hAnsi="宋体" w:cs="宋体"/>
          <w:i w:val="0"/>
          <w:iCs w:val="0"/>
          <w:snapToGrid w:val="0"/>
          <w:color w:val="auto"/>
          <w:kern w:val="0"/>
          <w:sz w:val="24"/>
          <w:highlight w:val="none"/>
        </w:rPr>
        <w:t>元)。</w:t>
      </w:r>
    </w:p>
    <w:p w14:paraId="635BFF11">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2.合同价格形式：</w:t>
      </w:r>
      <w:r>
        <w:rPr>
          <w:rFonts w:hint="eastAsia" w:ascii="宋体" w:hAnsi="宋体" w:cs="宋体"/>
          <w:i w:val="0"/>
          <w:iCs w:val="0"/>
          <w:snapToGrid w:val="0"/>
          <w:color w:val="auto"/>
          <w:kern w:val="0"/>
          <w:sz w:val="24"/>
          <w:highlight w:val="none"/>
          <w:u w:val="single"/>
        </w:rPr>
        <w:t></w:t>
      </w:r>
      <w:bookmarkStart w:id="503" w:name="SOA_hhxys_htjgxs"/>
      <w:r>
        <w:rPr>
          <w:rFonts w:hint="eastAsia" w:ascii="宋体" w:hAnsi="宋体" w:cs="宋体"/>
          <w:i w:val="0"/>
          <w:iCs w:val="0"/>
          <w:snapToGrid w:val="0"/>
          <w:color w:val="auto"/>
          <w:kern w:val="0"/>
          <w:sz w:val="24"/>
          <w:highlight w:val="none"/>
          <w:u w:val="single"/>
        </w:rPr>
        <w:t xml:space="preserve">  </w:t>
      </w:r>
      <w:bookmarkEnd w:id="503"/>
      <w:r>
        <w:rPr>
          <w:rFonts w:hint="eastAsia" w:ascii="宋体" w:hAnsi="宋体" w:cs="宋体"/>
          <w:i w:val="0"/>
          <w:iCs w:val="0"/>
          <w:snapToGrid w:val="0"/>
          <w:color w:val="auto"/>
          <w:kern w:val="0"/>
          <w:sz w:val="24"/>
          <w:highlight w:val="none"/>
          <w:u w:val="single"/>
        </w:rPr>
        <w:t xml:space="preserve">      </w:t>
      </w:r>
      <w:r>
        <w:rPr>
          <w:rFonts w:hint="eastAsia" w:ascii="宋体" w:hAnsi="宋体" w:cs="宋体"/>
          <w:i w:val="0"/>
          <w:iCs w:val="0"/>
          <w:snapToGrid w:val="0"/>
          <w:color w:val="auto"/>
          <w:kern w:val="0"/>
          <w:sz w:val="24"/>
          <w:highlight w:val="none"/>
        </w:rPr>
        <w:t>。</w:t>
      </w:r>
    </w:p>
    <w:p w14:paraId="2CEB4D83">
      <w:pPr>
        <w:snapToGrid w:val="0"/>
        <w:spacing w:line="360" w:lineRule="auto"/>
        <w:outlineLvl w:val="1"/>
        <w:rPr>
          <w:rFonts w:ascii="宋体" w:hAnsi="宋体" w:cs="宋体"/>
          <w:b/>
          <w:bCs/>
          <w:i w:val="0"/>
          <w:iCs w:val="0"/>
          <w:snapToGrid w:val="0"/>
          <w:color w:val="auto"/>
          <w:kern w:val="0"/>
          <w:sz w:val="24"/>
          <w:highlight w:val="none"/>
        </w:rPr>
      </w:pPr>
      <w:bookmarkStart w:id="504" w:name="_Toc14982"/>
      <w:bookmarkStart w:id="505" w:name="_Toc97299502"/>
      <w:bookmarkStart w:id="506" w:name="_Toc361220414"/>
      <w:r>
        <w:rPr>
          <w:rFonts w:hint="eastAsia" w:ascii="宋体" w:hAnsi="宋体" w:cs="宋体"/>
          <w:b/>
          <w:bCs/>
          <w:i w:val="0"/>
          <w:iCs w:val="0"/>
          <w:snapToGrid w:val="0"/>
          <w:color w:val="auto"/>
          <w:kern w:val="0"/>
          <w:sz w:val="24"/>
          <w:highlight w:val="none"/>
        </w:rPr>
        <w:t>五、项目经理</w:t>
      </w:r>
      <w:bookmarkEnd w:id="504"/>
      <w:bookmarkEnd w:id="505"/>
      <w:bookmarkEnd w:id="506"/>
    </w:p>
    <w:p w14:paraId="6F44B125">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承包人项目经理：</w:t>
      </w:r>
      <w:r>
        <w:rPr>
          <w:rFonts w:hint="eastAsia" w:ascii="宋体" w:hAnsi="宋体" w:cs="宋体"/>
          <w:i w:val="0"/>
          <w:iCs w:val="0"/>
          <w:snapToGrid w:val="0"/>
          <w:color w:val="auto"/>
          <w:kern w:val="0"/>
          <w:sz w:val="24"/>
          <w:highlight w:val="none"/>
          <w:u w:val="single"/>
        </w:rPr>
        <w:t></w:t>
      </w:r>
      <w:bookmarkStart w:id="507" w:name="SOA_hhxys_cbrxmjl"/>
      <w:r>
        <w:rPr>
          <w:rFonts w:hint="eastAsia" w:ascii="宋体" w:hAnsi="宋体" w:cs="宋体"/>
          <w:i w:val="0"/>
          <w:iCs w:val="0"/>
          <w:snapToGrid w:val="0"/>
          <w:color w:val="auto"/>
          <w:kern w:val="0"/>
          <w:sz w:val="24"/>
          <w:highlight w:val="none"/>
          <w:u w:val="single"/>
        </w:rPr>
        <w:t xml:space="preserve">        </w:t>
      </w:r>
      <w:bookmarkEnd w:id="507"/>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w:t>
      </w:r>
    </w:p>
    <w:p w14:paraId="249DCCBC">
      <w:pPr>
        <w:snapToGrid w:val="0"/>
        <w:spacing w:line="360" w:lineRule="auto"/>
        <w:outlineLvl w:val="1"/>
        <w:rPr>
          <w:rFonts w:ascii="宋体" w:hAnsi="宋体" w:cs="宋体"/>
          <w:b/>
          <w:bCs/>
          <w:i w:val="0"/>
          <w:iCs w:val="0"/>
          <w:snapToGrid w:val="0"/>
          <w:color w:val="auto"/>
          <w:kern w:val="0"/>
          <w:sz w:val="24"/>
          <w:highlight w:val="none"/>
        </w:rPr>
      </w:pPr>
      <w:bookmarkStart w:id="508" w:name="_Toc361220415"/>
      <w:bookmarkStart w:id="509" w:name="_Toc97299503"/>
      <w:bookmarkStart w:id="510" w:name="_Toc18964"/>
      <w:r>
        <w:rPr>
          <w:rFonts w:hint="eastAsia" w:ascii="宋体" w:hAnsi="宋体" w:cs="宋体"/>
          <w:b/>
          <w:bCs/>
          <w:i w:val="0"/>
          <w:iCs w:val="0"/>
          <w:snapToGrid w:val="0"/>
          <w:color w:val="auto"/>
          <w:kern w:val="0"/>
          <w:sz w:val="24"/>
          <w:highlight w:val="none"/>
        </w:rPr>
        <w:t>六、合同文件构成</w:t>
      </w:r>
      <w:bookmarkEnd w:id="508"/>
      <w:bookmarkEnd w:id="509"/>
      <w:bookmarkEnd w:id="510"/>
    </w:p>
    <w:p w14:paraId="6F61A73A">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本协议书与下列文件一起构成合同文件：</w:t>
      </w:r>
    </w:p>
    <w:p w14:paraId="30A8861D">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（1）成交通知书（如果有）；</w:t>
      </w:r>
    </w:p>
    <w:p w14:paraId="58358F46">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 xml:space="preserve">（2）响应函及其附录（如果有）； </w:t>
      </w:r>
    </w:p>
    <w:p w14:paraId="197C32B8">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（3）专用合同条款及其附件；</w:t>
      </w:r>
    </w:p>
    <w:p w14:paraId="6E5121B8">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（4）通用合同条款；</w:t>
      </w:r>
    </w:p>
    <w:p w14:paraId="7C357E14">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（5）技术标准和要求；</w:t>
      </w:r>
    </w:p>
    <w:p w14:paraId="7BCD769A">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（6）图纸；</w:t>
      </w:r>
    </w:p>
    <w:p w14:paraId="4973F6AA">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（7）已标价工程量清单或预算书；</w:t>
      </w:r>
    </w:p>
    <w:p w14:paraId="23400E7C">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（8）其他合同文件。</w:t>
      </w:r>
    </w:p>
    <w:p w14:paraId="379CEF91">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在合同订立及履行过程中形成的与合同有关的文件均构成合同文件组成部分。</w:t>
      </w:r>
    </w:p>
    <w:p w14:paraId="5475BFB3">
      <w:pPr>
        <w:autoSpaceDE w:val="0"/>
        <w:autoSpaceDN w:val="0"/>
        <w:snapToGrid w:val="0"/>
        <w:spacing w:line="360" w:lineRule="auto"/>
        <w:ind w:firstLine="480" w:firstLineChars="200"/>
        <w:jc w:val="left"/>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上述各项合同文件包括合同当事人就该项合同文件所作出的补充和修改，属于同一类内容的文件，应以最新签署的为准。专用合同条款及其附件须经合同当事人签字或盖章。</w:t>
      </w:r>
    </w:p>
    <w:p w14:paraId="37E62229">
      <w:pPr>
        <w:snapToGrid w:val="0"/>
        <w:spacing w:line="360" w:lineRule="auto"/>
        <w:outlineLvl w:val="1"/>
        <w:rPr>
          <w:rFonts w:ascii="宋体" w:hAnsi="宋体" w:cs="宋体"/>
          <w:b/>
          <w:bCs/>
          <w:i w:val="0"/>
          <w:iCs w:val="0"/>
          <w:snapToGrid w:val="0"/>
          <w:color w:val="auto"/>
          <w:kern w:val="0"/>
          <w:sz w:val="24"/>
          <w:highlight w:val="none"/>
        </w:rPr>
      </w:pPr>
      <w:bookmarkStart w:id="511" w:name="_Toc97299504"/>
      <w:bookmarkStart w:id="512" w:name="_Toc361220416"/>
      <w:bookmarkStart w:id="513" w:name="_Toc14152"/>
      <w:r>
        <w:rPr>
          <w:rFonts w:hint="eastAsia" w:ascii="宋体" w:hAnsi="宋体" w:cs="宋体"/>
          <w:b/>
          <w:bCs/>
          <w:i w:val="0"/>
          <w:iCs w:val="0"/>
          <w:snapToGrid w:val="0"/>
          <w:color w:val="auto"/>
          <w:kern w:val="0"/>
          <w:sz w:val="24"/>
          <w:highlight w:val="none"/>
        </w:rPr>
        <w:t>七、承诺</w:t>
      </w:r>
      <w:bookmarkEnd w:id="511"/>
      <w:bookmarkEnd w:id="512"/>
      <w:bookmarkEnd w:id="513"/>
    </w:p>
    <w:p w14:paraId="64644888">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1.发包人承诺按照法律规定履行项目审批手续、筹集工程建设资金并按照合同约定的期限和方式支付合同价款。</w:t>
      </w:r>
    </w:p>
    <w:p w14:paraId="33DFCE87">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2.承包人承诺按照法律规定及合同约定组织完成工程施工，确保工程质量和安全，不进行转包及违法分包，并在缺陷责任期及保修期内承担相应的工程维修责任。</w:t>
      </w:r>
    </w:p>
    <w:p w14:paraId="152B17E5">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3.发包人和承包人通过</w:t>
      </w:r>
      <w:r>
        <w:rPr>
          <w:rFonts w:hint="eastAsia"/>
          <w:i w:val="0"/>
          <w:iCs w:val="0"/>
          <w:color w:val="auto"/>
          <w:highlight w:val="none"/>
        </w:rPr>
        <w:t>政府采购</w:t>
      </w:r>
      <w:r>
        <w:rPr>
          <w:rFonts w:hint="eastAsia" w:ascii="宋体" w:hAnsi="宋体" w:cs="宋体"/>
          <w:bCs/>
          <w:i w:val="0"/>
          <w:iCs w:val="0"/>
          <w:snapToGrid w:val="0"/>
          <w:color w:val="auto"/>
          <w:kern w:val="0"/>
          <w:sz w:val="24"/>
          <w:highlight w:val="none"/>
        </w:rPr>
        <w:t>形式签订合同的，双方理解并承诺不再就同一工程另行签订与合同实质性内容相背离的协议。</w:t>
      </w:r>
    </w:p>
    <w:p w14:paraId="0363D6D6">
      <w:pPr>
        <w:snapToGrid w:val="0"/>
        <w:spacing w:line="360" w:lineRule="auto"/>
        <w:outlineLvl w:val="1"/>
        <w:rPr>
          <w:rFonts w:ascii="宋体" w:hAnsi="宋体" w:cs="宋体"/>
          <w:b/>
          <w:bCs/>
          <w:i w:val="0"/>
          <w:iCs w:val="0"/>
          <w:snapToGrid w:val="0"/>
          <w:color w:val="auto"/>
          <w:kern w:val="0"/>
          <w:sz w:val="24"/>
          <w:highlight w:val="none"/>
        </w:rPr>
      </w:pPr>
      <w:bookmarkStart w:id="514" w:name="_Toc97299505"/>
      <w:bookmarkStart w:id="515" w:name="_Toc361220417"/>
      <w:bookmarkStart w:id="516" w:name="_Toc14469"/>
      <w:r>
        <w:rPr>
          <w:rFonts w:hint="eastAsia" w:ascii="宋体" w:hAnsi="宋体" w:cs="宋体"/>
          <w:b/>
          <w:bCs/>
          <w:i w:val="0"/>
          <w:iCs w:val="0"/>
          <w:snapToGrid w:val="0"/>
          <w:color w:val="auto"/>
          <w:kern w:val="0"/>
          <w:sz w:val="24"/>
          <w:highlight w:val="none"/>
        </w:rPr>
        <w:t>八、词语含义</w:t>
      </w:r>
      <w:bookmarkEnd w:id="514"/>
      <w:bookmarkEnd w:id="515"/>
      <w:bookmarkEnd w:id="516"/>
    </w:p>
    <w:p w14:paraId="20FBC850">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本协议书中词语含义与第二部分通用合同条款中赋予的含义相同。</w:t>
      </w:r>
    </w:p>
    <w:p w14:paraId="36924867">
      <w:pPr>
        <w:snapToGrid w:val="0"/>
        <w:spacing w:line="360" w:lineRule="auto"/>
        <w:outlineLvl w:val="1"/>
        <w:rPr>
          <w:rFonts w:ascii="宋体" w:hAnsi="宋体" w:cs="宋体"/>
          <w:b/>
          <w:bCs/>
          <w:i w:val="0"/>
          <w:iCs w:val="0"/>
          <w:snapToGrid w:val="0"/>
          <w:color w:val="auto"/>
          <w:kern w:val="0"/>
          <w:sz w:val="24"/>
          <w:highlight w:val="none"/>
        </w:rPr>
      </w:pPr>
      <w:bookmarkStart w:id="517" w:name="_Toc361220418"/>
      <w:bookmarkStart w:id="518" w:name="_Toc97299506"/>
      <w:bookmarkStart w:id="519" w:name="_Toc17646"/>
      <w:r>
        <w:rPr>
          <w:rFonts w:hint="eastAsia" w:ascii="宋体" w:hAnsi="宋体" w:cs="宋体"/>
          <w:b/>
          <w:bCs/>
          <w:i w:val="0"/>
          <w:iCs w:val="0"/>
          <w:snapToGrid w:val="0"/>
          <w:color w:val="auto"/>
          <w:kern w:val="0"/>
          <w:sz w:val="24"/>
          <w:highlight w:val="none"/>
        </w:rPr>
        <w:t>九、签订时间</w:t>
      </w:r>
      <w:bookmarkEnd w:id="517"/>
      <w:bookmarkEnd w:id="518"/>
      <w:bookmarkEnd w:id="519"/>
    </w:p>
    <w:p w14:paraId="6F6CA562">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本合同于</w:t>
      </w:r>
      <w:bookmarkStart w:id="520" w:name="SOA_hhxys_htqdn"/>
      <w:r>
        <w:rPr>
          <w:rFonts w:hint="eastAsia" w:ascii="宋体" w:hAnsi="宋体" w:cs="宋体"/>
          <w:bCs/>
          <w:i w:val="0"/>
          <w:iCs w:val="0"/>
          <w:snapToGrid w:val="0"/>
          <w:color w:val="auto"/>
          <w:kern w:val="0"/>
          <w:sz w:val="24"/>
          <w:highlight w:val="none"/>
          <w:u w:val="single"/>
        </w:rPr>
        <w:t xml:space="preserve">      </w:t>
      </w:r>
      <w:bookmarkEnd w:id="520"/>
      <w:r>
        <w:rPr>
          <w:rFonts w:hint="eastAsia" w:ascii="宋体" w:hAnsi="宋体" w:cs="宋体"/>
          <w:bCs/>
          <w:i w:val="0"/>
          <w:iCs w:val="0"/>
          <w:snapToGrid w:val="0"/>
          <w:color w:val="auto"/>
          <w:kern w:val="0"/>
          <w:sz w:val="24"/>
          <w:highlight w:val="none"/>
        </w:rPr>
        <w:t>年</w:t>
      </w:r>
      <w:bookmarkStart w:id="521" w:name="SOA_hhxys_htqdy"/>
      <w:r>
        <w:rPr>
          <w:rFonts w:hint="eastAsia" w:ascii="宋体" w:hAnsi="宋体" w:cs="宋体"/>
          <w:bCs/>
          <w:i w:val="0"/>
          <w:iCs w:val="0"/>
          <w:snapToGrid w:val="0"/>
          <w:color w:val="auto"/>
          <w:kern w:val="0"/>
          <w:sz w:val="24"/>
          <w:highlight w:val="none"/>
          <w:u w:val="single"/>
        </w:rPr>
        <w:t xml:space="preserve">      </w:t>
      </w:r>
      <w:bookmarkEnd w:id="521"/>
      <w:r>
        <w:rPr>
          <w:rFonts w:hint="eastAsia" w:ascii="宋体" w:hAnsi="宋体" w:cs="宋体"/>
          <w:bCs/>
          <w:i w:val="0"/>
          <w:iCs w:val="0"/>
          <w:snapToGrid w:val="0"/>
          <w:color w:val="auto"/>
          <w:kern w:val="0"/>
          <w:sz w:val="24"/>
          <w:highlight w:val="none"/>
        </w:rPr>
        <w:t>月</w:t>
      </w:r>
      <w:bookmarkStart w:id="522" w:name="SOA_hhxys_htqdr"/>
      <w:r>
        <w:rPr>
          <w:rFonts w:hint="eastAsia" w:ascii="宋体" w:hAnsi="宋体" w:cs="宋体"/>
          <w:bCs/>
          <w:i w:val="0"/>
          <w:iCs w:val="0"/>
          <w:snapToGrid w:val="0"/>
          <w:color w:val="auto"/>
          <w:kern w:val="0"/>
          <w:sz w:val="24"/>
          <w:highlight w:val="none"/>
          <w:u w:val="single"/>
        </w:rPr>
        <w:t xml:space="preserve">      </w:t>
      </w:r>
      <w:bookmarkEnd w:id="522"/>
      <w:r>
        <w:rPr>
          <w:rFonts w:hint="eastAsia" w:ascii="宋体" w:hAnsi="宋体" w:cs="宋体"/>
          <w:bCs/>
          <w:i w:val="0"/>
          <w:iCs w:val="0"/>
          <w:snapToGrid w:val="0"/>
          <w:color w:val="auto"/>
          <w:kern w:val="0"/>
          <w:sz w:val="24"/>
          <w:highlight w:val="none"/>
        </w:rPr>
        <w:t>日签订。</w:t>
      </w:r>
    </w:p>
    <w:p w14:paraId="4D0182F0">
      <w:pPr>
        <w:snapToGrid w:val="0"/>
        <w:spacing w:line="360" w:lineRule="auto"/>
        <w:outlineLvl w:val="1"/>
        <w:rPr>
          <w:rFonts w:ascii="宋体" w:hAnsi="宋体" w:cs="宋体"/>
          <w:b/>
          <w:bCs/>
          <w:i w:val="0"/>
          <w:iCs w:val="0"/>
          <w:snapToGrid w:val="0"/>
          <w:color w:val="auto"/>
          <w:kern w:val="0"/>
          <w:sz w:val="24"/>
          <w:highlight w:val="none"/>
        </w:rPr>
      </w:pPr>
      <w:bookmarkStart w:id="523" w:name="_Toc28485"/>
      <w:bookmarkStart w:id="524" w:name="_Toc97299507"/>
      <w:bookmarkStart w:id="525" w:name="_Toc361220419"/>
      <w:r>
        <w:rPr>
          <w:rFonts w:hint="eastAsia" w:ascii="宋体" w:hAnsi="宋体" w:cs="宋体"/>
          <w:b/>
          <w:bCs/>
          <w:i w:val="0"/>
          <w:iCs w:val="0"/>
          <w:snapToGrid w:val="0"/>
          <w:color w:val="auto"/>
          <w:kern w:val="0"/>
          <w:sz w:val="24"/>
          <w:highlight w:val="none"/>
        </w:rPr>
        <w:t>十、签订地点</w:t>
      </w:r>
      <w:bookmarkEnd w:id="523"/>
      <w:bookmarkEnd w:id="524"/>
      <w:bookmarkEnd w:id="525"/>
    </w:p>
    <w:p w14:paraId="65ABA8B1">
      <w:pPr>
        <w:snapToGrid w:val="0"/>
        <w:spacing w:line="360" w:lineRule="auto"/>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 xml:space="preserve">    本合同在</w:t>
      </w:r>
      <w:r>
        <w:rPr>
          <w:rFonts w:hint="eastAsia" w:ascii="宋体" w:hAnsi="宋体" w:cs="宋体"/>
          <w:bCs/>
          <w:i w:val="0"/>
          <w:iCs w:val="0"/>
          <w:snapToGrid w:val="0"/>
          <w:color w:val="auto"/>
          <w:kern w:val="0"/>
          <w:sz w:val="24"/>
          <w:highlight w:val="none"/>
          <w:u w:val="single"/>
        </w:rPr>
        <w:t xml:space="preserve">   </w:t>
      </w:r>
      <w:bookmarkStart w:id="526" w:name="SOA_zyht_htqddd"/>
      <w:r>
        <w:rPr>
          <w:rFonts w:hint="eastAsia" w:ascii="宋体" w:hAnsi="宋体" w:cs="宋体"/>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u w:val="single"/>
          <w:lang w:val="en-US" w:eastAsia="zh-CN"/>
        </w:rPr>
        <w:t xml:space="preserve">   </w:t>
      </w:r>
      <w:r>
        <w:rPr>
          <w:rFonts w:hint="eastAsia" w:ascii="宋体" w:hAnsi="宋体" w:cs="宋体"/>
          <w:bCs/>
          <w:i w:val="0"/>
          <w:iCs w:val="0"/>
          <w:snapToGrid w:val="0"/>
          <w:color w:val="auto"/>
          <w:kern w:val="0"/>
          <w:sz w:val="24"/>
          <w:highlight w:val="none"/>
          <w:u w:val="single"/>
        </w:rPr>
        <w:t xml:space="preserve">   </w:t>
      </w:r>
      <w:bookmarkEnd w:id="526"/>
      <w:r>
        <w:rPr>
          <w:rFonts w:hint="eastAsia" w:ascii="宋体" w:hAnsi="宋体" w:cs="宋体"/>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签订。</w:t>
      </w:r>
    </w:p>
    <w:p w14:paraId="0593BD86">
      <w:pPr>
        <w:snapToGrid w:val="0"/>
        <w:spacing w:line="360" w:lineRule="auto"/>
        <w:outlineLvl w:val="1"/>
        <w:rPr>
          <w:rFonts w:ascii="宋体" w:hAnsi="宋体" w:cs="宋体"/>
          <w:b/>
          <w:bCs/>
          <w:i w:val="0"/>
          <w:iCs w:val="0"/>
          <w:snapToGrid w:val="0"/>
          <w:color w:val="auto"/>
          <w:kern w:val="0"/>
          <w:sz w:val="24"/>
          <w:highlight w:val="none"/>
        </w:rPr>
      </w:pPr>
      <w:bookmarkStart w:id="527" w:name="_Toc97299508"/>
      <w:bookmarkStart w:id="528" w:name="_Toc16826"/>
      <w:bookmarkStart w:id="529" w:name="_Toc361220420"/>
      <w:r>
        <w:rPr>
          <w:rFonts w:hint="eastAsia" w:ascii="宋体" w:hAnsi="宋体" w:cs="宋体"/>
          <w:b/>
          <w:bCs/>
          <w:i w:val="0"/>
          <w:iCs w:val="0"/>
          <w:snapToGrid w:val="0"/>
          <w:color w:val="auto"/>
          <w:kern w:val="0"/>
          <w:sz w:val="24"/>
          <w:highlight w:val="none"/>
        </w:rPr>
        <w:t>十一、补充协议</w:t>
      </w:r>
      <w:bookmarkEnd w:id="527"/>
      <w:bookmarkEnd w:id="528"/>
      <w:bookmarkEnd w:id="529"/>
    </w:p>
    <w:p w14:paraId="1EE2D987">
      <w:pPr>
        <w:snapToGrid w:val="0"/>
        <w:spacing w:line="360" w:lineRule="auto"/>
        <w:ind w:firstLine="480" w:firstLineChars="200"/>
        <w:rPr>
          <w:rFonts w:ascii="宋体" w:hAnsi="宋体" w:cs="宋体"/>
          <w:b/>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合同未尽事宜，合同当事人另行签订补充协议，补充协议是合同的组成部分。</w:t>
      </w:r>
    </w:p>
    <w:p w14:paraId="5896CC47">
      <w:pPr>
        <w:snapToGrid w:val="0"/>
        <w:spacing w:line="360" w:lineRule="auto"/>
        <w:outlineLvl w:val="1"/>
        <w:rPr>
          <w:rFonts w:ascii="宋体" w:hAnsi="宋体" w:cs="宋体"/>
          <w:b/>
          <w:bCs/>
          <w:i w:val="0"/>
          <w:iCs w:val="0"/>
          <w:snapToGrid w:val="0"/>
          <w:color w:val="auto"/>
          <w:kern w:val="0"/>
          <w:sz w:val="24"/>
          <w:highlight w:val="none"/>
        </w:rPr>
      </w:pPr>
      <w:bookmarkStart w:id="530" w:name="_Toc97299509"/>
      <w:bookmarkStart w:id="531" w:name="_Toc21854"/>
      <w:bookmarkStart w:id="532" w:name="_Toc361220421"/>
      <w:r>
        <w:rPr>
          <w:rFonts w:hint="eastAsia" w:ascii="宋体" w:hAnsi="宋体" w:cs="宋体"/>
          <w:b/>
          <w:bCs/>
          <w:i w:val="0"/>
          <w:iCs w:val="0"/>
          <w:snapToGrid w:val="0"/>
          <w:color w:val="auto"/>
          <w:kern w:val="0"/>
          <w:sz w:val="24"/>
          <w:highlight w:val="none"/>
        </w:rPr>
        <w:t>十二、合同生效</w:t>
      </w:r>
      <w:bookmarkEnd w:id="530"/>
      <w:bookmarkEnd w:id="531"/>
      <w:bookmarkEnd w:id="532"/>
    </w:p>
    <w:p w14:paraId="304533CE">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本合同自</w:t>
      </w:r>
      <w:r>
        <w:rPr>
          <w:rFonts w:hint="eastAsia" w:ascii="宋体" w:hAnsi="宋体" w:cs="宋体"/>
          <w:bCs/>
          <w:i w:val="0"/>
          <w:iCs w:val="0"/>
          <w:snapToGrid w:val="0"/>
          <w:color w:val="auto"/>
          <w:kern w:val="0"/>
          <w:sz w:val="24"/>
          <w:highlight w:val="none"/>
          <w:u w:val="single"/>
        </w:rPr>
        <w:t xml:space="preserve">  </w:t>
      </w:r>
      <w:bookmarkStart w:id="533" w:name="SOA_hhxys_htsx"/>
      <w:r>
        <w:rPr>
          <w:rFonts w:hint="eastAsia" w:ascii="宋体" w:hAnsi="宋体" w:cs="宋体"/>
          <w:bCs/>
          <w:i w:val="0"/>
          <w:iCs w:val="0"/>
          <w:snapToGrid w:val="0"/>
          <w:color w:val="auto"/>
          <w:kern w:val="0"/>
          <w:sz w:val="24"/>
          <w:highlight w:val="none"/>
          <w:u w:val="single"/>
        </w:rPr>
        <w:t xml:space="preserve">  </w:t>
      </w:r>
      <w:r>
        <w:rPr>
          <w:rFonts w:hint="eastAsia" w:ascii="宋体" w:hAnsi="宋体" w:cs="宋体"/>
          <w:b/>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u w:val="single"/>
        </w:rPr>
        <w:t xml:space="preserve">   </w:t>
      </w:r>
      <w:bookmarkEnd w:id="533"/>
      <w:r>
        <w:rPr>
          <w:rFonts w:hint="eastAsia" w:ascii="宋体" w:hAnsi="宋体" w:cs="宋体"/>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生效。</w:t>
      </w:r>
    </w:p>
    <w:p w14:paraId="441A508F">
      <w:pPr>
        <w:snapToGrid w:val="0"/>
        <w:spacing w:line="360" w:lineRule="auto"/>
        <w:outlineLvl w:val="1"/>
        <w:rPr>
          <w:rFonts w:ascii="宋体" w:hAnsi="宋体" w:cs="宋体"/>
          <w:b/>
          <w:bCs/>
          <w:i w:val="0"/>
          <w:iCs w:val="0"/>
          <w:snapToGrid w:val="0"/>
          <w:color w:val="auto"/>
          <w:kern w:val="0"/>
          <w:sz w:val="24"/>
          <w:highlight w:val="none"/>
        </w:rPr>
      </w:pPr>
      <w:bookmarkStart w:id="534" w:name="_Toc361220422"/>
      <w:bookmarkStart w:id="535" w:name="_Toc97299510"/>
      <w:bookmarkStart w:id="536" w:name="_Toc15126"/>
      <w:r>
        <w:rPr>
          <w:rFonts w:hint="eastAsia" w:ascii="宋体" w:hAnsi="宋体" w:cs="宋体"/>
          <w:b/>
          <w:bCs/>
          <w:i w:val="0"/>
          <w:iCs w:val="0"/>
          <w:snapToGrid w:val="0"/>
          <w:color w:val="auto"/>
          <w:kern w:val="0"/>
          <w:sz w:val="24"/>
          <w:highlight w:val="none"/>
        </w:rPr>
        <w:t>十三、合同份数</w:t>
      </w:r>
      <w:bookmarkEnd w:id="534"/>
      <w:bookmarkEnd w:id="535"/>
      <w:bookmarkEnd w:id="536"/>
    </w:p>
    <w:p w14:paraId="27CE0E25">
      <w:pPr>
        <w:snapToGrid w:val="0"/>
        <w:spacing w:line="360" w:lineRule="auto"/>
        <w:ind w:left="240" w:leftChars="100" w:firstLine="240" w:firstLineChars="100"/>
        <w:rPr>
          <w:rFonts w:ascii="宋体" w:hAnsi="宋体" w:cs="宋体"/>
          <w:bCs/>
          <w:i w:val="0"/>
          <w:iCs w:val="0"/>
          <w:snapToGrid w:val="0"/>
          <w:color w:val="auto"/>
          <w:kern w:val="0"/>
          <w:sz w:val="24"/>
          <w:highlight w:val="none"/>
        </w:rPr>
      </w:pPr>
      <w:r>
        <w:rPr>
          <w:rFonts w:hint="eastAsia" w:ascii="宋体" w:hAnsi="宋体" w:cs="宋体"/>
          <w:bCs/>
          <w:i w:val="0"/>
          <w:iCs w:val="0"/>
          <w:snapToGrid w:val="0"/>
          <w:color w:val="auto"/>
          <w:kern w:val="0"/>
          <w:sz w:val="24"/>
          <w:highlight w:val="none"/>
        </w:rPr>
        <w:t>本合同一式</w:t>
      </w:r>
      <w:r>
        <w:rPr>
          <w:rFonts w:hint="eastAsia" w:ascii="宋体" w:hAnsi="宋体" w:cs="宋体"/>
          <w:b/>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份，均具有同等法律效力，发包人执</w:t>
      </w:r>
      <w:r>
        <w:rPr>
          <w:rFonts w:hint="eastAsia" w:ascii="宋体" w:hAnsi="宋体" w:cs="宋体"/>
          <w:bCs/>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份，承包人执</w:t>
      </w:r>
      <w:r>
        <w:rPr>
          <w:rFonts w:hint="eastAsia" w:ascii="宋体" w:hAnsi="宋体" w:cs="宋体"/>
          <w:b/>
          <w:i w:val="0"/>
          <w:iCs w:val="0"/>
          <w:snapToGrid w:val="0"/>
          <w:color w:val="auto"/>
          <w:kern w:val="0"/>
          <w:sz w:val="24"/>
          <w:highlight w:val="none"/>
          <w:u w:val="single"/>
        </w:rPr>
        <w:t xml:space="preserve">  </w:t>
      </w:r>
      <w:r>
        <w:rPr>
          <w:rFonts w:hint="eastAsia" w:ascii="宋体" w:hAnsi="宋体" w:cs="宋体"/>
          <w:bCs/>
          <w:i w:val="0"/>
          <w:iCs w:val="0"/>
          <w:snapToGrid w:val="0"/>
          <w:color w:val="auto"/>
          <w:kern w:val="0"/>
          <w:sz w:val="24"/>
          <w:highlight w:val="none"/>
        </w:rPr>
        <w:t>份。</w:t>
      </w:r>
    </w:p>
    <w:p w14:paraId="04342E85">
      <w:pPr>
        <w:snapToGrid w:val="0"/>
        <w:spacing w:line="240" w:lineRule="auto"/>
        <w:ind w:firstLine="480" w:firstLineChars="200"/>
        <w:rPr>
          <w:rFonts w:ascii="宋体" w:hAnsi="宋体" w:cs="宋体"/>
          <w:i w:val="0"/>
          <w:iCs w:val="0"/>
          <w:snapToGrid w:val="0"/>
          <w:color w:val="auto"/>
          <w:kern w:val="0"/>
          <w:sz w:val="24"/>
          <w:highlight w:val="none"/>
        </w:rPr>
      </w:pPr>
    </w:p>
    <w:p w14:paraId="5E925518">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发包人：  (公章)</w:t>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承包人：  (公章)</w:t>
      </w:r>
    </w:p>
    <w:p w14:paraId="28690781">
      <w:pPr>
        <w:snapToGrid w:val="0"/>
        <w:spacing w:line="360" w:lineRule="auto"/>
        <w:ind w:firstLine="480" w:firstLineChars="200"/>
        <w:rPr>
          <w:rFonts w:ascii="宋体" w:hAnsi="宋体" w:cs="宋体"/>
          <w:bCs/>
          <w:i w:val="0"/>
          <w:iCs w:val="0"/>
          <w:snapToGrid w:val="0"/>
          <w:color w:val="auto"/>
          <w:kern w:val="0"/>
          <w:sz w:val="24"/>
          <w:highlight w:val="none"/>
        </w:rPr>
      </w:pPr>
      <w:r>
        <w:rPr>
          <w:rFonts w:hint="eastAsia" w:ascii="宋体" w:hAnsi="宋体" w:cs="宋体"/>
          <w:i w:val="0"/>
          <w:iCs w:val="0"/>
          <w:snapToGrid w:val="0"/>
          <w:color w:val="auto"/>
          <w:kern w:val="0"/>
          <w:sz w:val="24"/>
          <w:highlight w:val="none"/>
        </w:rPr>
        <w:t>法定代表人或其委托代理人：</w:t>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法定代表人或其委托代理人：</w:t>
      </w:r>
    </w:p>
    <w:p w14:paraId="401364E4">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（签字）</w:t>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ab/>
      </w:r>
      <w:r>
        <w:rPr>
          <w:rFonts w:hint="eastAsia" w:ascii="宋体" w:hAnsi="宋体" w:cs="宋体"/>
          <w:i w:val="0"/>
          <w:iCs w:val="0"/>
          <w:snapToGrid w:val="0"/>
          <w:color w:val="auto"/>
          <w:kern w:val="0"/>
          <w:sz w:val="24"/>
          <w:highlight w:val="none"/>
        </w:rPr>
        <w:t>（签字）</w:t>
      </w:r>
    </w:p>
    <w:p w14:paraId="39E290F1">
      <w:pPr>
        <w:snapToGrid w:val="0"/>
        <w:spacing w:line="360" w:lineRule="auto"/>
        <w:ind w:firstLine="480" w:firstLineChars="200"/>
        <w:rPr>
          <w:rFonts w:ascii="宋体" w:hAnsi="宋体" w:cs="宋体"/>
          <w:i w:val="0"/>
          <w:iCs w:val="0"/>
          <w:snapToGrid w:val="0"/>
          <w:color w:val="auto"/>
          <w:kern w:val="0"/>
          <w:sz w:val="24"/>
          <w:highlight w:val="none"/>
        </w:rPr>
      </w:pPr>
      <w:r>
        <w:rPr>
          <w:rFonts w:hint="eastAsia" w:ascii="宋体" w:hAnsi="宋体" w:cs="宋体"/>
          <w:i w:val="0"/>
          <w:iCs w:val="0"/>
          <w:snapToGrid w:val="0"/>
          <w:color w:val="auto"/>
          <w:kern w:val="0"/>
          <w:sz w:val="24"/>
          <w:highlight w:val="none"/>
        </w:rPr>
        <w:t>组织机构代码：</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组织机构代码：</w:t>
      </w:r>
      <w:bookmarkStart w:id="537" w:name="SOA_hhxys_zjjgdm1"/>
      <w:r>
        <w:rPr>
          <w:rFonts w:hint="eastAsia" w:ascii="宋体" w:hAnsi="宋体" w:cs="宋体"/>
          <w:i w:val="0"/>
          <w:iCs w:val="0"/>
          <w:snapToGrid w:val="0"/>
          <w:color w:val="auto"/>
          <w:kern w:val="0"/>
          <w:sz w:val="24"/>
          <w:highlight w:val="none"/>
          <w:u w:val="single"/>
        </w:rPr>
        <w:t xml:space="preserve">      </w:t>
      </w:r>
      <w:bookmarkEnd w:id="537"/>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696AA923">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地  址：</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地  址：</w:t>
      </w:r>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5BD90B8E">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邮政编码：</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邮政编码：</w:t>
      </w:r>
      <w:bookmarkStart w:id="538" w:name="SOA_hhxys_cbryb"/>
      <w:r>
        <w:rPr>
          <w:rFonts w:hint="eastAsia" w:ascii="宋体" w:hAnsi="宋体" w:cs="宋体"/>
          <w:i w:val="0"/>
          <w:iCs w:val="0"/>
          <w:snapToGrid w:val="0"/>
          <w:color w:val="auto"/>
          <w:kern w:val="0"/>
          <w:sz w:val="24"/>
          <w:highlight w:val="none"/>
          <w:u w:val="single"/>
        </w:rPr>
        <w:t xml:space="preserve">             </w:t>
      </w:r>
      <w:bookmarkEnd w:id="538"/>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699A114F">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法定代表人：</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法定代表人：</w:t>
      </w:r>
      <w:bookmarkStart w:id="539" w:name="SOA_hhxys_fddbr1"/>
      <w:r>
        <w:rPr>
          <w:rFonts w:hint="eastAsia" w:ascii="宋体" w:hAnsi="宋体" w:cs="宋体"/>
          <w:i w:val="0"/>
          <w:iCs w:val="0"/>
          <w:snapToGrid w:val="0"/>
          <w:color w:val="auto"/>
          <w:kern w:val="0"/>
          <w:sz w:val="24"/>
          <w:highlight w:val="none"/>
          <w:u w:val="single"/>
        </w:rPr>
        <w:t xml:space="preserve">     </w:t>
      </w:r>
      <w:bookmarkEnd w:id="539"/>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218DD656">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委托代理人：</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委托代理人：</w:t>
      </w:r>
      <w:bookmarkStart w:id="540" w:name="SOA_hhxys_wtdlr1"/>
      <w:r>
        <w:rPr>
          <w:rFonts w:hint="eastAsia" w:ascii="宋体" w:hAnsi="宋体" w:cs="宋体"/>
          <w:i w:val="0"/>
          <w:iCs w:val="0"/>
          <w:snapToGrid w:val="0"/>
          <w:color w:val="auto"/>
          <w:kern w:val="0"/>
          <w:sz w:val="24"/>
          <w:highlight w:val="none"/>
          <w:u w:val="single"/>
        </w:rPr>
        <w:t xml:space="preserve">    </w:t>
      </w:r>
      <w:bookmarkEnd w:id="540"/>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7B9421DF">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电  话：</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电  话：</w:t>
      </w:r>
      <w:bookmarkStart w:id="541" w:name="SOA_hhxys_cbrdh"/>
      <w:r>
        <w:rPr>
          <w:rFonts w:hint="eastAsia" w:ascii="宋体" w:hAnsi="宋体" w:cs="宋体"/>
          <w:i w:val="0"/>
          <w:iCs w:val="0"/>
          <w:snapToGrid w:val="0"/>
          <w:color w:val="auto"/>
          <w:kern w:val="0"/>
          <w:sz w:val="24"/>
          <w:highlight w:val="none"/>
          <w:u w:val="single"/>
        </w:rPr>
        <w:t xml:space="preserve">            </w:t>
      </w:r>
      <w:bookmarkEnd w:id="541"/>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350B1205">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传  真：</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传  真：</w:t>
      </w:r>
      <w:bookmarkStart w:id="542" w:name="SOA_hhxys_cbrcz"/>
      <w:r>
        <w:rPr>
          <w:rFonts w:hint="eastAsia" w:ascii="宋体" w:hAnsi="宋体" w:cs="宋体"/>
          <w:i w:val="0"/>
          <w:iCs w:val="0"/>
          <w:snapToGrid w:val="0"/>
          <w:color w:val="auto"/>
          <w:kern w:val="0"/>
          <w:sz w:val="24"/>
          <w:highlight w:val="none"/>
          <w:u w:val="single"/>
        </w:rPr>
        <w:t xml:space="preserve">              </w:t>
      </w:r>
      <w:bookmarkEnd w:id="542"/>
      <w:r>
        <w:rPr>
          <w:rFonts w:hint="eastAsia" w:ascii="宋体" w:hAnsi="宋体" w:cs="宋体"/>
          <w:i w:val="0"/>
          <w:iCs w:val="0"/>
          <w:snapToGrid w:val="0"/>
          <w:color w:val="auto"/>
          <w:kern w:val="0"/>
          <w:sz w:val="24"/>
          <w:highlight w:val="none"/>
          <w:u w:val="single"/>
        </w:rPr>
        <w:t xml:space="preserve"> </w:t>
      </w:r>
      <w:r>
        <w:rPr>
          <w:rFonts w:hint="eastAsia" w:ascii="宋体" w:hAnsi="宋体" w:cs="宋体"/>
          <w:i w:val="0"/>
          <w:iCs w:val="0"/>
          <w:snapToGrid w:val="0"/>
          <w:color w:val="auto"/>
          <w:kern w:val="0"/>
          <w:sz w:val="24"/>
          <w:highlight w:val="none"/>
        </w:rPr>
        <w:t xml:space="preserve">     </w:t>
      </w:r>
    </w:p>
    <w:p w14:paraId="02444A1A">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电子信箱：</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电子信箱：</w:t>
      </w:r>
      <w:bookmarkStart w:id="543" w:name="SOA_hhxys_cbrdzxx"/>
      <w:r>
        <w:rPr>
          <w:rFonts w:hint="eastAsia" w:ascii="宋体" w:hAnsi="宋体" w:cs="宋体"/>
          <w:i w:val="0"/>
          <w:iCs w:val="0"/>
          <w:snapToGrid w:val="0"/>
          <w:color w:val="auto"/>
          <w:kern w:val="0"/>
          <w:sz w:val="24"/>
          <w:highlight w:val="none"/>
          <w:u w:val="single"/>
        </w:rPr>
        <w:t xml:space="preserve">      </w:t>
      </w:r>
      <w:bookmarkEnd w:id="543"/>
      <w:r>
        <w:rPr>
          <w:rFonts w:hint="eastAsia" w:ascii="宋体" w:hAnsi="宋体" w:cs="宋体"/>
          <w:i w:val="0"/>
          <w:iCs w:val="0"/>
          <w:snapToGrid w:val="0"/>
          <w:color w:val="auto"/>
          <w:kern w:val="0"/>
          <w:sz w:val="24"/>
          <w:highlight w:val="none"/>
          <w:u w:val="single"/>
        </w:rPr>
        <w:t xml:space="preserve">  </w:t>
      </w:r>
    </w:p>
    <w:p w14:paraId="1386A444">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开户银行：</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开户银行：</w:t>
      </w:r>
      <w:r>
        <w:rPr>
          <w:rFonts w:hint="eastAsia" w:ascii="宋体" w:hAnsi="宋体" w:cs="宋体"/>
          <w:i w:val="0"/>
          <w:iCs w:val="0"/>
          <w:snapToGrid w:val="0"/>
          <w:color w:val="auto"/>
          <w:kern w:val="0"/>
          <w:sz w:val="24"/>
          <w:highlight w:val="none"/>
          <w:u w:val="single"/>
        </w:rPr>
        <w:t xml:space="preserve">                 </w:t>
      </w:r>
    </w:p>
    <w:p w14:paraId="409CFABA">
      <w:pPr>
        <w:snapToGrid w:val="0"/>
        <w:spacing w:line="360" w:lineRule="auto"/>
        <w:ind w:firstLine="480" w:firstLineChars="200"/>
        <w:rPr>
          <w:rFonts w:ascii="宋体" w:hAnsi="宋体" w:cs="宋体"/>
          <w:i w:val="0"/>
          <w:iCs w:val="0"/>
          <w:snapToGrid w:val="0"/>
          <w:color w:val="auto"/>
          <w:kern w:val="0"/>
          <w:sz w:val="24"/>
          <w:highlight w:val="none"/>
          <w:u w:val="single"/>
        </w:rPr>
      </w:pPr>
      <w:r>
        <w:rPr>
          <w:rFonts w:hint="eastAsia" w:ascii="宋体" w:hAnsi="宋体" w:cs="宋体"/>
          <w:i w:val="0"/>
          <w:iCs w:val="0"/>
          <w:snapToGrid w:val="0"/>
          <w:color w:val="auto"/>
          <w:kern w:val="0"/>
          <w:sz w:val="24"/>
          <w:highlight w:val="none"/>
        </w:rPr>
        <w:t>账  号：</w:t>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u w:val="single"/>
        </w:rPr>
        <w:tab/>
      </w:r>
      <w:r>
        <w:rPr>
          <w:rFonts w:hint="eastAsia" w:ascii="宋体" w:hAnsi="宋体" w:cs="宋体"/>
          <w:i w:val="0"/>
          <w:iCs w:val="0"/>
          <w:snapToGrid w:val="0"/>
          <w:color w:val="auto"/>
          <w:kern w:val="0"/>
          <w:sz w:val="24"/>
          <w:highlight w:val="none"/>
        </w:rPr>
        <w:t>账  号：</w:t>
      </w:r>
      <w:r>
        <w:rPr>
          <w:rFonts w:hint="eastAsia" w:ascii="宋体" w:hAnsi="宋体" w:cs="宋体"/>
          <w:i w:val="0"/>
          <w:iCs w:val="0"/>
          <w:snapToGrid w:val="0"/>
          <w:color w:val="auto"/>
          <w:kern w:val="0"/>
          <w:sz w:val="24"/>
          <w:highlight w:val="none"/>
          <w:u w:val="single"/>
        </w:rPr>
        <w:t></w:t>
      </w:r>
      <w:bookmarkStart w:id="544" w:name="SOA_hhxys_cbrzh"/>
      <w:r>
        <w:rPr>
          <w:rFonts w:hint="eastAsia" w:ascii="宋体" w:hAnsi="宋体" w:cs="宋体"/>
          <w:i w:val="0"/>
          <w:iCs w:val="0"/>
          <w:snapToGrid w:val="0"/>
          <w:color w:val="auto"/>
          <w:kern w:val="0"/>
          <w:sz w:val="24"/>
          <w:highlight w:val="none"/>
          <w:u w:val="single"/>
        </w:rPr>
        <w:t xml:space="preserve"> </w:t>
      </w:r>
      <w:bookmarkEnd w:id="544"/>
      <w:r>
        <w:rPr>
          <w:rFonts w:hint="eastAsia" w:ascii="宋体" w:hAnsi="宋体" w:cs="宋体"/>
          <w:i w:val="0"/>
          <w:iCs w:val="0"/>
          <w:snapToGrid w:val="0"/>
          <w:color w:val="auto"/>
          <w:kern w:val="0"/>
          <w:sz w:val="24"/>
          <w:highlight w:val="none"/>
          <w:u w:val="single"/>
        </w:rPr>
        <w:t xml:space="preserve">        </w:t>
      </w:r>
    </w:p>
    <w:p w14:paraId="67E9E842">
      <w:pPr>
        <w:keepNext/>
        <w:keepLines/>
        <w:numPr>
          <w:ilvl w:val="1"/>
          <w:numId w:val="0"/>
        </w:numPr>
        <w:spacing w:before="100" w:line="240" w:lineRule="auto"/>
        <w:jc w:val="center"/>
        <w:outlineLvl w:val="1"/>
        <w:rPr>
          <w:rFonts w:ascii="宋体" w:hAnsi="宋体" w:cs="宋体"/>
          <w:b/>
          <w:bCs/>
          <w:i w:val="0"/>
          <w:iCs w:val="0"/>
          <w:snapToGrid w:val="0"/>
          <w:color w:val="auto"/>
          <w:kern w:val="44"/>
          <w:sz w:val="36"/>
          <w:szCs w:val="36"/>
          <w:highlight w:val="none"/>
        </w:rPr>
      </w:pPr>
      <w:r>
        <w:rPr>
          <w:rFonts w:hint="eastAsia" w:ascii="宋体" w:hAnsi="宋体" w:cs="宋体"/>
          <w:i w:val="0"/>
          <w:iCs w:val="0"/>
          <w:snapToGrid w:val="0"/>
          <w:color w:val="auto"/>
          <w:kern w:val="0"/>
          <w:sz w:val="24"/>
          <w:highlight w:val="none"/>
        </w:rPr>
        <w:br w:type="page"/>
      </w:r>
      <w:bookmarkStart w:id="545" w:name="_Toc8952"/>
      <w:bookmarkStart w:id="546" w:name="_Toc31640"/>
      <w:bookmarkStart w:id="547" w:name="_Toc97299511"/>
      <w:bookmarkStart w:id="548" w:name="_Toc69485879"/>
      <w:r>
        <w:rPr>
          <w:rFonts w:hint="eastAsia" w:ascii="宋体" w:hAnsi="宋体" w:cs="宋体"/>
          <w:b/>
          <w:bCs/>
          <w:i w:val="0"/>
          <w:iCs w:val="0"/>
          <w:snapToGrid w:val="0"/>
          <w:color w:val="auto"/>
          <w:kern w:val="44"/>
          <w:sz w:val="36"/>
          <w:szCs w:val="36"/>
          <w:highlight w:val="none"/>
        </w:rPr>
        <w:t>第二部分  通用</w:t>
      </w:r>
      <w:r>
        <w:rPr>
          <w:rFonts w:hint="eastAsia" w:cs="宋体"/>
          <w:b/>
          <w:bCs/>
          <w:i w:val="0"/>
          <w:iCs w:val="0"/>
          <w:snapToGrid w:val="0"/>
          <w:color w:val="auto"/>
          <w:kern w:val="44"/>
          <w:sz w:val="36"/>
          <w:szCs w:val="36"/>
          <w:highlight w:val="none"/>
          <w:lang w:val="en-US" w:eastAsia="zh-CN"/>
        </w:rPr>
        <w:t>合同</w:t>
      </w:r>
      <w:r>
        <w:rPr>
          <w:rFonts w:hint="eastAsia" w:ascii="宋体" w:hAnsi="宋体" w:cs="宋体"/>
          <w:b/>
          <w:bCs/>
          <w:i w:val="0"/>
          <w:iCs w:val="0"/>
          <w:snapToGrid w:val="0"/>
          <w:color w:val="auto"/>
          <w:kern w:val="44"/>
          <w:sz w:val="36"/>
          <w:szCs w:val="36"/>
          <w:highlight w:val="none"/>
        </w:rPr>
        <w:t>条款（略）</w:t>
      </w:r>
      <w:bookmarkEnd w:id="545"/>
      <w:bookmarkEnd w:id="546"/>
      <w:bookmarkEnd w:id="547"/>
      <w:bookmarkEnd w:id="548"/>
    </w:p>
    <w:p w14:paraId="51227EAC">
      <w:pPr>
        <w:keepNext/>
        <w:keepLines/>
        <w:numPr>
          <w:ilvl w:val="1"/>
          <w:numId w:val="0"/>
        </w:numPr>
        <w:spacing w:before="100" w:line="240" w:lineRule="auto"/>
        <w:jc w:val="center"/>
        <w:outlineLvl w:val="1"/>
        <w:rPr>
          <w:rFonts w:ascii="宋体" w:hAnsi="宋体" w:cs="宋体"/>
          <w:b/>
          <w:bCs/>
          <w:i w:val="0"/>
          <w:iCs w:val="0"/>
          <w:snapToGrid w:val="0"/>
          <w:color w:val="auto"/>
          <w:kern w:val="44"/>
          <w:sz w:val="36"/>
          <w:szCs w:val="36"/>
          <w:highlight w:val="none"/>
        </w:rPr>
      </w:pPr>
      <w:bookmarkStart w:id="549" w:name="_Toc28514"/>
      <w:bookmarkStart w:id="550" w:name="_Toc97299512"/>
      <w:bookmarkStart w:id="551" w:name="_Toc69485880"/>
      <w:bookmarkStart w:id="552" w:name="_Toc8278"/>
      <w:r>
        <w:rPr>
          <w:rFonts w:hint="eastAsia" w:ascii="宋体" w:hAnsi="宋体" w:cs="宋体"/>
          <w:b/>
          <w:bCs/>
          <w:i w:val="0"/>
          <w:iCs w:val="0"/>
          <w:snapToGrid w:val="0"/>
          <w:color w:val="auto"/>
          <w:kern w:val="44"/>
          <w:sz w:val="36"/>
          <w:szCs w:val="36"/>
          <w:highlight w:val="none"/>
        </w:rPr>
        <w:t>第三部分  专用</w:t>
      </w:r>
      <w:r>
        <w:rPr>
          <w:rFonts w:hint="eastAsia" w:cs="宋体"/>
          <w:b/>
          <w:bCs/>
          <w:i w:val="0"/>
          <w:iCs w:val="0"/>
          <w:snapToGrid w:val="0"/>
          <w:color w:val="auto"/>
          <w:kern w:val="44"/>
          <w:sz w:val="36"/>
          <w:szCs w:val="36"/>
          <w:highlight w:val="none"/>
          <w:lang w:val="en-US" w:eastAsia="zh-CN"/>
        </w:rPr>
        <w:t>合同</w:t>
      </w:r>
      <w:r>
        <w:rPr>
          <w:rFonts w:hint="eastAsia" w:ascii="宋体" w:hAnsi="宋体" w:cs="宋体"/>
          <w:b/>
          <w:bCs/>
          <w:i w:val="0"/>
          <w:iCs w:val="0"/>
          <w:snapToGrid w:val="0"/>
          <w:color w:val="auto"/>
          <w:kern w:val="44"/>
          <w:sz w:val="36"/>
          <w:szCs w:val="36"/>
          <w:highlight w:val="none"/>
        </w:rPr>
        <w:t>条款</w:t>
      </w:r>
      <w:bookmarkEnd w:id="549"/>
      <w:bookmarkEnd w:id="550"/>
      <w:bookmarkEnd w:id="551"/>
      <w:bookmarkEnd w:id="552"/>
    </w:p>
    <w:p w14:paraId="2A7D2666">
      <w:pPr>
        <w:keepNext/>
        <w:numPr>
          <w:ilvl w:val="3"/>
          <w:numId w:val="0"/>
        </w:numPr>
        <w:tabs>
          <w:tab w:val="left" w:pos="864"/>
        </w:tabs>
        <w:snapToGrid w:val="0"/>
        <w:spacing w:line="360" w:lineRule="auto"/>
        <w:ind w:left="426" w:hanging="420"/>
        <w:outlineLvl w:val="3"/>
        <w:rPr>
          <w:rFonts w:ascii="宋体" w:hAnsi="宋体"/>
          <w:b/>
          <w:i w:val="0"/>
          <w:iCs w:val="0"/>
          <w:color w:val="auto"/>
          <w:szCs w:val="21"/>
          <w:highlight w:val="none"/>
        </w:rPr>
      </w:pPr>
      <w:bookmarkStart w:id="553" w:name="_Toc351203633"/>
      <w:r>
        <w:rPr>
          <w:rFonts w:hint="eastAsia" w:ascii="宋体" w:hAnsi="宋体"/>
          <w:b/>
          <w:i w:val="0"/>
          <w:iCs w:val="0"/>
          <w:color w:val="auto"/>
          <w:szCs w:val="21"/>
          <w:highlight w:val="none"/>
        </w:rPr>
        <w:t>1</w:t>
      </w:r>
      <w:bookmarkStart w:id="554" w:name="_Toc296346657"/>
      <w:bookmarkStart w:id="555" w:name="_Toc292559361"/>
      <w:bookmarkStart w:id="556" w:name="_Toc296944495"/>
      <w:bookmarkStart w:id="557" w:name="_Toc296347155"/>
      <w:bookmarkStart w:id="558" w:name="_Toc296890984"/>
      <w:bookmarkStart w:id="559" w:name="_Toc296891196"/>
      <w:bookmarkStart w:id="560" w:name="_Toc297120456"/>
      <w:bookmarkStart w:id="561" w:name="_Toc296503156"/>
      <w:bookmarkStart w:id="562" w:name="_Toc297048342"/>
      <w:bookmarkStart w:id="563" w:name="_Toc292559866"/>
      <w:r>
        <w:rPr>
          <w:rFonts w:hint="eastAsia" w:ascii="宋体" w:hAnsi="宋体"/>
          <w:b/>
          <w:i w:val="0"/>
          <w:iCs w:val="0"/>
          <w:color w:val="auto"/>
          <w:szCs w:val="21"/>
          <w:highlight w:val="none"/>
        </w:rPr>
        <w:t>. 一般约定</w:t>
      </w:r>
      <w:bookmarkEnd w:id="553"/>
    </w:p>
    <w:bookmarkEnd w:id="554"/>
    <w:bookmarkEnd w:id="555"/>
    <w:bookmarkEnd w:id="556"/>
    <w:bookmarkEnd w:id="557"/>
    <w:bookmarkEnd w:id="558"/>
    <w:bookmarkEnd w:id="559"/>
    <w:bookmarkEnd w:id="560"/>
    <w:bookmarkEnd w:id="561"/>
    <w:bookmarkEnd w:id="562"/>
    <w:bookmarkEnd w:id="563"/>
    <w:p w14:paraId="3C712BE1">
      <w:pPr>
        <w:snapToGrid w:val="0"/>
        <w:spacing w:line="360" w:lineRule="auto"/>
        <w:ind w:firstLine="420" w:firstLineChars="175"/>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1.1 词语定义</w:t>
      </w:r>
    </w:p>
    <w:p w14:paraId="2C54F627">
      <w:pPr>
        <w:snapToGrid w:val="0"/>
        <w:spacing w:line="360" w:lineRule="auto"/>
        <w:ind w:firstLine="420" w:firstLineChars="175"/>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1.1.1合同</w:t>
      </w:r>
    </w:p>
    <w:p w14:paraId="3F69F0F8">
      <w:pPr>
        <w:shd w:val="clear" w:color="auto" w:fill="FAFAFA"/>
        <w:snapToGrid w:val="0"/>
        <w:spacing w:line="360" w:lineRule="auto"/>
        <w:ind w:firstLine="470" w:firstLineChars="196"/>
        <w:rPr>
          <w:rFonts w:ascii="宋体" w:hAnsi="宋体"/>
          <w:b/>
          <w:i w:val="0"/>
          <w:iCs w:val="0"/>
          <w:snapToGrid w:val="0"/>
          <w:color w:val="auto"/>
          <w:kern w:val="0"/>
          <w:szCs w:val="21"/>
          <w:highlight w:val="none"/>
          <w:u w:val="single"/>
        </w:rPr>
      </w:pPr>
      <w:r>
        <w:rPr>
          <w:rFonts w:hint="eastAsia" w:ascii="宋体" w:hAnsi="宋体"/>
          <w:i w:val="0"/>
          <w:iCs w:val="0"/>
          <w:snapToGrid w:val="0"/>
          <w:color w:val="auto"/>
          <w:kern w:val="0"/>
          <w:szCs w:val="21"/>
          <w:highlight w:val="none"/>
        </w:rPr>
        <w:t>1.1.1.10其他合同文件包括：</w:t>
      </w:r>
      <w:r>
        <w:rPr>
          <w:rFonts w:hint="eastAsia" w:ascii="宋体" w:hAnsi="宋体"/>
          <w:i w:val="0"/>
          <w:iCs w:val="0"/>
          <w:snapToGrid w:val="0"/>
          <w:color w:val="auto"/>
          <w:kern w:val="0"/>
          <w:szCs w:val="21"/>
          <w:highlight w:val="none"/>
          <w:u w:val="single"/>
        </w:rPr>
        <w:t xml:space="preserve">                             </w:t>
      </w:r>
    </w:p>
    <w:p w14:paraId="6306CA7F">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1.1.2 合同当事人及其他相关方</w:t>
      </w:r>
    </w:p>
    <w:p w14:paraId="007556F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1.1.2.4监理人：</w:t>
      </w:r>
    </w:p>
    <w:p w14:paraId="53A77E3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名    称：</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p>
    <w:p w14:paraId="4B02B89F">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资质类别和等级：</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164D3B6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联系电话：</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22B02DF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电子信箱：</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6E41AE7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通信地址：</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0BE2BE64">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1.1.2.5 设计人：</w:t>
      </w:r>
    </w:p>
    <w:p w14:paraId="3FDB59DE">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名    称：</w:t>
      </w:r>
      <w:r>
        <w:rPr>
          <w:rFonts w:hint="eastAsia" w:ascii="宋体" w:hAnsi="宋体" w:cs="仿宋_GB2312"/>
          <w:i w:val="0"/>
          <w:iCs w:val="0"/>
          <w:snapToGrid w:val="0"/>
          <w:color w:val="auto"/>
          <w:kern w:val="0"/>
          <w:szCs w:val="21"/>
          <w:highlight w:val="none"/>
          <w:u w:val="single"/>
        </w:rPr>
        <w:t xml:space="preserve">                       </w:t>
      </w:r>
      <w:r>
        <w:rPr>
          <w:rFonts w:hint="eastAsia" w:cs="仿宋_GB2312"/>
          <w:i w:val="0"/>
          <w:iCs w:val="0"/>
          <w:snapToGrid w:val="0"/>
          <w:color w:val="auto"/>
          <w:kern w:val="0"/>
          <w:szCs w:val="21"/>
          <w:highlight w:val="none"/>
          <w:u w:val="single"/>
          <w:lang w:val="en-US" w:eastAsia="zh-CN"/>
        </w:rPr>
        <w:t xml:space="preserve">        </w:t>
      </w:r>
      <w:r>
        <w:rPr>
          <w:rFonts w:hint="eastAsia" w:ascii="宋体" w:hAnsi="宋体" w:cs="仿宋_GB2312"/>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2FD5F111">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资质类别和等级：</w:t>
      </w:r>
      <w:r>
        <w:rPr>
          <w:rFonts w:hint="eastAsia" w:ascii="宋体" w:hAnsi="宋体" w:cs="仿宋_GB2312"/>
          <w:i w:val="0"/>
          <w:iCs w:val="0"/>
          <w:snapToGrid w:val="0"/>
          <w:color w:val="auto"/>
          <w:kern w:val="0"/>
          <w:szCs w:val="21"/>
          <w:highlight w:val="none"/>
          <w:u w:val="single"/>
        </w:rPr>
        <w:t xml:space="preserve">                  </w:t>
      </w:r>
      <w:r>
        <w:rPr>
          <w:rFonts w:hint="eastAsia" w:cs="仿宋_GB2312"/>
          <w:i w:val="0"/>
          <w:iCs w:val="0"/>
          <w:snapToGrid w:val="0"/>
          <w:color w:val="auto"/>
          <w:kern w:val="0"/>
          <w:szCs w:val="21"/>
          <w:highlight w:val="none"/>
          <w:u w:val="single"/>
          <w:lang w:val="en-US" w:eastAsia="zh-CN"/>
        </w:rPr>
        <w:t xml:space="preserve">   </w:t>
      </w:r>
      <w:r>
        <w:rPr>
          <w:rFonts w:hint="eastAsia" w:ascii="宋体" w:hAnsi="宋体" w:cs="仿宋_GB2312"/>
          <w:i w:val="0"/>
          <w:iCs w:val="0"/>
          <w:snapToGrid w:val="0"/>
          <w:color w:val="auto"/>
          <w:kern w:val="0"/>
          <w:szCs w:val="21"/>
          <w:highlight w:val="none"/>
          <w:u w:val="single"/>
        </w:rPr>
        <w:t xml:space="preserve">  </w:t>
      </w:r>
      <w:r>
        <w:rPr>
          <w:rFonts w:hint="eastAsia" w:ascii="宋体" w:hAnsi="宋体"/>
          <w:i w:val="0"/>
          <w:iCs w:val="0"/>
          <w:snapToGrid w:val="0"/>
          <w:color w:val="auto"/>
          <w:kern w:val="0"/>
          <w:szCs w:val="20"/>
          <w:highlight w:val="none"/>
          <w:u w:val="single"/>
        </w:rPr>
        <w:t xml:space="preserve">        </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rPr>
        <w:t>；</w:t>
      </w:r>
    </w:p>
    <w:p w14:paraId="613079C7">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联系电话：</w:t>
      </w:r>
      <w:r>
        <w:rPr>
          <w:rFonts w:hint="eastAsia" w:ascii="宋体" w:hAnsi="宋体" w:cs="仿宋_GB2312"/>
          <w:i w:val="0"/>
          <w:iCs w:val="0"/>
          <w:snapToGrid w:val="0"/>
          <w:color w:val="auto"/>
          <w:kern w:val="0"/>
          <w:szCs w:val="21"/>
          <w:highlight w:val="none"/>
          <w:u w:val="single"/>
        </w:rPr>
        <w:t>           </w:t>
      </w:r>
      <w:r>
        <w:rPr>
          <w:rFonts w:hint="eastAsia" w:ascii="宋体" w:hAnsi="宋体"/>
          <w:i w:val="0"/>
          <w:iCs w:val="0"/>
          <w:snapToGrid w:val="0"/>
          <w:color w:val="auto"/>
          <w:kern w:val="0"/>
          <w:szCs w:val="21"/>
          <w:highlight w:val="none"/>
          <w:u w:val="single"/>
        </w:rPr>
        <w:t xml:space="preserve">         </w:t>
      </w:r>
      <w:r>
        <w:rPr>
          <w:rFonts w:hint="eastAsia" w:ascii="宋体" w:hAnsi="宋体" w:cs="仿宋_GB2312"/>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09EC5F02">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电子信箱：</w:t>
      </w:r>
      <w:r>
        <w:rPr>
          <w:rFonts w:hint="eastAsia" w:ascii="宋体" w:hAnsi="宋体" w:cs="仿宋_GB2312"/>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7FC1BE71">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通信地址：</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u w:val="single"/>
        </w:rPr>
        <w:t xml:space="preserve">    </w:t>
      </w:r>
      <w:r>
        <w:rPr>
          <w:rFonts w:hint="eastAsia" w:ascii="宋体" w:hAnsi="宋体" w:cs="仿宋_GB2312"/>
          <w:i w:val="0"/>
          <w:iCs w:val="0"/>
          <w:snapToGrid w:val="0"/>
          <w:color w:val="auto"/>
          <w:kern w:val="0"/>
          <w:szCs w:val="21"/>
          <w:highlight w:val="none"/>
          <w:u w:val="single"/>
        </w:rPr>
        <w:t> </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lang w:val="en-US" w:eastAsia="zh-CN"/>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rPr>
        <w:t>。</w:t>
      </w:r>
    </w:p>
    <w:p w14:paraId="65378AB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1.1.3 工程和设备</w:t>
      </w:r>
    </w:p>
    <w:p w14:paraId="6D3685D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1.1.3.7 作为施工现场组成部分的其他场所包括：</w:t>
      </w:r>
      <w:r>
        <w:rPr>
          <w:rFonts w:hint="eastAsia" w:ascii="宋体" w:hAnsi="宋体" w:cs="宋体"/>
          <w:i w:val="0"/>
          <w:iCs w:val="0"/>
          <w:color w:val="auto"/>
          <w:szCs w:val="21"/>
          <w:highlight w:val="none"/>
          <w:u w:val="single"/>
        </w:rPr>
        <w:t xml:space="preserve">            </w:t>
      </w:r>
      <w:r>
        <w:rPr>
          <w:rFonts w:hint="eastAsia" w:ascii="宋体" w:hAnsi="宋体" w:cs="宋体"/>
          <w:i w:val="0"/>
          <w:iCs w:val="0"/>
          <w:color w:val="auto"/>
          <w:szCs w:val="21"/>
          <w:highlight w:val="none"/>
        </w:rPr>
        <w:t>。</w:t>
      </w:r>
    </w:p>
    <w:p w14:paraId="0162226C">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1.1.3.9 永久占地包括：</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kern w:val="0"/>
          <w:szCs w:val="21"/>
          <w:highlight w:val="none"/>
        </w:rPr>
        <w:t>。</w:t>
      </w:r>
    </w:p>
    <w:p w14:paraId="607DBB11">
      <w:pPr>
        <w:adjustRightInd/>
        <w:snapToGrid w:val="0"/>
        <w:spacing w:line="360" w:lineRule="auto"/>
        <w:ind w:firstLine="480" w:firstLineChars="200"/>
        <w:jc w:val="left"/>
        <w:rPr>
          <w:rFonts w:ascii="宋体" w:hAnsi="宋体" w:cs="宋体"/>
          <w:i w:val="0"/>
          <w:iCs w:val="0"/>
          <w:snapToGrid w:val="0"/>
          <w:color w:val="auto"/>
          <w:kern w:val="0"/>
          <w:szCs w:val="21"/>
          <w:highlight w:val="none"/>
        </w:rPr>
      </w:pPr>
      <w:r>
        <w:rPr>
          <w:rFonts w:hint="eastAsia" w:ascii="宋体" w:hAnsi="宋体" w:cs="宋体"/>
          <w:i w:val="0"/>
          <w:iCs w:val="0"/>
          <w:color w:val="auto"/>
          <w:kern w:val="0"/>
          <w:szCs w:val="21"/>
          <w:highlight w:val="none"/>
        </w:rPr>
        <w:t>1.1.3.10 临时占地包括：</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kern w:val="0"/>
          <w:szCs w:val="21"/>
          <w:highlight w:val="none"/>
        </w:rPr>
        <w:t>。</w:t>
      </w:r>
    </w:p>
    <w:p w14:paraId="443DC4E5">
      <w:pPr>
        <w:snapToGrid w:val="0"/>
        <w:spacing w:line="360" w:lineRule="auto"/>
        <w:ind w:firstLine="480" w:firstLineChars="200"/>
        <w:rPr>
          <w:rFonts w:ascii="宋体" w:hAnsi="宋体" w:cs="宋体"/>
          <w:i w:val="0"/>
          <w:iCs w:val="0"/>
          <w:snapToGrid w:val="0"/>
          <w:color w:val="auto"/>
          <w:kern w:val="0"/>
          <w:szCs w:val="21"/>
          <w:highlight w:val="none"/>
        </w:rPr>
      </w:pPr>
      <w:r>
        <w:rPr>
          <w:rFonts w:hint="eastAsia" w:ascii="宋体" w:hAnsi="宋体" w:cs="宋体"/>
          <w:i w:val="0"/>
          <w:iCs w:val="0"/>
          <w:snapToGrid w:val="0"/>
          <w:color w:val="auto"/>
          <w:kern w:val="0"/>
          <w:szCs w:val="21"/>
          <w:highlight w:val="none"/>
        </w:rPr>
        <w:t xml:space="preserve">1.3法律 </w:t>
      </w:r>
    </w:p>
    <w:p w14:paraId="414B7E84">
      <w:pPr>
        <w:autoSpaceDE w:val="0"/>
        <w:autoSpaceDN w:val="0"/>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适用于合同的其他规范性文件：</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A36EB97">
      <w:pPr>
        <w:autoSpaceDE w:val="0"/>
        <w:autoSpaceDN w:val="0"/>
        <w:snapToGrid w:val="0"/>
        <w:spacing w:line="360" w:lineRule="auto"/>
        <w:ind w:firstLine="480" w:firstLineChars="200"/>
        <w:jc w:val="left"/>
        <w:rPr>
          <w:rFonts w:ascii="宋体" w:hAnsi="宋体" w:cs="宋体"/>
          <w:i w:val="0"/>
          <w:iCs w:val="0"/>
          <w:snapToGrid w:val="0"/>
          <w:color w:val="auto"/>
          <w:kern w:val="0"/>
          <w:szCs w:val="21"/>
          <w:highlight w:val="none"/>
        </w:rPr>
      </w:pPr>
      <w:r>
        <w:rPr>
          <w:rFonts w:hint="eastAsia" w:ascii="宋体" w:hAnsi="宋体" w:cs="宋体"/>
          <w:i w:val="0"/>
          <w:iCs w:val="0"/>
          <w:snapToGrid w:val="0"/>
          <w:color w:val="auto"/>
          <w:kern w:val="0"/>
          <w:szCs w:val="21"/>
          <w:highlight w:val="none"/>
        </w:rPr>
        <w:t>1.4 标准和规范</w:t>
      </w:r>
    </w:p>
    <w:p w14:paraId="735980BF">
      <w:pPr>
        <w:snapToGrid w:val="0"/>
        <w:spacing w:line="360" w:lineRule="auto"/>
        <w:ind w:firstLine="480" w:firstLineChars="200"/>
        <w:rPr>
          <w:rFonts w:ascii="宋体" w:hAnsi="宋体"/>
          <w:b/>
          <w:i w:val="0"/>
          <w:iCs w:val="0"/>
          <w:snapToGrid w:val="0"/>
          <w:color w:val="auto"/>
          <w:kern w:val="0"/>
          <w:szCs w:val="21"/>
          <w:highlight w:val="none"/>
          <w:u w:val="single"/>
        </w:rPr>
      </w:pPr>
      <w:r>
        <w:rPr>
          <w:rFonts w:hint="eastAsia" w:ascii="宋体" w:hAnsi="宋体"/>
          <w:i w:val="0"/>
          <w:iCs w:val="0"/>
          <w:snapToGrid w:val="0"/>
          <w:color w:val="auto"/>
          <w:kern w:val="0"/>
          <w:szCs w:val="21"/>
          <w:highlight w:val="none"/>
        </w:rPr>
        <w:t>1.4.1适用于工程的标准规范包括：</w:t>
      </w:r>
      <w:r>
        <w:rPr>
          <w:rFonts w:hint="eastAsia" w:ascii="宋体" w:hAnsi="宋体"/>
          <w:b/>
          <w:i w:val="0"/>
          <w:iCs w:val="0"/>
          <w:snapToGrid w:val="0"/>
          <w:color w:val="auto"/>
          <w:kern w:val="0"/>
          <w:szCs w:val="21"/>
          <w:highlight w:val="none"/>
          <w:u w:val="single"/>
        </w:rPr>
        <w:t xml:space="preserve">    </w:t>
      </w:r>
      <w:r>
        <w:rPr>
          <w:rFonts w:hint="eastAsia" w:ascii="宋体" w:hAnsi="宋体"/>
          <w:b/>
          <w:i w:val="0"/>
          <w:iCs w:val="0"/>
          <w:snapToGrid w:val="0"/>
          <w:color w:val="auto"/>
          <w:kern w:val="0"/>
          <w:szCs w:val="21"/>
          <w:highlight w:val="none"/>
          <w:u w:val="single"/>
          <w:lang w:val="en-US" w:eastAsia="zh-CN"/>
        </w:rPr>
        <w:t xml:space="preserve">                </w:t>
      </w:r>
      <w:r>
        <w:rPr>
          <w:rFonts w:hint="eastAsia" w:ascii="宋体" w:hAnsi="宋体"/>
          <w:b/>
          <w:i w:val="0"/>
          <w:iCs w:val="0"/>
          <w:snapToGrid w:val="0"/>
          <w:color w:val="auto"/>
          <w:kern w:val="0"/>
          <w:szCs w:val="21"/>
          <w:highlight w:val="none"/>
          <w:u w:val="single"/>
        </w:rPr>
        <w:t xml:space="preserve">   </w:t>
      </w:r>
      <w:r>
        <w:rPr>
          <w:rFonts w:hint="eastAsia" w:ascii="Arial" w:hAnsi="Arial" w:cs="Arial"/>
          <w:i w:val="0"/>
          <w:iCs w:val="0"/>
          <w:snapToGrid w:val="0"/>
          <w:color w:val="auto"/>
          <w:kern w:val="0"/>
          <w:szCs w:val="21"/>
          <w:highlight w:val="none"/>
          <w:u w:val="none"/>
        </w:rPr>
        <w:t>。</w:t>
      </w:r>
    </w:p>
    <w:p w14:paraId="0EE4202E">
      <w:pPr>
        <w:snapToGrid w:val="0"/>
        <w:spacing w:line="360" w:lineRule="auto"/>
        <w:ind w:firstLine="480" w:firstLineChars="200"/>
        <w:rPr>
          <w:rFonts w:ascii="宋体" w:hAnsi="宋体"/>
          <w:i w:val="0"/>
          <w:iCs w:val="0"/>
          <w:snapToGrid w:val="0"/>
          <w:color w:val="auto"/>
          <w:kern w:val="0"/>
          <w:szCs w:val="21"/>
          <w:highlight w:val="none"/>
          <w:u w:val="single"/>
        </w:rPr>
      </w:pPr>
      <w:r>
        <w:rPr>
          <w:rFonts w:hint="eastAsia" w:ascii="宋体" w:hAnsi="宋体"/>
          <w:i w:val="0"/>
          <w:iCs w:val="0"/>
          <w:snapToGrid w:val="0"/>
          <w:color w:val="auto"/>
          <w:kern w:val="0"/>
          <w:szCs w:val="21"/>
          <w:highlight w:val="none"/>
        </w:rPr>
        <w:t>1.4.2 发包人提供国外标准、规范的名称：</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2F38071E">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发包人提供国外标准、规范的份数：</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3275CA0E">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发包人提供国外标准、规范的名称：</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lang w:val="en-US" w:eastAsia="zh-CN"/>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16E38D46">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1.4.3发包人对工程的技术标准和功能要求的特殊要求：</w:t>
      </w:r>
      <w:r>
        <w:rPr>
          <w:rFonts w:hint="eastAsia" w:ascii="宋体" w:hAnsi="宋体" w:cs="仿宋_GB2312"/>
          <w:i w:val="0"/>
          <w:iCs w:val="0"/>
          <w:snapToGrid w:val="0"/>
          <w:color w:val="auto"/>
          <w:kern w:val="0"/>
          <w:szCs w:val="21"/>
          <w:highlight w:val="none"/>
          <w:u w:val="single"/>
        </w:rPr>
        <w:t></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u w:val="single"/>
          <w:lang w:val="en-US" w:eastAsia="zh-CN"/>
        </w:rPr>
        <w:t xml:space="preserve">      </w:t>
      </w:r>
      <w:r>
        <w:rPr>
          <w:rFonts w:hint="eastAsia" w:ascii="宋体" w:hAnsi="宋体"/>
          <w:i w:val="0"/>
          <w:iCs w:val="0"/>
          <w:snapToGrid w:val="0"/>
          <w:color w:val="auto"/>
          <w:kern w:val="0"/>
          <w:szCs w:val="21"/>
          <w:highlight w:val="none"/>
          <w:u w:val="single"/>
        </w:rPr>
        <w:t xml:space="preserve"> </w:t>
      </w:r>
      <w:r>
        <w:rPr>
          <w:rFonts w:hint="eastAsia" w:ascii="宋体" w:hAnsi="宋体"/>
          <w:i w:val="0"/>
          <w:iCs w:val="0"/>
          <w:snapToGrid w:val="0"/>
          <w:color w:val="auto"/>
          <w:kern w:val="0"/>
          <w:szCs w:val="21"/>
          <w:highlight w:val="none"/>
        </w:rPr>
        <w:t>。</w:t>
      </w:r>
    </w:p>
    <w:p w14:paraId="466A1633">
      <w:pPr>
        <w:snapToGrid w:val="0"/>
        <w:spacing w:line="360" w:lineRule="auto"/>
        <w:ind w:firstLine="480" w:firstLineChars="200"/>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1.5 合同文件的优先顺序</w:t>
      </w:r>
    </w:p>
    <w:p w14:paraId="40AED7D2">
      <w:pPr>
        <w:autoSpaceDE w:val="0"/>
        <w:autoSpaceDN w:val="0"/>
        <w:snapToGrid w:val="0"/>
        <w:spacing w:line="360" w:lineRule="auto"/>
        <w:ind w:firstLine="480" w:firstLineChars="200"/>
        <w:jc w:val="left"/>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合同文件组成及优先顺序为：</w:t>
      </w:r>
    </w:p>
    <w:p w14:paraId="65238E71">
      <w:pPr>
        <w:autoSpaceDE w:val="0"/>
        <w:autoSpaceDN w:val="0"/>
        <w:snapToGrid w:val="0"/>
        <w:spacing w:line="360" w:lineRule="auto"/>
        <w:ind w:firstLine="477" w:firstLineChars="198"/>
        <w:jc w:val="left"/>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（1）合同协议书</w:t>
      </w:r>
      <w:r>
        <w:rPr>
          <w:rFonts w:hint="eastAsia" w:ascii="宋体" w:hAnsi="宋体"/>
          <w:b/>
          <w:i w:val="0"/>
          <w:iCs w:val="0"/>
          <w:snapToGrid w:val="0"/>
          <w:color w:val="auto"/>
          <w:kern w:val="0"/>
          <w:szCs w:val="21"/>
          <w:highlight w:val="none"/>
        </w:rPr>
        <w:t>；</w:t>
      </w:r>
    </w:p>
    <w:p w14:paraId="42A226EB">
      <w:pPr>
        <w:autoSpaceDE w:val="0"/>
        <w:autoSpaceDN w:val="0"/>
        <w:snapToGrid w:val="0"/>
        <w:spacing w:line="360" w:lineRule="auto"/>
        <w:ind w:firstLine="477" w:firstLineChars="198"/>
        <w:jc w:val="left"/>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（2）成交通知书（或项目发承包基本情况表）</w:t>
      </w:r>
      <w:r>
        <w:rPr>
          <w:rFonts w:hint="eastAsia" w:ascii="宋体" w:hAnsi="宋体"/>
          <w:b/>
          <w:i w:val="0"/>
          <w:iCs w:val="0"/>
          <w:snapToGrid w:val="0"/>
          <w:color w:val="auto"/>
          <w:kern w:val="0"/>
          <w:szCs w:val="21"/>
          <w:highlight w:val="none"/>
        </w:rPr>
        <w:t>；</w:t>
      </w:r>
    </w:p>
    <w:p w14:paraId="2B6E5F8B">
      <w:pPr>
        <w:snapToGrid w:val="0"/>
        <w:spacing w:line="360" w:lineRule="auto"/>
        <w:ind w:firstLine="477" w:firstLineChars="1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（3）磋商响应文件及磋商记录（如果有）</w:t>
      </w:r>
      <w:r>
        <w:rPr>
          <w:rFonts w:hint="eastAsia" w:ascii="宋体" w:hAnsi="宋体"/>
          <w:b/>
          <w:i w:val="0"/>
          <w:iCs w:val="0"/>
          <w:snapToGrid w:val="0"/>
          <w:color w:val="auto"/>
          <w:kern w:val="0"/>
          <w:szCs w:val="21"/>
          <w:highlight w:val="none"/>
        </w:rPr>
        <w:t>；</w:t>
      </w:r>
    </w:p>
    <w:p w14:paraId="39D7B199">
      <w:pPr>
        <w:autoSpaceDE w:val="0"/>
        <w:autoSpaceDN w:val="0"/>
        <w:snapToGrid w:val="0"/>
        <w:spacing w:line="360" w:lineRule="auto"/>
        <w:ind w:firstLine="477" w:firstLineChars="198"/>
        <w:jc w:val="left"/>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（4）专用合同条款及其附件</w:t>
      </w:r>
      <w:r>
        <w:rPr>
          <w:rFonts w:hint="eastAsia" w:ascii="宋体" w:hAnsi="宋体"/>
          <w:b/>
          <w:i w:val="0"/>
          <w:iCs w:val="0"/>
          <w:snapToGrid w:val="0"/>
          <w:color w:val="auto"/>
          <w:kern w:val="0"/>
          <w:szCs w:val="21"/>
          <w:highlight w:val="none"/>
        </w:rPr>
        <w:t>；</w:t>
      </w:r>
    </w:p>
    <w:p w14:paraId="4635D5A1">
      <w:pPr>
        <w:autoSpaceDE w:val="0"/>
        <w:autoSpaceDN w:val="0"/>
        <w:snapToGrid w:val="0"/>
        <w:spacing w:line="360" w:lineRule="auto"/>
        <w:ind w:firstLine="477" w:firstLineChars="198"/>
        <w:jc w:val="left"/>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（5）通用合同条款</w:t>
      </w:r>
      <w:r>
        <w:rPr>
          <w:rFonts w:hint="eastAsia" w:ascii="宋体" w:hAnsi="宋体"/>
          <w:b/>
          <w:i w:val="0"/>
          <w:iCs w:val="0"/>
          <w:snapToGrid w:val="0"/>
          <w:color w:val="auto"/>
          <w:kern w:val="0"/>
          <w:szCs w:val="21"/>
          <w:highlight w:val="none"/>
        </w:rPr>
        <w:t>；</w:t>
      </w:r>
    </w:p>
    <w:p w14:paraId="3207F971">
      <w:pPr>
        <w:snapToGrid w:val="0"/>
        <w:spacing w:line="360" w:lineRule="auto"/>
        <w:ind w:firstLine="477" w:firstLineChars="1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（6）技术标准和要求</w:t>
      </w:r>
      <w:r>
        <w:rPr>
          <w:rFonts w:hint="eastAsia" w:ascii="宋体" w:hAnsi="宋体"/>
          <w:b/>
          <w:i w:val="0"/>
          <w:iCs w:val="0"/>
          <w:snapToGrid w:val="0"/>
          <w:color w:val="auto"/>
          <w:kern w:val="0"/>
          <w:szCs w:val="21"/>
          <w:highlight w:val="none"/>
        </w:rPr>
        <w:t>；</w:t>
      </w:r>
    </w:p>
    <w:p w14:paraId="738EB4B4">
      <w:pPr>
        <w:snapToGrid w:val="0"/>
        <w:spacing w:line="360" w:lineRule="auto"/>
        <w:ind w:firstLine="477" w:firstLineChars="1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（7）图纸（如有） ；</w:t>
      </w:r>
    </w:p>
    <w:p w14:paraId="1B5240AF">
      <w:pPr>
        <w:snapToGrid w:val="0"/>
        <w:spacing w:line="360" w:lineRule="auto"/>
        <w:ind w:firstLine="477" w:firstLineChars="1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（8）已标价工程量清单或预算书</w:t>
      </w:r>
      <w:r>
        <w:rPr>
          <w:rFonts w:hint="eastAsia" w:ascii="宋体" w:hAnsi="宋体"/>
          <w:b/>
          <w:i w:val="0"/>
          <w:iCs w:val="0"/>
          <w:snapToGrid w:val="0"/>
          <w:color w:val="auto"/>
          <w:kern w:val="0"/>
          <w:szCs w:val="21"/>
          <w:highlight w:val="none"/>
        </w:rPr>
        <w:t>；</w:t>
      </w:r>
    </w:p>
    <w:p w14:paraId="4472C2C4">
      <w:pPr>
        <w:snapToGrid w:val="0"/>
        <w:spacing w:line="360" w:lineRule="auto"/>
        <w:ind w:firstLine="477" w:firstLineChars="1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（9）其他合同文件</w:t>
      </w:r>
      <w:r>
        <w:rPr>
          <w:rFonts w:hint="eastAsia" w:ascii="宋体" w:hAnsi="宋体"/>
          <w:b/>
          <w:i w:val="0"/>
          <w:iCs w:val="0"/>
          <w:snapToGrid w:val="0"/>
          <w:color w:val="auto"/>
          <w:kern w:val="0"/>
          <w:szCs w:val="21"/>
          <w:highlight w:val="none"/>
        </w:rPr>
        <w:t>：</w:t>
      </w:r>
    </w:p>
    <w:p w14:paraId="17447732">
      <w:pPr>
        <w:snapToGrid w:val="0"/>
        <w:spacing w:line="360" w:lineRule="auto"/>
        <w:ind w:firstLine="718" w:firstLineChars="2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①施工组织设计</w:t>
      </w:r>
      <w:r>
        <w:rPr>
          <w:rFonts w:hint="eastAsia" w:ascii="宋体" w:hAnsi="宋体"/>
          <w:b/>
          <w:i w:val="0"/>
          <w:iCs w:val="0"/>
          <w:snapToGrid w:val="0"/>
          <w:color w:val="auto"/>
          <w:kern w:val="0"/>
          <w:szCs w:val="21"/>
          <w:highlight w:val="none"/>
        </w:rPr>
        <w:t>；</w:t>
      </w:r>
    </w:p>
    <w:p w14:paraId="29D92021">
      <w:pPr>
        <w:snapToGrid w:val="0"/>
        <w:spacing w:line="360" w:lineRule="auto"/>
        <w:ind w:firstLine="718" w:firstLineChars="298"/>
        <w:rPr>
          <w:rFonts w:ascii="宋体" w:hAnsi="宋体"/>
          <w:b/>
          <w:i w:val="0"/>
          <w:iCs w:val="0"/>
          <w:snapToGrid w:val="0"/>
          <w:color w:val="auto"/>
          <w:kern w:val="0"/>
          <w:szCs w:val="21"/>
          <w:highlight w:val="none"/>
          <w:u w:val="single"/>
        </w:rPr>
      </w:pPr>
      <w:r>
        <w:rPr>
          <w:rFonts w:hint="eastAsia" w:ascii="宋体" w:hAnsi="宋体"/>
          <w:b/>
          <w:i w:val="0"/>
          <w:iCs w:val="0"/>
          <w:snapToGrid w:val="0"/>
          <w:color w:val="auto"/>
          <w:kern w:val="0"/>
          <w:szCs w:val="21"/>
          <w:highlight w:val="none"/>
          <w:u w:val="single"/>
        </w:rPr>
        <w:t>②其他：采购文件（含采购工程量清单）及采购答疑（如果有）。</w:t>
      </w:r>
    </w:p>
    <w:p w14:paraId="557F9532">
      <w:pPr>
        <w:snapToGrid w:val="0"/>
        <w:spacing w:line="360" w:lineRule="auto"/>
        <w:ind w:firstLine="480" w:firstLineChars="200"/>
        <w:outlineLvl w:val="0"/>
        <w:rPr>
          <w:rFonts w:ascii="宋体" w:hAnsi="宋体" w:cs="宋体"/>
          <w:i w:val="0"/>
          <w:iCs w:val="0"/>
          <w:color w:val="auto"/>
          <w:szCs w:val="21"/>
          <w:highlight w:val="none"/>
        </w:rPr>
      </w:pPr>
      <w:bookmarkStart w:id="564" w:name="_Toc20576"/>
      <w:r>
        <w:rPr>
          <w:rFonts w:hint="eastAsia" w:ascii="宋体" w:hAnsi="宋体" w:cs="宋体"/>
          <w:i w:val="0"/>
          <w:iCs w:val="0"/>
          <w:color w:val="auto"/>
          <w:szCs w:val="21"/>
          <w:highlight w:val="none"/>
        </w:rPr>
        <w:t>1.6 图纸和承包人文件</w:t>
      </w:r>
      <w:bookmarkEnd w:id="564"/>
      <w:r>
        <w:rPr>
          <w:rFonts w:hint="eastAsia" w:ascii="宋体" w:hAnsi="宋体" w:cs="宋体"/>
          <w:i w:val="0"/>
          <w:iCs w:val="0"/>
          <w:color w:val="auto"/>
          <w:szCs w:val="21"/>
          <w:highlight w:val="none"/>
        </w:rPr>
        <w:tab/>
      </w:r>
    </w:p>
    <w:p w14:paraId="5C8ABF1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1.6.1 图纸的提供</w:t>
      </w:r>
    </w:p>
    <w:p w14:paraId="7F8201D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发包人向承包人提供图纸的期限：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w:t>
      </w:r>
      <w:r>
        <w:rPr>
          <w:rFonts w:hint="eastAsia" w:ascii="宋体" w:hAnsi="宋体" w:cs="宋体"/>
          <w:i w:val="0"/>
          <w:iCs w:val="0"/>
          <w:color w:val="auto"/>
          <w:szCs w:val="21"/>
          <w:highlight w:val="none"/>
        </w:rPr>
        <w:t>；</w:t>
      </w:r>
    </w:p>
    <w:p w14:paraId="47B74D2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发包人向承包人提供图纸的数量：</w:t>
      </w:r>
      <w:r>
        <w:rPr>
          <w:rFonts w:hint="eastAsia" w:ascii="宋体" w:hAnsi="宋体" w:cs="宋体"/>
          <w:i w:val="0"/>
          <w:iCs w:val="0"/>
          <w:color w:val="auto"/>
          <w:szCs w:val="21"/>
          <w:highlight w:val="none"/>
          <w:u w:val="single"/>
        </w:rPr>
        <w:t></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CD31E4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发包人向承包人提供图纸的内容：</w:t>
      </w:r>
      <w:r>
        <w:rPr>
          <w:rFonts w:hint="eastAsia" w:ascii="宋体" w:hAnsi="宋体" w:cs="宋体"/>
          <w:i w:val="0"/>
          <w:iCs w:val="0"/>
          <w:color w:val="auto"/>
          <w:szCs w:val="21"/>
          <w:highlight w:val="none"/>
          <w:u w:val="single"/>
        </w:rPr>
        <w:t></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BC5194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1.6.4 承包人文件</w:t>
      </w:r>
    </w:p>
    <w:p w14:paraId="119C250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需要由承包人提供的文件，包括：</w:t>
      </w:r>
      <w:r>
        <w:rPr>
          <w:rFonts w:hint="eastAsia" w:ascii="宋体" w:hAnsi="宋体" w:cs="宋体"/>
          <w:i w:val="0"/>
          <w:iCs w:val="0"/>
          <w:color w:val="auto"/>
          <w:szCs w:val="21"/>
          <w:highlight w:val="none"/>
          <w:u w:val="single"/>
        </w:rPr>
        <w:t></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E9E7EB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承包人提供的文件的期限为：</w:t>
      </w:r>
      <w:r>
        <w:rPr>
          <w:rFonts w:hint="eastAsia" w:ascii="宋体" w:hAnsi="宋体" w:cs="宋体"/>
          <w:i w:val="0"/>
          <w:iCs w:val="0"/>
          <w:color w:val="auto"/>
          <w:szCs w:val="21"/>
          <w:highlight w:val="none"/>
          <w:u w:val="single"/>
        </w:rPr>
        <w:t xml:space="preserve"> 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155146E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承包人提供的文件的数量为：</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C10D24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承包人提供的文件的形式为：</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w:t>
      </w:r>
      <w:r>
        <w:rPr>
          <w:rFonts w:hint="eastAsia" w:ascii="宋体" w:hAnsi="宋体" w:cs="宋体"/>
          <w:i w:val="0"/>
          <w:iCs w:val="0"/>
          <w:color w:val="auto"/>
          <w:szCs w:val="21"/>
          <w:highlight w:val="none"/>
        </w:rPr>
        <w:t>；</w:t>
      </w:r>
    </w:p>
    <w:p w14:paraId="42FDE73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发包人审批承包人文件的期限：</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EA6DF0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1.6.5 现场图纸准备</w:t>
      </w:r>
    </w:p>
    <w:p w14:paraId="14B59BC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关于现场图纸准备的约定：</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445BE49C">
      <w:pPr>
        <w:snapToGrid w:val="0"/>
        <w:spacing w:line="360" w:lineRule="auto"/>
        <w:ind w:firstLine="480" w:firstLineChars="200"/>
        <w:outlineLvl w:val="0"/>
        <w:rPr>
          <w:rFonts w:ascii="宋体" w:hAnsi="宋体" w:cs="宋体"/>
          <w:i w:val="0"/>
          <w:iCs w:val="0"/>
          <w:color w:val="auto"/>
          <w:szCs w:val="21"/>
          <w:highlight w:val="none"/>
        </w:rPr>
      </w:pPr>
      <w:bookmarkStart w:id="565" w:name="_Toc9063"/>
      <w:r>
        <w:rPr>
          <w:rFonts w:hint="eastAsia" w:ascii="宋体" w:hAnsi="宋体" w:cs="宋体"/>
          <w:i w:val="0"/>
          <w:iCs w:val="0"/>
          <w:color w:val="auto"/>
          <w:szCs w:val="21"/>
          <w:highlight w:val="none"/>
        </w:rPr>
        <w:t>1.7 联络</w:t>
      </w:r>
      <w:bookmarkEnd w:id="565"/>
    </w:p>
    <w:p w14:paraId="03B0AF8F">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1.7.1发包人和承包人应当在</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天内将与合同有关的通知、批准、证明、证书、指示、指令、要求、请求、同意、意见、确定和决定等书面函件送达对方当事人。</w:t>
      </w:r>
    </w:p>
    <w:p w14:paraId="0E1BB0AA">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1.7.2 发包人接收文件的地点：</w:t>
      </w:r>
      <w:r>
        <w:rPr>
          <w:rFonts w:hint="eastAsia" w:ascii="宋体" w:hAnsi="宋体" w:cs="宋体"/>
          <w:i w:val="0"/>
          <w:iCs w:val="0"/>
          <w:color w:val="auto"/>
          <w:szCs w:val="21"/>
          <w:highlight w:val="none"/>
          <w:u w:val="single"/>
        </w:rPr>
        <w:t>      </w:t>
      </w:r>
      <w:r>
        <w:rPr>
          <w:rFonts w:hint="eastAsia" w:ascii="宋体" w:hAnsi="宋体" w:cs="宋体"/>
          <w:i w:val="0"/>
          <w:iCs w:val="0"/>
          <w:color w:val="auto"/>
          <w:kern w:val="0"/>
          <w:szCs w:val="21"/>
          <w:highlight w:val="none"/>
        </w:rPr>
        <w:t>；</w:t>
      </w:r>
    </w:p>
    <w:p w14:paraId="3F9B7486">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发包人指定的接收人为：</w:t>
      </w:r>
      <w:r>
        <w:rPr>
          <w:rFonts w:hint="eastAsia" w:ascii="宋体" w:hAnsi="宋体" w:cs="宋体"/>
          <w:i w:val="0"/>
          <w:iCs w:val="0"/>
          <w:color w:val="auto"/>
          <w:szCs w:val="21"/>
          <w:highlight w:val="none"/>
          <w:u w:val="single"/>
        </w:rPr>
        <w:t>               </w:t>
      </w:r>
      <w:r>
        <w:rPr>
          <w:rFonts w:hint="eastAsia" w:ascii="宋体" w:hAnsi="宋体" w:cs="宋体"/>
          <w:i w:val="0"/>
          <w:iCs w:val="0"/>
          <w:color w:val="auto"/>
          <w:kern w:val="0"/>
          <w:szCs w:val="21"/>
          <w:highlight w:val="none"/>
        </w:rPr>
        <w:t>。</w:t>
      </w:r>
    </w:p>
    <w:p w14:paraId="7A0D013D">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承包人接收文件的地点：</w:t>
      </w:r>
      <w:r>
        <w:rPr>
          <w:rFonts w:hint="eastAsia" w:ascii="宋体" w:hAnsi="宋体" w:cs="宋体"/>
          <w:i w:val="0"/>
          <w:iCs w:val="0"/>
          <w:color w:val="auto"/>
          <w:szCs w:val="21"/>
          <w:highlight w:val="none"/>
          <w:u w:val="single"/>
        </w:rPr>
        <w:t>             </w:t>
      </w:r>
      <w:r>
        <w:rPr>
          <w:rFonts w:hint="eastAsia" w:ascii="宋体" w:hAnsi="宋体" w:cs="宋体"/>
          <w:i w:val="0"/>
          <w:iCs w:val="0"/>
          <w:color w:val="auto"/>
          <w:kern w:val="0"/>
          <w:szCs w:val="21"/>
          <w:highlight w:val="none"/>
        </w:rPr>
        <w:t>；</w:t>
      </w:r>
    </w:p>
    <w:p w14:paraId="19315D74">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承包人指定的接收人为：</w:t>
      </w:r>
      <w:r>
        <w:rPr>
          <w:rFonts w:hint="eastAsia" w:ascii="宋体" w:hAnsi="宋体" w:cs="宋体"/>
          <w:i w:val="0"/>
          <w:iCs w:val="0"/>
          <w:color w:val="auto"/>
          <w:szCs w:val="21"/>
          <w:highlight w:val="none"/>
          <w:u w:val="single"/>
        </w:rPr>
        <w:t>             </w:t>
      </w:r>
      <w:r>
        <w:rPr>
          <w:rFonts w:hint="eastAsia" w:ascii="宋体" w:hAnsi="宋体" w:cs="宋体"/>
          <w:i w:val="0"/>
          <w:iCs w:val="0"/>
          <w:color w:val="auto"/>
          <w:kern w:val="0"/>
          <w:szCs w:val="21"/>
          <w:highlight w:val="none"/>
        </w:rPr>
        <w:t>。</w:t>
      </w:r>
    </w:p>
    <w:p w14:paraId="40050EA0">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监理人接收文件的地点：</w:t>
      </w:r>
      <w:r>
        <w:rPr>
          <w:rFonts w:hint="eastAsia" w:ascii="宋体" w:hAnsi="宋体" w:cs="宋体"/>
          <w:i w:val="0"/>
          <w:iCs w:val="0"/>
          <w:color w:val="auto"/>
          <w:szCs w:val="21"/>
          <w:highlight w:val="none"/>
          <w:u w:val="single"/>
        </w:rPr>
        <w:t>            </w:t>
      </w:r>
      <w:r>
        <w:rPr>
          <w:rFonts w:hint="eastAsia" w:ascii="宋体" w:hAnsi="宋体" w:cs="宋体"/>
          <w:i w:val="0"/>
          <w:iCs w:val="0"/>
          <w:color w:val="auto"/>
          <w:kern w:val="0"/>
          <w:szCs w:val="21"/>
          <w:highlight w:val="none"/>
        </w:rPr>
        <w:t>；</w:t>
      </w:r>
    </w:p>
    <w:p w14:paraId="1128288D">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监理人指定的接收人为：</w:t>
      </w:r>
      <w:r>
        <w:rPr>
          <w:rFonts w:hint="eastAsia" w:ascii="宋体" w:hAnsi="宋体" w:cs="宋体"/>
          <w:i w:val="0"/>
          <w:iCs w:val="0"/>
          <w:color w:val="auto"/>
          <w:szCs w:val="21"/>
          <w:highlight w:val="none"/>
          <w:u w:val="single"/>
        </w:rPr>
        <w:t>            </w:t>
      </w:r>
      <w:r>
        <w:rPr>
          <w:rFonts w:hint="eastAsia" w:ascii="宋体" w:hAnsi="宋体" w:cs="宋体"/>
          <w:i w:val="0"/>
          <w:iCs w:val="0"/>
          <w:color w:val="auto"/>
          <w:kern w:val="0"/>
          <w:szCs w:val="21"/>
          <w:highlight w:val="none"/>
        </w:rPr>
        <w:t>。</w:t>
      </w:r>
    </w:p>
    <w:p w14:paraId="0E3C3170">
      <w:pPr>
        <w:snapToGrid w:val="0"/>
        <w:spacing w:line="360" w:lineRule="auto"/>
        <w:ind w:firstLine="480" w:firstLineChars="200"/>
        <w:outlineLvl w:val="0"/>
        <w:rPr>
          <w:rFonts w:ascii="宋体" w:hAnsi="宋体" w:cs="宋体"/>
          <w:i w:val="0"/>
          <w:iCs w:val="0"/>
          <w:color w:val="auto"/>
          <w:szCs w:val="21"/>
          <w:highlight w:val="none"/>
        </w:rPr>
      </w:pPr>
      <w:bookmarkStart w:id="566" w:name="_Toc11838"/>
      <w:r>
        <w:rPr>
          <w:rFonts w:hint="eastAsia" w:ascii="宋体" w:hAnsi="宋体" w:cs="宋体"/>
          <w:i w:val="0"/>
          <w:iCs w:val="0"/>
          <w:color w:val="auto"/>
          <w:szCs w:val="21"/>
          <w:highlight w:val="none"/>
        </w:rPr>
        <w:t>1.10 交通运输</w:t>
      </w:r>
      <w:bookmarkEnd w:id="566"/>
    </w:p>
    <w:p w14:paraId="67997656">
      <w:pPr>
        <w:snapToGrid w:val="0"/>
        <w:spacing w:line="360" w:lineRule="auto"/>
        <w:ind w:firstLine="480" w:firstLineChars="200"/>
        <w:outlineLvl w:val="0"/>
        <w:rPr>
          <w:rFonts w:ascii="宋体" w:hAnsi="宋体" w:cs="宋体"/>
          <w:i w:val="0"/>
          <w:iCs w:val="0"/>
          <w:color w:val="auto"/>
          <w:szCs w:val="21"/>
          <w:highlight w:val="none"/>
        </w:rPr>
      </w:pPr>
      <w:bookmarkStart w:id="567" w:name="_Toc4128"/>
      <w:r>
        <w:rPr>
          <w:rFonts w:hint="eastAsia" w:ascii="宋体" w:hAnsi="宋体" w:cs="宋体"/>
          <w:i w:val="0"/>
          <w:iCs w:val="0"/>
          <w:color w:val="auto"/>
          <w:szCs w:val="21"/>
          <w:highlight w:val="none"/>
        </w:rPr>
        <w:t>1</w:t>
      </w:r>
      <w:bookmarkStart w:id="568" w:name="_Toc312677986"/>
      <w:bookmarkStart w:id="569" w:name="_Toc300934943"/>
      <w:bookmarkStart w:id="570" w:name="_Toc304295521"/>
      <w:bookmarkStart w:id="571" w:name="_Toc303539100"/>
      <w:bookmarkStart w:id="572" w:name="_Toc318581155"/>
      <w:r>
        <w:rPr>
          <w:rFonts w:hint="eastAsia" w:ascii="宋体" w:hAnsi="宋体" w:cs="宋体"/>
          <w:i w:val="0"/>
          <w:iCs w:val="0"/>
          <w:color w:val="auto"/>
          <w:szCs w:val="21"/>
          <w:highlight w:val="none"/>
        </w:rPr>
        <w:t>.10.1 出入现场的权利</w:t>
      </w:r>
      <w:bookmarkEnd w:id="567"/>
    </w:p>
    <w:p w14:paraId="43A3216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关于出入现场的权利的约定：</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bookmarkEnd w:id="568"/>
    <w:bookmarkEnd w:id="569"/>
    <w:bookmarkEnd w:id="570"/>
    <w:bookmarkEnd w:id="571"/>
    <w:bookmarkEnd w:id="572"/>
    <w:p w14:paraId="4D9C9B36">
      <w:pPr>
        <w:snapToGrid w:val="0"/>
        <w:spacing w:line="360" w:lineRule="auto"/>
        <w:ind w:firstLine="480" w:firstLineChars="200"/>
        <w:jc w:val="left"/>
        <w:outlineLvl w:val="0"/>
        <w:rPr>
          <w:rFonts w:ascii="宋体" w:hAnsi="宋体" w:cs="宋体"/>
          <w:i w:val="0"/>
          <w:iCs w:val="0"/>
          <w:color w:val="auto"/>
          <w:szCs w:val="21"/>
          <w:highlight w:val="none"/>
        </w:rPr>
      </w:pPr>
      <w:bookmarkStart w:id="573" w:name="_Toc30902"/>
      <w:r>
        <w:rPr>
          <w:rFonts w:hint="eastAsia" w:ascii="宋体" w:hAnsi="宋体" w:cs="宋体"/>
          <w:i w:val="0"/>
          <w:iCs w:val="0"/>
          <w:color w:val="auto"/>
          <w:szCs w:val="21"/>
          <w:highlight w:val="none"/>
        </w:rPr>
        <w:t>1</w:t>
      </w:r>
      <w:bookmarkStart w:id="574" w:name="_Toc303539101"/>
      <w:bookmarkStart w:id="575" w:name="_Toc318581156"/>
      <w:bookmarkStart w:id="576" w:name="_Toc304295522"/>
      <w:bookmarkStart w:id="577" w:name="_Toc300934944"/>
      <w:bookmarkStart w:id="578" w:name="_Toc312677987"/>
      <w:r>
        <w:rPr>
          <w:rFonts w:hint="eastAsia" w:ascii="宋体" w:hAnsi="宋体" w:cs="宋体"/>
          <w:i w:val="0"/>
          <w:iCs w:val="0"/>
          <w:color w:val="auto"/>
          <w:szCs w:val="21"/>
          <w:highlight w:val="none"/>
        </w:rPr>
        <w:t>.10.3 场内交通</w:t>
      </w:r>
      <w:bookmarkEnd w:id="573"/>
    </w:p>
    <w:p w14:paraId="0BFBECE5">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关于场外交通和场内交通的边界的约定：</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268B3B6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关于发包人向承包人免费提供满足工程施工需要的场内道路和交通设施的约定：</w:t>
      </w:r>
      <w:r>
        <w:rPr>
          <w:rFonts w:hint="eastAsia" w:ascii="宋体" w:hAnsi="宋体" w:cs="宋体"/>
          <w:i w:val="0"/>
          <w:iCs w:val="0"/>
          <w:color w:val="auto"/>
          <w:szCs w:val="21"/>
          <w:highlight w:val="none"/>
          <w:u w:val="single"/>
        </w:rPr>
        <w:t>                           </w:t>
      </w:r>
      <w:r>
        <w:rPr>
          <w:rFonts w:hint="eastAsia" w:ascii="宋体" w:hAnsi="宋体" w:cs="宋体"/>
          <w:i w:val="0"/>
          <w:iCs w:val="0"/>
          <w:color w:val="auto"/>
          <w:szCs w:val="21"/>
          <w:highlight w:val="none"/>
        </w:rPr>
        <w:t>。</w:t>
      </w:r>
      <w:bookmarkEnd w:id="574"/>
      <w:bookmarkEnd w:id="575"/>
      <w:bookmarkEnd w:id="576"/>
      <w:bookmarkEnd w:id="577"/>
      <w:bookmarkEnd w:id="578"/>
      <w:r>
        <w:rPr>
          <w:rFonts w:hint="eastAsia" w:ascii="宋体" w:hAnsi="宋体" w:cs="宋体"/>
          <w:i w:val="0"/>
          <w:iCs w:val="0"/>
          <w:color w:val="auto"/>
          <w:szCs w:val="21"/>
          <w:highlight w:val="none"/>
        </w:rPr>
        <w:t xml:space="preserve">  </w:t>
      </w:r>
      <w:bookmarkStart w:id="579" w:name="_Toc318581157"/>
    </w:p>
    <w:p w14:paraId="4EC14B0C">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1.10.4超大件和超重件的运输</w:t>
      </w:r>
    </w:p>
    <w:p w14:paraId="5CC98DF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运输超大件或超重件所需的道路和桥梁临时加固改造费用和其他有关费用由</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承担。</w:t>
      </w:r>
    </w:p>
    <w:bookmarkEnd w:id="579"/>
    <w:p w14:paraId="0141343D">
      <w:pPr>
        <w:snapToGrid w:val="0"/>
        <w:spacing w:line="360" w:lineRule="auto"/>
        <w:ind w:firstLine="480" w:firstLineChars="200"/>
        <w:outlineLvl w:val="0"/>
        <w:rPr>
          <w:rFonts w:ascii="宋体" w:hAnsi="宋体" w:cs="宋体"/>
          <w:i w:val="0"/>
          <w:iCs w:val="0"/>
          <w:color w:val="auto"/>
          <w:szCs w:val="21"/>
          <w:highlight w:val="none"/>
        </w:rPr>
      </w:pPr>
      <w:bookmarkStart w:id="580" w:name="_Toc5104"/>
      <w:r>
        <w:rPr>
          <w:rFonts w:hint="eastAsia" w:ascii="宋体" w:hAnsi="宋体" w:cs="宋体"/>
          <w:i w:val="0"/>
          <w:iCs w:val="0"/>
          <w:color w:val="auto"/>
          <w:szCs w:val="21"/>
          <w:highlight w:val="none"/>
        </w:rPr>
        <w:t>1.11 知识产权</w:t>
      </w:r>
      <w:bookmarkEnd w:id="580"/>
    </w:p>
    <w:p w14:paraId="29FC937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cs="宋体"/>
          <w:i w:val="0"/>
          <w:iCs w:val="0"/>
          <w:color w:val="auto"/>
          <w:szCs w:val="21"/>
          <w:highlight w:val="none"/>
          <w:u w:val="single"/>
        </w:rPr>
        <w:t xml:space="preserve">                                             </w:t>
      </w:r>
      <w:r>
        <w:rPr>
          <w:rFonts w:hint="eastAsia" w:ascii="宋体" w:hAnsi="宋体" w:cs="宋体"/>
          <w:i w:val="0"/>
          <w:iCs w:val="0"/>
          <w:color w:val="auto"/>
          <w:szCs w:val="21"/>
          <w:highlight w:val="none"/>
        </w:rPr>
        <w:t>。</w:t>
      </w:r>
    </w:p>
    <w:p w14:paraId="75768CD5">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关于发包人提供的上述文件的使用限制的要求：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AB2C8E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1.11.2 关于承包人为实施工程所编制文件的著作权的归属：</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712DE1E">
      <w:pPr>
        <w:snapToGrid w:val="0"/>
        <w:spacing w:line="360" w:lineRule="auto"/>
        <w:rPr>
          <w:rFonts w:ascii="宋体" w:hAnsi="宋体" w:cs="宋体"/>
          <w:i w:val="0"/>
          <w:iCs w:val="0"/>
          <w:color w:val="auto"/>
          <w:szCs w:val="21"/>
          <w:highlight w:val="none"/>
        </w:rPr>
      </w:pPr>
      <w:r>
        <w:rPr>
          <w:rFonts w:hint="eastAsia" w:ascii="宋体" w:hAnsi="宋体" w:cs="宋体"/>
          <w:i w:val="0"/>
          <w:iCs w:val="0"/>
          <w:color w:val="auto"/>
          <w:szCs w:val="21"/>
          <w:highlight w:val="none"/>
        </w:rPr>
        <w:t>关于承包人提供的上述文件的使用限制的要求：</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9FA9557">
      <w:pPr>
        <w:snapToGrid w:val="0"/>
        <w:spacing w:line="360" w:lineRule="auto"/>
        <w:ind w:firstLine="480" w:firstLineChars="200"/>
        <w:outlineLvl w:val="0"/>
        <w:rPr>
          <w:rFonts w:ascii="宋体" w:hAnsi="宋体" w:cs="宋体"/>
          <w:i w:val="0"/>
          <w:iCs w:val="0"/>
          <w:color w:val="auto"/>
          <w:kern w:val="0"/>
          <w:szCs w:val="21"/>
          <w:highlight w:val="none"/>
        </w:rPr>
      </w:pPr>
      <w:bookmarkStart w:id="581" w:name="_Toc1087"/>
      <w:r>
        <w:rPr>
          <w:rFonts w:hint="eastAsia" w:ascii="宋体" w:hAnsi="宋体" w:cs="宋体"/>
          <w:i w:val="0"/>
          <w:iCs w:val="0"/>
          <w:color w:val="auto"/>
          <w:szCs w:val="21"/>
          <w:highlight w:val="none"/>
        </w:rPr>
        <w:t>1.11.4 承包人在施工过程中所采用的专利、专有技术、技术秘密的使用费的承担方式：</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kern w:val="0"/>
          <w:szCs w:val="21"/>
          <w:highlight w:val="none"/>
        </w:rPr>
        <w:t>。</w:t>
      </w:r>
      <w:bookmarkEnd w:id="581"/>
    </w:p>
    <w:p w14:paraId="57289F2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1.13工程量清单错误的修正</w:t>
      </w:r>
    </w:p>
    <w:p w14:paraId="117AE25D">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出现工程量清单错误时，是否调整合同价格：</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w:t>
      </w:r>
    </w:p>
    <w:p w14:paraId="3C989C8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允许调整合同价格的工程量偏差范围：</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kern w:val="0"/>
          <w:szCs w:val="21"/>
          <w:highlight w:val="none"/>
        </w:rPr>
        <w:t>。</w:t>
      </w:r>
    </w:p>
    <w:p w14:paraId="4E38D810">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582" w:name="_Toc351203634"/>
      <w:r>
        <w:rPr>
          <w:rFonts w:hint="eastAsia" w:ascii="宋体" w:hAnsi="宋体" w:eastAsia="宋体"/>
          <w:b/>
          <w:i w:val="0"/>
          <w:iCs w:val="0"/>
          <w:color w:val="auto"/>
          <w:szCs w:val="21"/>
          <w:highlight w:val="none"/>
        </w:rPr>
        <w:t>2</w:t>
      </w:r>
      <w:bookmarkStart w:id="583" w:name="_Toc297048343"/>
      <w:bookmarkStart w:id="584" w:name="_Toc296891197"/>
      <w:bookmarkStart w:id="585" w:name="_Toc296890985"/>
      <w:bookmarkStart w:id="586" w:name="_Toc292559362"/>
      <w:bookmarkStart w:id="587" w:name="_Toc296944496"/>
      <w:bookmarkStart w:id="588" w:name="_Toc296346658"/>
      <w:bookmarkStart w:id="589" w:name="_Toc296347156"/>
      <w:bookmarkStart w:id="590" w:name="_Toc297120457"/>
      <w:bookmarkStart w:id="591" w:name="_Toc292559867"/>
      <w:bookmarkStart w:id="592" w:name="_Toc296503157"/>
      <w:r>
        <w:rPr>
          <w:rFonts w:hint="eastAsia" w:ascii="宋体" w:hAnsi="宋体" w:eastAsia="宋体"/>
          <w:b/>
          <w:i w:val="0"/>
          <w:iCs w:val="0"/>
          <w:color w:val="auto"/>
          <w:szCs w:val="21"/>
          <w:highlight w:val="none"/>
        </w:rPr>
        <w:t>. 发包人</w:t>
      </w:r>
      <w:bookmarkEnd w:id="582"/>
    </w:p>
    <w:bookmarkEnd w:id="583"/>
    <w:bookmarkEnd w:id="584"/>
    <w:bookmarkEnd w:id="585"/>
    <w:bookmarkEnd w:id="586"/>
    <w:bookmarkEnd w:id="587"/>
    <w:bookmarkEnd w:id="588"/>
    <w:bookmarkEnd w:id="589"/>
    <w:bookmarkEnd w:id="590"/>
    <w:bookmarkEnd w:id="591"/>
    <w:bookmarkEnd w:id="592"/>
    <w:p w14:paraId="63847A8E">
      <w:pPr>
        <w:snapToGrid w:val="0"/>
        <w:spacing w:line="360" w:lineRule="auto"/>
        <w:ind w:firstLine="480" w:firstLineChars="200"/>
        <w:outlineLvl w:val="0"/>
        <w:rPr>
          <w:rFonts w:ascii="宋体" w:hAnsi="宋体" w:cs="宋体"/>
          <w:i w:val="0"/>
          <w:iCs w:val="0"/>
          <w:color w:val="auto"/>
          <w:szCs w:val="21"/>
          <w:highlight w:val="none"/>
        </w:rPr>
      </w:pPr>
      <w:bookmarkStart w:id="593" w:name="_Toc27275"/>
      <w:r>
        <w:rPr>
          <w:rFonts w:hint="eastAsia" w:ascii="宋体" w:hAnsi="宋体" w:cs="宋体"/>
          <w:i w:val="0"/>
          <w:iCs w:val="0"/>
          <w:color w:val="auto"/>
          <w:szCs w:val="21"/>
          <w:highlight w:val="none"/>
        </w:rPr>
        <w:t>2.2 发包人代表</w:t>
      </w:r>
      <w:bookmarkEnd w:id="593"/>
    </w:p>
    <w:p w14:paraId="53E2C11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发包人代表：</w:t>
      </w:r>
    </w:p>
    <w:p w14:paraId="6CF0925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姓    名：</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63CB1E3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身份证号：</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6F25704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职    务：</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0106615D">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联系电话：</w:t>
      </w:r>
      <w:r>
        <w:rPr>
          <w:rFonts w:hint="eastAsia" w:ascii="宋体" w:hAnsi="宋体" w:cs="宋体"/>
          <w:i w:val="0"/>
          <w:iCs w:val="0"/>
          <w:color w:val="auto"/>
          <w:szCs w:val="21"/>
          <w:highlight w:val="none"/>
          <w:u w:val="single"/>
        </w:rPr>
        <w:t>     </w:t>
      </w:r>
      <w:r>
        <w:rPr>
          <w:rFonts w:hint="eastAsia" w:ascii="宋体" w:hAnsi="宋体" w:cs="宋体"/>
          <w:i w:val="0"/>
          <w:iCs w:val="0"/>
          <w:color w:val="auto"/>
          <w:szCs w:val="21"/>
          <w:highlight w:val="none"/>
        </w:rPr>
        <w:t>；</w:t>
      </w:r>
    </w:p>
    <w:p w14:paraId="524B7F0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电子信箱：</w:t>
      </w:r>
      <w:r>
        <w:rPr>
          <w:rFonts w:hint="eastAsia" w:ascii="宋体" w:hAnsi="宋体" w:cs="宋体"/>
          <w:i w:val="0"/>
          <w:iCs w:val="0"/>
          <w:color w:val="auto"/>
          <w:szCs w:val="21"/>
          <w:highlight w:val="none"/>
          <w:u w:val="single"/>
        </w:rPr>
        <w:t>     </w:t>
      </w:r>
      <w:r>
        <w:rPr>
          <w:rFonts w:hint="eastAsia" w:ascii="宋体" w:hAnsi="宋体" w:cs="宋体"/>
          <w:i w:val="0"/>
          <w:iCs w:val="0"/>
          <w:color w:val="auto"/>
          <w:szCs w:val="21"/>
          <w:highlight w:val="none"/>
        </w:rPr>
        <w:t>；</w:t>
      </w:r>
    </w:p>
    <w:p w14:paraId="39384D1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通信地址：</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0A2F3015">
      <w:pPr>
        <w:snapToGrid w:val="0"/>
        <w:spacing w:line="360" w:lineRule="auto"/>
        <w:ind w:firstLine="480" w:firstLineChars="200"/>
        <w:rPr>
          <w:rFonts w:ascii="宋体" w:hAnsi="宋体" w:cs="宋体"/>
          <w:b/>
          <w:i w:val="0"/>
          <w:iCs w:val="0"/>
          <w:color w:val="auto"/>
          <w:szCs w:val="21"/>
          <w:highlight w:val="none"/>
        </w:rPr>
      </w:pPr>
      <w:r>
        <w:rPr>
          <w:rFonts w:hint="eastAsia" w:ascii="宋体" w:hAnsi="宋体" w:cs="宋体"/>
          <w:i w:val="0"/>
          <w:iCs w:val="0"/>
          <w:color w:val="auto"/>
          <w:szCs w:val="21"/>
          <w:highlight w:val="none"/>
        </w:rPr>
        <w:t>发包人对发包人代表的授权范围如下：</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08EDACF">
      <w:pPr>
        <w:snapToGrid w:val="0"/>
        <w:spacing w:line="360" w:lineRule="auto"/>
        <w:ind w:firstLine="480" w:firstLineChars="200"/>
        <w:outlineLvl w:val="0"/>
        <w:rPr>
          <w:rFonts w:ascii="宋体" w:hAnsi="宋体" w:cs="宋体"/>
          <w:i w:val="0"/>
          <w:iCs w:val="0"/>
          <w:color w:val="auto"/>
          <w:szCs w:val="21"/>
          <w:highlight w:val="none"/>
        </w:rPr>
      </w:pPr>
      <w:bookmarkStart w:id="594" w:name="_Toc23152"/>
      <w:r>
        <w:rPr>
          <w:rFonts w:hint="eastAsia" w:ascii="宋体" w:hAnsi="宋体" w:cs="宋体"/>
          <w:i w:val="0"/>
          <w:iCs w:val="0"/>
          <w:color w:val="auto"/>
          <w:szCs w:val="21"/>
          <w:highlight w:val="none"/>
        </w:rPr>
        <w:t>2.4 施工现场、施工条件和基础资料的提供</w:t>
      </w:r>
      <w:bookmarkEnd w:id="594"/>
    </w:p>
    <w:p w14:paraId="1C617C5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2.4.1 提供施工现场</w:t>
      </w:r>
    </w:p>
    <w:p w14:paraId="23FE037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关于发包人移交施工现场的期限要求：</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p>
    <w:p w14:paraId="281D477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2.4.2 提供施工条件</w:t>
      </w:r>
    </w:p>
    <w:p w14:paraId="2BD74CD5">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关于发包人应负责提供施工所需要的条件，包括：</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p>
    <w:p w14:paraId="6326BB2B">
      <w:pPr>
        <w:snapToGrid w:val="0"/>
        <w:spacing w:line="360" w:lineRule="auto"/>
        <w:ind w:firstLine="480" w:firstLineChars="200"/>
        <w:outlineLvl w:val="0"/>
        <w:rPr>
          <w:rFonts w:ascii="宋体" w:hAnsi="宋体" w:cs="宋体"/>
          <w:i w:val="0"/>
          <w:iCs w:val="0"/>
          <w:color w:val="auto"/>
          <w:szCs w:val="21"/>
          <w:highlight w:val="none"/>
        </w:rPr>
      </w:pPr>
      <w:bookmarkStart w:id="595" w:name="_Toc2324"/>
      <w:r>
        <w:rPr>
          <w:rFonts w:hint="eastAsia" w:ascii="宋体" w:hAnsi="宋体" w:cs="宋体"/>
          <w:i w:val="0"/>
          <w:iCs w:val="0"/>
          <w:color w:val="auto"/>
          <w:szCs w:val="21"/>
          <w:highlight w:val="none"/>
        </w:rPr>
        <w:t>2.5 资金来源证明及支付担保</w:t>
      </w:r>
      <w:bookmarkEnd w:id="595"/>
    </w:p>
    <w:p w14:paraId="55D95DC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发包人提供资金来源证明的期限要求：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0D0BFA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发包人是否提供支付担保：</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8766388">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发包人提供支付担保的形式：</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4FF7C46">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596" w:name="_Toc351203635"/>
      <w:r>
        <w:rPr>
          <w:rFonts w:hint="eastAsia" w:ascii="宋体" w:hAnsi="宋体" w:eastAsia="宋体"/>
          <w:b/>
          <w:i w:val="0"/>
          <w:iCs w:val="0"/>
          <w:color w:val="auto"/>
          <w:szCs w:val="21"/>
          <w:highlight w:val="none"/>
        </w:rPr>
        <w:t>3</w:t>
      </w:r>
      <w:bookmarkStart w:id="597" w:name="_Toc297120458"/>
      <w:bookmarkStart w:id="598" w:name="_Toc296346659"/>
      <w:bookmarkStart w:id="599" w:name="_Toc296891198"/>
      <w:bookmarkStart w:id="600" w:name="_Toc296503158"/>
      <w:bookmarkStart w:id="601" w:name="_Toc292559363"/>
      <w:bookmarkStart w:id="602" w:name="_Toc296944497"/>
      <w:bookmarkStart w:id="603" w:name="_Toc296890986"/>
      <w:bookmarkStart w:id="604" w:name="_Toc296347157"/>
      <w:bookmarkStart w:id="605" w:name="_Toc297048344"/>
      <w:bookmarkStart w:id="606" w:name="_Toc292559868"/>
      <w:r>
        <w:rPr>
          <w:rFonts w:hint="eastAsia" w:ascii="宋体" w:hAnsi="宋体" w:eastAsia="宋体"/>
          <w:b/>
          <w:i w:val="0"/>
          <w:iCs w:val="0"/>
          <w:color w:val="auto"/>
          <w:szCs w:val="21"/>
          <w:highlight w:val="none"/>
        </w:rPr>
        <w:t>. 承包人</w:t>
      </w:r>
      <w:bookmarkEnd w:id="596"/>
    </w:p>
    <w:bookmarkEnd w:id="597"/>
    <w:bookmarkEnd w:id="598"/>
    <w:bookmarkEnd w:id="599"/>
    <w:bookmarkEnd w:id="600"/>
    <w:bookmarkEnd w:id="601"/>
    <w:bookmarkEnd w:id="602"/>
    <w:bookmarkEnd w:id="603"/>
    <w:bookmarkEnd w:id="604"/>
    <w:bookmarkEnd w:id="605"/>
    <w:bookmarkEnd w:id="606"/>
    <w:p w14:paraId="55B0159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3.1 承包人的一般义务</w:t>
      </w:r>
    </w:p>
    <w:p w14:paraId="3FE9237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（9）</w:t>
      </w:r>
      <w:r>
        <w:rPr>
          <w:rFonts w:hint="eastAsia" w:ascii="宋体" w:hAnsi="宋体" w:cs="宋体"/>
          <w:i w:val="0"/>
          <w:iCs w:val="0"/>
          <w:color w:val="auto"/>
          <w:szCs w:val="21"/>
          <w:highlight w:val="none"/>
        </w:rPr>
        <w:t>承包人提交的竣工资料的内容：</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C99943C">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承包人需要提交的竣工资料套数：</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6E9112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承包人提交的竣工资料的费用承担：</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C4C52C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承包人提交的竣工资料移交时间：</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2C04B0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承包人提交的竣工资料形式要求：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3E99C4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（10）承包人应履行的其他义务：</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7977E8D">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3.2 项目经理</w:t>
      </w:r>
    </w:p>
    <w:p w14:paraId="0647B85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 xml:space="preserve">3.2.1 </w:t>
      </w:r>
      <w:r>
        <w:rPr>
          <w:rFonts w:hint="eastAsia" w:ascii="宋体" w:hAnsi="宋体" w:cs="宋体"/>
          <w:i w:val="0"/>
          <w:iCs w:val="0"/>
          <w:color w:val="auto"/>
          <w:szCs w:val="21"/>
          <w:highlight w:val="none"/>
        </w:rPr>
        <w:t>项目经理：</w:t>
      </w:r>
    </w:p>
    <w:p w14:paraId="256B3BE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姓    名：</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3E1D65B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身份证号：</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1376FAB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建造师执业资格等级：</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1A86E24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建造师注册证书号：</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3C739B0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建造师执业印章号：</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365ECA81">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安全生产考核合格证书号：</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6F039582">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联系电话：</w:t>
      </w:r>
      <w:r>
        <w:rPr>
          <w:rFonts w:hint="eastAsia" w:ascii="宋体" w:hAnsi="宋体" w:cs="宋体"/>
          <w:i w:val="0"/>
          <w:iCs w:val="0"/>
          <w:color w:val="auto"/>
          <w:szCs w:val="21"/>
          <w:highlight w:val="none"/>
          <w:u w:val="single"/>
        </w:rPr>
        <w:t>         </w:t>
      </w:r>
      <w:r>
        <w:rPr>
          <w:rFonts w:hint="eastAsia" w:ascii="宋体" w:hAnsi="宋体" w:cs="宋体"/>
          <w:i w:val="0"/>
          <w:iCs w:val="0"/>
          <w:color w:val="auto"/>
          <w:szCs w:val="21"/>
          <w:highlight w:val="none"/>
        </w:rPr>
        <w:t>；</w:t>
      </w:r>
    </w:p>
    <w:p w14:paraId="7C40A81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电子信箱：</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2DBB1AF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通信地址：</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421EB37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承包人对项目经理的授权范围如下：</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51850D2">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关于项目经理每月在施工现场的时间要求：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CF219ED">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承包人未提交劳动合同，以及没有为项目经理缴纳社会保险证明的违约责任：</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p>
    <w:p w14:paraId="1637C32C">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kern w:val="0"/>
          <w:szCs w:val="21"/>
          <w:highlight w:val="none"/>
        </w:rPr>
        <w:t>项目经理未经批准，擅自离开施工现场的违约责任：</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AD300E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3.2.3 承包人擅自更换项目经理的违约责任：</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p>
    <w:p w14:paraId="3E4E0BF8">
      <w:pPr>
        <w:snapToGrid w:val="0"/>
        <w:spacing w:line="360" w:lineRule="auto"/>
        <w:outlineLvl w:val="0"/>
        <w:rPr>
          <w:rFonts w:ascii="宋体" w:hAnsi="宋体" w:cs="宋体"/>
          <w:i w:val="0"/>
          <w:iCs w:val="0"/>
          <w:color w:val="auto"/>
          <w:szCs w:val="21"/>
          <w:highlight w:val="none"/>
        </w:rPr>
      </w:pPr>
      <w:r>
        <w:rPr>
          <w:rFonts w:hint="eastAsia" w:ascii="宋体" w:hAnsi="宋体" w:cs="宋体"/>
          <w:i w:val="0"/>
          <w:iCs w:val="0"/>
          <w:color w:val="auto"/>
          <w:szCs w:val="21"/>
          <w:highlight w:val="none"/>
        </w:rPr>
        <w:t xml:space="preserve">    </w:t>
      </w:r>
      <w:bookmarkStart w:id="607" w:name="_Toc3616"/>
      <w:r>
        <w:rPr>
          <w:rFonts w:hint="eastAsia" w:ascii="宋体" w:hAnsi="宋体" w:cs="宋体"/>
          <w:i w:val="0"/>
          <w:iCs w:val="0"/>
          <w:color w:val="auto"/>
          <w:szCs w:val="21"/>
          <w:highlight w:val="none"/>
        </w:rPr>
        <w:t>3.2.4 承包人无正当理由拒绝更换项目经理的违约责任：</w:t>
      </w:r>
      <w:r>
        <w:rPr>
          <w:rFonts w:hint="eastAsia" w:ascii="宋体" w:hAnsi="宋体" w:cs="宋体"/>
          <w:i w:val="0"/>
          <w:iCs w:val="0"/>
          <w:color w:val="auto"/>
          <w:szCs w:val="21"/>
          <w:highlight w:val="none"/>
          <w:u w:val="single"/>
        </w:rPr>
        <w:t xml:space="preserve">           </w:t>
      </w:r>
      <w:r>
        <w:rPr>
          <w:rFonts w:hint="eastAsia" w:ascii="宋体" w:hAnsi="宋体" w:cs="宋体"/>
          <w:i w:val="0"/>
          <w:iCs w:val="0"/>
          <w:color w:val="auto"/>
          <w:szCs w:val="21"/>
          <w:highlight w:val="none"/>
        </w:rPr>
        <w:t>。</w:t>
      </w:r>
      <w:bookmarkEnd w:id="607"/>
    </w:p>
    <w:p w14:paraId="137C447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3.3 承包人人员</w:t>
      </w:r>
    </w:p>
    <w:p w14:paraId="32DDCEB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3.3.1 承包人提交项目管理机构及施工现场管理人员安排报告的期限：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4BF9D1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3.3.3 承包人无正当理由拒绝撤换主要施工管理人员的违约责任：</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8F16032">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3.3.4 承包人主要施工管理人员离开施工现场的批准要求：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F74303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3.3.5承包人擅自更换主要施工管理人员的违约责任：</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C559B8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承包人主要施工管理人员擅自离开施工现场的违约责任：</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C09239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w:t>
      </w:r>
      <w:bookmarkStart w:id="608" w:name="_Toc296346660"/>
      <w:bookmarkStart w:id="609" w:name="_Toc296347158"/>
      <w:bookmarkStart w:id="610" w:name="_Toc292559869"/>
      <w:bookmarkStart w:id="611" w:name="_Toc297216151"/>
      <w:bookmarkStart w:id="612" w:name="_Toc296503159"/>
      <w:bookmarkStart w:id="613" w:name="_Toc296890987"/>
      <w:bookmarkStart w:id="614" w:name="_Toc292559364"/>
      <w:bookmarkStart w:id="615" w:name="_Toc304295523"/>
      <w:bookmarkStart w:id="616" w:name="_Toc297123492"/>
      <w:bookmarkStart w:id="617" w:name="_Toc303539102"/>
      <w:bookmarkStart w:id="618" w:name="_Toc296944498"/>
      <w:bookmarkStart w:id="619" w:name="_Toc297120459"/>
      <w:bookmarkStart w:id="620" w:name="_Toc297048345"/>
      <w:bookmarkStart w:id="621" w:name="_Toc296891199"/>
      <w:bookmarkStart w:id="622" w:name="_Toc312677988"/>
      <w:bookmarkStart w:id="623" w:name="_Toc300934945"/>
      <w:r>
        <w:rPr>
          <w:rFonts w:hint="eastAsia" w:ascii="宋体" w:hAnsi="宋体" w:cs="宋体"/>
          <w:i w:val="0"/>
          <w:iCs w:val="0"/>
          <w:color w:val="auto"/>
          <w:szCs w:val="21"/>
          <w:highlight w:val="none"/>
        </w:rPr>
        <w:t>.5 分包</w:t>
      </w:r>
    </w:p>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p w14:paraId="67E88EE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w:t>
      </w:r>
      <w:bookmarkStart w:id="624" w:name="_Toc292559365"/>
      <w:bookmarkStart w:id="625" w:name="_Toc296944499"/>
      <w:bookmarkStart w:id="626" w:name="_Toc297120460"/>
      <w:bookmarkStart w:id="627" w:name="_Toc296891200"/>
      <w:bookmarkStart w:id="628" w:name="_Toc297048346"/>
      <w:bookmarkStart w:id="629" w:name="_Toc300934946"/>
      <w:bookmarkStart w:id="630" w:name="_Toc296346661"/>
      <w:bookmarkStart w:id="631" w:name="_Toc303539103"/>
      <w:bookmarkStart w:id="632" w:name="_Toc297216152"/>
      <w:bookmarkStart w:id="633" w:name="_Toc292559870"/>
      <w:bookmarkStart w:id="634" w:name="_Toc296347159"/>
      <w:bookmarkStart w:id="635" w:name="_Toc297123493"/>
      <w:bookmarkStart w:id="636" w:name="_Toc296503160"/>
      <w:bookmarkStart w:id="637" w:name="_Toc296890988"/>
      <w:bookmarkStart w:id="638" w:name="_Toc304295524"/>
      <w:bookmarkStart w:id="639" w:name="_Toc312677989"/>
      <w:bookmarkStart w:id="640" w:name="_Toc318581158"/>
      <w:r>
        <w:rPr>
          <w:rFonts w:hint="eastAsia" w:ascii="宋体" w:hAnsi="宋体" w:cs="宋体"/>
          <w:i w:val="0"/>
          <w:iCs w:val="0"/>
          <w:color w:val="auto"/>
          <w:szCs w:val="21"/>
          <w:highlight w:val="none"/>
        </w:rPr>
        <w:t>.5.1 分包的一般约定</w:t>
      </w:r>
    </w:p>
    <w:p w14:paraId="0147483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禁止分包的工程包括：</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D34490E">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主体结构、关键性工作的范围：</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Start w:id="641" w:name="_Toc296944500"/>
      <w:bookmarkStart w:id="642" w:name="_Toc296891201"/>
      <w:bookmarkStart w:id="643" w:name="_Toc300934947"/>
      <w:bookmarkStart w:id="644" w:name="_Toc297120461"/>
      <w:bookmarkStart w:id="645" w:name="_Toc297048347"/>
      <w:bookmarkStart w:id="646" w:name="_Toc296890989"/>
      <w:bookmarkStart w:id="647" w:name="_Toc297216153"/>
      <w:bookmarkStart w:id="648" w:name="_Toc303539104"/>
      <w:bookmarkStart w:id="649" w:name="_Toc304295525"/>
      <w:bookmarkStart w:id="650" w:name="_Toc296503161"/>
      <w:bookmarkStart w:id="651" w:name="_Toc297123494"/>
      <w:bookmarkStart w:id="652" w:name="_Toc296346662"/>
      <w:bookmarkStart w:id="653" w:name="_Toc296347160"/>
    </w:p>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p w14:paraId="01A5B7AE">
      <w:pPr>
        <w:snapToGrid w:val="0"/>
        <w:spacing w:line="360" w:lineRule="auto"/>
        <w:rPr>
          <w:rFonts w:ascii="宋体" w:hAnsi="宋体" w:cs="宋体"/>
          <w:i w:val="0"/>
          <w:iCs w:val="0"/>
          <w:color w:val="auto"/>
          <w:szCs w:val="21"/>
          <w:highlight w:val="none"/>
        </w:rPr>
      </w:pPr>
      <w:r>
        <w:rPr>
          <w:rFonts w:hint="eastAsia" w:ascii="宋体" w:hAnsi="宋体" w:cs="宋体"/>
          <w:i w:val="0"/>
          <w:iCs w:val="0"/>
          <w:color w:val="auto"/>
          <w:szCs w:val="21"/>
          <w:highlight w:val="none"/>
        </w:rPr>
        <w:t xml:space="preserve">    3</w:t>
      </w:r>
      <w:bookmarkStart w:id="654" w:name="_Toc312677990"/>
      <w:bookmarkStart w:id="655" w:name="_Toc318581159"/>
      <w:r>
        <w:rPr>
          <w:rFonts w:hint="eastAsia" w:ascii="宋体" w:hAnsi="宋体" w:cs="宋体"/>
          <w:i w:val="0"/>
          <w:iCs w:val="0"/>
          <w:color w:val="auto"/>
          <w:szCs w:val="21"/>
          <w:highlight w:val="none"/>
        </w:rPr>
        <w:t>.5.2分包的确定</w:t>
      </w:r>
    </w:p>
    <w:p w14:paraId="0130AEFF">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允许分包的专业工程包括：</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7B52C1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其他关于分包的约定：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42D325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3.5.4 分包合同价款</w:t>
      </w:r>
    </w:p>
    <w:p w14:paraId="64B0BE8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关于分包合同价款支付的约定：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654"/>
    <w:bookmarkEnd w:id="655"/>
    <w:p w14:paraId="41E000E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3.6 工程照管与成品、半成品保护</w:t>
      </w:r>
    </w:p>
    <w:p w14:paraId="4E1A39AF">
      <w:pPr>
        <w:snapToGrid w:val="0"/>
        <w:spacing w:line="360" w:lineRule="auto"/>
        <w:ind w:firstLine="480" w:firstLineChars="200"/>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承包人负责照管工程及工程相关的材料、工程设备的起始时间：</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79AE8A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3.7 履约担保</w:t>
      </w:r>
    </w:p>
    <w:p w14:paraId="42ADE16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承包人是否提供履约担保：</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B226BE9">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承包人提供履约担保的形式、金额及期限的：</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6DD0C45">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656" w:name="_Toc351203636"/>
      <w:r>
        <w:rPr>
          <w:rFonts w:hint="eastAsia" w:ascii="宋体" w:hAnsi="宋体" w:eastAsia="宋体"/>
          <w:b/>
          <w:i w:val="0"/>
          <w:iCs w:val="0"/>
          <w:color w:val="auto"/>
          <w:szCs w:val="21"/>
          <w:highlight w:val="none"/>
        </w:rPr>
        <w:t>4</w:t>
      </w:r>
      <w:bookmarkStart w:id="657" w:name="_Toc296503162"/>
      <w:bookmarkStart w:id="658" w:name="_Toc292559871"/>
      <w:bookmarkStart w:id="659" w:name="_Toc267251413"/>
      <w:bookmarkStart w:id="660" w:name="_Toc296890990"/>
      <w:bookmarkStart w:id="661" w:name="_Toc297048348"/>
      <w:bookmarkStart w:id="662" w:name="_Toc296891202"/>
      <w:bookmarkStart w:id="663" w:name="_Toc292559366"/>
      <w:bookmarkStart w:id="664" w:name="_Toc296346663"/>
      <w:bookmarkStart w:id="665" w:name="_Toc296944501"/>
      <w:bookmarkStart w:id="666" w:name="_Toc296347161"/>
      <w:bookmarkStart w:id="667" w:name="_Toc297120462"/>
      <w:r>
        <w:rPr>
          <w:rFonts w:hint="eastAsia" w:ascii="宋体" w:hAnsi="宋体" w:eastAsia="宋体"/>
          <w:b/>
          <w:i w:val="0"/>
          <w:iCs w:val="0"/>
          <w:color w:val="auto"/>
          <w:szCs w:val="21"/>
          <w:highlight w:val="none"/>
        </w:rPr>
        <w:t>. 监</w:t>
      </w:r>
      <w:bookmarkEnd w:id="657"/>
      <w:bookmarkEnd w:id="658"/>
      <w:bookmarkEnd w:id="659"/>
      <w:bookmarkEnd w:id="660"/>
      <w:bookmarkEnd w:id="661"/>
      <w:bookmarkEnd w:id="662"/>
      <w:bookmarkEnd w:id="663"/>
      <w:bookmarkEnd w:id="664"/>
      <w:bookmarkEnd w:id="665"/>
      <w:bookmarkEnd w:id="666"/>
      <w:bookmarkEnd w:id="667"/>
      <w:r>
        <w:rPr>
          <w:rFonts w:hint="eastAsia" w:ascii="宋体" w:hAnsi="宋体" w:eastAsia="宋体"/>
          <w:b/>
          <w:i w:val="0"/>
          <w:iCs w:val="0"/>
          <w:color w:val="auto"/>
          <w:szCs w:val="21"/>
          <w:highlight w:val="none"/>
        </w:rPr>
        <w:t>理人</w:t>
      </w:r>
      <w:bookmarkEnd w:id="656"/>
    </w:p>
    <w:p w14:paraId="21D4D19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4.1监理人的一般规定</w:t>
      </w:r>
    </w:p>
    <w:p w14:paraId="11F6DF5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关于监理人的监理内容：</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1A5069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关于监理人的监理权限：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54B9CEFA">
      <w:pPr>
        <w:snapToGrid w:val="0"/>
        <w:spacing w:line="360" w:lineRule="auto"/>
        <w:ind w:firstLine="480" w:firstLineChars="200"/>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关于监理人在施工现场的办公场所、生活场所的提供和费用承担的约定：</w:t>
      </w:r>
      <w:r>
        <w:rPr>
          <w:rFonts w:hint="eastAsia" w:ascii="宋体" w:hAnsi="宋体" w:cs="宋体"/>
          <w:i w:val="0"/>
          <w:iCs w:val="0"/>
          <w:color w:val="auto"/>
          <w:szCs w:val="21"/>
          <w:highlight w:val="none"/>
          <w:u w:val="single"/>
        </w:rPr>
        <w:t xml:space="preserve">                                                </w:t>
      </w:r>
    </w:p>
    <w:p w14:paraId="62AA2673">
      <w:pPr>
        <w:snapToGrid w:val="0"/>
        <w:spacing w:line="360" w:lineRule="auto"/>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7F081C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4.2 监理人员</w:t>
      </w:r>
    </w:p>
    <w:p w14:paraId="6D33F04F">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总监理工程师：</w:t>
      </w:r>
    </w:p>
    <w:p w14:paraId="63D3938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姓    名：</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0460662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职    务：</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6C097FF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监理工程师执业资格证书号：</w:t>
      </w:r>
      <w:r>
        <w:rPr>
          <w:rFonts w:hint="eastAsia" w:ascii="宋体" w:hAnsi="宋体" w:cs="宋体"/>
          <w:i w:val="0"/>
          <w:iCs w:val="0"/>
          <w:color w:val="auto"/>
          <w:szCs w:val="21"/>
          <w:highlight w:val="none"/>
          <w:u w:val="single"/>
        </w:rPr>
        <w:t> </w:t>
      </w:r>
      <w:r>
        <w:rPr>
          <w:rFonts w:hint="eastAsia" w:ascii="宋体" w:hAnsi="宋体" w:cs="宋体"/>
          <w:i w:val="0"/>
          <w:iCs w:val="0"/>
          <w:color w:val="auto"/>
          <w:szCs w:val="21"/>
          <w:highlight w:val="none"/>
        </w:rPr>
        <w:t>；</w:t>
      </w:r>
    </w:p>
    <w:p w14:paraId="70C253D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联系电话：</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5DA7527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电子信箱：</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08843FB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通信地址：</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39C5F0C5">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关于监理人的其他约定：</w:t>
      </w:r>
      <w:r>
        <w:rPr>
          <w:rFonts w:hint="eastAsia" w:ascii="宋体" w:hAnsi="宋体" w:cs="宋体"/>
          <w:i w:val="0"/>
          <w:iCs w:val="0"/>
          <w:color w:val="auto"/>
          <w:szCs w:val="21"/>
          <w:highlight w:val="none"/>
          <w:u w:val="single"/>
        </w:rPr>
        <w:t>   </w:t>
      </w:r>
      <w:r>
        <w:rPr>
          <w:rFonts w:hint="eastAsia" w:ascii="宋体" w:hAnsi="宋体" w:cs="宋体"/>
          <w:i w:val="0"/>
          <w:iCs w:val="0"/>
          <w:color w:val="auto"/>
          <w:szCs w:val="21"/>
          <w:highlight w:val="none"/>
        </w:rPr>
        <w:t>。</w:t>
      </w:r>
    </w:p>
    <w:p w14:paraId="3BFA350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4.4 商定或确定</w:t>
      </w:r>
    </w:p>
    <w:p w14:paraId="66D05D7E">
      <w:pPr>
        <w:snapToGrid w:val="0"/>
        <w:spacing w:line="360" w:lineRule="auto"/>
        <w:ind w:firstLine="480" w:firstLineChars="200"/>
        <w:rPr>
          <w:rFonts w:ascii="宋体" w:hAnsi="宋体" w:cs="宋体"/>
          <w:i w:val="0"/>
          <w:iCs w:val="0"/>
          <w:color w:val="auto"/>
          <w:szCs w:val="21"/>
          <w:highlight w:val="none"/>
        </w:rPr>
      </w:pPr>
      <w:bookmarkStart w:id="668" w:name="_Toc267251418"/>
      <w:r>
        <w:rPr>
          <w:rFonts w:hint="eastAsia" w:ascii="宋体" w:hAnsi="宋体" w:cs="宋体"/>
          <w:i w:val="0"/>
          <w:iCs w:val="0"/>
          <w:color w:val="auto"/>
          <w:szCs w:val="21"/>
          <w:highlight w:val="none"/>
        </w:rPr>
        <w:t>在发包人和承包人不能通过协商达成一致意见时，发包人授权监理人对以下事项进行确定：</w:t>
      </w:r>
    </w:p>
    <w:p w14:paraId="2A4799E6">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02975BE">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（2）</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444419E">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（3）</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01BF7C8">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669" w:name="_Toc351203637"/>
      <w:r>
        <w:rPr>
          <w:rFonts w:hint="eastAsia" w:ascii="宋体" w:hAnsi="宋体" w:eastAsia="宋体"/>
          <w:b/>
          <w:i w:val="0"/>
          <w:iCs w:val="0"/>
          <w:color w:val="auto"/>
          <w:szCs w:val="21"/>
          <w:highlight w:val="none"/>
        </w:rPr>
        <w:t>5</w:t>
      </w:r>
      <w:bookmarkEnd w:id="668"/>
      <w:bookmarkStart w:id="670" w:name="_Toc296346664"/>
      <w:bookmarkStart w:id="671" w:name="_Toc296891203"/>
      <w:bookmarkStart w:id="672" w:name="_Toc296890991"/>
      <w:bookmarkStart w:id="673" w:name="_Toc292559872"/>
      <w:bookmarkStart w:id="674" w:name="_Toc296503163"/>
      <w:bookmarkStart w:id="675" w:name="_Toc297048349"/>
      <w:bookmarkStart w:id="676" w:name="_Toc296347162"/>
      <w:bookmarkStart w:id="677" w:name="_Toc292559367"/>
      <w:bookmarkStart w:id="678" w:name="_Toc296944502"/>
      <w:bookmarkStart w:id="679" w:name="_Toc297120463"/>
      <w:r>
        <w:rPr>
          <w:rFonts w:hint="eastAsia" w:ascii="宋体" w:hAnsi="宋体" w:eastAsia="宋体"/>
          <w:b/>
          <w:i w:val="0"/>
          <w:iCs w:val="0"/>
          <w:color w:val="auto"/>
          <w:szCs w:val="21"/>
          <w:highlight w:val="none"/>
        </w:rPr>
        <w:t>. 工程质量</w:t>
      </w:r>
      <w:bookmarkEnd w:id="669"/>
    </w:p>
    <w:p w14:paraId="1FBF1D66">
      <w:pPr>
        <w:snapToGrid w:val="0"/>
        <w:spacing w:line="360" w:lineRule="auto"/>
        <w:ind w:firstLine="480" w:firstLineChars="200"/>
        <w:outlineLvl w:val="0"/>
        <w:rPr>
          <w:rFonts w:ascii="宋体" w:hAnsi="宋体" w:cs="宋体"/>
          <w:i w:val="0"/>
          <w:iCs w:val="0"/>
          <w:color w:val="auto"/>
          <w:szCs w:val="21"/>
          <w:highlight w:val="none"/>
        </w:rPr>
      </w:pPr>
      <w:bookmarkStart w:id="680" w:name="_Toc26688"/>
      <w:r>
        <w:rPr>
          <w:rFonts w:hint="eastAsia" w:ascii="宋体" w:hAnsi="宋体" w:cs="宋体"/>
          <w:i w:val="0"/>
          <w:iCs w:val="0"/>
          <w:color w:val="auto"/>
          <w:szCs w:val="21"/>
          <w:highlight w:val="none"/>
        </w:rPr>
        <w:t>5.1 质量要求</w:t>
      </w:r>
      <w:bookmarkEnd w:id="680"/>
    </w:p>
    <w:p w14:paraId="620E353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5</w:t>
      </w:r>
      <w:bookmarkStart w:id="681" w:name="_Toc297216155"/>
      <w:bookmarkStart w:id="682" w:name="_Toc304295527"/>
      <w:bookmarkStart w:id="683" w:name="_Toc300934949"/>
      <w:bookmarkStart w:id="684" w:name="_Toc303539106"/>
      <w:bookmarkStart w:id="685" w:name="_Toc318581164"/>
      <w:bookmarkStart w:id="686" w:name="_Toc297123496"/>
      <w:bookmarkStart w:id="687" w:name="_Toc312677997"/>
      <w:r>
        <w:rPr>
          <w:rFonts w:hint="eastAsia" w:ascii="宋体" w:hAnsi="宋体" w:cs="宋体"/>
          <w:i w:val="0"/>
          <w:iCs w:val="0"/>
          <w:color w:val="auto"/>
          <w:szCs w:val="21"/>
          <w:highlight w:val="none"/>
        </w:rPr>
        <w:t>.1.1 特殊质量标准和要求：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005F3E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关于工程奖项的约定：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A78BAD2">
      <w:pPr>
        <w:snapToGrid w:val="0"/>
        <w:spacing w:line="360" w:lineRule="auto"/>
        <w:ind w:firstLine="480" w:firstLineChars="200"/>
        <w:outlineLvl w:val="0"/>
        <w:rPr>
          <w:rFonts w:ascii="宋体" w:hAnsi="宋体" w:cs="宋体"/>
          <w:i w:val="0"/>
          <w:iCs w:val="0"/>
          <w:color w:val="auto"/>
          <w:szCs w:val="21"/>
          <w:highlight w:val="none"/>
        </w:rPr>
      </w:pPr>
      <w:bookmarkStart w:id="688" w:name="_Toc2435"/>
      <w:r>
        <w:rPr>
          <w:rFonts w:hint="eastAsia" w:ascii="宋体" w:hAnsi="宋体" w:cs="宋体"/>
          <w:i w:val="0"/>
          <w:iCs w:val="0"/>
          <w:color w:val="auto"/>
          <w:szCs w:val="21"/>
          <w:highlight w:val="none"/>
        </w:rPr>
        <w:t>5.3 隐蔽工程检查</w:t>
      </w:r>
      <w:bookmarkEnd w:id="688"/>
    </w:p>
    <w:p w14:paraId="68D7D97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5.3.2承包人提前通知监理人隐蔽工程检查的期限的约定：</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1300CD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监理人不能按时进行检查时，应提前</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小时提交书面延期要求。</w:t>
      </w:r>
    </w:p>
    <w:p w14:paraId="6A67D38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关于延期最长不得超过：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小时。</w:t>
      </w:r>
    </w:p>
    <w:p w14:paraId="4170AE1F">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689" w:name="_Toc351203638"/>
      <w:r>
        <w:rPr>
          <w:rFonts w:hint="eastAsia" w:ascii="宋体" w:hAnsi="宋体" w:eastAsia="宋体"/>
          <w:b/>
          <w:i w:val="0"/>
          <w:iCs w:val="0"/>
          <w:color w:val="auto"/>
          <w:szCs w:val="21"/>
          <w:highlight w:val="none"/>
        </w:rPr>
        <w:t>6. 安全文明施工与环境保护</w:t>
      </w:r>
      <w:bookmarkEnd w:id="689"/>
    </w:p>
    <w:p w14:paraId="62BBD7D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6.1安全文明施工</w:t>
      </w:r>
    </w:p>
    <w:p w14:paraId="2EB90A4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6.1.1 项目安全生产的达标目标及相应事项的约定：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B69BAB5">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6.1.4 关于治安保卫的特别约定：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3E2ADF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关于编制施工场地治安管理计划的约定：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EB56B0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6.1.5 文明施工</w:t>
      </w:r>
    </w:p>
    <w:p w14:paraId="5B6ADCCC">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合同当事人对文明施工的要求：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BEEFE3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6.1.6 关于安全文明施工费支付比例和支付期限的约定：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681"/>
    <w:bookmarkEnd w:id="682"/>
    <w:bookmarkEnd w:id="683"/>
    <w:bookmarkEnd w:id="684"/>
    <w:bookmarkEnd w:id="685"/>
    <w:bookmarkEnd w:id="686"/>
    <w:bookmarkEnd w:id="687"/>
    <w:p w14:paraId="75315CCD">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690" w:name="_Toc351203639"/>
      <w:r>
        <w:rPr>
          <w:rFonts w:hint="eastAsia" w:ascii="宋体" w:hAnsi="宋体" w:eastAsia="宋体"/>
          <w:b/>
          <w:i w:val="0"/>
          <w:iCs w:val="0"/>
          <w:color w:val="auto"/>
          <w:szCs w:val="21"/>
          <w:highlight w:val="none"/>
        </w:rPr>
        <w:t>7. 工期和进度</w:t>
      </w:r>
      <w:bookmarkEnd w:id="690"/>
    </w:p>
    <w:p w14:paraId="4E6055FF">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7.1 施工组织设计</w:t>
      </w:r>
    </w:p>
    <w:p w14:paraId="75F90055">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rPr>
        <w:t>7.1.1 合</w:t>
      </w:r>
      <w:r>
        <w:rPr>
          <w:rFonts w:hint="eastAsia" w:ascii="宋体" w:hAnsi="宋体" w:cs="宋体"/>
          <w:i w:val="0"/>
          <w:iCs w:val="0"/>
          <w:color w:val="auto"/>
          <w:kern w:val="0"/>
          <w:szCs w:val="21"/>
          <w:highlight w:val="none"/>
        </w:rPr>
        <w:t>同当事人约定的施工组织设计应包括的其他内容：</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06F2581">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rPr>
        <w:t xml:space="preserve">7.1.2 </w:t>
      </w:r>
      <w:r>
        <w:rPr>
          <w:rFonts w:hint="eastAsia" w:ascii="宋体" w:hAnsi="宋体" w:cs="宋体"/>
          <w:i w:val="0"/>
          <w:iCs w:val="0"/>
          <w:color w:val="auto"/>
          <w:kern w:val="0"/>
          <w:szCs w:val="21"/>
          <w:highlight w:val="none"/>
        </w:rPr>
        <w:t>施工组织设计的提交和修改</w:t>
      </w:r>
    </w:p>
    <w:p w14:paraId="5C3DC281">
      <w:pPr>
        <w:autoSpaceDE w:val="0"/>
        <w:autoSpaceDN w:val="0"/>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承包人提交详细施工组织设计的期限的约定：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000ECA3">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发包人和监理人在收到详细的施工组织设计后确认或提出修改意见的期限：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CB92CF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w:t>
      </w:r>
      <w:bookmarkStart w:id="691" w:name="_Toc297123514"/>
      <w:bookmarkStart w:id="692" w:name="_Toc312678005"/>
      <w:bookmarkStart w:id="693" w:name="_Toc297216173"/>
      <w:bookmarkStart w:id="694" w:name="_Toc303539123"/>
      <w:bookmarkStart w:id="695" w:name="_Toc304295541"/>
      <w:bookmarkStart w:id="696" w:name="_Toc312677479"/>
      <w:bookmarkStart w:id="697" w:name="_Toc300934966"/>
      <w:r>
        <w:rPr>
          <w:rFonts w:hint="eastAsia" w:ascii="宋体" w:hAnsi="宋体" w:cs="宋体"/>
          <w:i w:val="0"/>
          <w:iCs w:val="0"/>
          <w:color w:val="auto"/>
          <w:szCs w:val="21"/>
          <w:highlight w:val="none"/>
        </w:rPr>
        <w:t>.2 施工进度计划</w:t>
      </w:r>
    </w:p>
    <w:p w14:paraId="6D020F8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7.2.2 施工进度计划的修订</w:t>
      </w:r>
    </w:p>
    <w:p w14:paraId="6B2A95F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发包人和监理人在收到修订的施工进度计划后确认或提出修改意见的期限：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467F62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7.3 开工</w:t>
      </w:r>
    </w:p>
    <w:p w14:paraId="60A37C0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7.3.1 开工准备</w:t>
      </w:r>
    </w:p>
    <w:p w14:paraId="794EA852">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关于承包人提交</w:t>
      </w:r>
      <w:r>
        <w:rPr>
          <w:rFonts w:hint="eastAsia" w:ascii="宋体" w:hAnsi="宋体" w:cs="宋体"/>
          <w:i w:val="0"/>
          <w:iCs w:val="0"/>
          <w:color w:val="auto"/>
          <w:kern w:val="0"/>
          <w:szCs w:val="21"/>
          <w:highlight w:val="none"/>
        </w:rPr>
        <w:t>工程开工报审表的期限：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E4BB163">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关于发包人应完成的其他开工准备工作及期限：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30438B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关于承包人应完成的其他开工准备工作及期限：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FF295F5">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7.3.2开工通知</w:t>
      </w:r>
    </w:p>
    <w:p w14:paraId="2E36C50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因发包人原因造成监理人未能在计划开工日期之日起</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天内发出开工通知的，承包人有权提出价格调整要求，或者解除合同。</w:t>
      </w:r>
    </w:p>
    <w:bookmarkEnd w:id="691"/>
    <w:bookmarkEnd w:id="692"/>
    <w:bookmarkEnd w:id="693"/>
    <w:bookmarkEnd w:id="694"/>
    <w:bookmarkEnd w:id="695"/>
    <w:bookmarkEnd w:id="696"/>
    <w:bookmarkEnd w:id="697"/>
    <w:p w14:paraId="2F7E5AE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7.4 测量放线</w:t>
      </w:r>
    </w:p>
    <w:p w14:paraId="22682B9A">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7.4.1发包人通过监理人向承包人提供测量基准点、基准线和水准点及其书面资料的期限：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41D9672">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w:t>
      </w:r>
      <w:bookmarkStart w:id="698" w:name="_Toc312678010"/>
      <w:bookmarkStart w:id="699" w:name="_Toc300934968"/>
      <w:bookmarkStart w:id="700" w:name="_Toc303539125"/>
      <w:bookmarkStart w:id="701" w:name="_Toc297216175"/>
      <w:bookmarkStart w:id="702" w:name="_Toc304295546"/>
      <w:bookmarkStart w:id="703" w:name="_Toc297123516"/>
      <w:bookmarkStart w:id="704" w:name="_Toc312677484"/>
      <w:r>
        <w:rPr>
          <w:rFonts w:hint="eastAsia" w:ascii="宋体" w:hAnsi="宋体" w:cs="宋体"/>
          <w:i w:val="0"/>
          <w:iCs w:val="0"/>
          <w:color w:val="auto"/>
          <w:szCs w:val="21"/>
          <w:highlight w:val="none"/>
        </w:rPr>
        <w:t>.5 工期延误</w:t>
      </w:r>
    </w:p>
    <w:bookmarkEnd w:id="698"/>
    <w:bookmarkEnd w:id="699"/>
    <w:bookmarkEnd w:id="700"/>
    <w:bookmarkEnd w:id="701"/>
    <w:bookmarkEnd w:id="702"/>
    <w:bookmarkEnd w:id="703"/>
    <w:bookmarkEnd w:id="704"/>
    <w:p w14:paraId="2688631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7.5.1 因发包人原因导致工期延误</w:t>
      </w:r>
    </w:p>
    <w:p w14:paraId="0756082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（7）因发包人原因导致工期延误的其他情形：</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76F3BD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w:t>
      </w:r>
      <w:bookmarkStart w:id="705" w:name="_Toc312678012"/>
      <w:bookmarkStart w:id="706" w:name="_Toc312677486"/>
      <w:bookmarkStart w:id="707" w:name="_Toc318581169"/>
      <w:bookmarkStart w:id="708" w:name="_Toc304295548"/>
      <w:bookmarkStart w:id="709" w:name="_Toc297216177"/>
      <w:bookmarkStart w:id="710" w:name="_Toc300934970"/>
      <w:bookmarkStart w:id="711" w:name="_Toc297123518"/>
      <w:bookmarkStart w:id="712" w:name="_Toc303539127"/>
      <w:r>
        <w:rPr>
          <w:rFonts w:hint="eastAsia" w:ascii="宋体" w:hAnsi="宋体" w:cs="宋体"/>
          <w:i w:val="0"/>
          <w:iCs w:val="0"/>
          <w:color w:val="auto"/>
          <w:szCs w:val="21"/>
          <w:highlight w:val="none"/>
        </w:rPr>
        <w:t>.5.2 因承包人原因导致工期延误</w:t>
      </w:r>
    </w:p>
    <w:bookmarkEnd w:id="705"/>
    <w:bookmarkEnd w:id="706"/>
    <w:bookmarkEnd w:id="707"/>
    <w:p w14:paraId="326C6FF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因</w:t>
      </w:r>
      <w:bookmarkStart w:id="713" w:name="_Toc312677487"/>
      <w:bookmarkStart w:id="714" w:name="_Toc312678013"/>
      <w:bookmarkStart w:id="715" w:name="_Toc318581170"/>
      <w:r>
        <w:rPr>
          <w:rFonts w:hint="eastAsia" w:ascii="宋体" w:hAnsi="宋体" w:cs="宋体"/>
          <w:i w:val="0"/>
          <w:iCs w:val="0"/>
          <w:color w:val="auto"/>
          <w:szCs w:val="21"/>
          <w:highlight w:val="none"/>
        </w:rPr>
        <w:t>承包人原因造成工期延误，逾期竣工违约金的计算方法为：</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bookmarkEnd w:id="708"/>
      <w:bookmarkEnd w:id="709"/>
      <w:bookmarkEnd w:id="710"/>
      <w:bookmarkEnd w:id="711"/>
      <w:bookmarkEnd w:id="712"/>
      <w:bookmarkEnd w:id="713"/>
      <w:bookmarkEnd w:id="714"/>
    </w:p>
    <w:bookmarkEnd w:id="715"/>
    <w:p w14:paraId="37E1D8B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因承包人原因造成工期延误，逾</w:t>
      </w:r>
      <w:bookmarkStart w:id="716" w:name="_Toc312678014"/>
      <w:bookmarkStart w:id="717" w:name="_Toc318581171"/>
      <w:r>
        <w:rPr>
          <w:rFonts w:hint="eastAsia" w:ascii="宋体" w:hAnsi="宋体" w:cs="宋体"/>
          <w:i w:val="0"/>
          <w:iCs w:val="0"/>
          <w:color w:val="auto"/>
          <w:szCs w:val="21"/>
          <w:highlight w:val="none"/>
        </w:rPr>
        <w:t>期竣工违约金的上限：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716"/>
    <w:bookmarkEnd w:id="717"/>
    <w:p w14:paraId="759D4440">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w:t>
      </w:r>
      <w:bookmarkStart w:id="718" w:name="_Toc303539128"/>
      <w:bookmarkStart w:id="719" w:name="_Toc297123519"/>
      <w:bookmarkStart w:id="720" w:name="_Toc312678015"/>
      <w:bookmarkStart w:id="721" w:name="_Toc304295549"/>
      <w:bookmarkStart w:id="722" w:name="_Toc300934971"/>
      <w:bookmarkStart w:id="723" w:name="_Toc297216178"/>
      <w:r>
        <w:rPr>
          <w:rFonts w:hint="eastAsia" w:ascii="宋体" w:hAnsi="宋体" w:cs="宋体"/>
          <w:i w:val="0"/>
          <w:iCs w:val="0"/>
          <w:color w:val="auto"/>
          <w:szCs w:val="21"/>
          <w:highlight w:val="none"/>
        </w:rPr>
        <w:t>.6 不</w:t>
      </w:r>
      <w:bookmarkEnd w:id="718"/>
      <w:bookmarkEnd w:id="719"/>
      <w:bookmarkEnd w:id="720"/>
      <w:bookmarkEnd w:id="721"/>
      <w:bookmarkEnd w:id="722"/>
      <w:bookmarkEnd w:id="723"/>
      <w:r>
        <w:rPr>
          <w:rFonts w:hint="eastAsia" w:ascii="宋体" w:hAnsi="宋体" w:cs="宋体"/>
          <w:i w:val="0"/>
          <w:iCs w:val="0"/>
          <w:color w:val="auto"/>
          <w:szCs w:val="21"/>
          <w:highlight w:val="none"/>
        </w:rPr>
        <w:t>利物质条件</w:t>
      </w:r>
    </w:p>
    <w:p w14:paraId="33A5B349">
      <w:pPr>
        <w:snapToGrid w:val="0"/>
        <w:spacing w:line="360" w:lineRule="auto"/>
        <w:ind w:firstLine="480" w:firstLineChars="200"/>
        <w:jc w:val="left"/>
        <w:rPr>
          <w:rFonts w:ascii="宋体" w:hAnsi="宋体" w:cs="宋体"/>
          <w:i w:val="0"/>
          <w:iCs w:val="0"/>
          <w:color w:val="auto"/>
          <w:szCs w:val="21"/>
          <w:highlight w:val="none"/>
        </w:rPr>
      </w:pPr>
      <w:bookmarkStart w:id="724" w:name="_Toc297123520"/>
      <w:bookmarkStart w:id="725" w:name="_Toc297216179"/>
      <w:bookmarkStart w:id="726" w:name="_Toc300934972"/>
      <w:bookmarkStart w:id="727" w:name="_Toc304295550"/>
      <w:bookmarkStart w:id="728" w:name="_Toc318581172"/>
      <w:bookmarkStart w:id="729" w:name="_Toc303539129"/>
      <w:bookmarkStart w:id="730" w:name="_Toc312678016"/>
      <w:r>
        <w:rPr>
          <w:rFonts w:hint="eastAsia" w:ascii="宋体" w:hAnsi="宋体" w:cs="宋体"/>
          <w:i w:val="0"/>
          <w:iCs w:val="0"/>
          <w:color w:val="auto"/>
          <w:szCs w:val="21"/>
          <w:highlight w:val="none"/>
        </w:rPr>
        <w:t>不利物质条件的其他情形和有关约定：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724"/>
    <w:bookmarkEnd w:id="725"/>
    <w:bookmarkEnd w:id="726"/>
    <w:bookmarkEnd w:id="727"/>
    <w:bookmarkEnd w:id="728"/>
    <w:bookmarkEnd w:id="729"/>
    <w:bookmarkEnd w:id="730"/>
    <w:p w14:paraId="78052D07">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7</w:t>
      </w:r>
      <w:bookmarkStart w:id="731" w:name="_Toc304295551"/>
      <w:bookmarkStart w:id="732" w:name="_Toc312678017"/>
      <w:bookmarkStart w:id="733" w:name="_Toc297123521"/>
      <w:bookmarkStart w:id="734" w:name="_Toc300934973"/>
      <w:bookmarkStart w:id="735" w:name="_Toc303539130"/>
      <w:bookmarkStart w:id="736" w:name="_Toc297216180"/>
      <w:r>
        <w:rPr>
          <w:rFonts w:hint="eastAsia" w:ascii="宋体" w:hAnsi="宋体" w:cs="宋体"/>
          <w:i w:val="0"/>
          <w:iCs w:val="0"/>
          <w:color w:val="auto"/>
          <w:szCs w:val="21"/>
          <w:highlight w:val="none"/>
        </w:rPr>
        <w:t>.7异常恶劣的气候条件</w:t>
      </w:r>
    </w:p>
    <w:bookmarkEnd w:id="731"/>
    <w:bookmarkEnd w:id="732"/>
    <w:bookmarkEnd w:id="733"/>
    <w:bookmarkEnd w:id="734"/>
    <w:bookmarkEnd w:id="735"/>
    <w:bookmarkEnd w:id="736"/>
    <w:p w14:paraId="1F14D22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发包人和承包人同意以下情形视为异常恶劣的气候条件：</w:t>
      </w:r>
    </w:p>
    <w:p w14:paraId="60FAE74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5E46F25">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928F07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（3）</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1C5BC2B">
      <w:pPr>
        <w:snapToGrid w:val="0"/>
        <w:spacing w:line="360" w:lineRule="auto"/>
        <w:ind w:firstLine="480" w:firstLineChars="200"/>
        <w:outlineLvl w:val="0"/>
        <w:rPr>
          <w:rFonts w:ascii="宋体" w:hAnsi="宋体" w:cs="宋体"/>
          <w:i w:val="0"/>
          <w:iCs w:val="0"/>
          <w:color w:val="auto"/>
          <w:szCs w:val="21"/>
          <w:highlight w:val="none"/>
        </w:rPr>
      </w:pPr>
      <w:bookmarkStart w:id="737" w:name="_Toc5248"/>
      <w:r>
        <w:rPr>
          <w:rFonts w:hint="eastAsia" w:ascii="宋体" w:hAnsi="宋体" w:cs="宋体"/>
          <w:i w:val="0"/>
          <w:iCs w:val="0"/>
          <w:color w:val="auto"/>
          <w:szCs w:val="21"/>
          <w:highlight w:val="none"/>
        </w:rPr>
        <w:t>7.9 提前竣工的奖励</w:t>
      </w:r>
      <w:bookmarkEnd w:id="737"/>
    </w:p>
    <w:p w14:paraId="4320DDD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7.9.2提前竣工的奖励：</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2367668">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738" w:name="_Toc351203640"/>
      <w:r>
        <w:rPr>
          <w:rFonts w:hint="eastAsia" w:ascii="宋体" w:hAnsi="宋体" w:eastAsia="宋体"/>
          <w:b/>
          <w:i w:val="0"/>
          <w:iCs w:val="0"/>
          <w:color w:val="auto"/>
          <w:szCs w:val="21"/>
          <w:highlight w:val="none"/>
        </w:rPr>
        <w:t>8. 材料与设备</w:t>
      </w:r>
      <w:bookmarkEnd w:id="738"/>
    </w:p>
    <w:bookmarkEnd w:id="670"/>
    <w:bookmarkEnd w:id="671"/>
    <w:bookmarkEnd w:id="672"/>
    <w:bookmarkEnd w:id="673"/>
    <w:bookmarkEnd w:id="674"/>
    <w:bookmarkEnd w:id="675"/>
    <w:bookmarkEnd w:id="676"/>
    <w:bookmarkEnd w:id="677"/>
    <w:bookmarkEnd w:id="678"/>
    <w:bookmarkEnd w:id="679"/>
    <w:p w14:paraId="4D14F466">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8</w:t>
      </w:r>
      <w:bookmarkStart w:id="739" w:name="_Toc297048353"/>
      <w:bookmarkStart w:id="740" w:name="_Toc297216186"/>
      <w:bookmarkStart w:id="741" w:name="_Toc312677493"/>
      <w:bookmarkStart w:id="742" w:name="_Toc296347166"/>
      <w:bookmarkStart w:id="743" w:name="_Toc296346668"/>
      <w:bookmarkStart w:id="744" w:name="_Toc296503167"/>
      <w:bookmarkStart w:id="745" w:name="_Toc292559877"/>
      <w:bookmarkStart w:id="746" w:name="_Toc292559372"/>
      <w:bookmarkStart w:id="747" w:name="_Toc297123527"/>
      <w:bookmarkStart w:id="748" w:name="_Toc312678019"/>
      <w:bookmarkStart w:id="749" w:name="_Toc296890995"/>
      <w:bookmarkStart w:id="750" w:name="_Toc303539136"/>
      <w:bookmarkStart w:id="751" w:name="_Toc296891207"/>
      <w:bookmarkStart w:id="752" w:name="_Toc304295556"/>
      <w:bookmarkStart w:id="753" w:name="_Toc280868654"/>
      <w:bookmarkStart w:id="754" w:name="_Toc297120467"/>
      <w:bookmarkStart w:id="755" w:name="_Toc296944506"/>
      <w:bookmarkStart w:id="756" w:name="_Toc300934979"/>
      <w:bookmarkStart w:id="757" w:name="_Toc267251424"/>
      <w:bookmarkStart w:id="758" w:name="_Toc280868655"/>
      <w:bookmarkStart w:id="759" w:name="_Toc280868656"/>
      <w:r>
        <w:rPr>
          <w:rFonts w:hint="eastAsia" w:ascii="宋体" w:hAnsi="宋体" w:cs="宋体"/>
          <w:i w:val="0"/>
          <w:iCs w:val="0"/>
          <w:color w:val="auto"/>
          <w:szCs w:val="21"/>
          <w:highlight w:val="none"/>
        </w:rPr>
        <w:t>.4材料与工程设备的保管与使用</w:t>
      </w:r>
    </w:p>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p w14:paraId="387A64D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8</w:t>
      </w:r>
      <w:bookmarkStart w:id="760" w:name="_Toc292559878"/>
      <w:bookmarkStart w:id="761" w:name="_Toc292559373"/>
      <w:bookmarkStart w:id="762" w:name="_Toc318581173"/>
      <w:bookmarkStart w:id="763" w:name="_Toc296503168"/>
      <w:bookmarkStart w:id="764" w:name="_Toc296890996"/>
      <w:bookmarkStart w:id="765" w:name="_Toc296347167"/>
      <w:bookmarkStart w:id="766" w:name="_Toc297120468"/>
      <w:bookmarkStart w:id="767" w:name="_Toc300934980"/>
      <w:bookmarkStart w:id="768" w:name="_Toc297216187"/>
      <w:bookmarkStart w:id="769" w:name="_Toc304295557"/>
      <w:bookmarkStart w:id="770" w:name="_Toc303539137"/>
      <w:bookmarkStart w:id="771" w:name="_Toc296346669"/>
      <w:bookmarkStart w:id="772" w:name="_Toc296944507"/>
      <w:bookmarkStart w:id="773" w:name="_Toc297123528"/>
      <w:bookmarkStart w:id="774" w:name="_Toc312677494"/>
      <w:bookmarkStart w:id="775" w:name="_Toc297048354"/>
      <w:bookmarkStart w:id="776" w:name="_Toc296891208"/>
      <w:bookmarkStart w:id="777" w:name="_Toc312678020"/>
      <w:r>
        <w:rPr>
          <w:rFonts w:hint="eastAsia" w:ascii="宋体" w:hAnsi="宋体" w:cs="宋体"/>
          <w:i w:val="0"/>
          <w:iCs w:val="0"/>
          <w:color w:val="auto"/>
          <w:szCs w:val="21"/>
          <w:highlight w:val="none"/>
        </w:rPr>
        <w:t>.4.1发包人供应的材料设备的保管费用的承担：</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bookmarkEnd w:id="760"/>
      <w:bookmarkEnd w:id="761"/>
    </w:p>
    <w:p w14:paraId="0D837672">
      <w:pPr>
        <w:snapToGrid w:val="0"/>
        <w:spacing w:line="360" w:lineRule="auto"/>
        <w:ind w:firstLine="480" w:firstLineChars="200"/>
        <w:outlineLvl w:val="0"/>
        <w:rPr>
          <w:rFonts w:ascii="宋体" w:hAnsi="宋体" w:cs="宋体"/>
          <w:i w:val="0"/>
          <w:iCs w:val="0"/>
          <w:color w:val="auto"/>
          <w:szCs w:val="21"/>
          <w:highlight w:val="none"/>
        </w:rPr>
      </w:pPr>
      <w:bookmarkStart w:id="778" w:name="_Toc28202"/>
      <w:r>
        <w:rPr>
          <w:rFonts w:hint="eastAsia" w:ascii="宋体" w:hAnsi="宋体" w:cs="宋体"/>
          <w:i w:val="0"/>
          <w:iCs w:val="0"/>
          <w:color w:val="auto"/>
          <w:szCs w:val="21"/>
          <w:highlight w:val="none"/>
        </w:rPr>
        <w:t>8.6 样品</w:t>
      </w:r>
      <w:bookmarkEnd w:id="778"/>
    </w:p>
    <w:p w14:paraId="01735D1B">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8.6.1</w:t>
      </w:r>
      <w:r>
        <w:rPr>
          <w:rFonts w:hint="eastAsia" w:ascii="宋体" w:hAnsi="宋体" w:cs="宋体"/>
          <w:i w:val="0"/>
          <w:iCs w:val="0"/>
          <w:color w:val="auto"/>
          <w:kern w:val="0"/>
          <w:szCs w:val="21"/>
          <w:highlight w:val="none"/>
        </w:rPr>
        <w:tab/>
      </w:r>
      <w:r>
        <w:rPr>
          <w:rFonts w:hint="eastAsia" w:ascii="宋体" w:hAnsi="宋体" w:cs="宋体"/>
          <w:i w:val="0"/>
          <w:iCs w:val="0"/>
          <w:color w:val="auto"/>
          <w:kern w:val="0"/>
          <w:szCs w:val="21"/>
          <w:highlight w:val="none"/>
        </w:rPr>
        <w:t>样品的报送与封存</w:t>
      </w:r>
    </w:p>
    <w:p w14:paraId="3196E917">
      <w:pPr>
        <w:autoSpaceDE w:val="0"/>
        <w:autoSpaceDN w:val="0"/>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需要承包人报送样品的材料或工程设备，样品的种类、名称、规格、数量要求：</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860474C">
      <w:pPr>
        <w:snapToGrid w:val="0"/>
        <w:spacing w:line="360" w:lineRule="auto"/>
        <w:ind w:firstLine="480" w:firstLineChars="200"/>
        <w:outlineLvl w:val="0"/>
        <w:rPr>
          <w:rFonts w:ascii="宋体" w:hAnsi="宋体" w:cs="宋体"/>
          <w:i w:val="0"/>
          <w:iCs w:val="0"/>
          <w:color w:val="auto"/>
          <w:szCs w:val="21"/>
          <w:highlight w:val="none"/>
        </w:rPr>
      </w:pPr>
      <w:bookmarkStart w:id="779" w:name="_Toc23675"/>
      <w:r>
        <w:rPr>
          <w:rFonts w:hint="eastAsia" w:ascii="宋体" w:hAnsi="宋体" w:cs="宋体"/>
          <w:i w:val="0"/>
          <w:iCs w:val="0"/>
          <w:color w:val="auto"/>
          <w:szCs w:val="21"/>
          <w:highlight w:val="none"/>
        </w:rPr>
        <w:t>8.8 施工设备和临时设施</w:t>
      </w:r>
      <w:bookmarkEnd w:id="779"/>
    </w:p>
    <w:p w14:paraId="6CF76ADE">
      <w:pPr>
        <w:autoSpaceDE w:val="0"/>
        <w:autoSpaceDN w:val="0"/>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8.8.1 承包人提供的施工设备和临时设施</w:t>
      </w:r>
    </w:p>
    <w:p w14:paraId="2933B207">
      <w:pPr>
        <w:autoSpaceDE w:val="0"/>
        <w:autoSpaceDN w:val="0"/>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关于修建临时设施费用承担的约定：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p w14:paraId="52C2A70B">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780" w:name="_Toc351203641"/>
      <w:r>
        <w:rPr>
          <w:rFonts w:hint="eastAsia" w:ascii="宋体" w:hAnsi="宋体" w:eastAsia="宋体"/>
          <w:b/>
          <w:i w:val="0"/>
          <w:iCs w:val="0"/>
          <w:color w:val="auto"/>
          <w:szCs w:val="21"/>
          <w:highlight w:val="none"/>
        </w:rPr>
        <w:t>9</w:t>
      </w:r>
      <w:bookmarkEnd w:id="757"/>
      <w:bookmarkEnd w:id="758"/>
      <w:bookmarkEnd w:id="759"/>
      <w:bookmarkStart w:id="781" w:name="_Toc297216192"/>
      <w:bookmarkStart w:id="782" w:name="_Toc312678021"/>
      <w:bookmarkStart w:id="783" w:name="_Toc303539139"/>
      <w:bookmarkStart w:id="784" w:name="_Toc304295559"/>
      <w:bookmarkStart w:id="785" w:name="_Toc297123533"/>
      <w:bookmarkStart w:id="786" w:name="_Toc312677495"/>
      <w:bookmarkStart w:id="787" w:name="_Toc300934982"/>
      <w:bookmarkStart w:id="788" w:name="_Toc297120473"/>
      <w:bookmarkStart w:id="789" w:name="_Toc296347172"/>
      <w:bookmarkStart w:id="790" w:name="_Toc292559883"/>
      <w:bookmarkStart w:id="791" w:name="_Toc296891001"/>
      <w:bookmarkStart w:id="792" w:name="_Toc296944512"/>
      <w:bookmarkStart w:id="793" w:name="_Toc297048359"/>
      <w:bookmarkStart w:id="794" w:name="_Toc296346674"/>
      <w:bookmarkStart w:id="795" w:name="_Toc267251428"/>
      <w:bookmarkStart w:id="796" w:name="_Toc296503173"/>
      <w:bookmarkStart w:id="797" w:name="_Toc292559378"/>
      <w:bookmarkStart w:id="798" w:name="_Toc267251427"/>
      <w:bookmarkStart w:id="799" w:name="_Toc296891213"/>
      <w:r>
        <w:rPr>
          <w:rFonts w:hint="eastAsia" w:ascii="宋体" w:hAnsi="宋体" w:eastAsia="宋体"/>
          <w:b/>
          <w:i w:val="0"/>
          <w:iCs w:val="0"/>
          <w:color w:val="auto"/>
          <w:szCs w:val="21"/>
          <w:highlight w:val="none"/>
        </w:rPr>
        <w:t>. 试验与检验</w:t>
      </w:r>
      <w:bookmarkEnd w:id="780"/>
    </w:p>
    <w:bookmarkEnd w:id="781"/>
    <w:bookmarkEnd w:id="782"/>
    <w:bookmarkEnd w:id="783"/>
    <w:bookmarkEnd w:id="784"/>
    <w:bookmarkEnd w:id="785"/>
    <w:bookmarkEnd w:id="786"/>
    <w:bookmarkEnd w:id="787"/>
    <w:p w14:paraId="3028251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9</w:t>
      </w:r>
      <w:bookmarkStart w:id="800" w:name="_Toc300934983"/>
      <w:bookmarkStart w:id="801" w:name="_Toc297123534"/>
      <w:bookmarkStart w:id="802" w:name="_Toc312678022"/>
      <w:bookmarkStart w:id="803" w:name="_Toc312677496"/>
      <w:bookmarkStart w:id="804" w:name="_Toc304295560"/>
      <w:bookmarkStart w:id="805" w:name="_Toc297216193"/>
      <w:bookmarkStart w:id="806" w:name="_Toc303539140"/>
      <w:r>
        <w:rPr>
          <w:rFonts w:hint="eastAsia" w:ascii="宋体" w:hAnsi="宋体" w:cs="宋体"/>
          <w:i w:val="0"/>
          <w:iCs w:val="0"/>
          <w:color w:val="auto"/>
          <w:szCs w:val="21"/>
          <w:highlight w:val="none"/>
        </w:rPr>
        <w:t>.1试验设备与试验人员</w:t>
      </w:r>
    </w:p>
    <w:bookmarkEnd w:id="800"/>
    <w:bookmarkEnd w:id="801"/>
    <w:bookmarkEnd w:id="802"/>
    <w:bookmarkEnd w:id="803"/>
    <w:bookmarkEnd w:id="804"/>
    <w:bookmarkEnd w:id="805"/>
    <w:bookmarkEnd w:id="806"/>
    <w:p w14:paraId="0439538E">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9</w:t>
      </w:r>
      <w:bookmarkStart w:id="807" w:name="_Toc300934984"/>
      <w:bookmarkStart w:id="808" w:name="_Toc297216194"/>
      <w:bookmarkStart w:id="809" w:name="_Toc304295561"/>
      <w:bookmarkStart w:id="810" w:name="_Toc303539141"/>
      <w:bookmarkStart w:id="811" w:name="_Toc312677497"/>
      <w:bookmarkStart w:id="812" w:name="_Toc312678023"/>
      <w:bookmarkStart w:id="813" w:name="_Toc297123535"/>
      <w:bookmarkStart w:id="814" w:name="_Toc318581174"/>
      <w:r>
        <w:rPr>
          <w:rFonts w:hint="eastAsia" w:ascii="宋体" w:hAnsi="宋体" w:cs="宋体"/>
          <w:i w:val="0"/>
          <w:iCs w:val="0"/>
          <w:color w:val="auto"/>
          <w:szCs w:val="21"/>
          <w:highlight w:val="none"/>
        </w:rPr>
        <w:t>.1.2 试验设备</w:t>
      </w:r>
    </w:p>
    <w:p w14:paraId="4452DB2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施工现场需要配置的试验场所：</w:t>
      </w:r>
      <w:bookmarkEnd w:id="807"/>
      <w:bookmarkEnd w:id="808"/>
      <w:bookmarkEnd w:id="809"/>
      <w:bookmarkEnd w:id="810"/>
      <w:bookmarkEnd w:id="811"/>
      <w:bookmarkEnd w:id="812"/>
      <w:bookmarkEnd w:id="813"/>
      <w:bookmarkStart w:id="815" w:name="_Toc303539142"/>
      <w:bookmarkStart w:id="816" w:name="_Toc300934985"/>
      <w:bookmarkStart w:id="817" w:name="_Toc304295562"/>
      <w:bookmarkStart w:id="818" w:name="_Toc297216195"/>
      <w:bookmarkStart w:id="819" w:name="_Toc312678024"/>
      <w:bookmarkStart w:id="820" w:name="_Toc297123536"/>
      <w:bookmarkStart w:id="821" w:name="_Toc312677498"/>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49A2634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施工现场需要配备的试验设备：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E29C7D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施工现场需要具备的其他试验条件：</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DDEDBC2">
      <w:pPr>
        <w:snapToGrid w:val="0"/>
        <w:spacing w:line="360" w:lineRule="auto"/>
        <w:ind w:firstLine="480" w:firstLineChars="200"/>
        <w:outlineLvl w:val="0"/>
        <w:rPr>
          <w:rFonts w:ascii="宋体" w:hAnsi="宋体" w:cs="宋体"/>
          <w:i w:val="0"/>
          <w:iCs w:val="0"/>
          <w:color w:val="auto"/>
          <w:szCs w:val="21"/>
          <w:highlight w:val="none"/>
        </w:rPr>
      </w:pPr>
      <w:bookmarkStart w:id="822" w:name="_Toc7697"/>
      <w:r>
        <w:rPr>
          <w:rFonts w:hint="eastAsia" w:ascii="宋体" w:hAnsi="宋体" w:cs="宋体"/>
          <w:i w:val="0"/>
          <w:iCs w:val="0"/>
          <w:color w:val="auto"/>
          <w:szCs w:val="21"/>
          <w:highlight w:val="none"/>
        </w:rPr>
        <w:t>9.4 现场工艺试验</w:t>
      </w:r>
      <w:bookmarkEnd w:id="822"/>
      <w:r>
        <w:rPr>
          <w:rFonts w:hint="eastAsia" w:ascii="宋体" w:hAnsi="宋体" w:cs="宋体"/>
          <w:i w:val="0"/>
          <w:iCs w:val="0"/>
          <w:color w:val="auto"/>
          <w:szCs w:val="21"/>
          <w:highlight w:val="none"/>
        </w:rPr>
        <w:t xml:space="preserve"> </w:t>
      </w:r>
    </w:p>
    <w:p w14:paraId="4EAE04F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现场工艺试验的有关约定：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814"/>
    <w:bookmarkEnd w:id="815"/>
    <w:bookmarkEnd w:id="816"/>
    <w:bookmarkEnd w:id="817"/>
    <w:bookmarkEnd w:id="818"/>
    <w:bookmarkEnd w:id="819"/>
    <w:bookmarkEnd w:id="820"/>
    <w:bookmarkEnd w:id="821"/>
    <w:p w14:paraId="6F860306">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823" w:name="_Toc351203642"/>
      <w:r>
        <w:rPr>
          <w:rFonts w:hint="eastAsia" w:ascii="宋体" w:hAnsi="宋体" w:eastAsia="宋体"/>
          <w:b/>
          <w:i w:val="0"/>
          <w:iCs w:val="0"/>
          <w:color w:val="auto"/>
          <w:szCs w:val="21"/>
          <w:highlight w:val="none"/>
        </w:rPr>
        <w:t>1</w:t>
      </w:r>
      <w:bookmarkEnd w:id="788"/>
      <w:bookmarkEnd w:id="789"/>
      <w:bookmarkEnd w:id="790"/>
      <w:bookmarkEnd w:id="791"/>
      <w:bookmarkEnd w:id="792"/>
      <w:bookmarkEnd w:id="793"/>
      <w:bookmarkEnd w:id="794"/>
      <w:bookmarkEnd w:id="795"/>
      <w:bookmarkEnd w:id="796"/>
      <w:bookmarkEnd w:id="797"/>
      <w:bookmarkEnd w:id="798"/>
      <w:bookmarkEnd w:id="799"/>
      <w:bookmarkStart w:id="824" w:name="_Toc297216199"/>
      <w:bookmarkStart w:id="825" w:name="_Toc292559903"/>
      <w:bookmarkStart w:id="826" w:name="_Toc297123540"/>
      <w:bookmarkStart w:id="827" w:name="_Toc297048379"/>
      <w:bookmarkStart w:id="828" w:name="_Toc296346694"/>
      <w:bookmarkStart w:id="829" w:name="_Toc303539146"/>
      <w:bookmarkStart w:id="830" w:name="_Toc296891233"/>
      <w:bookmarkStart w:id="831" w:name="_Toc304295566"/>
      <w:bookmarkStart w:id="832" w:name="_Toc296944532"/>
      <w:bookmarkStart w:id="833" w:name="_Toc296891021"/>
      <w:bookmarkStart w:id="834" w:name="_Toc296503193"/>
      <w:bookmarkStart w:id="835" w:name="_Toc292559398"/>
      <w:bookmarkStart w:id="836" w:name="_Toc296347192"/>
      <w:bookmarkStart w:id="837" w:name="_Toc300934989"/>
      <w:bookmarkStart w:id="838" w:name="_Toc297120493"/>
      <w:bookmarkStart w:id="839" w:name="_Toc312678025"/>
      <w:bookmarkStart w:id="840" w:name="_Toc312677499"/>
      <w:bookmarkStart w:id="841" w:name="_Toc267251440"/>
      <w:bookmarkStart w:id="842" w:name="_Toc267251441"/>
      <w:bookmarkStart w:id="843" w:name="_Toc267251435"/>
      <w:bookmarkStart w:id="844" w:name="_Toc267251433"/>
      <w:bookmarkStart w:id="845" w:name="_Toc267251439"/>
      <w:bookmarkStart w:id="846" w:name="_Toc267251437"/>
      <w:bookmarkStart w:id="847" w:name="_Toc267251442"/>
      <w:r>
        <w:rPr>
          <w:rFonts w:hint="eastAsia" w:ascii="宋体" w:hAnsi="宋体" w:eastAsia="宋体"/>
          <w:b/>
          <w:i w:val="0"/>
          <w:iCs w:val="0"/>
          <w:color w:val="auto"/>
          <w:szCs w:val="21"/>
          <w:highlight w:val="none"/>
        </w:rPr>
        <w:t>0. 变更</w:t>
      </w:r>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p>
    <w:bookmarkEnd w:id="839"/>
    <w:bookmarkEnd w:id="840"/>
    <w:p w14:paraId="5D8A800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w:t>
      </w:r>
      <w:bookmarkStart w:id="848" w:name="_Toc292559904"/>
      <w:bookmarkStart w:id="849" w:name="_Toc312677500"/>
      <w:bookmarkStart w:id="850" w:name="_Toc303539147"/>
      <w:bookmarkStart w:id="851" w:name="_Toc296346695"/>
      <w:bookmarkStart w:id="852" w:name="_Toc292559399"/>
      <w:bookmarkStart w:id="853" w:name="_Toc296891234"/>
      <w:bookmarkStart w:id="854" w:name="_Toc304295567"/>
      <w:bookmarkStart w:id="855" w:name="_Toc296347193"/>
      <w:bookmarkStart w:id="856" w:name="_Toc297120494"/>
      <w:bookmarkStart w:id="857" w:name="_Toc300934990"/>
      <w:bookmarkStart w:id="858" w:name="_Toc296891022"/>
      <w:bookmarkStart w:id="859" w:name="_Toc312678026"/>
      <w:bookmarkStart w:id="860" w:name="_Toc296503194"/>
      <w:bookmarkStart w:id="861" w:name="_Toc296944533"/>
      <w:bookmarkStart w:id="862" w:name="_Toc297048380"/>
      <w:bookmarkStart w:id="863" w:name="_Toc297216200"/>
      <w:bookmarkStart w:id="864" w:name="_Toc297123541"/>
      <w:r>
        <w:rPr>
          <w:rFonts w:hint="eastAsia" w:ascii="宋体" w:hAnsi="宋体" w:cs="宋体"/>
          <w:i w:val="0"/>
          <w:iCs w:val="0"/>
          <w:color w:val="auto"/>
          <w:szCs w:val="21"/>
          <w:highlight w:val="none"/>
        </w:rPr>
        <w:t>0.1变更的范围</w:t>
      </w:r>
    </w:p>
    <w:p w14:paraId="5D446C4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关于变更的范围的约定：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053B732">
      <w:pPr>
        <w:snapToGrid w:val="0"/>
        <w:spacing w:line="360" w:lineRule="auto"/>
        <w:ind w:firstLine="480" w:firstLineChars="200"/>
        <w:outlineLvl w:val="0"/>
        <w:rPr>
          <w:rFonts w:ascii="宋体" w:hAnsi="宋体" w:cs="宋体"/>
          <w:i w:val="0"/>
          <w:iCs w:val="0"/>
          <w:color w:val="auto"/>
          <w:szCs w:val="21"/>
          <w:highlight w:val="none"/>
        </w:rPr>
      </w:pPr>
      <w:bookmarkStart w:id="865" w:name="_Toc30817"/>
      <w:r>
        <w:rPr>
          <w:rFonts w:hint="eastAsia" w:ascii="宋体" w:hAnsi="宋体" w:cs="宋体"/>
          <w:i w:val="0"/>
          <w:iCs w:val="0"/>
          <w:color w:val="auto"/>
          <w:szCs w:val="21"/>
          <w:highlight w:val="none"/>
        </w:rPr>
        <w:t>10.4 变更估价</w:t>
      </w:r>
      <w:bookmarkEnd w:id="865"/>
    </w:p>
    <w:p w14:paraId="36792FE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10.4.1 变更估价原则</w:t>
      </w:r>
    </w:p>
    <w:p w14:paraId="5F9B4744">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 xml:space="preserve">关于变更估价的约定: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CBDFDD4">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w:t>
      </w:r>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Start w:id="866" w:name="_Toc297048383"/>
      <w:bookmarkStart w:id="867" w:name="_Toc296891237"/>
      <w:bookmarkStart w:id="868" w:name="_Toc297123544"/>
      <w:bookmarkStart w:id="869" w:name="_Toc292559402"/>
      <w:bookmarkStart w:id="870" w:name="_Toc296503197"/>
      <w:bookmarkStart w:id="871" w:name="_Toc292559907"/>
      <w:bookmarkStart w:id="872" w:name="_Toc296944536"/>
      <w:bookmarkStart w:id="873" w:name="_Toc297216203"/>
      <w:bookmarkStart w:id="874" w:name="_Toc296347196"/>
      <w:bookmarkStart w:id="875" w:name="_Toc296346698"/>
      <w:bookmarkStart w:id="876" w:name="_Toc300934993"/>
      <w:bookmarkStart w:id="877" w:name="_Toc296891025"/>
      <w:bookmarkStart w:id="878" w:name="_Toc297120497"/>
      <w:bookmarkStart w:id="879" w:name="_Toc303539150"/>
      <w:bookmarkStart w:id="880" w:name="_Toc312678029"/>
      <w:bookmarkStart w:id="881" w:name="_Toc312677503"/>
      <w:bookmarkStart w:id="882" w:name="_Toc304295570"/>
      <w:r>
        <w:rPr>
          <w:rFonts w:hint="eastAsia" w:ascii="宋体" w:hAnsi="宋体" w:cs="宋体"/>
          <w:i w:val="0"/>
          <w:iCs w:val="0"/>
          <w:color w:val="auto"/>
          <w:szCs w:val="21"/>
          <w:highlight w:val="none"/>
        </w:rPr>
        <w:t>0.5承</w:t>
      </w:r>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Start w:id="883" w:name="_Toc297216204"/>
      <w:bookmarkStart w:id="884" w:name="_Toc300934994"/>
      <w:bookmarkStart w:id="885" w:name="_Toc296346704"/>
      <w:bookmarkStart w:id="886" w:name="_Toc297123545"/>
      <w:bookmarkStart w:id="887" w:name="_Toc297120503"/>
      <w:bookmarkStart w:id="888" w:name="_Toc296891031"/>
      <w:bookmarkStart w:id="889" w:name="_Toc303539151"/>
      <w:bookmarkStart w:id="890" w:name="_Toc292559408"/>
      <w:bookmarkStart w:id="891" w:name="_Toc296503203"/>
      <w:bookmarkStart w:id="892" w:name="_Toc297048389"/>
      <w:bookmarkStart w:id="893" w:name="_Toc296891243"/>
      <w:bookmarkStart w:id="894" w:name="_Toc296347202"/>
      <w:bookmarkStart w:id="895" w:name="_Toc296944542"/>
      <w:bookmarkStart w:id="896" w:name="_Toc292559913"/>
      <w:r>
        <w:rPr>
          <w:rFonts w:hint="eastAsia" w:ascii="宋体" w:hAnsi="宋体" w:cs="宋体"/>
          <w:i w:val="0"/>
          <w:iCs w:val="0"/>
          <w:color w:val="auto"/>
          <w:szCs w:val="21"/>
          <w:highlight w:val="none"/>
        </w:rPr>
        <w:t>包人的合理化建议</w:t>
      </w:r>
    </w:p>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p w14:paraId="4FA1B6A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监理人审查承包人合理化建议的期限：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840B1F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发包人审批承包人合理化建议的期限：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088A9B3">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承</w:t>
      </w:r>
      <w:bookmarkStart w:id="897" w:name="_Toc297120504"/>
      <w:bookmarkStart w:id="898" w:name="_Toc312677504"/>
      <w:bookmarkStart w:id="899" w:name="_Toc296891032"/>
      <w:bookmarkStart w:id="900" w:name="_Toc297048390"/>
      <w:bookmarkStart w:id="901" w:name="_Toc296944543"/>
      <w:bookmarkStart w:id="902" w:name="_Toc304295571"/>
      <w:bookmarkStart w:id="903" w:name="_Toc296347203"/>
      <w:bookmarkStart w:id="904" w:name="_Toc292559409"/>
      <w:bookmarkStart w:id="905" w:name="_Toc312678030"/>
      <w:bookmarkStart w:id="906" w:name="_Toc297123546"/>
      <w:bookmarkStart w:id="907" w:name="_Toc318581175"/>
      <w:bookmarkStart w:id="908" w:name="_Toc300934995"/>
      <w:bookmarkStart w:id="909" w:name="_Toc296346705"/>
      <w:bookmarkStart w:id="910" w:name="_Toc297216205"/>
      <w:bookmarkStart w:id="911" w:name="_Toc292559914"/>
      <w:bookmarkStart w:id="912" w:name="_Toc296891244"/>
      <w:bookmarkStart w:id="913" w:name="_Toc296503204"/>
      <w:bookmarkStart w:id="914" w:name="_Toc303539152"/>
      <w:r>
        <w:rPr>
          <w:rFonts w:hint="eastAsia" w:ascii="宋体" w:hAnsi="宋体" w:cs="宋体"/>
          <w:i w:val="0"/>
          <w:iCs w:val="0"/>
          <w:color w:val="auto"/>
          <w:szCs w:val="21"/>
          <w:highlight w:val="none"/>
        </w:rPr>
        <w:t>包人提出的合理化建议降低了合同价格或者提高了工程经济效益的奖励的方法和金额为：</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p w14:paraId="7D40C3DF">
      <w:pPr>
        <w:snapToGrid w:val="0"/>
        <w:spacing w:line="360" w:lineRule="auto"/>
        <w:ind w:firstLine="480" w:firstLineChars="200"/>
        <w:outlineLvl w:val="0"/>
        <w:rPr>
          <w:rFonts w:ascii="宋体" w:hAnsi="宋体" w:cs="宋体"/>
          <w:i w:val="0"/>
          <w:iCs w:val="0"/>
          <w:color w:val="auto"/>
          <w:szCs w:val="21"/>
          <w:highlight w:val="none"/>
        </w:rPr>
      </w:pPr>
      <w:bookmarkStart w:id="915" w:name="_Toc32296"/>
      <w:r>
        <w:rPr>
          <w:rFonts w:hint="eastAsia" w:ascii="宋体" w:hAnsi="宋体" w:cs="宋体"/>
          <w:i w:val="0"/>
          <w:iCs w:val="0"/>
          <w:color w:val="auto"/>
          <w:szCs w:val="21"/>
          <w:highlight w:val="none"/>
        </w:rPr>
        <w:t>1</w:t>
      </w:r>
      <w:bookmarkStart w:id="916" w:name="_Toc296891239"/>
      <w:bookmarkStart w:id="917" w:name="_Toc292559404"/>
      <w:bookmarkStart w:id="918" w:name="_Toc297120499"/>
      <w:bookmarkStart w:id="919" w:name="_Toc312678033"/>
      <w:bookmarkStart w:id="920" w:name="_Toc297123548"/>
      <w:bookmarkStart w:id="921" w:name="_Toc296944538"/>
      <w:bookmarkStart w:id="922" w:name="_Toc304295574"/>
      <w:bookmarkStart w:id="923" w:name="_Toc296503199"/>
      <w:bookmarkStart w:id="924" w:name="_Toc297048385"/>
      <w:bookmarkStart w:id="925" w:name="_Toc297216207"/>
      <w:bookmarkStart w:id="926" w:name="_Toc303539154"/>
      <w:bookmarkStart w:id="927" w:name="_Toc292559909"/>
      <w:bookmarkStart w:id="928" w:name="_Toc296891027"/>
      <w:bookmarkStart w:id="929" w:name="_Toc296347198"/>
      <w:bookmarkStart w:id="930" w:name="_Toc300934997"/>
      <w:bookmarkStart w:id="931" w:name="_Toc312677507"/>
      <w:bookmarkStart w:id="932" w:name="_Toc296346700"/>
      <w:r>
        <w:rPr>
          <w:rFonts w:hint="eastAsia" w:ascii="宋体" w:hAnsi="宋体" w:cs="宋体"/>
          <w:i w:val="0"/>
          <w:iCs w:val="0"/>
          <w:color w:val="auto"/>
          <w:szCs w:val="21"/>
          <w:highlight w:val="none"/>
        </w:rPr>
        <w:t>0.7 暂估价</w:t>
      </w:r>
      <w:bookmarkEnd w:id="915"/>
    </w:p>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p w14:paraId="09E4F3F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暂</w:t>
      </w:r>
      <w:bookmarkStart w:id="933" w:name="_Toc312678034"/>
      <w:bookmarkStart w:id="934" w:name="_Toc312677508"/>
      <w:bookmarkStart w:id="935" w:name="_Toc318581176"/>
      <w:r>
        <w:rPr>
          <w:rFonts w:hint="eastAsia" w:ascii="宋体" w:hAnsi="宋体" w:cs="宋体"/>
          <w:i w:val="0"/>
          <w:iCs w:val="0"/>
          <w:color w:val="auto"/>
          <w:kern w:val="0"/>
          <w:szCs w:val="21"/>
          <w:highlight w:val="none"/>
        </w:rPr>
        <w:t>估价材料和工程设备的明细详见附件11：《</w:t>
      </w:r>
      <w:r>
        <w:rPr>
          <w:rFonts w:hint="eastAsia" w:ascii="宋体" w:hAnsi="宋体" w:cs="宋体"/>
          <w:i w:val="0"/>
          <w:iCs w:val="0"/>
          <w:color w:val="auto"/>
          <w:szCs w:val="21"/>
          <w:highlight w:val="none"/>
        </w:rPr>
        <w:t>暂估价一览表》</w:t>
      </w:r>
      <w:r>
        <w:rPr>
          <w:rFonts w:hint="eastAsia" w:ascii="宋体" w:hAnsi="宋体" w:cs="宋体"/>
          <w:i w:val="0"/>
          <w:iCs w:val="0"/>
          <w:color w:val="auto"/>
          <w:kern w:val="0"/>
          <w:szCs w:val="21"/>
          <w:highlight w:val="none"/>
        </w:rPr>
        <w:t>。</w:t>
      </w:r>
    </w:p>
    <w:bookmarkEnd w:id="933"/>
    <w:bookmarkEnd w:id="934"/>
    <w:bookmarkEnd w:id="935"/>
    <w:p w14:paraId="4319A7A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w:t>
      </w:r>
      <w:bookmarkStart w:id="936" w:name="_Toc318581177"/>
      <w:bookmarkStart w:id="937" w:name="_Toc312678035"/>
      <w:bookmarkStart w:id="938" w:name="_Toc312677509"/>
      <w:r>
        <w:rPr>
          <w:rFonts w:hint="eastAsia" w:ascii="宋体" w:hAnsi="宋体" w:cs="宋体"/>
          <w:i w:val="0"/>
          <w:iCs w:val="0"/>
          <w:color w:val="auto"/>
          <w:szCs w:val="21"/>
          <w:highlight w:val="none"/>
        </w:rPr>
        <w:t>0.7.1 依法必须招标的暂估价项目</w:t>
      </w:r>
    </w:p>
    <w:bookmarkEnd w:id="936"/>
    <w:bookmarkEnd w:id="937"/>
    <w:bookmarkEnd w:id="938"/>
    <w:p w14:paraId="583038C3">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对于依法必须招标的暂估价项目的确认和批准采取第</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种方式确定。</w:t>
      </w:r>
    </w:p>
    <w:p w14:paraId="0FFE7AB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10.7.2 不属于依法必须招标的暂估价项目</w:t>
      </w:r>
    </w:p>
    <w:p w14:paraId="53AFFAC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对于不属于依法必须招标的暂估价项目的确认和批准采取第</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种方式确定。</w:t>
      </w:r>
    </w:p>
    <w:p w14:paraId="628F6C56">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rPr>
        <w:t>第3种方式：</w:t>
      </w:r>
      <w:r>
        <w:rPr>
          <w:rFonts w:hint="eastAsia" w:ascii="宋体" w:hAnsi="宋体" w:cs="宋体"/>
          <w:i w:val="0"/>
          <w:iCs w:val="0"/>
          <w:color w:val="auto"/>
          <w:kern w:val="0"/>
          <w:szCs w:val="21"/>
          <w:highlight w:val="none"/>
        </w:rPr>
        <w:t>承包人直接实施的暂估价项目</w:t>
      </w:r>
    </w:p>
    <w:p w14:paraId="6AB30BE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承包人直接实施的暂估价项目的约定：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B1A4C7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10.8 暂列金额</w:t>
      </w:r>
    </w:p>
    <w:p w14:paraId="3FFD9575">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合同当事人关于暂列金额使用的约定：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w:t>
      </w:r>
    </w:p>
    <w:p w14:paraId="5136B7F3">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939" w:name="_Toc351203643"/>
      <w:r>
        <w:rPr>
          <w:rFonts w:hint="eastAsia" w:ascii="宋体" w:hAnsi="宋体" w:eastAsia="宋体"/>
          <w:b/>
          <w:i w:val="0"/>
          <w:iCs w:val="0"/>
          <w:color w:val="auto"/>
          <w:szCs w:val="21"/>
          <w:highlight w:val="none"/>
        </w:rPr>
        <w:t>11. 价格调整</w:t>
      </w:r>
      <w:bookmarkEnd w:id="939"/>
    </w:p>
    <w:p w14:paraId="0C5BD9DA">
      <w:pPr>
        <w:snapToGrid w:val="0"/>
        <w:spacing w:line="360" w:lineRule="auto"/>
        <w:ind w:firstLine="480" w:firstLineChars="200"/>
        <w:rPr>
          <w:rFonts w:ascii="宋体" w:hAnsi="宋体" w:cs="宋体"/>
          <w:i w:val="0"/>
          <w:iCs w:val="0"/>
          <w:color w:val="auto"/>
          <w:szCs w:val="21"/>
          <w:highlight w:val="none"/>
        </w:rPr>
      </w:pPr>
      <w:bookmarkStart w:id="940" w:name="_Toc296347200"/>
      <w:bookmarkStart w:id="941" w:name="_Toc296346702"/>
      <w:bookmarkStart w:id="942" w:name="_Toc297216209"/>
      <w:bookmarkStart w:id="943" w:name="_Toc292559911"/>
      <w:bookmarkStart w:id="944" w:name="_Toc297120501"/>
      <w:bookmarkStart w:id="945" w:name="_Toc297048387"/>
      <w:bookmarkStart w:id="946" w:name="_Toc292559406"/>
      <w:bookmarkStart w:id="947" w:name="_Toc296503201"/>
      <w:bookmarkStart w:id="948" w:name="_Toc304295577"/>
      <w:bookmarkStart w:id="949" w:name="_Toc300935000"/>
      <w:bookmarkStart w:id="950" w:name="_Toc312678039"/>
      <w:bookmarkStart w:id="951" w:name="_Toc297123550"/>
      <w:bookmarkStart w:id="952" w:name="_Toc303539157"/>
      <w:bookmarkStart w:id="953" w:name="_Toc296891029"/>
      <w:bookmarkStart w:id="954" w:name="_Toc296891241"/>
      <w:bookmarkStart w:id="955" w:name="_Toc296944540"/>
      <w:r>
        <w:rPr>
          <w:rFonts w:hint="eastAsia" w:ascii="宋体" w:hAnsi="宋体" w:cs="宋体"/>
          <w:i w:val="0"/>
          <w:iCs w:val="0"/>
          <w:color w:val="auto"/>
          <w:szCs w:val="21"/>
          <w:highlight w:val="none"/>
        </w:rPr>
        <w:t>11.1 市场价格波动引起的调整</w:t>
      </w:r>
    </w:p>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p w14:paraId="18E0986C">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市场价格波动是否调整合同价格的约定：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76BA40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因市场价格波动调整合同价格，采用以下第</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种方式对合同价格进行调整：</w:t>
      </w:r>
    </w:p>
    <w:p w14:paraId="6EB94BB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第1种方式：采用价格指数进行价格调整。</w:t>
      </w:r>
    </w:p>
    <w:p w14:paraId="49EC1F9A">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关于各可调因子、定值和变值权重，以及基本价格指数及其来源的约定：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28A45A1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第2种方式：采用造价信息进行价格调整。</w:t>
      </w:r>
    </w:p>
    <w:p w14:paraId="4A6934A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（2）关于基准价格的约定：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887665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%时，或材料单价跌幅以已标价工程量清单或预算书中载明材料单价为基础超过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%时，其超过部分据实调整。</w:t>
      </w:r>
    </w:p>
    <w:p w14:paraId="3BDE1FA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②承包人在已标价工程量清单或预算书中载明的材料单价高于基准价格的：专用合同条款合同履行期间材料单价跌幅以基准价格为基础超过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%时，材料单价涨幅以已标价工程量清单或预算书中载明材料单价为基础超过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%时，其超过部分据实调整。</w:t>
      </w:r>
    </w:p>
    <w:p w14:paraId="7D419138">
      <w:pPr>
        <w:snapToGrid w:val="0"/>
        <w:spacing w:line="360" w:lineRule="auto"/>
        <w:ind w:firstLine="645"/>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③承包人在已标价工程量清单或预算书中载明的材料单价等于基准单价的：专用合同条款合同履行期间材料单价涨跌幅以基准单价为基础超过±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%时，其超过部分据实调整。</w:t>
      </w:r>
    </w:p>
    <w:p w14:paraId="4470410E">
      <w:pPr>
        <w:snapToGrid w:val="0"/>
        <w:spacing w:line="360" w:lineRule="auto"/>
        <w:ind w:firstLine="645"/>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第3种方式：其他价格调整方式：</w:t>
      </w:r>
      <w:r>
        <w:rPr>
          <w:rFonts w:hint="eastAsia" w:ascii="宋体" w:hAnsi="宋体" w:cs="宋体"/>
          <w:i w:val="0"/>
          <w:iCs w:val="0"/>
          <w:color w:val="auto"/>
          <w:szCs w:val="21"/>
          <w:highlight w:val="none"/>
          <w:u w:val="single"/>
        </w:rPr>
        <w:t xml:space="preserve">                        </w:t>
      </w:r>
    </w:p>
    <w:p w14:paraId="581DFC13">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841"/>
    <w:bookmarkEnd w:id="842"/>
    <w:bookmarkEnd w:id="843"/>
    <w:bookmarkEnd w:id="844"/>
    <w:bookmarkEnd w:id="845"/>
    <w:bookmarkEnd w:id="846"/>
    <w:p w14:paraId="4C3ABED1">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956" w:name="_Toc296944544"/>
      <w:bookmarkStart w:id="957" w:name="_Toc296347204"/>
      <w:bookmarkStart w:id="958" w:name="_Toc296503205"/>
      <w:bookmarkStart w:id="959" w:name="_Toc297120505"/>
      <w:bookmarkStart w:id="960" w:name="_Toc296346706"/>
      <w:bookmarkStart w:id="961" w:name="_Toc296891033"/>
      <w:bookmarkStart w:id="962" w:name="_Toc296891245"/>
      <w:bookmarkStart w:id="963" w:name="_Toc297048391"/>
      <w:bookmarkStart w:id="964" w:name="_Toc292559410"/>
      <w:bookmarkStart w:id="965" w:name="_Toc292559915"/>
      <w:bookmarkStart w:id="966" w:name="_Toc351203644"/>
      <w:bookmarkStart w:id="967" w:name="_Toc312678040"/>
      <w:bookmarkStart w:id="968" w:name="_Toc303539159"/>
      <w:bookmarkStart w:id="969" w:name="_Toc300935002"/>
      <w:bookmarkStart w:id="970" w:name="_Toc297216211"/>
      <w:bookmarkStart w:id="971" w:name="_Toc297123552"/>
      <w:bookmarkStart w:id="972" w:name="_Toc304295579"/>
      <w:r>
        <w:rPr>
          <w:rFonts w:hint="eastAsia" w:ascii="宋体" w:hAnsi="宋体" w:eastAsia="宋体"/>
          <w:b/>
          <w:i w:val="0"/>
          <w:iCs w:val="0"/>
          <w:color w:val="auto"/>
          <w:szCs w:val="21"/>
          <w:highlight w:val="none"/>
        </w:rPr>
        <w:t xml:space="preserve">12. </w:t>
      </w:r>
      <w:bookmarkEnd w:id="956"/>
      <w:bookmarkEnd w:id="957"/>
      <w:bookmarkEnd w:id="958"/>
      <w:bookmarkEnd w:id="959"/>
      <w:bookmarkEnd w:id="960"/>
      <w:bookmarkEnd w:id="961"/>
      <w:bookmarkEnd w:id="962"/>
      <w:bookmarkEnd w:id="963"/>
      <w:bookmarkEnd w:id="964"/>
      <w:bookmarkEnd w:id="965"/>
      <w:r>
        <w:rPr>
          <w:rFonts w:hint="eastAsia" w:ascii="宋体" w:hAnsi="宋体" w:eastAsia="宋体"/>
          <w:b/>
          <w:i w:val="0"/>
          <w:iCs w:val="0"/>
          <w:color w:val="auto"/>
          <w:szCs w:val="21"/>
          <w:highlight w:val="none"/>
        </w:rPr>
        <w:t>合同价格、计量与支付</w:t>
      </w:r>
      <w:bookmarkEnd w:id="966"/>
    </w:p>
    <w:bookmarkEnd w:id="967"/>
    <w:bookmarkEnd w:id="968"/>
    <w:bookmarkEnd w:id="969"/>
    <w:bookmarkEnd w:id="970"/>
    <w:bookmarkEnd w:id="971"/>
    <w:bookmarkEnd w:id="972"/>
    <w:p w14:paraId="1BC2F00F">
      <w:pPr>
        <w:snapToGrid w:val="0"/>
        <w:spacing w:line="360" w:lineRule="auto"/>
        <w:ind w:firstLine="480" w:firstLineChars="200"/>
        <w:rPr>
          <w:rFonts w:ascii="宋体" w:hAnsi="宋体" w:cs="宋体"/>
          <w:i w:val="0"/>
          <w:iCs w:val="0"/>
          <w:color w:val="auto"/>
          <w:szCs w:val="21"/>
          <w:highlight w:val="none"/>
        </w:rPr>
      </w:pPr>
      <w:bookmarkStart w:id="973" w:name="_Toc292559411"/>
      <w:bookmarkStart w:id="974" w:name="_Toc267251461"/>
      <w:bookmarkStart w:id="975" w:name="_Toc292559916"/>
      <w:bookmarkStart w:id="976" w:name="_Toc296503206"/>
      <w:bookmarkStart w:id="977" w:name="_Toc296891034"/>
      <w:bookmarkStart w:id="978" w:name="_Toc296346707"/>
      <w:bookmarkStart w:id="979" w:name="_Toc297048392"/>
      <w:bookmarkStart w:id="980" w:name="_Toc296347205"/>
      <w:bookmarkStart w:id="981" w:name="_Toc296944545"/>
      <w:bookmarkStart w:id="982" w:name="_Toc296891246"/>
      <w:bookmarkStart w:id="983" w:name="_Toc297120506"/>
      <w:bookmarkStart w:id="984" w:name="_Toc300935003"/>
      <w:bookmarkStart w:id="985" w:name="_Toc297216212"/>
      <w:bookmarkStart w:id="986" w:name="_Toc312678041"/>
      <w:bookmarkStart w:id="987" w:name="_Toc303539160"/>
      <w:bookmarkStart w:id="988" w:name="_Toc304295580"/>
      <w:bookmarkStart w:id="989" w:name="_Toc297123553"/>
      <w:r>
        <w:rPr>
          <w:rFonts w:hint="eastAsia" w:ascii="宋体" w:hAnsi="宋体" w:cs="宋体"/>
          <w:i w:val="0"/>
          <w:iCs w:val="0"/>
          <w:color w:val="auto"/>
          <w:szCs w:val="21"/>
          <w:highlight w:val="none"/>
        </w:rPr>
        <w:t>12.1 合</w:t>
      </w:r>
      <w:bookmarkEnd w:id="973"/>
      <w:bookmarkEnd w:id="974"/>
      <w:bookmarkEnd w:id="975"/>
      <w:r>
        <w:rPr>
          <w:rFonts w:hint="eastAsia" w:ascii="宋体" w:hAnsi="宋体" w:cs="宋体"/>
          <w:i w:val="0"/>
          <w:iCs w:val="0"/>
          <w:color w:val="auto"/>
          <w:szCs w:val="21"/>
          <w:highlight w:val="none"/>
        </w:rPr>
        <w:t>同价</w:t>
      </w:r>
      <w:bookmarkEnd w:id="976"/>
      <w:bookmarkEnd w:id="977"/>
      <w:bookmarkEnd w:id="978"/>
      <w:bookmarkEnd w:id="979"/>
      <w:bookmarkEnd w:id="980"/>
      <w:bookmarkEnd w:id="981"/>
      <w:bookmarkEnd w:id="982"/>
      <w:bookmarkEnd w:id="983"/>
      <w:r>
        <w:rPr>
          <w:rFonts w:hint="eastAsia" w:ascii="宋体" w:hAnsi="宋体" w:cs="宋体"/>
          <w:i w:val="0"/>
          <w:iCs w:val="0"/>
          <w:color w:val="auto"/>
          <w:szCs w:val="21"/>
          <w:highlight w:val="none"/>
        </w:rPr>
        <w:t>格形式</w:t>
      </w:r>
    </w:p>
    <w:bookmarkEnd w:id="984"/>
    <w:bookmarkEnd w:id="985"/>
    <w:bookmarkEnd w:id="986"/>
    <w:bookmarkEnd w:id="987"/>
    <w:bookmarkEnd w:id="988"/>
    <w:bookmarkEnd w:id="989"/>
    <w:p w14:paraId="0C76C09C">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1、单价合同。</w:t>
      </w:r>
    </w:p>
    <w:p w14:paraId="70CB70FB">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综合单价包含的风险范围：</w:t>
      </w:r>
      <w:r>
        <w:rPr>
          <w:rFonts w:hint="eastAsia" w:ascii="宋体" w:hAnsi="宋体" w:cs="宋体"/>
          <w:i w:val="0"/>
          <w:iCs w:val="0"/>
          <w:color w:val="auto"/>
          <w:szCs w:val="21"/>
          <w:highlight w:val="none"/>
          <w:u w:val="single"/>
        </w:rPr>
        <w:t xml:space="preserve">                               </w:t>
      </w:r>
    </w:p>
    <w:p w14:paraId="35258551">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0E75DF0">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风险费用的计算方法：</w:t>
      </w:r>
      <w:r>
        <w:rPr>
          <w:rFonts w:hint="eastAsia" w:ascii="宋体" w:hAnsi="宋体" w:cs="宋体"/>
          <w:i w:val="0"/>
          <w:iCs w:val="0"/>
          <w:color w:val="auto"/>
          <w:szCs w:val="21"/>
          <w:highlight w:val="none"/>
          <w:u w:val="single"/>
        </w:rPr>
        <w:t xml:space="preserve">                                  </w:t>
      </w:r>
    </w:p>
    <w:p w14:paraId="4506895D">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447B80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风险范围以外合同价格的调整方法：</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493F0E57">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4DD17D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2、总价合同。</w:t>
      </w:r>
    </w:p>
    <w:p w14:paraId="140EBF9B">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总价包含的风险范围：</w:t>
      </w:r>
      <w:r>
        <w:rPr>
          <w:rFonts w:hint="eastAsia" w:ascii="宋体" w:hAnsi="宋体" w:cs="宋体"/>
          <w:i w:val="0"/>
          <w:iCs w:val="0"/>
          <w:color w:val="auto"/>
          <w:szCs w:val="21"/>
          <w:highlight w:val="none"/>
          <w:u w:val="single"/>
        </w:rPr>
        <w:t xml:space="preserve">                                   </w:t>
      </w:r>
    </w:p>
    <w:p w14:paraId="1E6D5234">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8228B28">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风险费用的计算方法：</w:t>
      </w:r>
      <w:r>
        <w:rPr>
          <w:rFonts w:hint="eastAsia" w:ascii="宋体" w:hAnsi="宋体" w:cs="宋体"/>
          <w:i w:val="0"/>
          <w:iCs w:val="0"/>
          <w:color w:val="auto"/>
          <w:szCs w:val="21"/>
          <w:highlight w:val="none"/>
          <w:u w:val="single"/>
        </w:rPr>
        <w:t xml:space="preserve">                                   </w:t>
      </w:r>
    </w:p>
    <w:p w14:paraId="44274B51">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D680F4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风险范围以外合同价格的调整方法：</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15BBE046">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71F107D">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3、其他价格方式：</w:t>
      </w:r>
      <w:r>
        <w:rPr>
          <w:rFonts w:hint="eastAsia" w:ascii="宋体" w:hAnsi="宋体" w:cs="宋体"/>
          <w:i w:val="0"/>
          <w:iCs w:val="0"/>
          <w:color w:val="auto"/>
          <w:szCs w:val="21"/>
          <w:highlight w:val="none"/>
          <w:u w:val="single"/>
        </w:rPr>
        <w:t xml:space="preserve">                                     </w:t>
      </w:r>
    </w:p>
    <w:p w14:paraId="65BBDF15">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03CB6FD">
      <w:pPr>
        <w:snapToGrid w:val="0"/>
        <w:spacing w:line="360" w:lineRule="auto"/>
        <w:ind w:firstLine="480" w:firstLineChars="200"/>
        <w:rPr>
          <w:rFonts w:ascii="宋体" w:hAnsi="宋体" w:cs="宋体"/>
          <w:i w:val="0"/>
          <w:iCs w:val="0"/>
          <w:color w:val="auto"/>
          <w:szCs w:val="21"/>
          <w:highlight w:val="none"/>
        </w:rPr>
      </w:pPr>
      <w:bookmarkStart w:id="990" w:name="_Toc300935004"/>
      <w:bookmarkStart w:id="991" w:name="_Toc304295581"/>
      <w:bookmarkStart w:id="992" w:name="_Toc297216213"/>
      <w:bookmarkStart w:id="993" w:name="_Toc312678042"/>
      <w:bookmarkStart w:id="994" w:name="_Toc297123554"/>
      <w:bookmarkStart w:id="995" w:name="_Toc303539161"/>
      <w:bookmarkStart w:id="996" w:name="_Toc297120507"/>
      <w:bookmarkStart w:id="997" w:name="_Toc292559412"/>
      <w:bookmarkStart w:id="998" w:name="_Toc296891247"/>
      <w:bookmarkStart w:id="999" w:name="_Toc296347206"/>
      <w:bookmarkStart w:id="1000" w:name="_Toc296944546"/>
      <w:bookmarkStart w:id="1001" w:name="_Toc292559917"/>
      <w:bookmarkStart w:id="1002" w:name="_Toc296346708"/>
      <w:bookmarkStart w:id="1003" w:name="_Toc296503207"/>
      <w:bookmarkStart w:id="1004" w:name="_Toc296891035"/>
      <w:bookmarkStart w:id="1005" w:name="_Toc297048393"/>
      <w:r>
        <w:rPr>
          <w:rFonts w:hint="eastAsia" w:ascii="宋体" w:hAnsi="宋体" w:cs="宋体"/>
          <w:i w:val="0"/>
          <w:iCs w:val="0"/>
          <w:color w:val="auto"/>
          <w:szCs w:val="21"/>
          <w:highlight w:val="none"/>
        </w:rPr>
        <w:t>12.2 预付款</w:t>
      </w:r>
    </w:p>
    <w:bookmarkEnd w:id="990"/>
    <w:bookmarkEnd w:id="991"/>
    <w:bookmarkEnd w:id="992"/>
    <w:bookmarkEnd w:id="993"/>
    <w:bookmarkEnd w:id="994"/>
    <w:bookmarkEnd w:id="995"/>
    <w:p w14:paraId="6EEDF833">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12.2.1 预付款的支付</w:t>
      </w:r>
    </w:p>
    <w:p w14:paraId="4F6FCBD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预付款支付比例或金额：</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7658E5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预付款支付期限：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72A584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预付款扣回的方式：</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E053FB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12.2.2 预付款担保</w:t>
      </w:r>
    </w:p>
    <w:p w14:paraId="220ED00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承包人提交预付款担保的期限：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D7965A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预付款担保的形式为：</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996"/>
    <w:bookmarkEnd w:id="997"/>
    <w:bookmarkEnd w:id="998"/>
    <w:bookmarkEnd w:id="999"/>
    <w:bookmarkEnd w:id="1000"/>
    <w:bookmarkEnd w:id="1001"/>
    <w:bookmarkEnd w:id="1002"/>
    <w:bookmarkEnd w:id="1003"/>
    <w:bookmarkEnd w:id="1004"/>
    <w:bookmarkEnd w:id="1005"/>
    <w:p w14:paraId="2352CDC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12.3 计量</w:t>
      </w:r>
    </w:p>
    <w:p w14:paraId="0BA1F9E5">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12.3.1 计量原则</w:t>
      </w:r>
    </w:p>
    <w:p w14:paraId="31DAE2B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工程量计算规则：</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40C85C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12.3.2 计量周期</w:t>
      </w:r>
    </w:p>
    <w:p w14:paraId="4287A1D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关于计量周期的约定：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1B2741E">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12.3.3 单价合同的计量</w:t>
      </w:r>
    </w:p>
    <w:p w14:paraId="72358AD9">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关于单价合同计量的约定：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66D030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12.3.4 总价合同的计量</w:t>
      </w:r>
    </w:p>
    <w:p w14:paraId="33AA15F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关于总价合同计量的约定：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E5FEDF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12.3.5总价合同采用支付分解表计量支付的，是否适用第</w:t>
      </w:r>
      <w:r>
        <w:rPr>
          <w:rFonts w:hint="eastAsia" w:ascii="宋体" w:hAnsi="宋体" w:cs="宋体"/>
          <w:i w:val="0"/>
          <w:iCs w:val="0"/>
          <w:color w:val="auto"/>
          <w:kern w:val="0"/>
          <w:szCs w:val="21"/>
          <w:highlight w:val="none"/>
        </w:rPr>
        <w:t xml:space="preserve">12.3.4 </w:t>
      </w:r>
      <w:r>
        <w:rPr>
          <w:rFonts w:hint="eastAsia" w:ascii="宋体" w:hAnsi="宋体" w:cs="宋体"/>
          <w:i w:val="0"/>
          <w:iCs w:val="0"/>
          <w:color w:val="auto"/>
          <w:szCs w:val="21"/>
          <w:highlight w:val="none"/>
        </w:rPr>
        <w:t>项</w:t>
      </w:r>
      <w:r>
        <w:rPr>
          <w:rFonts w:hint="eastAsia" w:ascii="宋体" w:hAnsi="宋体" w:cs="宋体"/>
          <w:i w:val="0"/>
          <w:iCs w:val="0"/>
          <w:color w:val="auto"/>
          <w:kern w:val="0"/>
          <w:szCs w:val="21"/>
          <w:highlight w:val="none"/>
        </w:rPr>
        <w:t>〔总价合同的计量〕</w:t>
      </w:r>
      <w:r>
        <w:rPr>
          <w:rFonts w:hint="eastAsia" w:ascii="宋体" w:hAnsi="宋体" w:cs="宋体"/>
          <w:i w:val="0"/>
          <w:iCs w:val="0"/>
          <w:color w:val="auto"/>
          <w:szCs w:val="21"/>
          <w:highlight w:val="none"/>
        </w:rPr>
        <w:t>约定进行计量：</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F8219F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12.3.6 其他价格形式合同的计量</w:t>
      </w:r>
    </w:p>
    <w:p w14:paraId="48526392">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其他价格形式的计量方式和程序：</w:t>
      </w:r>
      <w:r>
        <w:rPr>
          <w:rFonts w:hint="eastAsia" w:ascii="宋体" w:hAnsi="宋体" w:cs="宋体"/>
          <w:i w:val="0"/>
          <w:iCs w:val="0"/>
          <w:color w:val="auto"/>
          <w:szCs w:val="21"/>
          <w:highlight w:val="none"/>
          <w:u w:val="single"/>
        </w:rPr>
        <w:t xml:space="preserve">                         </w:t>
      </w:r>
    </w:p>
    <w:p w14:paraId="1826AE7E">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6B5F608">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12.4 工程进度款支付</w:t>
      </w:r>
    </w:p>
    <w:p w14:paraId="012EA391">
      <w:pPr>
        <w:snapToGrid w:val="0"/>
        <w:spacing w:line="360" w:lineRule="auto"/>
        <w:ind w:firstLine="480" w:firstLineChars="200"/>
        <w:jc w:val="left"/>
        <w:rPr>
          <w:rFonts w:ascii="宋体" w:hAnsi="宋体" w:cs="宋体"/>
          <w:i w:val="0"/>
          <w:iCs w:val="0"/>
          <w:color w:val="auto"/>
          <w:szCs w:val="21"/>
          <w:highlight w:val="none"/>
        </w:rPr>
      </w:pPr>
      <w:bookmarkStart w:id="1006" w:name="_Toc296346712"/>
      <w:bookmarkStart w:id="1007" w:name="_Toc297123556"/>
      <w:bookmarkStart w:id="1008" w:name="_Toc296503211"/>
      <w:bookmarkStart w:id="1009" w:name="_Toc296347210"/>
      <w:bookmarkStart w:id="1010" w:name="_Toc296891039"/>
      <w:bookmarkStart w:id="1011" w:name="_Toc296891251"/>
      <w:bookmarkStart w:id="1012" w:name="_Toc292559921"/>
      <w:bookmarkStart w:id="1013" w:name="_Toc297048397"/>
      <w:bookmarkStart w:id="1014" w:name="_Toc303539163"/>
      <w:bookmarkStart w:id="1015" w:name="_Toc297216215"/>
      <w:bookmarkStart w:id="1016" w:name="_Toc297120511"/>
      <w:bookmarkStart w:id="1017" w:name="_Toc296944550"/>
      <w:bookmarkStart w:id="1018" w:name="_Toc292559416"/>
      <w:bookmarkStart w:id="1019" w:name="_Toc300935006"/>
      <w:r>
        <w:rPr>
          <w:rFonts w:hint="eastAsia" w:ascii="宋体" w:hAnsi="宋体" w:cs="宋体"/>
          <w:i w:val="0"/>
          <w:iCs w:val="0"/>
          <w:color w:val="auto"/>
          <w:szCs w:val="21"/>
          <w:highlight w:val="none"/>
        </w:rPr>
        <w:t>12.4.1 付款周期</w:t>
      </w:r>
    </w:p>
    <w:p w14:paraId="2485F66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关于付款周期的约定：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697E70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12.4.2 进度付款申请单的编制</w:t>
      </w:r>
    </w:p>
    <w:p w14:paraId="5D690BBA">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关于进度付款申请单编制的约定：</w:t>
      </w:r>
      <w:r>
        <w:rPr>
          <w:rFonts w:hint="eastAsia" w:ascii="宋体" w:hAnsi="宋体" w:cs="宋体"/>
          <w:i w:val="0"/>
          <w:iCs w:val="0"/>
          <w:color w:val="auto"/>
          <w:szCs w:val="21"/>
          <w:highlight w:val="none"/>
          <w:u w:val="single"/>
        </w:rPr>
        <w:t xml:space="preserve">                       </w:t>
      </w:r>
    </w:p>
    <w:p w14:paraId="4C593DC3">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A4573C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w:t>
      </w:r>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r>
        <w:rPr>
          <w:rFonts w:hint="eastAsia" w:ascii="宋体" w:hAnsi="宋体" w:cs="宋体"/>
          <w:i w:val="0"/>
          <w:iCs w:val="0"/>
          <w:color w:val="auto"/>
          <w:szCs w:val="21"/>
          <w:highlight w:val="none"/>
        </w:rPr>
        <w:t>2.4.3 进度付款申请单的提交</w:t>
      </w:r>
    </w:p>
    <w:p w14:paraId="257B998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（1）单价合同进度付款申请单提交的约定：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0836D8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（2）总价合同进度付款申请单提交的约定：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FA8E0FD">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（3）其他价格形式合同进度付款申请单提交的约定：</w:t>
      </w:r>
      <w:r>
        <w:rPr>
          <w:rFonts w:hint="eastAsia" w:ascii="宋体" w:hAnsi="宋体" w:cs="宋体"/>
          <w:i w:val="0"/>
          <w:iCs w:val="0"/>
          <w:color w:val="auto"/>
          <w:szCs w:val="21"/>
          <w:highlight w:val="none"/>
          <w:u w:val="single"/>
        </w:rPr>
        <w:t xml:space="preserve">       </w:t>
      </w:r>
    </w:p>
    <w:p w14:paraId="668FAA4F">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6BAE7F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12.4.4 进度款审核和支付</w:t>
      </w:r>
    </w:p>
    <w:p w14:paraId="52F9B2C8">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（1）监理人审查并报送发包人的期限：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97C7A2C">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发包人完成审批并签发进度款支付证书的期限：</w:t>
      </w:r>
      <w:r>
        <w:rPr>
          <w:rFonts w:hint="eastAsia" w:ascii="宋体" w:hAnsi="宋体" w:cs="宋体"/>
          <w:i w:val="0"/>
          <w:iCs w:val="0"/>
          <w:color w:val="auto"/>
          <w:szCs w:val="21"/>
          <w:highlight w:val="none"/>
          <w:u w:val="single"/>
        </w:rPr>
        <w:t xml:space="preserve">           </w:t>
      </w:r>
    </w:p>
    <w:p w14:paraId="3E27D142">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867DE5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（2）发包人支付进度款的期限：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6C4529C">
      <w:pPr>
        <w:snapToGrid w:val="0"/>
        <w:spacing w:line="360" w:lineRule="auto"/>
        <w:ind w:firstLine="600" w:firstLineChars="25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发包人逾期支付进度款的违约金的计算方式：</w:t>
      </w:r>
      <w:r>
        <w:rPr>
          <w:rFonts w:hint="eastAsia" w:ascii="宋体" w:hAnsi="宋体" w:cs="宋体"/>
          <w:i w:val="0"/>
          <w:iCs w:val="0"/>
          <w:color w:val="auto"/>
          <w:szCs w:val="21"/>
          <w:highlight w:val="none"/>
          <w:u w:val="single"/>
        </w:rPr>
        <w:t xml:space="preserve">            </w:t>
      </w:r>
    </w:p>
    <w:p w14:paraId="69C1773B">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15BAE5B">
      <w:pPr>
        <w:snapToGrid w:val="0"/>
        <w:spacing w:line="360" w:lineRule="auto"/>
        <w:ind w:firstLine="600" w:firstLineChars="25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12.4.6 支付分解表的编制</w:t>
      </w:r>
    </w:p>
    <w:p w14:paraId="2DDE1BCB">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2、总价合同支付分解表的编制与审批：</w:t>
      </w:r>
      <w:r>
        <w:rPr>
          <w:rFonts w:hint="eastAsia" w:ascii="宋体" w:hAnsi="宋体" w:cs="宋体"/>
          <w:i w:val="0"/>
          <w:iCs w:val="0"/>
          <w:color w:val="auto"/>
          <w:szCs w:val="21"/>
          <w:highlight w:val="none"/>
          <w:u w:val="single"/>
        </w:rPr>
        <w:t xml:space="preserve">                  </w:t>
      </w:r>
    </w:p>
    <w:p w14:paraId="14F10967">
      <w:pPr>
        <w:snapToGrid w:val="0"/>
        <w:spacing w:line="360" w:lineRule="auto"/>
        <w:ind w:left="4200" w:hanging="4800" w:hangingChars="20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B372442">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3、单价合同的总价项目支付分解表的编制与审批：</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212255B7">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847"/>
    <w:p w14:paraId="31C266F8">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020" w:name="_Toc351203645"/>
      <w:bookmarkStart w:id="1021" w:name="_Toc303539172"/>
      <w:bookmarkStart w:id="1022" w:name="_Toc312678053"/>
      <w:bookmarkStart w:id="1023" w:name="_Toc296503219"/>
      <w:bookmarkStart w:id="1024" w:name="_Toc300935015"/>
      <w:bookmarkStart w:id="1025" w:name="_Toc297120519"/>
      <w:bookmarkStart w:id="1026" w:name="_Toc296944558"/>
      <w:bookmarkStart w:id="1027" w:name="_Toc296346720"/>
      <w:bookmarkStart w:id="1028" w:name="_Toc296347218"/>
      <w:bookmarkStart w:id="1029" w:name="_Toc297123564"/>
      <w:bookmarkStart w:id="1030" w:name="_Toc297216223"/>
      <w:bookmarkStart w:id="1031" w:name="_Toc296891047"/>
      <w:bookmarkStart w:id="1032" w:name="_Toc297048405"/>
      <w:bookmarkStart w:id="1033" w:name="_Toc292559929"/>
      <w:bookmarkStart w:id="1034" w:name="_Toc296891259"/>
      <w:bookmarkStart w:id="1035" w:name="_Toc292559424"/>
      <w:bookmarkStart w:id="1036" w:name="_Toc304295593"/>
      <w:r>
        <w:rPr>
          <w:rFonts w:hint="eastAsia" w:ascii="宋体" w:hAnsi="宋体" w:eastAsia="宋体"/>
          <w:b/>
          <w:i w:val="0"/>
          <w:iCs w:val="0"/>
          <w:color w:val="auto"/>
          <w:szCs w:val="21"/>
          <w:highlight w:val="none"/>
        </w:rPr>
        <w:t>13. 验收和工程试车</w:t>
      </w:r>
      <w:bookmarkEnd w:id="1020"/>
    </w:p>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p w14:paraId="23DF6C0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13.1 分部分项工程验收</w:t>
      </w:r>
    </w:p>
    <w:p w14:paraId="67C80103">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13.1.2监理人不能按时进行验收时，应提前</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小时提交书面延期要求。</w:t>
      </w:r>
    </w:p>
    <w:p w14:paraId="7834726D">
      <w:pPr>
        <w:snapToGrid w:val="0"/>
        <w:spacing w:line="360" w:lineRule="auto"/>
        <w:ind w:firstLine="480" w:firstLineChars="200"/>
        <w:jc w:val="left"/>
        <w:rPr>
          <w:rFonts w:ascii="宋体" w:hAnsi="宋体" w:cs="宋体"/>
          <w:b/>
          <w:i w:val="0"/>
          <w:iCs w:val="0"/>
          <w:color w:val="auto"/>
          <w:szCs w:val="21"/>
          <w:highlight w:val="none"/>
        </w:rPr>
      </w:pPr>
      <w:r>
        <w:rPr>
          <w:rFonts w:hint="eastAsia" w:ascii="宋体" w:hAnsi="宋体" w:cs="宋体"/>
          <w:i w:val="0"/>
          <w:iCs w:val="0"/>
          <w:color w:val="auto"/>
          <w:szCs w:val="21"/>
          <w:highlight w:val="none"/>
        </w:rPr>
        <w:t>关于延期最长不得超过：</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小时。</w:t>
      </w:r>
    </w:p>
    <w:p w14:paraId="2921B1B7">
      <w:pPr>
        <w:snapToGrid w:val="0"/>
        <w:spacing w:line="360" w:lineRule="auto"/>
        <w:ind w:firstLine="480" w:firstLineChars="200"/>
        <w:rPr>
          <w:rFonts w:ascii="宋体" w:hAnsi="宋体" w:cs="宋体"/>
          <w:i w:val="0"/>
          <w:iCs w:val="0"/>
          <w:color w:val="auto"/>
          <w:szCs w:val="21"/>
          <w:highlight w:val="none"/>
        </w:rPr>
      </w:pPr>
      <w:bookmarkStart w:id="1037" w:name="_Toc297120523"/>
      <w:bookmarkStart w:id="1038" w:name="_Toc312678056"/>
      <w:bookmarkStart w:id="1039" w:name="_Toc297048409"/>
      <w:bookmarkStart w:id="1040" w:name="_Toc296347222"/>
      <w:bookmarkStart w:id="1041" w:name="_Toc296891051"/>
      <w:bookmarkStart w:id="1042" w:name="_Toc297216224"/>
      <w:bookmarkStart w:id="1043" w:name="_Toc292559428"/>
      <w:bookmarkStart w:id="1044" w:name="_Toc296891263"/>
      <w:bookmarkStart w:id="1045" w:name="_Toc292559933"/>
      <w:bookmarkStart w:id="1046" w:name="_Toc296944562"/>
      <w:bookmarkStart w:id="1047" w:name="_Toc296346724"/>
      <w:bookmarkStart w:id="1048" w:name="_Toc303539173"/>
      <w:bookmarkStart w:id="1049" w:name="_Toc304295596"/>
      <w:bookmarkStart w:id="1050" w:name="_Toc296503223"/>
      <w:bookmarkStart w:id="1051" w:name="_Toc300935016"/>
      <w:bookmarkStart w:id="1052" w:name="_Toc297123565"/>
      <w:bookmarkStart w:id="1053" w:name="_Toc267251472"/>
      <w:bookmarkStart w:id="1054" w:name="_Toc267251476"/>
      <w:bookmarkStart w:id="1055" w:name="_Toc267251474"/>
      <w:bookmarkStart w:id="1056" w:name="_Toc267251475"/>
      <w:bookmarkStart w:id="1057" w:name="_Toc267251470"/>
      <w:bookmarkStart w:id="1058" w:name="_Toc267251471"/>
      <w:bookmarkStart w:id="1059" w:name="_Toc267251473"/>
      <w:r>
        <w:rPr>
          <w:rFonts w:hint="eastAsia" w:ascii="宋体" w:hAnsi="宋体" w:cs="宋体"/>
          <w:i w:val="0"/>
          <w:iCs w:val="0"/>
          <w:color w:val="auto"/>
          <w:szCs w:val="21"/>
          <w:highlight w:val="none"/>
        </w:rPr>
        <w:t>13.2 竣工验收</w:t>
      </w:r>
    </w:p>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p w14:paraId="5A8B9FF2">
      <w:pPr>
        <w:snapToGrid w:val="0"/>
        <w:spacing w:line="360" w:lineRule="auto"/>
        <w:ind w:firstLine="480" w:firstLineChars="200"/>
        <w:jc w:val="left"/>
        <w:rPr>
          <w:rFonts w:ascii="宋体" w:hAnsi="宋体" w:cs="宋体"/>
          <w:i w:val="0"/>
          <w:iCs w:val="0"/>
          <w:color w:val="auto"/>
          <w:szCs w:val="21"/>
          <w:highlight w:val="none"/>
        </w:rPr>
      </w:pPr>
      <w:bookmarkStart w:id="1060" w:name="_Toc280868704"/>
      <w:bookmarkStart w:id="1061" w:name="_Toc280868705"/>
      <w:bookmarkStart w:id="1062" w:name="_Toc280868706"/>
      <w:bookmarkStart w:id="1063" w:name="_Toc280868707"/>
      <w:bookmarkStart w:id="1064" w:name="_Toc280868708"/>
      <w:bookmarkStart w:id="1065" w:name="_Toc280868709"/>
      <w:r>
        <w:rPr>
          <w:rFonts w:hint="eastAsia" w:ascii="宋体" w:hAnsi="宋体" w:cs="宋体"/>
          <w:i w:val="0"/>
          <w:iCs w:val="0"/>
          <w:color w:val="auto"/>
          <w:szCs w:val="21"/>
          <w:highlight w:val="none"/>
        </w:rPr>
        <w:t>13.2.2竣工验收程序</w:t>
      </w:r>
    </w:p>
    <w:bookmarkEnd w:id="1060"/>
    <w:p w14:paraId="0F8DD929">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kern w:val="0"/>
          <w:szCs w:val="21"/>
          <w:highlight w:val="none"/>
        </w:rPr>
        <w:t>关于竣工验收程序的约定：</w:t>
      </w:r>
      <w:r>
        <w:rPr>
          <w:rFonts w:hint="eastAsia" w:ascii="宋体" w:hAnsi="宋体" w:cs="宋体"/>
          <w:i w:val="0"/>
          <w:iCs w:val="0"/>
          <w:color w:val="auto"/>
          <w:szCs w:val="21"/>
          <w:highlight w:val="none"/>
          <w:u w:val="single"/>
        </w:rPr>
        <w:t xml:space="preserve">                              </w:t>
      </w:r>
    </w:p>
    <w:p w14:paraId="0E272957">
      <w:pPr>
        <w:snapToGrid w:val="0"/>
        <w:spacing w:line="360" w:lineRule="auto"/>
        <w:ind w:left="4200" w:hanging="4800" w:hangingChars="20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0151F9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发包人不按照本项约定组织竣工验收、颁发工程接收证书的违约金的计算方法：</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1061"/>
    <w:p w14:paraId="63708EF0">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13.2.5移交、接收全部与部分工程</w:t>
      </w:r>
    </w:p>
    <w:bookmarkEnd w:id="1062"/>
    <w:p w14:paraId="0790B352">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承包人向发包人移交工程的期限：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D6EDFAD">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kern w:val="0"/>
          <w:szCs w:val="21"/>
          <w:highlight w:val="none"/>
        </w:rPr>
        <w:t>发包人未按本合同约定接收全部或部分工程的，违约金的计算方法为：</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1063"/>
    <w:p w14:paraId="71247AA6">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承包人未按时移交工程的，违约金的计算方法为：</w:t>
      </w:r>
      <w:r>
        <w:rPr>
          <w:rFonts w:hint="eastAsia" w:ascii="宋体" w:hAnsi="宋体" w:cs="宋体"/>
          <w:i w:val="0"/>
          <w:iCs w:val="0"/>
          <w:color w:val="auto"/>
          <w:szCs w:val="21"/>
          <w:highlight w:val="none"/>
          <w:u w:val="single"/>
        </w:rPr>
        <w:t xml:space="preserve">          </w:t>
      </w:r>
    </w:p>
    <w:p w14:paraId="3E7F6695">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716402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13.3 工程试车</w:t>
      </w:r>
    </w:p>
    <w:bookmarkEnd w:id="1064"/>
    <w:p w14:paraId="7DC2B955">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13.3.1 试车程序</w:t>
      </w:r>
    </w:p>
    <w:p w14:paraId="4BA94431">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工程试车内容：</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35FACA3A">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（1）单机无负荷试车费用由</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承担；</w:t>
      </w:r>
    </w:p>
    <w:p w14:paraId="7D228A97">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（2）无负荷联动试车费用由</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承担。</w:t>
      </w:r>
    </w:p>
    <w:p w14:paraId="49AE890A">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13.3.3 投料试车</w:t>
      </w:r>
    </w:p>
    <w:p w14:paraId="237BD63D">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kern w:val="0"/>
          <w:szCs w:val="21"/>
          <w:highlight w:val="none"/>
        </w:rPr>
        <w:t>关于投料试车相关事项的约定：</w:t>
      </w:r>
      <w:r>
        <w:rPr>
          <w:rFonts w:hint="eastAsia" w:ascii="宋体" w:hAnsi="宋体" w:cs="宋体"/>
          <w:i w:val="0"/>
          <w:iCs w:val="0"/>
          <w:color w:val="auto"/>
          <w:szCs w:val="21"/>
          <w:highlight w:val="none"/>
          <w:u w:val="single"/>
        </w:rPr>
        <w:t xml:space="preserve">                           </w:t>
      </w:r>
    </w:p>
    <w:p w14:paraId="135DAAD4">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6011BD74">
      <w:pPr>
        <w:snapToGrid w:val="0"/>
        <w:spacing w:line="360" w:lineRule="auto"/>
        <w:ind w:firstLine="480" w:firstLineChars="200"/>
        <w:outlineLvl w:val="0"/>
        <w:rPr>
          <w:rFonts w:ascii="宋体" w:hAnsi="宋体" w:cs="宋体"/>
          <w:i w:val="0"/>
          <w:iCs w:val="0"/>
          <w:color w:val="auto"/>
          <w:szCs w:val="21"/>
          <w:highlight w:val="none"/>
        </w:rPr>
      </w:pPr>
      <w:bookmarkStart w:id="1066" w:name="_Toc6372"/>
      <w:r>
        <w:rPr>
          <w:rFonts w:hint="eastAsia" w:ascii="宋体" w:hAnsi="宋体" w:cs="宋体"/>
          <w:i w:val="0"/>
          <w:iCs w:val="0"/>
          <w:color w:val="auto"/>
          <w:szCs w:val="21"/>
          <w:highlight w:val="none"/>
        </w:rPr>
        <w:t>13.6 竣工退场</w:t>
      </w:r>
      <w:bookmarkEnd w:id="1066"/>
    </w:p>
    <w:p w14:paraId="340A645D">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13.6.1 竣工退场</w:t>
      </w:r>
    </w:p>
    <w:p w14:paraId="4ABFF4D3">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承包人完成竣工退场的期限：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kern w:val="0"/>
          <w:szCs w:val="21"/>
          <w:highlight w:val="none"/>
        </w:rPr>
        <w:t>。</w:t>
      </w:r>
    </w:p>
    <w:p w14:paraId="4422AF48">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067" w:name="_Toc351203646"/>
      <w:r>
        <w:rPr>
          <w:rFonts w:hint="eastAsia" w:ascii="宋体" w:hAnsi="宋体" w:eastAsia="宋体"/>
          <w:b/>
          <w:i w:val="0"/>
          <w:iCs w:val="0"/>
          <w:color w:val="auto"/>
          <w:szCs w:val="21"/>
          <w:highlight w:val="none"/>
        </w:rPr>
        <w:t>14. 竣工结算</w:t>
      </w:r>
      <w:bookmarkEnd w:id="1067"/>
    </w:p>
    <w:p w14:paraId="48CFCD9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14.1 竣工结算申请</w:t>
      </w:r>
    </w:p>
    <w:p w14:paraId="138E1411">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承包人提交竣工结算申请单的期限：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D24B5C5">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竣工结算申请单应包括的内容：</w:t>
      </w:r>
      <w:r>
        <w:rPr>
          <w:rFonts w:hint="eastAsia" w:ascii="宋体" w:hAnsi="宋体" w:cs="宋体"/>
          <w:i w:val="0"/>
          <w:iCs w:val="0"/>
          <w:color w:val="auto"/>
          <w:szCs w:val="21"/>
          <w:highlight w:val="none"/>
          <w:u w:val="single"/>
        </w:rPr>
        <w:t xml:space="preserve">                        </w:t>
      </w:r>
    </w:p>
    <w:p w14:paraId="303A4E56">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7E69F0E3">
      <w:pPr>
        <w:snapToGrid w:val="0"/>
        <w:spacing w:line="360" w:lineRule="auto"/>
        <w:ind w:firstLine="480" w:firstLineChars="200"/>
        <w:outlineLvl w:val="0"/>
        <w:rPr>
          <w:rFonts w:ascii="宋体" w:hAnsi="宋体" w:cs="宋体"/>
          <w:i w:val="0"/>
          <w:iCs w:val="0"/>
          <w:color w:val="auto"/>
          <w:szCs w:val="21"/>
          <w:highlight w:val="none"/>
        </w:rPr>
      </w:pPr>
      <w:bookmarkStart w:id="1068" w:name="_Toc17899"/>
      <w:r>
        <w:rPr>
          <w:rFonts w:hint="eastAsia" w:ascii="宋体" w:hAnsi="宋体" w:cs="宋体"/>
          <w:i w:val="0"/>
          <w:iCs w:val="0"/>
          <w:color w:val="auto"/>
          <w:szCs w:val="21"/>
          <w:highlight w:val="none"/>
        </w:rPr>
        <w:t>14.2 竣工结算审核</w:t>
      </w:r>
      <w:bookmarkEnd w:id="1068"/>
    </w:p>
    <w:p w14:paraId="2B909E1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发包人审批竣工付款申请单的期限：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39AE7E7">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发包人完成竣工付款的期限：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47192C93">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关于竣工付款证书异议部分复核的方式和程序：</w:t>
      </w:r>
      <w:r>
        <w:rPr>
          <w:rFonts w:hint="eastAsia" w:ascii="宋体" w:hAnsi="宋体" w:cs="宋体"/>
          <w:i w:val="0"/>
          <w:iCs w:val="0"/>
          <w:color w:val="auto"/>
          <w:szCs w:val="21"/>
          <w:highlight w:val="none"/>
          <w:u w:val="single"/>
        </w:rPr>
        <w:t xml:space="preserve">          </w:t>
      </w:r>
    </w:p>
    <w:p w14:paraId="1E5FB580">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CCBBADA">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14.4 最终结清</w:t>
      </w:r>
    </w:p>
    <w:p w14:paraId="775D7C28">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14.4.1 最终结清申请单</w:t>
      </w:r>
    </w:p>
    <w:p w14:paraId="6CA7EFE4">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承包人提交最终结清申请单的份数：</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8AB517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承包人提交最终结算申请单的期限：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0135148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14.4.2 最终结清证书和支付</w:t>
      </w:r>
    </w:p>
    <w:p w14:paraId="77FA90F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（1）发包人完成最终结清申请单的审批并颁发最终结清证书的期限：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B1C495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（2）发包人完成支付的期限：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1053"/>
    <w:bookmarkEnd w:id="1054"/>
    <w:bookmarkEnd w:id="1055"/>
    <w:bookmarkEnd w:id="1056"/>
    <w:bookmarkEnd w:id="1057"/>
    <w:bookmarkEnd w:id="1058"/>
    <w:bookmarkEnd w:id="1059"/>
    <w:bookmarkEnd w:id="1065"/>
    <w:p w14:paraId="093A7D6F">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069" w:name="_Toc351203647"/>
      <w:bookmarkStart w:id="1070" w:name="_Toc267251483"/>
      <w:bookmarkStart w:id="1071" w:name="_Toc267251484"/>
      <w:bookmarkStart w:id="1072" w:name="_Toc267251482"/>
      <w:bookmarkStart w:id="1073" w:name="_Toc267251485"/>
      <w:bookmarkStart w:id="1074" w:name="_Toc267251488"/>
      <w:bookmarkStart w:id="1075" w:name="_Toc267251490"/>
      <w:bookmarkStart w:id="1076" w:name="_Toc267251489"/>
      <w:bookmarkStart w:id="1077" w:name="_Toc267251486"/>
      <w:bookmarkStart w:id="1078" w:name="_Toc267251499"/>
      <w:bookmarkStart w:id="1079" w:name="_Toc267251495"/>
      <w:bookmarkStart w:id="1080" w:name="_Toc267251492"/>
      <w:bookmarkStart w:id="1081" w:name="_Toc267251496"/>
      <w:bookmarkStart w:id="1082" w:name="_Toc267251498"/>
      <w:bookmarkStart w:id="1083" w:name="_Toc267251501"/>
      <w:bookmarkStart w:id="1084" w:name="_Toc267251502"/>
      <w:bookmarkStart w:id="1085" w:name="_Toc267251497"/>
      <w:bookmarkStart w:id="1086" w:name="_Toc267251503"/>
      <w:bookmarkStart w:id="1087" w:name="_Toc267251491"/>
      <w:bookmarkStart w:id="1088" w:name="_Toc267251493"/>
      <w:bookmarkStart w:id="1089" w:name="_Toc267251494"/>
      <w:bookmarkStart w:id="1090" w:name="_Toc267251506"/>
      <w:bookmarkStart w:id="1091" w:name="_Toc267251504"/>
      <w:bookmarkStart w:id="1092" w:name="_Toc267251507"/>
      <w:bookmarkStart w:id="1093" w:name="_Toc267251508"/>
      <w:bookmarkStart w:id="1094" w:name="_Toc267251515"/>
      <w:bookmarkStart w:id="1095" w:name="_Toc267251511"/>
      <w:bookmarkStart w:id="1096" w:name="_Toc267251514"/>
      <w:bookmarkStart w:id="1097" w:name="_Toc267251510"/>
      <w:bookmarkStart w:id="1098" w:name="_Toc267251509"/>
      <w:bookmarkStart w:id="1099" w:name="_Toc267251513"/>
      <w:r>
        <w:rPr>
          <w:rFonts w:hint="eastAsia" w:ascii="宋体" w:hAnsi="宋体" w:eastAsia="宋体"/>
          <w:b/>
          <w:i w:val="0"/>
          <w:iCs w:val="0"/>
          <w:color w:val="auto"/>
          <w:szCs w:val="21"/>
          <w:highlight w:val="none"/>
        </w:rPr>
        <w:t>15. 缺陷责任期与保修</w:t>
      </w:r>
      <w:bookmarkEnd w:id="1069"/>
    </w:p>
    <w:p w14:paraId="2759CA6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15.2缺陷责任期</w:t>
      </w:r>
      <w:bookmarkEnd w:id="1070"/>
    </w:p>
    <w:p w14:paraId="2C42CC2B">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缺陷责任期的具体期限：</w:t>
      </w:r>
      <w:r>
        <w:rPr>
          <w:rFonts w:hint="eastAsia" w:ascii="宋体" w:hAnsi="宋体" w:cs="宋体"/>
          <w:i w:val="0"/>
          <w:iCs w:val="0"/>
          <w:color w:val="auto"/>
          <w:szCs w:val="21"/>
          <w:highlight w:val="none"/>
          <w:u w:val="single"/>
        </w:rPr>
        <w:t xml:space="preserve">                                </w:t>
      </w:r>
    </w:p>
    <w:p w14:paraId="5960AAFF">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D537EAD">
      <w:pPr>
        <w:snapToGrid w:val="0"/>
        <w:spacing w:line="360" w:lineRule="auto"/>
        <w:ind w:firstLine="480" w:firstLineChars="200"/>
        <w:outlineLvl w:val="0"/>
        <w:rPr>
          <w:rFonts w:ascii="宋体" w:hAnsi="宋体" w:cs="宋体"/>
          <w:i w:val="0"/>
          <w:iCs w:val="0"/>
          <w:color w:val="auto"/>
          <w:szCs w:val="21"/>
          <w:highlight w:val="none"/>
        </w:rPr>
      </w:pPr>
      <w:bookmarkStart w:id="1100" w:name="_Toc723"/>
      <w:r>
        <w:rPr>
          <w:rFonts w:hint="eastAsia" w:ascii="宋体" w:hAnsi="宋体" w:cs="宋体"/>
          <w:i w:val="0"/>
          <w:iCs w:val="0"/>
          <w:color w:val="auto"/>
          <w:szCs w:val="21"/>
          <w:highlight w:val="none"/>
        </w:rPr>
        <w:t>15.3 质量保证金</w:t>
      </w:r>
      <w:bookmarkEnd w:id="1100"/>
    </w:p>
    <w:p w14:paraId="37B0F46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关于是否扣留质量保证金的约定：</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。在工程项目竣工前，承包人按专用合同条款第3.7条提供履约担保的，发包人不得同时预留工程质量保证金。</w:t>
      </w:r>
    </w:p>
    <w:p w14:paraId="622A1151">
      <w:pPr>
        <w:snapToGrid w:val="0"/>
        <w:spacing w:line="360" w:lineRule="auto"/>
        <w:ind w:firstLine="480" w:firstLineChars="200"/>
        <w:jc w:val="left"/>
        <w:outlineLvl w:val="0"/>
        <w:rPr>
          <w:rFonts w:ascii="宋体" w:hAnsi="宋体" w:cs="宋体"/>
          <w:i w:val="0"/>
          <w:iCs w:val="0"/>
          <w:color w:val="auto"/>
          <w:szCs w:val="21"/>
          <w:highlight w:val="none"/>
        </w:rPr>
      </w:pPr>
      <w:bookmarkStart w:id="1101" w:name="_Toc3344"/>
      <w:r>
        <w:rPr>
          <w:rFonts w:hint="eastAsia" w:ascii="宋体" w:hAnsi="宋体" w:cs="宋体"/>
          <w:i w:val="0"/>
          <w:iCs w:val="0"/>
          <w:color w:val="auto"/>
          <w:szCs w:val="21"/>
          <w:highlight w:val="none"/>
        </w:rPr>
        <w:t>15.3.1 承包人提供质量保证金的方式</w:t>
      </w:r>
      <w:bookmarkEnd w:id="1101"/>
    </w:p>
    <w:p w14:paraId="3B9814C9">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质量保证金采用以下第</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种方式：</w:t>
      </w:r>
    </w:p>
    <w:p w14:paraId="4907FF4E">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（1）质量保证金保函，保证金额为：</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 xml:space="preserve">； </w:t>
      </w:r>
    </w:p>
    <w:p w14:paraId="2778D8B0">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（2）</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%的工程款；</w:t>
      </w:r>
    </w:p>
    <w:p w14:paraId="612F1949">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（3）其他方式:</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5B1068E5">
      <w:pPr>
        <w:snapToGrid w:val="0"/>
        <w:spacing w:line="360" w:lineRule="auto"/>
        <w:ind w:firstLine="480" w:firstLineChars="200"/>
        <w:jc w:val="left"/>
        <w:outlineLvl w:val="0"/>
        <w:rPr>
          <w:rFonts w:ascii="宋体" w:hAnsi="宋体" w:cs="宋体"/>
          <w:i w:val="0"/>
          <w:iCs w:val="0"/>
          <w:color w:val="auto"/>
          <w:szCs w:val="21"/>
          <w:highlight w:val="none"/>
        </w:rPr>
      </w:pPr>
      <w:bookmarkStart w:id="1102" w:name="_Toc17579"/>
      <w:r>
        <w:rPr>
          <w:rFonts w:hint="eastAsia" w:ascii="宋体" w:hAnsi="宋体" w:cs="宋体"/>
          <w:i w:val="0"/>
          <w:iCs w:val="0"/>
          <w:color w:val="auto"/>
          <w:szCs w:val="21"/>
          <w:highlight w:val="none"/>
        </w:rPr>
        <w:t>15.3.2 质量保证金的扣留</w:t>
      </w:r>
      <w:bookmarkEnd w:id="1102"/>
      <w:r>
        <w:rPr>
          <w:rFonts w:hint="eastAsia" w:ascii="宋体" w:hAnsi="宋体" w:cs="宋体"/>
          <w:i w:val="0"/>
          <w:iCs w:val="0"/>
          <w:color w:val="auto"/>
          <w:szCs w:val="21"/>
          <w:highlight w:val="none"/>
        </w:rPr>
        <w:t xml:space="preserve"> </w:t>
      </w:r>
    </w:p>
    <w:p w14:paraId="66F83BEA">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质量保证金的扣留采取以下第</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种方式：</w:t>
      </w:r>
    </w:p>
    <w:p w14:paraId="735C837C">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（1）在支付工程进度款时逐次扣留，在此情形下，质量保证金的计算基数不包括预付款的支付、扣回以及价格调整的金额；</w:t>
      </w:r>
    </w:p>
    <w:p w14:paraId="60E271F8">
      <w:pPr>
        <w:autoSpaceDE w:val="0"/>
        <w:autoSpaceDN w:val="0"/>
        <w:snapToGrid w:val="0"/>
        <w:spacing w:line="360" w:lineRule="auto"/>
        <w:ind w:firstLine="480" w:firstLineChars="200"/>
        <w:jc w:val="left"/>
        <w:outlineLvl w:val="0"/>
        <w:rPr>
          <w:rFonts w:ascii="宋体" w:hAnsi="宋体" w:cs="宋体"/>
          <w:i w:val="0"/>
          <w:iCs w:val="0"/>
          <w:color w:val="auto"/>
          <w:kern w:val="0"/>
          <w:szCs w:val="21"/>
          <w:highlight w:val="none"/>
        </w:rPr>
      </w:pPr>
      <w:bookmarkStart w:id="1103" w:name="_Toc3925"/>
      <w:r>
        <w:rPr>
          <w:rFonts w:hint="eastAsia" w:ascii="宋体" w:hAnsi="宋体" w:cs="宋体"/>
          <w:i w:val="0"/>
          <w:iCs w:val="0"/>
          <w:color w:val="auto"/>
          <w:kern w:val="0"/>
          <w:szCs w:val="21"/>
          <w:highlight w:val="none"/>
        </w:rPr>
        <w:t>（2）工程竣工结算时一次性扣留质量保证金；</w:t>
      </w:r>
      <w:bookmarkEnd w:id="1103"/>
    </w:p>
    <w:p w14:paraId="125C4020">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（3）其他扣留方式:</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51DA6116">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关于质量保证金的补充约定：</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bookmarkEnd w:id="1071"/>
    <w:bookmarkEnd w:id="1072"/>
    <w:p w14:paraId="28C16D43">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15.4保修</w:t>
      </w:r>
    </w:p>
    <w:bookmarkEnd w:id="1073"/>
    <w:p w14:paraId="64C15439">
      <w:pPr>
        <w:snapToGrid w:val="0"/>
        <w:spacing w:line="360" w:lineRule="auto"/>
        <w:ind w:firstLine="468" w:firstLineChars="195"/>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15.4.1 保修责任</w:t>
      </w:r>
    </w:p>
    <w:p w14:paraId="75D14E15">
      <w:pPr>
        <w:snapToGrid w:val="0"/>
        <w:spacing w:line="360" w:lineRule="auto"/>
        <w:ind w:firstLine="468" w:firstLineChars="195"/>
        <w:jc w:val="left"/>
        <w:rPr>
          <w:rFonts w:ascii="宋体" w:hAnsi="宋体" w:cs="宋体"/>
          <w:i w:val="0"/>
          <w:iCs w:val="0"/>
          <w:color w:val="auto"/>
          <w:kern w:val="0"/>
          <w:szCs w:val="21"/>
          <w:highlight w:val="none"/>
          <w:u w:val="single"/>
        </w:rPr>
      </w:pPr>
      <w:r>
        <w:rPr>
          <w:rFonts w:hint="eastAsia" w:ascii="宋体" w:hAnsi="宋体" w:cs="宋体"/>
          <w:i w:val="0"/>
          <w:iCs w:val="0"/>
          <w:color w:val="auto"/>
          <w:szCs w:val="21"/>
          <w:highlight w:val="none"/>
        </w:rPr>
        <w:t>工程保修期为：</w:t>
      </w:r>
      <w:r>
        <w:rPr>
          <w:rFonts w:hint="eastAsia" w:ascii="宋体" w:hAnsi="宋体" w:cs="宋体"/>
          <w:i w:val="0"/>
          <w:iCs w:val="0"/>
          <w:color w:val="auto"/>
          <w:kern w:val="0"/>
          <w:szCs w:val="21"/>
          <w:highlight w:val="none"/>
          <w:u w:val="single"/>
        </w:rPr>
        <w:t xml:space="preserve">                                        </w:t>
      </w:r>
    </w:p>
    <w:p w14:paraId="3999B7F8">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75C7051">
      <w:pPr>
        <w:snapToGrid w:val="0"/>
        <w:spacing w:line="360" w:lineRule="auto"/>
        <w:ind w:firstLine="468" w:firstLineChars="195"/>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15.4.3 修复通知</w:t>
      </w:r>
    </w:p>
    <w:p w14:paraId="2B3EC8A1">
      <w:pPr>
        <w:snapToGrid w:val="0"/>
        <w:spacing w:line="360" w:lineRule="auto"/>
        <w:ind w:firstLine="468" w:firstLineChars="195"/>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承包人收到保修通知并到达工程现场的合理时间：</w:t>
      </w:r>
      <w:r>
        <w:rPr>
          <w:rFonts w:hint="eastAsia" w:ascii="宋体" w:hAnsi="宋体" w:cs="宋体"/>
          <w:i w:val="0"/>
          <w:iCs w:val="0"/>
          <w:color w:val="auto"/>
          <w:kern w:val="0"/>
          <w:szCs w:val="21"/>
          <w:highlight w:val="none"/>
          <w:u w:val="single"/>
        </w:rPr>
        <w:t xml:space="preserve">          </w:t>
      </w:r>
    </w:p>
    <w:p w14:paraId="7B694E6D">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bookmarkEnd w:id="1074"/>
    <w:bookmarkEnd w:id="1075"/>
    <w:bookmarkEnd w:id="1076"/>
    <w:bookmarkEnd w:id="1077"/>
    <w:p w14:paraId="489CB4FD">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104" w:name="_Toc351203648"/>
      <w:bookmarkStart w:id="1105" w:name="_Toc280868717"/>
      <w:bookmarkStart w:id="1106" w:name="_Toc280868718"/>
      <w:r>
        <w:rPr>
          <w:rFonts w:hint="eastAsia" w:ascii="宋体" w:hAnsi="宋体" w:eastAsia="宋体"/>
          <w:b/>
          <w:i w:val="0"/>
          <w:iCs w:val="0"/>
          <w:color w:val="auto"/>
          <w:szCs w:val="21"/>
          <w:highlight w:val="none"/>
        </w:rPr>
        <w:t>16. 违约</w:t>
      </w:r>
      <w:bookmarkEnd w:id="1104"/>
    </w:p>
    <w:p w14:paraId="3DACB172">
      <w:pPr>
        <w:snapToGrid w:val="0"/>
        <w:spacing w:line="360" w:lineRule="auto"/>
        <w:ind w:firstLine="480" w:firstLineChars="200"/>
        <w:outlineLvl w:val="0"/>
        <w:rPr>
          <w:rFonts w:ascii="宋体" w:hAnsi="宋体" w:cs="宋体"/>
          <w:i w:val="0"/>
          <w:iCs w:val="0"/>
          <w:color w:val="auto"/>
          <w:szCs w:val="21"/>
          <w:highlight w:val="none"/>
        </w:rPr>
      </w:pPr>
      <w:bookmarkStart w:id="1107" w:name="_Toc15772"/>
      <w:r>
        <w:rPr>
          <w:rFonts w:hint="eastAsia" w:ascii="宋体" w:hAnsi="宋体" w:cs="宋体"/>
          <w:i w:val="0"/>
          <w:iCs w:val="0"/>
          <w:color w:val="auto"/>
          <w:szCs w:val="21"/>
          <w:highlight w:val="none"/>
        </w:rPr>
        <w:t>16.1 发包人违约</w:t>
      </w:r>
      <w:bookmarkEnd w:id="1107"/>
    </w:p>
    <w:p w14:paraId="4D50A88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16.1.1发包人违约的情形</w:t>
      </w:r>
    </w:p>
    <w:p w14:paraId="3A21ABD9">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发包人违约的其他情形：</w:t>
      </w:r>
      <w:r>
        <w:rPr>
          <w:rFonts w:hint="eastAsia" w:ascii="宋体" w:hAnsi="宋体" w:cs="宋体"/>
          <w:i w:val="0"/>
          <w:iCs w:val="0"/>
          <w:color w:val="auto"/>
          <w:kern w:val="0"/>
          <w:szCs w:val="21"/>
          <w:highlight w:val="none"/>
          <w:u w:val="single"/>
        </w:rPr>
        <w:t xml:space="preserve">                                </w:t>
      </w:r>
    </w:p>
    <w:p w14:paraId="66CCBD1A">
      <w:pPr>
        <w:snapToGrid w:val="0"/>
        <w:spacing w:line="360" w:lineRule="auto"/>
        <w:ind w:left="1050" w:hanging="1200" w:hangingChars="5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2CEA46D0">
      <w:pPr>
        <w:snapToGrid w:val="0"/>
        <w:spacing w:line="360" w:lineRule="auto"/>
        <w:ind w:left="1050" w:hanging="1200" w:hangingChars="5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 xml:space="preserve">    16.1.2 发包人违约的责任</w:t>
      </w:r>
    </w:p>
    <w:p w14:paraId="34CA0367">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发包人违约责任的承担方式和计算方法：</w:t>
      </w:r>
    </w:p>
    <w:p w14:paraId="24656F9D">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（1）因发包人原因未能在计划开工日期前7天内下达开工通知的违约责任：</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BF80215">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（2）因发包人原因未能按合同约定支付合同价款的违约责任：</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9369F07">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（3）发包人违反第10.1款〔变更的范围〕第（2）项约定，自行实施被取消的工作或转由他人实施的违约责任：</w:t>
      </w:r>
      <w:r>
        <w:rPr>
          <w:rFonts w:hint="eastAsia" w:ascii="宋体" w:hAnsi="宋体" w:cs="宋体"/>
          <w:i w:val="0"/>
          <w:iCs w:val="0"/>
          <w:color w:val="auto"/>
          <w:kern w:val="0"/>
          <w:szCs w:val="21"/>
          <w:highlight w:val="none"/>
          <w:u w:val="single"/>
        </w:rPr>
        <w:t xml:space="preserve">              </w:t>
      </w:r>
    </w:p>
    <w:p w14:paraId="40BC0D57">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2C154AE">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（4）发包人提供的材料、工程设备的规格、数量或质量不符合合同约定，或因发包人原因导致交货日期延误或交货地点变更等情况的违约责任：</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096FAF7F">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（5）因发包人违反合同约定造成暂停施工的违约责任：</w:t>
      </w:r>
      <w:r>
        <w:rPr>
          <w:rFonts w:hint="eastAsia" w:ascii="宋体" w:hAnsi="宋体" w:cs="宋体"/>
          <w:i w:val="0"/>
          <w:iCs w:val="0"/>
          <w:color w:val="auto"/>
          <w:kern w:val="0"/>
          <w:szCs w:val="21"/>
          <w:highlight w:val="none"/>
          <w:u w:val="single"/>
        </w:rPr>
        <w:t xml:space="preserve">     </w:t>
      </w:r>
    </w:p>
    <w:p w14:paraId="1396F875">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7C708318">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（6）发包人无正当理由没有在约定期限内发出复工指示，导致承包人无法复工的违约责任：</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67FE2883">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（7）其他：</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07ED9EB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16.1.3 因发包人违约解除合同</w:t>
      </w:r>
    </w:p>
    <w:p w14:paraId="002AE9CF">
      <w:pPr>
        <w:autoSpaceDE w:val="0"/>
        <w:autoSpaceDN w:val="0"/>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承包人按16.1.1项〔发包人违约的情形〕约定暂停施工满</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天后发包人仍不纠正其违约行为并致使合同目的不能实现的，承包人有权解除合同。</w:t>
      </w:r>
    </w:p>
    <w:p w14:paraId="084C6910">
      <w:pPr>
        <w:snapToGrid w:val="0"/>
        <w:spacing w:line="360" w:lineRule="auto"/>
        <w:ind w:firstLine="480" w:firstLineChars="200"/>
        <w:outlineLvl w:val="0"/>
        <w:rPr>
          <w:rFonts w:ascii="宋体" w:hAnsi="宋体" w:cs="宋体"/>
          <w:i w:val="0"/>
          <w:iCs w:val="0"/>
          <w:color w:val="auto"/>
          <w:szCs w:val="21"/>
          <w:highlight w:val="none"/>
        </w:rPr>
      </w:pPr>
      <w:bookmarkStart w:id="1108" w:name="_Toc8166"/>
      <w:r>
        <w:rPr>
          <w:rFonts w:hint="eastAsia" w:ascii="宋体" w:hAnsi="宋体" w:cs="宋体"/>
          <w:i w:val="0"/>
          <w:iCs w:val="0"/>
          <w:color w:val="auto"/>
          <w:szCs w:val="21"/>
          <w:highlight w:val="none"/>
        </w:rPr>
        <w:t>16.2 承包人违约</w:t>
      </w:r>
      <w:bookmarkEnd w:id="1108"/>
    </w:p>
    <w:p w14:paraId="51D33147">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16.2.1 承包人违约的情形</w:t>
      </w:r>
    </w:p>
    <w:p w14:paraId="18409217">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承包人违约的其他情形：</w:t>
      </w:r>
      <w:r>
        <w:rPr>
          <w:rFonts w:hint="eastAsia" w:ascii="宋体" w:hAnsi="宋体" w:cs="宋体"/>
          <w:i w:val="0"/>
          <w:iCs w:val="0"/>
          <w:color w:val="auto"/>
          <w:kern w:val="0"/>
          <w:szCs w:val="21"/>
          <w:highlight w:val="none"/>
          <w:u w:val="single"/>
        </w:rPr>
        <w:t xml:space="preserve">                                </w:t>
      </w:r>
    </w:p>
    <w:p w14:paraId="431632CF">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2855E5CD">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16.2.2承包人违约的责任</w:t>
      </w:r>
    </w:p>
    <w:p w14:paraId="151D706D">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承包人违约责任的承担方式和计算方法：</w:t>
      </w:r>
      <w:r>
        <w:rPr>
          <w:rFonts w:hint="eastAsia" w:ascii="宋体" w:hAnsi="宋体" w:cs="宋体"/>
          <w:i w:val="0"/>
          <w:iCs w:val="0"/>
          <w:color w:val="auto"/>
          <w:kern w:val="0"/>
          <w:szCs w:val="21"/>
          <w:highlight w:val="none"/>
          <w:u w:val="single"/>
        </w:rPr>
        <w:t xml:space="preserve">                  </w:t>
      </w:r>
    </w:p>
    <w:p w14:paraId="59A6AEE3">
      <w:pPr>
        <w:snapToGrid w:val="0"/>
        <w:spacing w:line="360" w:lineRule="auto"/>
        <w:ind w:left="1050" w:hanging="1200" w:hangingChars="500"/>
        <w:jc w:val="left"/>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r>
        <w:rPr>
          <w:rFonts w:hint="eastAsia" w:ascii="宋体" w:hAnsi="宋体" w:cs="宋体"/>
          <w:i w:val="0"/>
          <w:iCs w:val="0"/>
          <w:color w:val="auto"/>
          <w:szCs w:val="21"/>
          <w:highlight w:val="none"/>
        </w:rPr>
        <w:t xml:space="preserve">    </w:t>
      </w:r>
    </w:p>
    <w:p w14:paraId="32D0353B">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16.2.3 因承包人违约解除合同</w:t>
      </w:r>
    </w:p>
    <w:p w14:paraId="17A69F4B">
      <w:pPr>
        <w:snapToGrid w:val="0"/>
        <w:spacing w:line="360" w:lineRule="auto"/>
        <w:ind w:firstLine="480" w:firstLineChars="200"/>
        <w:rPr>
          <w:rFonts w:ascii="宋体" w:hAnsi="宋体" w:cs="宋体"/>
          <w:i w:val="0"/>
          <w:iCs w:val="0"/>
          <w:color w:val="auto"/>
          <w:kern w:val="0"/>
          <w:szCs w:val="21"/>
          <w:highlight w:val="none"/>
          <w:u w:val="single"/>
        </w:rPr>
      </w:pPr>
      <w:r>
        <w:rPr>
          <w:rFonts w:hint="eastAsia" w:ascii="宋体" w:hAnsi="宋体" w:cs="宋体"/>
          <w:i w:val="0"/>
          <w:iCs w:val="0"/>
          <w:color w:val="auto"/>
          <w:kern w:val="0"/>
          <w:szCs w:val="21"/>
          <w:highlight w:val="none"/>
        </w:rPr>
        <w:t>关于承包人违约解除合同的特别约定：</w:t>
      </w:r>
      <w:r>
        <w:rPr>
          <w:rFonts w:hint="eastAsia" w:ascii="宋体" w:hAnsi="宋体" w:cs="宋体"/>
          <w:i w:val="0"/>
          <w:iCs w:val="0"/>
          <w:color w:val="auto"/>
          <w:kern w:val="0"/>
          <w:szCs w:val="21"/>
          <w:highlight w:val="none"/>
          <w:u w:val="single"/>
        </w:rPr>
        <w:t xml:space="preserve">                    </w:t>
      </w:r>
    </w:p>
    <w:p w14:paraId="5428D23C">
      <w:pPr>
        <w:snapToGrid w:val="0"/>
        <w:spacing w:line="360" w:lineRule="auto"/>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016183CE">
      <w:pPr>
        <w:snapToGrid w:val="0"/>
        <w:spacing w:line="360" w:lineRule="auto"/>
        <w:ind w:firstLine="480" w:firstLineChars="200"/>
        <w:rPr>
          <w:rFonts w:ascii="宋体" w:hAnsi="宋体" w:cs="宋体"/>
          <w:i w:val="0"/>
          <w:iCs w:val="0"/>
          <w:color w:val="auto"/>
          <w:kern w:val="0"/>
          <w:szCs w:val="21"/>
          <w:highlight w:val="none"/>
        </w:rPr>
      </w:pPr>
      <w:r>
        <w:rPr>
          <w:rFonts w:hint="eastAsia" w:ascii="宋体" w:hAnsi="宋体" w:cs="宋体"/>
          <w:i w:val="0"/>
          <w:iCs w:val="0"/>
          <w:color w:val="auto"/>
          <w:kern w:val="0"/>
          <w:szCs w:val="21"/>
          <w:highlight w:val="none"/>
        </w:rPr>
        <w:t>发包人继续使用承包人在施工现场的材料、设备、临时工程、承包人文件和由承包人或以其名义编制的其他文件的费用承担方式：</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0500B5F3">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109" w:name="_Toc351203649"/>
      <w:r>
        <w:rPr>
          <w:rFonts w:hint="eastAsia" w:ascii="宋体" w:hAnsi="宋体" w:eastAsia="宋体"/>
          <w:b/>
          <w:i w:val="0"/>
          <w:iCs w:val="0"/>
          <w:color w:val="auto"/>
          <w:szCs w:val="21"/>
          <w:highlight w:val="none"/>
        </w:rPr>
        <w:t>17. 不可抗力</w:t>
      </w:r>
      <w:bookmarkEnd w:id="1109"/>
      <w:r>
        <w:rPr>
          <w:rFonts w:hint="eastAsia" w:ascii="宋体" w:hAnsi="宋体" w:eastAsia="宋体"/>
          <w:b/>
          <w:i w:val="0"/>
          <w:iCs w:val="0"/>
          <w:color w:val="auto"/>
          <w:szCs w:val="21"/>
          <w:highlight w:val="none"/>
        </w:rPr>
        <w:t xml:space="preserve"> </w:t>
      </w:r>
      <w:bookmarkEnd w:id="1105"/>
    </w:p>
    <w:p w14:paraId="2993CD49">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17.1 不可抗力的确认</w:t>
      </w:r>
    </w:p>
    <w:p w14:paraId="191C20ED">
      <w:pPr>
        <w:snapToGrid w:val="0"/>
        <w:spacing w:line="360" w:lineRule="auto"/>
        <w:ind w:firstLine="480" w:firstLineChars="200"/>
        <w:jc w:val="left"/>
        <w:rPr>
          <w:rFonts w:ascii="宋体" w:hAnsi="宋体" w:cs="宋体"/>
          <w:i w:val="0"/>
          <w:iCs w:val="0"/>
          <w:color w:val="auto"/>
          <w:kern w:val="0"/>
          <w:szCs w:val="21"/>
          <w:highlight w:val="none"/>
          <w:u w:val="single"/>
        </w:rPr>
      </w:pPr>
      <w:r>
        <w:rPr>
          <w:rFonts w:hint="eastAsia" w:ascii="宋体" w:hAnsi="宋体" w:cs="宋体"/>
          <w:i w:val="0"/>
          <w:iCs w:val="0"/>
          <w:color w:val="auto"/>
          <w:szCs w:val="21"/>
          <w:highlight w:val="none"/>
        </w:rPr>
        <w:t xml:space="preserve">除通用合同条款约定的不可抗力事件之外，视为不可抗力的其他情形： </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77C71C29">
      <w:pPr>
        <w:snapToGrid w:val="0"/>
        <w:spacing w:line="360" w:lineRule="auto"/>
        <w:ind w:firstLine="480" w:firstLineChars="200"/>
        <w:outlineLvl w:val="0"/>
        <w:rPr>
          <w:rFonts w:ascii="宋体" w:hAnsi="宋体" w:cs="宋体"/>
          <w:i w:val="0"/>
          <w:iCs w:val="0"/>
          <w:color w:val="auto"/>
          <w:szCs w:val="21"/>
          <w:highlight w:val="none"/>
        </w:rPr>
      </w:pPr>
      <w:bookmarkStart w:id="1110" w:name="_Toc10710"/>
      <w:r>
        <w:rPr>
          <w:rFonts w:hint="eastAsia" w:ascii="宋体" w:hAnsi="宋体" w:cs="宋体"/>
          <w:i w:val="0"/>
          <w:iCs w:val="0"/>
          <w:color w:val="auto"/>
          <w:szCs w:val="21"/>
          <w:highlight w:val="none"/>
        </w:rPr>
        <w:t>17.4 因不可抗力解除合同</w:t>
      </w:r>
      <w:bookmarkEnd w:id="1110"/>
    </w:p>
    <w:p w14:paraId="7D7D878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合同解除后，发包人应在商定或确定发包人应支付款项后</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天内完成款项的支付。</w:t>
      </w:r>
    </w:p>
    <w:p w14:paraId="27AAD5EF">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111" w:name="_Toc351203650"/>
      <w:r>
        <w:rPr>
          <w:rFonts w:hint="eastAsia" w:ascii="宋体" w:hAnsi="宋体" w:eastAsia="宋体"/>
          <w:b/>
          <w:i w:val="0"/>
          <w:iCs w:val="0"/>
          <w:color w:val="auto"/>
          <w:szCs w:val="21"/>
          <w:highlight w:val="none"/>
        </w:rPr>
        <w:t>18. 保险</w:t>
      </w:r>
      <w:bookmarkEnd w:id="1111"/>
    </w:p>
    <w:bookmarkEnd w:id="1106"/>
    <w:p w14:paraId="71435C5B">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18.1 工程保险</w:t>
      </w:r>
    </w:p>
    <w:p w14:paraId="336B7A74">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关于工程保险的特别约定：</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26D57F13">
      <w:pPr>
        <w:snapToGrid w:val="0"/>
        <w:spacing w:line="360" w:lineRule="auto"/>
        <w:ind w:firstLine="480" w:firstLineChars="200"/>
        <w:outlineLvl w:val="0"/>
        <w:rPr>
          <w:rFonts w:ascii="宋体" w:hAnsi="宋体" w:cs="宋体"/>
          <w:i w:val="0"/>
          <w:iCs w:val="0"/>
          <w:color w:val="auto"/>
          <w:szCs w:val="21"/>
          <w:highlight w:val="none"/>
        </w:rPr>
      </w:pPr>
      <w:bookmarkStart w:id="1112" w:name="_Toc20745"/>
      <w:r>
        <w:rPr>
          <w:rFonts w:hint="eastAsia" w:ascii="宋体" w:hAnsi="宋体" w:cs="宋体"/>
          <w:i w:val="0"/>
          <w:iCs w:val="0"/>
          <w:color w:val="auto"/>
          <w:szCs w:val="21"/>
          <w:highlight w:val="none"/>
        </w:rPr>
        <w:t>18.3 其他保险</w:t>
      </w:r>
      <w:bookmarkEnd w:id="1112"/>
    </w:p>
    <w:p w14:paraId="04243987">
      <w:pPr>
        <w:snapToGrid w:val="0"/>
        <w:spacing w:line="360" w:lineRule="auto"/>
        <w:ind w:firstLine="480" w:firstLineChars="200"/>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rPr>
        <w:t>关于其他保险的约定：</w:t>
      </w:r>
      <w:r>
        <w:rPr>
          <w:rFonts w:hint="eastAsia" w:ascii="宋体" w:hAnsi="宋体" w:cs="宋体"/>
          <w:i w:val="0"/>
          <w:iCs w:val="0"/>
          <w:color w:val="auto"/>
          <w:kern w:val="0"/>
          <w:szCs w:val="21"/>
          <w:highlight w:val="none"/>
          <w:u w:val="single"/>
        </w:rPr>
        <w:t xml:space="preserve">                                  </w:t>
      </w:r>
      <w:r>
        <w:rPr>
          <w:rFonts w:hint="eastAsia" w:ascii="宋体" w:hAnsi="宋体" w:cs="宋体"/>
          <w:i w:val="0"/>
          <w:iCs w:val="0"/>
          <w:color w:val="auto"/>
          <w:kern w:val="0"/>
          <w:szCs w:val="21"/>
          <w:highlight w:val="none"/>
        </w:rPr>
        <w:t>。</w:t>
      </w:r>
    </w:p>
    <w:p w14:paraId="48539230">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承包人是否应为其施工设备等办理财产保险：</w:t>
      </w:r>
      <w:r>
        <w:rPr>
          <w:rFonts w:hint="eastAsia" w:ascii="宋体" w:hAnsi="宋体" w:cs="宋体"/>
          <w:i w:val="0"/>
          <w:iCs w:val="0"/>
          <w:color w:val="auto"/>
          <w:szCs w:val="21"/>
          <w:highlight w:val="none"/>
          <w:u w:val="single"/>
        </w:rPr>
        <w:t xml:space="preserve">              </w:t>
      </w:r>
    </w:p>
    <w:p w14:paraId="3D5BC856">
      <w:pPr>
        <w:snapToGrid w:val="0"/>
        <w:spacing w:line="360" w:lineRule="auto"/>
        <w:jc w:val="left"/>
        <w:rPr>
          <w:rFonts w:ascii="宋体" w:hAnsi="宋体" w:cs="宋体"/>
          <w:i w:val="0"/>
          <w:iCs w:val="0"/>
          <w:color w:val="auto"/>
          <w:kern w:val="0"/>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DCE000C">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18.7 通知义务</w:t>
      </w:r>
    </w:p>
    <w:p w14:paraId="0CBF6B19">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kern w:val="0"/>
          <w:szCs w:val="21"/>
          <w:highlight w:val="none"/>
        </w:rPr>
        <w:t>关于变更保险合同时的通知义务的约定：</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bookmarkEnd w:id="1078"/>
    <w:bookmarkEnd w:id="1079"/>
    <w:bookmarkEnd w:id="1080"/>
    <w:bookmarkEnd w:id="1081"/>
    <w:bookmarkEnd w:id="1082"/>
    <w:bookmarkEnd w:id="1083"/>
    <w:bookmarkEnd w:id="1084"/>
    <w:bookmarkEnd w:id="1085"/>
    <w:bookmarkEnd w:id="1086"/>
    <w:bookmarkEnd w:id="1087"/>
    <w:bookmarkEnd w:id="1088"/>
    <w:bookmarkEnd w:id="1089"/>
    <w:p w14:paraId="4DEC9C41">
      <w:pPr>
        <w:keepNext/>
        <w:numPr>
          <w:ilvl w:val="3"/>
          <w:numId w:val="0"/>
        </w:numPr>
        <w:tabs>
          <w:tab w:val="left" w:pos="864"/>
        </w:tabs>
        <w:snapToGrid w:val="0"/>
        <w:spacing w:line="360" w:lineRule="auto"/>
        <w:ind w:left="426" w:hanging="420"/>
        <w:outlineLvl w:val="3"/>
        <w:rPr>
          <w:rFonts w:hint="eastAsia" w:ascii="宋体" w:hAnsi="宋体" w:eastAsia="宋体"/>
          <w:b/>
          <w:i w:val="0"/>
          <w:iCs w:val="0"/>
          <w:color w:val="auto"/>
          <w:szCs w:val="21"/>
          <w:highlight w:val="none"/>
        </w:rPr>
      </w:pPr>
      <w:bookmarkStart w:id="1113" w:name="_Toc351203651"/>
      <w:r>
        <w:rPr>
          <w:rFonts w:hint="eastAsia" w:ascii="宋体" w:hAnsi="宋体" w:eastAsia="宋体"/>
          <w:b/>
          <w:i w:val="0"/>
          <w:iCs w:val="0"/>
          <w:color w:val="auto"/>
          <w:szCs w:val="21"/>
          <w:highlight w:val="none"/>
        </w:rPr>
        <w:t>20. 争议解决</w:t>
      </w:r>
      <w:bookmarkEnd w:id="1113"/>
    </w:p>
    <w:bookmarkEnd w:id="1090"/>
    <w:bookmarkEnd w:id="1091"/>
    <w:p w14:paraId="39D18971">
      <w:pPr>
        <w:snapToGrid w:val="0"/>
        <w:spacing w:line="360" w:lineRule="auto"/>
        <w:ind w:firstLine="480" w:firstLineChars="200"/>
        <w:outlineLvl w:val="0"/>
        <w:rPr>
          <w:rFonts w:ascii="宋体" w:hAnsi="宋体" w:cs="宋体"/>
          <w:i w:val="0"/>
          <w:iCs w:val="0"/>
          <w:color w:val="auto"/>
          <w:szCs w:val="21"/>
          <w:highlight w:val="none"/>
        </w:rPr>
      </w:pPr>
      <w:bookmarkStart w:id="1114" w:name="_Toc17946"/>
      <w:r>
        <w:rPr>
          <w:rFonts w:hint="eastAsia" w:ascii="宋体" w:hAnsi="宋体" w:cs="宋体"/>
          <w:i w:val="0"/>
          <w:iCs w:val="0"/>
          <w:color w:val="auto"/>
          <w:szCs w:val="21"/>
          <w:highlight w:val="none"/>
        </w:rPr>
        <w:t>20.3 争</w:t>
      </w:r>
      <w:bookmarkEnd w:id="1092"/>
      <w:r>
        <w:rPr>
          <w:rFonts w:hint="eastAsia" w:ascii="宋体" w:hAnsi="宋体" w:cs="宋体"/>
          <w:i w:val="0"/>
          <w:iCs w:val="0"/>
          <w:color w:val="auto"/>
          <w:szCs w:val="21"/>
          <w:highlight w:val="none"/>
        </w:rPr>
        <w:t>议评审</w:t>
      </w:r>
      <w:bookmarkEnd w:id="1114"/>
    </w:p>
    <w:p w14:paraId="374E4B73">
      <w:pPr>
        <w:snapToGrid w:val="0"/>
        <w:spacing w:line="360" w:lineRule="auto"/>
        <w:ind w:left="170" w:leftChars="71" w:firstLine="360" w:firstLineChars="15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合同当事人是否同意将工程争议提交争议评审小组决定：</w:t>
      </w:r>
      <w:r>
        <w:rPr>
          <w:rFonts w:hint="eastAsia" w:ascii="宋体" w:hAnsi="宋体" w:cs="宋体"/>
          <w:i w:val="0"/>
          <w:iCs w:val="0"/>
          <w:color w:val="auto"/>
          <w:szCs w:val="21"/>
          <w:highlight w:val="none"/>
          <w:u w:val="single"/>
        </w:rPr>
        <w:t xml:space="preserve">    </w:t>
      </w:r>
    </w:p>
    <w:p w14:paraId="743A29B7">
      <w:pPr>
        <w:snapToGrid w:val="0"/>
        <w:spacing w:line="360" w:lineRule="auto"/>
        <w:jc w:val="left"/>
        <w:rPr>
          <w:rFonts w:ascii="宋体" w:hAnsi="宋体" w:cs="宋体"/>
          <w:i w:val="0"/>
          <w:iCs w:val="0"/>
          <w:color w:val="auto"/>
          <w:szCs w:val="21"/>
          <w:highlight w:val="none"/>
        </w:rPr>
      </w:pP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 xml:space="preserve">。  </w:t>
      </w:r>
    </w:p>
    <w:p w14:paraId="5422248A">
      <w:pPr>
        <w:snapToGrid w:val="0"/>
        <w:spacing w:line="360" w:lineRule="auto"/>
        <w:ind w:firstLine="480" w:firstLineChars="200"/>
        <w:jc w:val="left"/>
        <w:outlineLvl w:val="0"/>
        <w:rPr>
          <w:rFonts w:ascii="宋体" w:hAnsi="宋体" w:cs="宋体"/>
          <w:i w:val="0"/>
          <w:iCs w:val="0"/>
          <w:color w:val="auto"/>
          <w:szCs w:val="21"/>
          <w:highlight w:val="none"/>
        </w:rPr>
      </w:pPr>
      <w:bookmarkStart w:id="1115" w:name="_Toc14814"/>
      <w:r>
        <w:rPr>
          <w:rFonts w:hint="eastAsia" w:ascii="宋体" w:hAnsi="宋体" w:cs="宋体"/>
          <w:i w:val="0"/>
          <w:iCs w:val="0"/>
          <w:color w:val="auto"/>
          <w:szCs w:val="21"/>
          <w:highlight w:val="none"/>
        </w:rPr>
        <w:t>20.3.1 争议评审小组的确定</w:t>
      </w:r>
      <w:bookmarkEnd w:id="1115"/>
    </w:p>
    <w:p w14:paraId="18791145">
      <w:pPr>
        <w:snapToGrid w:val="0"/>
        <w:spacing w:line="360" w:lineRule="auto"/>
        <w:ind w:firstLine="480" w:firstLineChars="200"/>
        <w:jc w:val="left"/>
        <w:rPr>
          <w:rFonts w:ascii="宋体" w:hAnsi="宋体" w:cs="宋体"/>
          <w:i w:val="0"/>
          <w:iCs w:val="0"/>
          <w:color w:val="auto"/>
          <w:szCs w:val="21"/>
          <w:highlight w:val="none"/>
          <w:u w:val="single"/>
        </w:rPr>
      </w:pPr>
      <w:r>
        <w:rPr>
          <w:rFonts w:hint="eastAsia" w:ascii="宋体" w:hAnsi="宋体" w:cs="宋体"/>
          <w:i w:val="0"/>
          <w:iCs w:val="0"/>
          <w:color w:val="auto"/>
          <w:szCs w:val="21"/>
          <w:highlight w:val="none"/>
        </w:rPr>
        <w:t>争议评审小组成员的确定：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15084D49">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选定争议评审员的期限：</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46F4DB2">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争议评审小组成员的报酬承担方式：</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2A8A44A5">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其他事项的约定：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5AF3E96C">
      <w:pPr>
        <w:autoSpaceDE w:val="0"/>
        <w:autoSpaceDN w:val="0"/>
        <w:snapToGrid w:val="0"/>
        <w:spacing w:line="360" w:lineRule="auto"/>
        <w:ind w:firstLine="480" w:firstLineChars="200"/>
        <w:jc w:val="left"/>
        <w:outlineLvl w:val="0"/>
        <w:rPr>
          <w:rFonts w:ascii="宋体" w:hAnsi="宋体" w:cs="宋体"/>
          <w:i w:val="0"/>
          <w:iCs w:val="0"/>
          <w:color w:val="auto"/>
          <w:kern w:val="0"/>
          <w:szCs w:val="21"/>
          <w:highlight w:val="none"/>
        </w:rPr>
      </w:pPr>
      <w:bookmarkStart w:id="1116" w:name="_Toc27866"/>
      <w:r>
        <w:rPr>
          <w:rFonts w:hint="eastAsia" w:ascii="宋体" w:hAnsi="宋体" w:cs="宋体"/>
          <w:i w:val="0"/>
          <w:iCs w:val="0"/>
          <w:color w:val="auto"/>
          <w:kern w:val="0"/>
          <w:szCs w:val="21"/>
          <w:highlight w:val="none"/>
        </w:rPr>
        <w:t>20.3.2 争议评审小组的决定</w:t>
      </w:r>
      <w:bookmarkEnd w:id="1116"/>
    </w:p>
    <w:p w14:paraId="155E9CD8">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合同当事人关于本项的约定：</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w:t>
      </w:r>
    </w:p>
    <w:p w14:paraId="07F1BDE9">
      <w:pPr>
        <w:snapToGrid w:val="0"/>
        <w:spacing w:line="360" w:lineRule="auto"/>
        <w:ind w:firstLine="480" w:firstLineChars="200"/>
        <w:outlineLvl w:val="0"/>
        <w:rPr>
          <w:rFonts w:ascii="宋体" w:hAnsi="宋体" w:cs="宋体"/>
          <w:i w:val="0"/>
          <w:iCs w:val="0"/>
          <w:color w:val="auto"/>
          <w:szCs w:val="21"/>
          <w:highlight w:val="none"/>
        </w:rPr>
      </w:pPr>
      <w:bookmarkStart w:id="1117" w:name="_Toc21374"/>
      <w:r>
        <w:rPr>
          <w:rFonts w:hint="eastAsia" w:ascii="宋体" w:hAnsi="宋体" w:cs="宋体"/>
          <w:i w:val="0"/>
          <w:iCs w:val="0"/>
          <w:color w:val="auto"/>
          <w:szCs w:val="21"/>
          <w:highlight w:val="none"/>
        </w:rPr>
        <w:t>20.4仲裁或诉讼</w:t>
      </w:r>
      <w:bookmarkEnd w:id="1093"/>
      <w:bookmarkEnd w:id="1117"/>
    </w:p>
    <w:p w14:paraId="49325C2E">
      <w:pPr>
        <w:snapToGrid w:val="0"/>
        <w:spacing w:line="360" w:lineRule="auto"/>
        <w:ind w:firstLine="480" w:firstLineChars="200"/>
        <w:rPr>
          <w:rFonts w:ascii="宋体" w:hAnsi="宋体" w:cs="宋体"/>
          <w:i w:val="0"/>
          <w:iCs w:val="0"/>
          <w:color w:val="auto"/>
          <w:szCs w:val="21"/>
          <w:highlight w:val="none"/>
        </w:rPr>
      </w:pPr>
      <w:r>
        <w:rPr>
          <w:rFonts w:hint="eastAsia" w:ascii="宋体" w:hAnsi="宋体" w:cs="宋体"/>
          <w:i w:val="0"/>
          <w:iCs w:val="0"/>
          <w:color w:val="auto"/>
          <w:szCs w:val="21"/>
          <w:highlight w:val="none"/>
        </w:rPr>
        <w:t>因合同及合同有关事项发生的争议，按下列第（1）种方式解决：</w:t>
      </w:r>
    </w:p>
    <w:p w14:paraId="0DDC48ED">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（1）向</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rPr>
        <w:t>仲裁委员会申请仲裁；</w:t>
      </w:r>
    </w:p>
    <w:p w14:paraId="1F8BDB4F">
      <w:pPr>
        <w:snapToGrid w:val="0"/>
        <w:spacing w:line="360" w:lineRule="auto"/>
        <w:ind w:firstLine="480" w:firstLineChars="200"/>
        <w:jc w:val="left"/>
        <w:rPr>
          <w:rFonts w:ascii="宋体" w:hAnsi="宋体" w:cs="宋体"/>
          <w:i w:val="0"/>
          <w:iCs w:val="0"/>
          <w:color w:val="auto"/>
          <w:szCs w:val="21"/>
          <w:highlight w:val="none"/>
        </w:rPr>
      </w:pPr>
      <w:r>
        <w:rPr>
          <w:rFonts w:hint="eastAsia" w:ascii="宋体" w:hAnsi="宋体" w:cs="宋体"/>
          <w:i w:val="0"/>
          <w:iCs w:val="0"/>
          <w:color w:val="auto"/>
          <w:szCs w:val="21"/>
          <w:highlight w:val="none"/>
        </w:rPr>
        <w:t>（2）向</w:t>
      </w:r>
      <w:r>
        <w:rPr>
          <w:rFonts w:hint="eastAsia" w:ascii="宋体" w:hAnsi="宋体" w:cs="宋体"/>
          <w:i w:val="0"/>
          <w:iCs w:val="0"/>
          <w:color w:val="auto"/>
          <w:szCs w:val="21"/>
          <w:highlight w:val="none"/>
          <w:u w:val="single"/>
        </w:rPr>
        <w:t xml:space="preserve">               </w:t>
      </w:r>
      <w:r>
        <w:rPr>
          <w:rFonts w:hint="eastAsia" w:cs="宋体"/>
          <w:i w:val="0"/>
          <w:iCs w:val="0"/>
          <w:color w:val="auto"/>
          <w:szCs w:val="21"/>
          <w:highlight w:val="none"/>
          <w:u w:val="single"/>
          <w:lang w:val="en-US" w:eastAsia="zh-CN"/>
        </w:rPr>
        <w:t xml:space="preserve"> </w:t>
      </w:r>
      <w:r>
        <w:rPr>
          <w:rFonts w:hint="eastAsia" w:ascii="宋体" w:hAnsi="宋体" w:cs="宋体"/>
          <w:i w:val="0"/>
          <w:iCs w:val="0"/>
          <w:color w:val="auto"/>
          <w:szCs w:val="21"/>
          <w:highlight w:val="none"/>
          <w:u w:val="single"/>
        </w:rPr>
        <w:t xml:space="preserve">      </w:t>
      </w:r>
      <w:r>
        <w:rPr>
          <w:rFonts w:hint="eastAsia" w:ascii="宋体" w:hAnsi="宋体" w:cs="宋体"/>
          <w:i w:val="0"/>
          <w:iCs w:val="0"/>
          <w:color w:val="auto"/>
          <w:szCs w:val="21"/>
          <w:highlight w:val="none"/>
        </w:rPr>
        <w:t>人民法院起诉。</w:t>
      </w:r>
      <w:bookmarkEnd w:id="1094"/>
      <w:bookmarkEnd w:id="1095"/>
      <w:bookmarkEnd w:id="1096"/>
      <w:bookmarkEnd w:id="1097"/>
      <w:bookmarkEnd w:id="1098"/>
      <w:bookmarkEnd w:id="1099"/>
    </w:p>
    <w:p w14:paraId="59CC7630">
      <w:pPr>
        <w:snapToGrid w:val="0"/>
        <w:spacing w:line="360" w:lineRule="auto"/>
        <w:ind w:firstLine="482"/>
        <w:rPr>
          <w:rFonts w:ascii="宋体" w:hAnsi="宋体"/>
          <w:i w:val="0"/>
          <w:iCs w:val="0"/>
          <w:color w:val="auto"/>
          <w:sz w:val="24"/>
          <w:szCs w:val="24"/>
          <w:highlight w:val="none"/>
        </w:rPr>
      </w:pPr>
      <w:r>
        <w:rPr>
          <w:rFonts w:hint="eastAsia" w:ascii="宋体" w:hAnsi="宋体"/>
          <w:b/>
          <w:i w:val="0"/>
          <w:iCs w:val="0"/>
          <w:color w:val="auto"/>
          <w:sz w:val="24"/>
          <w:szCs w:val="24"/>
          <w:highlight w:val="none"/>
        </w:rPr>
        <w:t>附件：</w:t>
      </w:r>
    </w:p>
    <w:p w14:paraId="3CF873D5">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协议书附件：</w:t>
      </w:r>
    </w:p>
    <w:p w14:paraId="29CF5039">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附件1：承包人承揽工程项目一览表</w:t>
      </w:r>
    </w:p>
    <w:p w14:paraId="405712F6">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专用合同条款附件：</w:t>
      </w:r>
    </w:p>
    <w:p w14:paraId="6291BAFD">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附件2：发包人供应材料设备一览表</w:t>
      </w:r>
    </w:p>
    <w:p w14:paraId="2D1D45D1">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附件3：工程质量保修书</w:t>
      </w:r>
    </w:p>
    <w:p w14:paraId="21E122D7">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附件4：主要建设工程文件目录</w:t>
      </w:r>
    </w:p>
    <w:p w14:paraId="1AEA519D">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附件5：承包人用于本工程施工的机械设备表</w:t>
      </w:r>
    </w:p>
    <w:p w14:paraId="5CEECA37">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附件6：承包人主要施工管理人员表</w:t>
      </w:r>
    </w:p>
    <w:p w14:paraId="02A642BF">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附件7：分包人主要施工管理人员表</w:t>
      </w:r>
    </w:p>
    <w:p w14:paraId="4FB36B9C">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附件8：履约担保格式</w:t>
      </w:r>
    </w:p>
    <w:p w14:paraId="38460D19">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附件9：预付款担保格式</w:t>
      </w:r>
    </w:p>
    <w:p w14:paraId="5E8C36EF">
      <w:pPr>
        <w:adjustRightInd/>
        <w:snapToGrid w:val="0"/>
        <w:spacing w:line="360" w:lineRule="auto"/>
        <w:ind w:firstLine="424" w:firstLineChars="177"/>
        <w:jc w:val="left"/>
        <w:rPr>
          <w:rFonts w:hint="eastAsia"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附件10：支付担保格式</w:t>
      </w:r>
    </w:p>
    <w:p w14:paraId="1AB7EDB8">
      <w:pPr>
        <w:adjustRightInd/>
        <w:snapToGrid w:val="0"/>
        <w:spacing w:line="360" w:lineRule="auto"/>
        <w:ind w:firstLine="424" w:firstLineChars="177"/>
        <w:jc w:val="left"/>
        <w:rPr>
          <w:rFonts w:ascii="宋体" w:hAnsi="宋体"/>
          <w:i w:val="0"/>
          <w:iCs w:val="0"/>
          <w:snapToGrid w:val="0"/>
          <w:color w:val="auto"/>
          <w:kern w:val="0"/>
          <w:szCs w:val="21"/>
          <w:highlight w:val="none"/>
        </w:rPr>
      </w:pPr>
      <w:r>
        <w:rPr>
          <w:rFonts w:hint="eastAsia" w:ascii="宋体" w:hAnsi="宋体"/>
          <w:i w:val="0"/>
          <w:iCs w:val="0"/>
          <w:snapToGrid w:val="0"/>
          <w:color w:val="auto"/>
          <w:kern w:val="0"/>
          <w:szCs w:val="21"/>
          <w:highlight w:val="none"/>
        </w:rPr>
        <w:t>附件11：暂估价一览表</w:t>
      </w:r>
    </w:p>
    <w:p w14:paraId="6DBE351A">
      <w:pPr>
        <w:adjustRightInd/>
        <w:ind w:firstLine="424" w:firstLineChars="177"/>
        <w:jc w:val="left"/>
        <w:rPr>
          <w:rFonts w:ascii="宋体" w:hAnsi="宋体"/>
          <w:i w:val="0"/>
          <w:iCs w:val="0"/>
          <w:snapToGrid w:val="0"/>
          <w:color w:val="auto"/>
          <w:kern w:val="0"/>
          <w:szCs w:val="21"/>
          <w:highlight w:val="none"/>
        </w:rPr>
        <w:sectPr>
          <w:headerReference r:id="rId9" w:type="default"/>
          <w:footerReference r:id="rId10" w:type="default"/>
          <w:pgSz w:w="11906" w:h="16838"/>
          <w:pgMar w:top="1440" w:right="1800" w:bottom="1440" w:left="1800" w:header="851" w:footer="992" w:gutter="0"/>
          <w:pgNumType w:fmt="numberInDash"/>
          <w:cols w:space="425" w:num="1"/>
          <w:docGrid w:type="lines" w:linePitch="312" w:charSpace="0"/>
        </w:sectPr>
      </w:pPr>
    </w:p>
    <w:p w14:paraId="2554825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b/>
          <w:bCs/>
          <w:i w:val="0"/>
          <w:iCs w:val="0"/>
          <w:color w:val="auto"/>
          <w:sz w:val="24"/>
          <w:highlight w:val="none"/>
        </w:rPr>
      </w:pPr>
      <w:r>
        <w:rPr>
          <w:rFonts w:hint="eastAsia" w:ascii="宋体" w:hAnsi="宋体" w:eastAsia="宋体"/>
          <w:b/>
          <w:bCs/>
          <w:i w:val="0"/>
          <w:iCs w:val="0"/>
          <w:color w:val="auto"/>
          <w:sz w:val="24"/>
          <w:highlight w:val="none"/>
        </w:rPr>
        <w:t>附件1：</w:t>
      </w:r>
    </w:p>
    <w:p w14:paraId="3A9A2EF4">
      <w:pPr>
        <w:adjustRightInd/>
        <w:spacing w:before="120" w:beforeLines="50" w:after="120" w:afterLines="50" w:line="288" w:lineRule="auto"/>
        <w:jc w:val="center"/>
        <w:rPr>
          <w:rFonts w:hint="eastAsia"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承包人承揽工程项目一览表</w:t>
      </w:r>
    </w:p>
    <w:tbl>
      <w:tblPr>
        <w:tblStyle w:val="27"/>
        <w:tblW w:w="14601" w:type="dxa"/>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083D78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4E1BE63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单位工程名称</w:t>
            </w:r>
          </w:p>
        </w:tc>
        <w:tc>
          <w:tcPr>
            <w:tcW w:w="1843" w:type="dxa"/>
            <w:tcBorders>
              <w:top w:val="single" w:color="auto" w:sz="12" w:space="0"/>
              <w:bottom w:val="double" w:color="auto" w:sz="6" w:space="0"/>
            </w:tcBorders>
            <w:noWrap w:val="0"/>
            <w:vAlign w:val="center"/>
          </w:tcPr>
          <w:p w14:paraId="68A1D7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建设规模</w:t>
            </w:r>
          </w:p>
        </w:tc>
        <w:tc>
          <w:tcPr>
            <w:tcW w:w="1417" w:type="dxa"/>
            <w:tcBorders>
              <w:top w:val="single" w:color="auto" w:sz="12" w:space="0"/>
              <w:bottom w:val="double" w:color="auto" w:sz="6" w:space="0"/>
            </w:tcBorders>
            <w:noWrap w:val="0"/>
            <w:vAlign w:val="center"/>
          </w:tcPr>
          <w:p w14:paraId="40147F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建筑面积(平方米)</w:t>
            </w:r>
          </w:p>
        </w:tc>
        <w:tc>
          <w:tcPr>
            <w:tcW w:w="2410" w:type="dxa"/>
            <w:tcBorders>
              <w:top w:val="single" w:color="auto" w:sz="12" w:space="0"/>
              <w:bottom w:val="double" w:color="auto" w:sz="6" w:space="0"/>
            </w:tcBorders>
            <w:noWrap w:val="0"/>
            <w:vAlign w:val="center"/>
          </w:tcPr>
          <w:p w14:paraId="2B4250A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结构形式</w:t>
            </w:r>
          </w:p>
        </w:tc>
        <w:tc>
          <w:tcPr>
            <w:tcW w:w="850" w:type="dxa"/>
            <w:tcBorders>
              <w:top w:val="single" w:color="auto" w:sz="12" w:space="0"/>
              <w:bottom w:val="double" w:color="auto" w:sz="6" w:space="0"/>
            </w:tcBorders>
            <w:noWrap w:val="0"/>
            <w:vAlign w:val="center"/>
          </w:tcPr>
          <w:p w14:paraId="10820C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层数</w:t>
            </w:r>
          </w:p>
        </w:tc>
        <w:tc>
          <w:tcPr>
            <w:tcW w:w="1560" w:type="dxa"/>
            <w:tcBorders>
              <w:top w:val="single" w:color="auto" w:sz="12" w:space="0"/>
              <w:bottom w:val="double" w:color="auto" w:sz="6" w:space="0"/>
            </w:tcBorders>
            <w:noWrap w:val="0"/>
            <w:vAlign w:val="center"/>
          </w:tcPr>
          <w:p w14:paraId="55980F7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生产能力</w:t>
            </w:r>
          </w:p>
        </w:tc>
        <w:tc>
          <w:tcPr>
            <w:tcW w:w="2126" w:type="dxa"/>
            <w:tcBorders>
              <w:top w:val="single" w:color="auto" w:sz="12" w:space="0"/>
              <w:bottom w:val="double" w:color="auto" w:sz="6" w:space="0"/>
            </w:tcBorders>
            <w:noWrap w:val="0"/>
            <w:vAlign w:val="center"/>
          </w:tcPr>
          <w:p w14:paraId="5A65672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设备安装内容</w:t>
            </w:r>
          </w:p>
        </w:tc>
        <w:tc>
          <w:tcPr>
            <w:tcW w:w="1417" w:type="dxa"/>
            <w:tcBorders>
              <w:top w:val="single" w:color="auto" w:sz="12" w:space="0"/>
              <w:bottom w:val="double" w:color="auto" w:sz="6" w:space="0"/>
            </w:tcBorders>
            <w:noWrap w:val="0"/>
            <w:vAlign w:val="center"/>
          </w:tcPr>
          <w:p w14:paraId="43743B9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合同价格（元）</w:t>
            </w:r>
          </w:p>
        </w:tc>
        <w:tc>
          <w:tcPr>
            <w:tcW w:w="851" w:type="dxa"/>
            <w:tcBorders>
              <w:top w:val="single" w:color="auto" w:sz="12" w:space="0"/>
              <w:bottom w:val="double" w:color="auto" w:sz="6" w:space="0"/>
            </w:tcBorders>
            <w:noWrap w:val="0"/>
            <w:vAlign w:val="center"/>
          </w:tcPr>
          <w:p w14:paraId="3477400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开工日期</w:t>
            </w:r>
          </w:p>
        </w:tc>
        <w:tc>
          <w:tcPr>
            <w:tcW w:w="850" w:type="dxa"/>
            <w:tcBorders>
              <w:top w:val="single" w:color="auto" w:sz="12" w:space="0"/>
              <w:bottom w:val="double" w:color="auto" w:sz="6" w:space="0"/>
            </w:tcBorders>
            <w:noWrap w:val="0"/>
            <w:vAlign w:val="center"/>
          </w:tcPr>
          <w:p w14:paraId="09AF8C3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竣工日期</w:t>
            </w:r>
          </w:p>
        </w:tc>
      </w:tr>
      <w:tr w14:paraId="0D6FDE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487825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double" w:color="auto" w:sz="6" w:space="0"/>
              <w:bottom w:val="single" w:color="auto" w:sz="6" w:space="0"/>
            </w:tcBorders>
            <w:noWrap w:val="0"/>
            <w:vAlign w:val="center"/>
          </w:tcPr>
          <w:p w14:paraId="431C271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double" w:color="auto" w:sz="6" w:space="0"/>
              <w:bottom w:val="single" w:color="auto" w:sz="6" w:space="0"/>
            </w:tcBorders>
            <w:noWrap w:val="0"/>
            <w:vAlign w:val="center"/>
          </w:tcPr>
          <w:p w14:paraId="1A24803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double" w:color="auto" w:sz="6" w:space="0"/>
              <w:bottom w:val="single" w:color="auto" w:sz="6" w:space="0"/>
            </w:tcBorders>
            <w:noWrap w:val="0"/>
            <w:vAlign w:val="center"/>
          </w:tcPr>
          <w:p w14:paraId="4958B35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double" w:color="auto" w:sz="6" w:space="0"/>
              <w:bottom w:val="single" w:color="auto" w:sz="6" w:space="0"/>
            </w:tcBorders>
            <w:noWrap w:val="0"/>
            <w:vAlign w:val="center"/>
          </w:tcPr>
          <w:p w14:paraId="0DD963B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double" w:color="auto" w:sz="6" w:space="0"/>
              <w:bottom w:val="single" w:color="auto" w:sz="6" w:space="0"/>
            </w:tcBorders>
            <w:noWrap w:val="0"/>
            <w:vAlign w:val="center"/>
          </w:tcPr>
          <w:p w14:paraId="45618E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double" w:color="auto" w:sz="6" w:space="0"/>
              <w:bottom w:val="single" w:color="auto" w:sz="6" w:space="0"/>
            </w:tcBorders>
            <w:noWrap w:val="0"/>
            <w:vAlign w:val="center"/>
          </w:tcPr>
          <w:p w14:paraId="693A730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double" w:color="auto" w:sz="6" w:space="0"/>
              <w:bottom w:val="single" w:color="auto" w:sz="6" w:space="0"/>
            </w:tcBorders>
            <w:noWrap w:val="0"/>
            <w:vAlign w:val="center"/>
          </w:tcPr>
          <w:p w14:paraId="66365F7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double" w:color="auto" w:sz="6" w:space="0"/>
              <w:bottom w:val="single" w:color="auto" w:sz="6" w:space="0"/>
            </w:tcBorders>
            <w:noWrap w:val="0"/>
            <w:vAlign w:val="center"/>
          </w:tcPr>
          <w:p w14:paraId="3A6AF92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double" w:color="auto" w:sz="6" w:space="0"/>
              <w:bottom w:val="single" w:color="auto" w:sz="6" w:space="0"/>
            </w:tcBorders>
            <w:noWrap w:val="0"/>
            <w:vAlign w:val="center"/>
          </w:tcPr>
          <w:p w14:paraId="06F0710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A6A06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05E1042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nil"/>
            </w:tcBorders>
            <w:noWrap w:val="0"/>
            <w:vAlign w:val="center"/>
          </w:tcPr>
          <w:p w14:paraId="5F3EB32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510384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nil"/>
            </w:tcBorders>
            <w:noWrap w:val="0"/>
            <w:vAlign w:val="center"/>
          </w:tcPr>
          <w:p w14:paraId="28D59E6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2D16744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nil"/>
            </w:tcBorders>
            <w:noWrap w:val="0"/>
            <w:vAlign w:val="center"/>
          </w:tcPr>
          <w:p w14:paraId="490A78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nil"/>
            </w:tcBorders>
            <w:noWrap w:val="0"/>
            <w:vAlign w:val="center"/>
          </w:tcPr>
          <w:p w14:paraId="0159821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10E8F22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04ACB39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24CF1D3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E939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095D73B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nil"/>
            </w:tcBorders>
            <w:noWrap w:val="0"/>
            <w:vAlign w:val="center"/>
          </w:tcPr>
          <w:p w14:paraId="1D6FD64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7F60F9A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nil"/>
            </w:tcBorders>
            <w:noWrap w:val="0"/>
            <w:vAlign w:val="center"/>
          </w:tcPr>
          <w:p w14:paraId="49B1155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764C247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nil"/>
            </w:tcBorders>
            <w:noWrap w:val="0"/>
            <w:vAlign w:val="center"/>
          </w:tcPr>
          <w:p w14:paraId="41A006B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nil"/>
            </w:tcBorders>
            <w:noWrap w:val="0"/>
            <w:vAlign w:val="center"/>
          </w:tcPr>
          <w:p w14:paraId="7CF2026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4B59E3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3B77D5F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333ECFA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3A259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6F7CCB2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noWrap w:val="0"/>
            <w:vAlign w:val="center"/>
          </w:tcPr>
          <w:p w14:paraId="599B6E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05A3DE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noWrap w:val="0"/>
            <w:vAlign w:val="center"/>
          </w:tcPr>
          <w:p w14:paraId="3D5D074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18349E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noWrap w:val="0"/>
            <w:vAlign w:val="center"/>
          </w:tcPr>
          <w:p w14:paraId="710067A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noWrap w:val="0"/>
            <w:vAlign w:val="center"/>
          </w:tcPr>
          <w:p w14:paraId="4B5232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7E52641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05FD66E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3F86C42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1E063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A6D69B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nil"/>
            </w:tcBorders>
            <w:noWrap w:val="0"/>
            <w:vAlign w:val="center"/>
          </w:tcPr>
          <w:p w14:paraId="238D939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3BC7988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nil"/>
            </w:tcBorders>
            <w:noWrap w:val="0"/>
            <w:vAlign w:val="center"/>
          </w:tcPr>
          <w:p w14:paraId="27DE06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1355501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nil"/>
            </w:tcBorders>
            <w:noWrap w:val="0"/>
            <w:vAlign w:val="center"/>
          </w:tcPr>
          <w:p w14:paraId="1F17463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nil"/>
            </w:tcBorders>
            <w:noWrap w:val="0"/>
            <w:vAlign w:val="center"/>
          </w:tcPr>
          <w:p w14:paraId="3D6B246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7F0125B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644BA7C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180783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CFCB1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41CAF3A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noWrap w:val="0"/>
            <w:vAlign w:val="center"/>
          </w:tcPr>
          <w:p w14:paraId="55F745D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065DB5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noWrap w:val="0"/>
            <w:vAlign w:val="center"/>
          </w:tcPr>
          <w:p w14:paraId="5B72D56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09900A1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noWrap w:val="0"/>
            <w:vAlign w:val="center"/>
          </w:tcPr>
          <w:p w14:paraId="3287CE6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noWrap w:val="0"/>
            <w:vAlign w:val="center"/>
          </w:tcPr>
          <w:p w14:paraId="59EB8E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7A6774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77F554E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3EE0657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0D0D4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1335EC6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nil"/>
            </w:tcBorders>
            <w:noWrap w:val="0"/>
            <w:vAlign w:val="center"/>
          </w:tcPr>
          <w:p w14:paraId="013255E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354C245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nil"/>
            </w:tcBorders>
            <w:noWrap w:val="0"/>
            <w:vAlign w:val="center"/>
          </w:tcPr>
          <w:p w14:paraId="66C0A33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322E5D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nil"/>
            </w:tcBorders>
            <w:noWrap w:val="0"/>
            <w:vAlign w:val="center"/>
          </w:tcPr>
          <w:p w14:paraId="54179B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nil"/>
            </w:tcBorders>
            <w:noWrap w:val="0"/>
            <w:vAlign w:val="center"/>
          </w:tcPr>
          <w:p w14:paraId="41CA91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53E360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2C36902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5C29A87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AD9CA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CBBE4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noWrap w:val="0"/>
            <w:vAlign w:val="center"/>
          </w:tcPr>
          <w:p w14:paraId="6946CA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40AB46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noWrap w:val="0"/>
            <w:vAlign w:val="center"/>
          </w:tcPr>
          <w:p w14:paraId="52F9EC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1507167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noWrap w:val="0"/>
            <w:vAlign w:val="center"/>
          </w:tcPr>
          <w:p w14:paraId="3DC6E2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noWrap w:val="0"/>
            <w:vAlign w:val="center"/>
          </w:tcPr>
          <w:p w14:paraId="787A95B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17B388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376D70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7F7B46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FAE26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trPr>
        <w:tc>
          <w:tcPr>
            <w:tcW w:w="1277" w:type="dxa"/>
            <w:tcBorders>
              <w:top w:val="nil"/>
            </w:tcBorders>
            <w:noWrap w:val="0"/>
            <w:vAlign w:val="center"/>
          </w:tcPr>
          <w:p w14:paraId="1E03522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tcBorders>
              <w:top w:val="nil"/>
            </w:tcBorders>
            <w:noWrap w:val="0"/>
            <w:vAlign w:val="center"/>
          </w:tcPr>
          <w:p w14:paraId="587F4F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06395A9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tcBorders>
              <w:top w:val="nil"/>
            </w:tcBorders>
            <w:noWrap w:val="0"/>
            <w:vAlign w:val="center"/>
          </w:tcPr>
          <w:p w14:paraId="1427F11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496105C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tcBorders>
              <w:top w:val="nil"/>
            </w:tcBorders>
            <w:noWrap w:val="0"/>
            <w:vAlign w:val="center"/>
          </w:tcPr>
          <w:p w14:paraId="5AD23F9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tcBorders>
              <w:top w:val="nil"/>
            </w:tcBorders>
            <w:noWrap w:val="0"/>
            <w:vAlign w:val="center"/>
          </w:tcPr>
          <w:p w14:paraId="504502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tcBorders>
              <w:top w:val="nil"/>
            </w:tcBorders>
            <w:noWrap w:val="0"/>
            <w:vAlign w:val="center"/>
          </w:tcPr>
          <w:p w14:paraId="4AEA401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040A222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4E5555A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7EAC8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5712E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843" w:type="dxa"/>
            <w:noWrap w:val="0"/>
            <w:vAlign w:val="center"/>
          </w:tcPr>
          <w:p w14:paraId="35BC30B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6C28FF8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410" w:type="dxa"/>
            <w:noWrap w:val="0"/>
            <w:vAlign w:val="center"/>
          </w:tcPr>
          <w:p w14:paraId="2BA551A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10823DB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560" w:type="dxa"/>
            <w:noWrap w:val="0"/>
            <w:vAlign w:val="center"/>
          </w:tcPr>
          <w:p w14:paraId="375288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2126" w:type="dxa"/>
            <w:noWrap w:val="0"/>
            <w:vAlign w:val="center"/>
          </w:tcPr>
          <w:p w14:paraId="641A59D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7" w:type="dxa"/>
            <w:noWrap w:val="0"/>
            <w:vAlign w:val="center"/>
          </w:tcPr>
          <w:p w14:paraId="5E3B291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6FE85AE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2D7E6A0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bl>
    <w:p w14:paraId="0C87EE1A">
      <w:pPr>
        <w:adjustRightInd/>
        <w:ind w:firstLine="424" w:firstLineChars="177"/>
        <w:jc w:val="left"/>
        <w:rPr>
          <w:rFonts w:ascii="宋体" w:hAnsi="宋体"/>
          <w:i w:val="0"/>
          <w:iCs w:val="0"/>
          <w:snapToGrid w:val="0"/>
          <w:color w:val="auto"/>
          <w:kern w:val="0"/>
          <w:szCs w:val="21"/>
          <w:highlight w:val="none"/>
        </w:rPr>
      </w:pPr>
    </w:p>
    <w:p w14:paraId="0CDFD063">
      <w:pPr>
        <w:spacing w:before="162" w:line="440" w:lineRule="exact"/>
        <w:ind w:firstLine="480"/>
        <w:rPr>
          <w:rFonts w:ascii="宋体" w:hAnsi="宋体"/>
          <w:i w:val="0"/>
          <w:iCs w:val="0"/>
          <w:color w:val="auto"/>
          <w:sz w:val="24"/>
          <w:highlight w:val="none"/>
          <w:u w:val="single"/>
        </w:rPr>
        <w:sectPr>
          <w:pgSz w:w="16838" w:h="11906" w:orient="landscape"/>
          <w:pgMar w:top="1803" w:right="1440" w:bottom="1803" w:left="1440" w:header="851" w:footer="992" w:gutter="0"/>
          <w:pgNumType w:fmt="numberInDash"/>
          <w:cols w:space="0" w:num="1"/>
          <w:rtlGutter w:val="0"/>
          <w:docGrid w:type="lines" w:linePitch="332" w:charSpace="0"/>
        </w:sectPr>
      </w:pPr>
    </w:p>
    <w:p w14:paraId="39AF960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b/>
          <w:bCs/>
          <w:i w:val="0"/>
          <w:iCs w:val="0"/>
          <w:color w:val="auto"/>
          <w:sz w:val="24"/>
          <w:highlight w:val="none"/>
        </w:rPr>
      </w:pPr>
      <w:r>
        <w:rPr>
          <w:rFonts w:hint="eastAsia" w:ascii="宋体" w:hAnsi="宋体" w:eastAsia="宋体"/>
          <w:b/>
          <w:bCs/>
          <w:i w:val="0"/>
          <w:iCs w:val="0"/>
          <w:color w:val="auto"/>
          <w:sz w:val="24"/>
          <w:highlight w:val="none"/>
        </w:rPr>
        <w:t>附</w:t>
      </w:r>
      <w:bookmarkStart w:id="1118" w:name="_Toc267261692"/>
      <w:bookmarkStart w:id="1119" w:name="_Toc296347224"/>
      <w:bookmarkStart w:id="1120" w:name="_Toc296944564"/>
      <w:bookmarkStart w:id="1121" w:name="_Toc296346726"/>
      <w:bookmarkStart w:id="1122" w:name="_Toc296891053"/>
      <w:bookmarkStart w:id="1123" w:name="_Toc296503225"/>
      <w:bookmarkStart w:id="1124" w:name="_Toc296891265"/>
      <w:r>
        <w:rPr>
          <w:rFonts w:hint="eastAsia" w:ascii="宋体" w:hAnsi="宋体" w:eastAsia="宋体"/>
          <w:b/>
          <w:bCs/>
          <w:i w:val="0"/>
          <w:iCs w:val="0"/>
          <w:color w:val="auto"/>
          <w:sz w:val="24"/>
          <w:highlight w:val="none"/>
        </w:rPr>
        <w:t>件2：</w:t>
      </w:r>
    </w:p>
    <w:bookmarkEnd w:id="1118"/>
    <w:bookmarkEnd w:id="1119"/>
    <w:bookmarkEnd w:id="1120"/>
    <w:bookmarkEnd w:id="1121"/>
    <w:bookmarkEnd w:id="1122"/>
    <w:bookmarkEnd w:id="1123"/>
    <w:bookmarkEnd w:id="1124"/>
    <w:p w14:paraId="10E1D334">
      <w:pPr>
        <w:adjustRightInd/>
        <w:spacing w:before="120" w:beforeLines="50" w:after="120" w:afterLines="50" w:line="288" w:lineRule="auto"/>
        <w:jc w:val="center"/>
        <w:rPr>
          <w:rFonts w:hint="eastAsia"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发包人供应材料设备一览表</w:t>
      </w:r>
    </w:p>
    <w:tbl>
      <w:tblPr>
        <w:tblStyle w:val="27"/>
        <w:tblW w:w="986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203"/>
        <w:gridCol w:w="781"/>
        <w:gridCol w:w="851"/>
        <w:gridCol w:w="1044"/>
        <w:gridCol w:w="992"/>
        <w:gridCol w:w="851"/>
        <w:gridCol w:w="1228"/>
        <w:gridCol w:w="789"/>
      </w:tblGrid>
      <w:tr w14:paraId="359681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851" w:type="dxa"/>
            <w:tcBorders>
              <w:top w:val="single" w:color="auto" w:sz="12" w:space="0"/>
              <w:bottom w:val="double" w:color="auto" w:sz="6" w:space="0"/>
            </w:tcBorders>
            <w:noWrap w:val="0"/>
            <w:vAlign w:val="center"/>
          </w:tcPr>
          <w:p w14:paraId="0DEC53D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序号</w:t>
            </w:r>
          </w:p>
        </w:tc>
        <w:tc>
          <w:tcPr>
            <w:tcW w:w="1276" w:type="dxa"/>
            <w:tcBorders>
              <w:top w:val="single" w:color="auto" w:sz="12" w:space="0"/>
              <w:bottom w:val="double" w:color="auto" w:sz="6" w:space="0"/>
            </w:tcBorders>
            <w:noWrap w:val="0"/>
            <w:vAlign w:val="center"/>
          </w:tcPr>
          <w:p w14:paraId="085FF9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 xml:space="preserve">  材料、</w:t>
            </w:r>
          </w:p>
          <w:p w14:paraId="39042CA8">
            <w:pPr>
              <w:pStyle w:val="11"/>
              <w:keepNext/>
              <w:spacing w:after="0" w:line="440" w:lineRule="exact"/>
              <w:ind w:left="0" w:leftChars="0" w:right="63"/>
              <w:jc w:val="both"/>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设备品种</w:t>
            </w:r>
          </w:p>
        </w:tc>
        <w:tc>
          <w:tcPr>
            <w:tcW w:w="1203" w:type="dxa"/>
            <w:tcBorders>
              <w:top w:val="single" w:color="auto" w:sz="12" w:space="0"/>
              <w:bottom w:val="double" w:color="auto" w:sz="6" w:space="0"/>
            </w:tcBorders>
            <w:noWrap w:val="0"/>
            <w:vAlign w:val="center"/>
          </w:tcPr>
          <w:p w14:paraId="69B0DE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规格型号</w:t>
            </w:r>
          </w:p>
        </w:tc>
        <w:tc>
          <w:tcPr>
            <w:tcW w:w="781" w:type="dxa"/>
            <w:tcBorders>
              <w:top w:val="single" w:color="auto" w:sz="12" w:space="0"/>
              <w:bottom w:val="double" w:color="auto" w:sz="6" w:space="0"/>
            </w:tcBorders>
            <w:noWrap w:val="0"/>
            <w:vAlign w:val="center"/>
          </w:tcPr>
          <w:p w14:paraId="65C7EAD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单位</w:t>
            </w:r>
          </w:p>
        </w:tc>
        <w:tc>
          <w:tcPr>
            <w:tcW w:w="851" w:type="dxa"/>
            <w:tcBorders>
              <w:top w:val="single" w:color="auto" w:sz="12" w:space="0"/>
              <w:bottom w:val="double" w:color="auto" w:sz="6" w:space="0"/>
            </w:tcBorders>
            <w:noWrap w:val="0"/>
            <w:vAlign w:val="center"/>
          </w:tcPr>
          <w:p w14:paraId="5BAFFB9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数量</w:t>
            </w:r>
          </w:p>
        </w:tc>
        <w:tc>
          <w:tcPr>
            <w:tcW w:w="1044" w:type="dxa"/>
            <w:tcBorders>
              <w:top w:val="single" w:color="auto" w:sz="12" w:space="0"/>
              <w:bottom w:val="double" w:color="auto" w:sz="6" w:space="0"/>
            </w:tcBorders>
            <w:noWrap w:val="0"/>
            <w:vAlign w:val="center"/>
          </w:tcPr>
          <w:p w14:paraId="170DEC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单价（元）</w:t>
            </w:r>
          </w:p>
        </w:tc>
        <w:tc>
          <w:tcPr>
            <w:tcW w:w="992" w:type="dxa"/>
            <w:tcBorders>
              <w:top w:val="single" w:color="auto" w:sz="12" w:space="0"/>
              <w:bottom w:val="double" w:color="auto" w:sz="6" w:space="0"/>
            </w:tcBorders>
            <w:noWrap w:val="0"/>
            <w:vAlign w:val="center"/>
          </w:tcPr>
          <w:p w14:paraId="7781674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质量等级</w:t>
            </w:r>
          </w:p>
        </w:tc>
        <w:tc>
          <w:tcPr>
            <w:tcW w:w="851" w:type="dxa"/>
            <w:tcBorders>
              <w:top w:val="single" w:color="auto" w:sz="12" w:space="0"/>
              <w:bottom w:val="double" w:color="auto" w:sz="6" w:space="0"/>
            </w:tcBorders>
            <w:noWrap w:val="0"/>
            <w:vAlign w:val="center"/>
          </w:tcPr>
          <w:p w14:paraId="18874B0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供应时间</w:t>
            </w:r>
          </w:p>
        </w:tc>
        <w:tc>
          <w:tcPr>
            <w:tcW w:w="1228" w:type="dxa"/>
            <w:tcBorders>
              <w:top w:val="single" w:color="auto" w:sz="12" w:space="0"/>
              <w:bottom w:val="double" w:color="auto" w:sz="6" w:space="0"/>
            </w:tcBorders>
            <w:noWrap w:val="0"/>
            <w:vAlign w:val="center"/>
          </w:tcPr>
          <w:p w14:paraId="2171531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送达地点</w:t>
            </w:r>
          </w:p>
        </w:tc>
        <w:tc>
          <w:tcPr>
            <w:tcW w:w="789" w:type="dxa"/>
            <w:tcBorders>
              <w:top w:val="single" w:color="auto" w:sz="12" w:space="0"/>
              <w:bottom w:val="double" w:color="auto" w:sz="6" w:space="0"/>
            </w:tcBorders>
            <w:noWrap w:val="0"/>
            <w:vAlign w:val="center"/>
          </w:tcPr>
          <w:p w14:paraId="709D59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备注</w:t>
            </w:r>
          </w:p>
        </w:tc>
      </w:tr>
      <w:tr w14:paraId="2FC1FC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14:paraId="269891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double" w:color="auto" w:sz="6" w:space="0"/>
              <w:bottom w:val="single" w:color="auto" w:sz="6" w:space="0"/>
            </w:tcBorders>
            <w:noWrap w:val="0"/>
            <w:vAlign w:val="center"/>
          </w:tcPr>
          <w:p w14:paraId="6827DE4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tcBorders>
              <w:top w:val="double" w:color="auto" w:sz="6" w:space="0"/>
              <w:bottom w:val="single" w:color="auto" w:sz="6" w:space="0"/>
            </w:tcBorders>
            <w:noWrap w:val="0"/>
            <w:vAlign w:val="center"/>
          </w:tcPr>
          <w:p w14:paraId="64976A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tcBorders>
              <w:top w:val="double" w:color="auto" w:sz="6" w:space="0"/>
              <w:bottom w:val="single" w:color="auto" w:sz="6" w:space="0"/>
            </w:tcBorders>
            <w:noWrap w:val="0"/>
            <w:vAlign w:val="center"/>
          </w:tcPr>
          <w:p w14:paraId="6073BD8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double" w:color="auto" w:sz="6" w:space="0"/>
              <w:bottom w:val="single" w:color="auto" w:sz="6" w:space="0"/>
            </w:tcBorders>
            <w:noWrap w:val="0"/>
            <w:vAlign w:val="center"/>
          </w:tcPr>
          <w:p w14:paraId="2EA2B35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tcBorders>
              <w:top w:val="double" w:color="auto" w:sz="6" w:space="0"/>
              <w:bottom w:val="single" w:color="auto" w:sz="6" w:space="0"/>
            </w:tcBorders>
            <w:noWrap w:val="0"/>
            <w:vAlign w:val="center"/>
          </w:tcPr>
          <w:p w14:paraId="545218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tcBorders>
              <w:top w:val="double" w:color="auto" w:sz="6" w:space="0"/>
              <w:bottom w:val="single" w:color="auto" w:sz="6" w:space="0"/>
            </w:tcBorders>
            <w:noWrap w:val="0"/>
            <w:vAlign w:val="center"/>
          </w:tcPr>
          <w:p w14:paraId="3B76C5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double" w:color="auto" w:sz="6" w:space="0"/>
              <w:bottom w:val="single" w:color="auto" w:sz="6" w:space="0"/>
            </w:tcBorders>
            <w:noWrap w:val="0"/>
            <w:vAlign w:val="center"/>
          </w:tcPr>
          <w:p w14:paraId="4FDBED3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tcBorders>
              <w:top w:val="double" w:color="auto" w:sz="6" w:space="0"/>
              <w:bottom w:val="single" w:color="auto" w:sz="6" w:space="0"/>
            </w:tcBorders>
            <w:noWrap w:val="0"/>
            <w:vAlign w:val="center"/>
          </w:tcPr>
          <w:p w14:paraId="4D0C015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tcBorders>
              <w:top w:val="double" w:color="auto" w:sz="6" w:space="0"/>
              <w:bottom w:val="single" w:color="auto" w:sz="6" w:space="0"/>
            </w:tcBorders>
            <w:noWrap w:val="0"/>
            <w:vAlign w:val="center"/>
          </w:tcPr>
          <w:p w14:paraId="5802EF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A7C4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14:paraId="0B6B6E3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nil"/>
            </w:tcBorders>
            <w:noWrap w:val="0"/>
            <w:vAlign w:val="center"/>
          </w:tcPr>
          <w:p w14:paraId="1B299CD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tcBorders>
              <w:top w:val="nil"/>
            </w:tcBorders>
            <w:noWrap w:val="0"/>
            <w:vAlign w:val="center"/>
          </w:tcPr>
          <w:p w14:paraId="04A5AA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tcBorders>
              <w:top w:val="nil"/>
            </w:tcBorders>
            <w:noWrap w:val="0"/>
            <w:vAlign w:val="center"/>
          </w:tcPr>
          <w:p w14:paraId="7C3C5C0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74217FE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tcBorders>
              <w:top w:val="nil"/>
            </w:tcBorders>
            <w:noWrap w:val="0"/>
            <w:vAlign w:val="center"/>
          </w:tcPr>
          <w:p w14:paraId="47EDE05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tcBorders>
              <w:top w:val="nil"/>
            </w:tcBorders>
            <w:noWrap w:val="0"/>
            <w:vAlign w:val="center"/>
          </w:tcPr>
          <w:p w14:paraId="4D5EE5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center"/>
          </w:tcPr>
          <w:p w14:paraId="4C956B1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tcBorders>
              <w:top w:val="nil"/>
            </w:tcBorders>
            <w:noWrap w:val="0"/>
            <w:vAlign w:val="center"/>
          </w:tcPr>
          <w:p w14:paraId="6A3F864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tcBorders>
              <w:top w:val="nil"/>
            </w:tcBorders>
            <w:noWrap w:val="0"/>
            <w:vAlign w:val="center"/>
          </w:tcPr>
          <w:p w14:paraId="59909F5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805BC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3AA6A4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1AE86A5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7558C4F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653C58D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070228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286946E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504BD2E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5B747A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149215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27D2BB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6A049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2ABCE0A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65FA86F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213711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55F458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01EC13E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297D91D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5D5563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4D3CA61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1E10FB5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157B413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E548D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B72BA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3BADD4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540B1D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0A9B655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48738CC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11506C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2D9CB0B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510E12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1EC802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0997614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0D6AF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602272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4D65F97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6B5FFF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02C4FC6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67BDA2B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653584D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0B79488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30991C8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5C6B1A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5D62EFC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812C7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642808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6FD9997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437CE0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042E15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7B9F16B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0EBBFF6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15A6CC8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3715F7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780EACE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3E1C75F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DEE97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D19B0C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545B72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45631E8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67AB77E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1C5863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2E7BBF0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27BB5F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0138F7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40206D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27AD60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1D6A1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E0A9153">
            <w:pPr>
              <w:jc w:val="center"/>
              <w:rPr>
                <w:rFonts w:hint="eastAsia" w:ascii="宋体" w:hAnsi="宋体" w:eastAsia="宋体" w:cs="宋体"/>
                <w:i w:val="0"/>
                <w:iCs w:val="0"/>
                <w:color w:val="auto"/>
                <w:sz w:val="24"/>
                <w:szCs w:val="24"/>
                <w:highlight w:val="none"/>
              </w:rPr>
            </w:pPr>
          </w:p>
        </w:tc>
        <w:tc>
          <w:tcPr>
            <w:tcW w:w="1276" w:type="dxa"/>
            <w:noWrap w:val="0"/>
            <w:vAlign w:val="center"/>
          </w:tcPr>
          <w:p w14:paraId="567182A7">
            <w:pPr>
              <w:jc w:val="center"/>
              <w:rPr>
                <w:rFonts w:hint="eastAsia" w:ascii="宋体" w:hAnsi="宋体" w:eastAsia="宋体" w:cs="宋体"/>
                <w:i w:val="0"/>
                <w:iCs w:val="0"/>
                <w:color w:val="auto"/>
                <w:sz w:val="24"/>
                <w:szCs w:val="24"/>
                <w:highlight w:val="none"/>
              </w:rPr>
            </w:pPr>
          </w:p>
        </w:tc>
        <w:tc>
          <w:tcPr>
            <w:tcW w:w="1203" w:type="dxa"/>
            <w:noWrap w:val="0"/>
            <w:vAlign w:val="center"/>
          </w:tcPr>
          <w:p w14:paraId="6B26CE9C">
            <w:pPr>
              <w:jc w:val="center"/>
              <w:rPr>
                <w:rFonts w:hint="eastAsia" w:ascii="宋体" w:hAnsi="宋体" w:eastAsia="宋体" w:cs="宋体"/>
                <w:i w:val="0"/>
                <w:iCs w:val="0"/>
                <w:color w:val="auto"/>
                <w:sz w:val="24"/>
                <w:szCs w:val="24"/>
                <w:highlight w:val="none"/>
              </w:rPr>
            </w:pPr>
          </w:p>
        </w:tc>
        <w:tc>
          <w:tcPr>
            <w:tcW w:w="781" w:type="dxa"/>
            <w:noWrap w:val="0"/>
            <w:vAlign w:val="center"/>
          </w:tcPr>
          <w:p w14:paraId="2B1A79CF">
            <w:pPr>
              <w:jc w:val="center"/>
              <w:rPr>
                <w:rFonts w:hint="eastAsia" w:ascii="宋体" w:hAnsi="宋体" w:eastAsia="宋体" w:cs="宋体"/>
                <w:i w:val="0"/>
                <w:iCs w:val="0"/>
                <w:color w:val="auto"/>
                <w:sz w:val="24"/>
                <w:szCs w:val="24"/>
                <w:highlight w:val="none"/>
              </w:rPr>
            </w:pPr>
          </w:p>
        </w:tc>
        <w:tc>
          <w:tcPr>
            <w:tcW w:w="851" w:type="dxa"/>
            <w:noWrap w:val="0"/>
            <w:vAlign w:val="center"/>
          </w:tcPr>
          <w:p w14:paraId="08A61E22">
            <w:pPr>
              <w:jc w:val="center"/>
              <w:rPr>
                <w:rFonts w:hint="eastAsia" w:ascii="宋体" w:hAnsi="宋体" w:eastAsia="宋体" w:cs="宋体"/>
                <w:i w:val="0"/>
                <w:iCs w:val="0"/>
                <w:color w:val="auto"/>
                <w:sz w:val="24"/>
                <w:szCs w:val="24"/>
                <w:highlight w:val="none"/>
              </w:rPr>
            </w:pPr>
          </w:p>
        </w:tc>
        <w:tc>
          <w:tcPr>
            <w:tcW w:w="1044" w:type="dxa"/>
            <w:noWrap w:val="0"/>
            <w:vAlign w:val="center"/>
          </w:tcPr>
          <w:p w14:paraId="1EF18ABF">
            <w:pPr>
              <w:jc w:val="center"/>
              <w:rPr>
                <w:rFonts w:hint="eastAsia" w:ascii="宋体" w:hAnsi="宋体" w:eastAsia="宋体" w:cs="宋体"/>
                <w:i w:val="0"/>
                <w:iCs w:val="0"/>
                <w:color w:val="auto"/>
                <w:sz w:val="24"/>
                <w:szCs w:val="24"/>
                <w:highlight w:val="none"/>
              </w:rPr>
            </w:pPr>
          </w:p>
        </w:tc>
        <w:tc>
          <w:tcPr>
            <w:tcW w:w="992" w:type="dxa"/>
            <w:noWrap w:val="0"/>
            <w:vAlign w:val="center"/>
          </w:tcPr>
          <w:p w14:paraId="23B56081">
            <w:pPr>
              <w:jc w:val="center"/>
              <w:rPr>
                <w:rFonts w:hint="eastAsia" w:ascii="宋体" w:hAnsi="宋体" w:eastAsia="宋体" w:cs="宋体"/>
                <w:i w:val="0"/>
                <w:iCs w:val="0"/>
                <w:color w:val="auto"/>
                <w:sz w:val="24"/>
                <w:szCs w:val="24"/>
                <w:highlight w:val="none"/>
              </w:rPr>
            </w:pPr>
          </w:p>
        </w:tc>
        <w:tc>
          <w:tcPr>
            <w:tcW w:w="851" w:type="dxa"/>
            <w:noWrap w:val="0"/>
            <w:vAlign w:val="center"/>
          </w:tcPr>
          <w:p w14:paraId="0E2ED518">
            <w:pPr>
              <w:jc w:val="center"/>
              <w:rPr>
                <w:rFonts w:hint="eastAsia" w:ascii="宋体" w:hAnsi="宋体" w:eastAsia="宋体" w:cs="宋体"/>
                <w:i w:val="0"/>
                <w:iCs w:val="0"/>
                <w:color w:val="auto"/>
                <w:sz w:val="24"/>
                <w:szCs w:val="24"/>
                <w:highlight w:val="none"/>
              </w:rPr>
            </w:pPr>
          </w:p>
        </w:tc>
        <w:tc>
          <w:tcPr>
            <w:tcW w:w="1228" w:type="dxa"/>
            <w:noWrap w:val="0"/>
            <w:vAlign w:val="center"/>
          </w:tcPr>
          <w:p w14:paraId="274BAF64">
            <w:pPr>
              <w:jc w:val="center"/>
              <w:rPr>
                <w:rFonts w:hint="eastAsia" w:ascii="宋体" w:hAnsi="宋体" w:eastAsia="宋体" w:cs="宋体"/>
                <w:i w:val="0"/>
                <w:iCs w:val="0"/>
                <w:color w:val="auto"/>
                <w:sz w:val="24"/>
                <w:szCs w:val="24"/>
                <w:highlight w:val="none"/>
              </w:rPr>
            </w:pPr>
          </w:p>
        </w:tc>
        <w:tc>
          <w:tcPr>
            <w:tcW w:w="789" w:type="dxa"/>
            <w:noWrap w:val="0"/>
            <w:vAlign w:val="center"/>
          </w:tcPr>
          <w:p w14:paraId="3605A544">
            <w:pPr>
              <w:jc w:val="center"/>
              <w:rPr>
                <w:rFonts w:hint="eastAsia" w:ascii="宋体" w:hAnsi="宋体" w:eastAsia="宋体" w:cs="宋体"/>
                <w:i w:val="0"/>
                <w:iCs w:val="0"/>
                <w:color w:val="auto"/>
                <w:sz w:val="24"/>
                <w:szCs w:val="24"/>
                <w:highlight w:val="none"/>
              </w:rPr>
            </w:pPr>
          </w:p>
        </w:tc>
      </w:tr>
      <w:tr w14:paraId="4380FC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27998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5B9787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03" w:type="dxa"/>
            <w:noWrap w:val="0"/>
            <w:vAlign w:val="center"/>
          </w:tcPr>
          <w:p w14:paraId="7337171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1" w:type="dxa"/>
            <w:noWrap w:val="0"/>
            <w:vAlign w:val="center"/>
          </w:tcPr>
          <w:p w14:paraId="4E9DAB4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2BC3E1A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44" w:type="dxa"/>
            <w:noWrap w:val="0"/>
            <w:vAlign w:val="center"/>
          </w:tcPr>
          <w:p w14:paraId="422EF6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92" w:type="dxa"/>
            <w:noWrap w:val="0"/>
            <w:vAlign w:val="center"/>
          </w:tcPr>
          <w:p w14:paraId="4D4E0F5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center"/>
          </w:tcPr>
          <w:p w14:paraId="68924EF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28" w:type="dxa"/>
            <w:noWrap w:val="0"/>
            <w:vAlign w:val="center"/>
          </w:tcPr>
          <w:p w14:paraId="5C83CAB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89" w:type="dxa"/>
            <w:noWrap w:val="0"/>
            <w:vAlign w:val="center"/>
          </w:tcPr>
          <w:p w14:paraId="216D3DB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49B06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851" w:type="dxa"/>
            <w:noWrap w:val="0"/>
            <w:vAlign w:val="center"/>
          </w:tcPr>
          <w:p w14:paraId="27060466">
            <w:pPr>
              <w:jc w:val="center"/>
              <w:rPr>
                <w:rFonts w:hint="eastAsia" w:ascii="宋体" w:hAnsi="宋体" w:eastAsia="宋体" w:cs="宋体"/>
                <w:i w:val="0"/>
                <w:iCs w:val="0"/>
                <w:color w:val="auto"/>
                <w:sz w:val="24"/>
                <w:szCs w:val="24"/>
                <w:highlight w:val="none"/>
              </w:rPr>
            </w:pPr>
          </w:p>
        </w:tc>
        <w:tc>
          <w:tcPr>
            <w:tcW w:w="1276" w:type="dxa"/>
            <w:noWrap w:val="0"/>
            <w:vAlign w:val="center"/>
          </w:tcPr>
          <w:p w14:paraId="67F0D8E9">
            <w:pPr>
              <w:jc w:val="center"/>
              <w:rPr>
                <w:rFonts w:hint="eastAsia" w:ascii="宋体" w:hAnsi="宋体" w:eastAsia="宋体" w:cs="宋体"/>
                <w:i w:val="0"/>
                <w:iCs w:val="0"/>
                <w:color w:val="auto"/>
                <w:sz w:val="24"/>
                <w:szCs w:val="24"/>
                <w:highlight w:val="none"/>
              </w:rPr>
            </w:pPr>
          </w:p>
        </w:tc>
        <w:tc>
          <w:tcPr>
            <w:tcW w:w="1203" w:type="dxa"/>
            <w:noWrap w:val="0"/>
            <w:vAlign w:val="center"/>
          </w:tcPr>
          <w:p w14:paraId="4DF41E5C">
            <w:pPr>
              <w:jc w:val="center"/>
              <w:rPr>
                <w:rFonts w:hint="eastAsia" w:ascii="宋体" w:hAnsi="宋体" w:eastAsia="宋体" w:cs="宋体"/>
                <w:i w:val="0"/>
                <w:iCs w:val="0"/>
                <w:color w:val="auto"/>
                <w:sz w:val="24"/>
                <w:szCs w:val="24"/>
                <w:highlight w:val="none"/>
              </w:rPr>
            </w:pPr>
          </w:p>
        </w:tc>
        <w:tc>
          <w:tcPr>
            <w:tcW w:w="781" w:type="dxa"/>
            <w:noWrap w:val="0"/>
            <w:vAlign w:val="center"/>
          </w:tcPr>
          <w:p w14:paraId="69A946CD">
            <w:pPr>
              <w:jc w:val="center"/>
              <w:rPr>
                <w:rFonts w:hint="eastAsia" w:ascii="宋体" w:hAnsi="宋体" w:eastAsia="宋体" w:cs="宋体"/>
                <w:i w:val="0"/>
                <w:iCs w:val="0"/>
                <w:color w:val="auto"/>
                <w:sz w:val="24"/>
                <w:szCs w:val="24"/>
                <w:highlight w:val="none"/>
              </w:rPr>
            </w:pPr>
          </w:p>
        </w:tc>
        <w:tc>
          <w:tcPr>
            <w:tcW w:w="851" w:type="dxa"/>
            <w:noWrap w:val="0"/>
            <w:vAlign w:val="center"/>
          </w:tcPr>
          <w:p w14:paraId="1AFF91ED">
            <w:pPr>
              <w:jc w:val="center"/>
              <w:rPr>
                <w:rFonts w:hint="eastAsia" w:ascii="宋体" w:hAnsi="宋体" w:eastAsia="宋体" w:cs="宋体"/>
                <w:i w:val="0"/>
                <w:iCs w:val="0"/>
                <w:color w:val="auto"/>
                <w:sz w:val="24"/>
                <w:szCs w:val="24"/>
                <w:highlight w:val="none"/>
              </w:rPr>
            </w:pPr>
          </w:p>
        </w:tc>
        <w:tc>
          <w:tcPr>
            <w:tcW w:w="1044" w:type="dxa"/>
            <w:noWrap w:val="0"/>
            <w:vAlign w:val="center"/>
          </w:tcPr>
          <w:p w14:paraId="3F0B1EEC">
            <w:pPr>
              <w:jc w:val="center"/>
              <w:rPr>
                <w:rFonts w:hint="eastAsia" w:ascii="宋体" w:hAnsi="宋体" w:eastAsia="宋体" w:cs="宋体"/>
                <w:i w:val="0"/>
                <w:iCs w:val="0"/>
                <w:color w:val="auto"/>
                <w:sz w:val="24"/>
                <w:szCs w:val="24"/>
                <w:highlight w:val="none"/>
              </w:rPr>
            </w:pPr>
          </w:p>
        </w:tc>
        <w:tc>
          <w:tcPr>
            <w:tcW w:w="992" w:type="dxa"/>
            <w:noWrap w:val="0"/>
            <w:vAlign w:val="center"/>
          </w:tcPr>
          <w:p w14:paraId="58236AA7">
            <w:pPr>
              <w:jc w:val="center"/>
              <w:rPr>
                <w:rFonts w:hint="eastAsia" w:ascii="宋体" w:hAnsi="宋体" w:eastAsia="宋体" w:cs="宋体"/>
                <w:i w:val="0"/>
                <w:iCs w:val="0"/>
                <w:color w:val="auto"/>
                <w:sz w:val="24"/>
                <w:szCs w:val="24"/>
                <w:highlight w:val="none"/>
              </w:rPr>
            </w:pPr>
          </w:p>
        </w:tc>
        <w:tc>
          <w:tcPr>
            <w:tcW w:w="851" w:type="dxa"/>
            <w:noWrap w:val="0"/>
            <w:vAlign w:val="center"/>
          </w:tcPr>
          <w:p w14:paraId="798F1D7D">
            <w:pPr>
              <w:jc w:val="center"/>
              <w:rPr>
                <w:rFonts w:hint="eastAsia" w:ascii="宋体" w:hAnsi="宋体" w:eastAsia="宋体" w:cs="宋体"/>
                <w:i w:val="0"/>
                <w:iCs w:val="0"/>
                <w:color w:val="auto"/>
                <w:sz w:val="24"/>
                <w:szCs w:val="24"/>
                <w:highlight w:val="none"/>
              </w:rPr>
            </w:pPr>
          </w:p>
        </w:tc>
        <w:tc>
          <w:tcPr>
            <w:tcW w:w="1228" w:type="dxa"/>
            <w:noWrap w:val="0"/>
            <w:vAlign w:val="center"/>
          </w:tcPr>
          <w:p w14:paraId="3F0A332B">
            <w:pPr>
              <w:jc w:val="center"/>
              <w:rPr>
                <w:rFonts w:hint="eastAsia" w:ascii="宋体" w:hAnsi="宋体" w:eastAsia="宋体" w:cs="宋体"/>
                <w:i w:val="0"/>
                <w:iCs w:val="0"/>
                <w:color w:val="auto"/>
                <w:sz w:val="24"/>
                <w:szCs w:val="24"/>
                <w:highlight w:val="none"/>
              </w:rPr>
            </w:pPr>
          </w:p>
        </w:tc>
        <w:tc>
          <w:tcPr>
            <w:tcW w:w="789" w:type="dxa"/>
            <w:noWrap w:val="0"/>
            <w:vAlign w:val="center"/>
          </w:tcPr>
          <w:p w14:paraId="68CDF3AB">
            <w:pPr>
              <w:jc w:val="center"/>
              <w:rPr>
                <w:rFonts w:hint="eastAsia" w:ascii="宋体" w:hAnsi="宋体" w:eastAsia="宋体" w:cs="宋体"/>
                <w:i w:val="0"/>
                <w:iCs w:val="0"/>
                <w:color w:val="auto"/>
                <w:sz w:val="24"/>
                <w:szCs w:val="24"/>
                <w:highlight w:val="none"/>
              </w:rPr>
            </w:pPr>
          </w:p>
        </w:tc>
      </w:tr>
      <w:tr w14:paraId="4AE5A7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720E318">
            <w:pPr>
              <w:jc w:val="center"/>
              <w:rPr>
                <w:rFonts w:hint="eastAsia" w:ascii="宋体" w:hAnsi="宋体" w:eastAsia="宋体" w:cs="宋体"/>
                <w:i w:val="0"/>
                <w:iCs w:val="0"/>
                <w:color w:val="auto"/>
                <w:sz w:val="24"/>
                <w:szCs w:val="24"/>
                <w:highlight w:val="none"/>
              </w:rPr>
            </w:pPr>
          </w:p>
        </w:tc>
        <w:tc>
          <w:tcPr>
            <w:tcW w:w="1276" w:type="dxa"/>
            <w:noWrap w:val="0"/>
            <w:vAlign w:val="center"/>
          </w:tcPr>
          <w:p w14:paraId="044CF0C2">
            <w:pPr>
              <w:jc w:val="center"/>
              <w:rPr>
                <w:rFonts w:hint="eastAsia" w:ascii="宋体" w:hAnsi="宋体" w:eastAsia="宋体" w:cs="宋体"/>
                <w:i w:val="0"/>
                <w:iCs w:val="0"/>
                <w:color w:val="auto"/>
                <w:sz w:val="24"/>
                <w:szCs w:val="24"/>
                <w:highlight w:val="none"/>
              </w:rPr>
            </w:pPr>
          </w:p>
        </w:tc>
        <w:tc>
          <w:tcPr>
            <w:tcW w:w="1203" w:type="dxa"/>
            <w:noWrap w:val="0"/>
            <w:vAlign w:val="center"/>
          </w:tcPr>
          <w:p w14:paraId="1078E9DC">
            <w:pPr>
              <w:jc w:val="center"/>
              <w:rPr>
                <w:rFonts w:hint="eastAsia" w:ascii="宋体" w:hAnsi="宋体" w:eastAsia="宋体" w:cs="宋体"/>
                <w:i w:val="0"/>
                <w:iCs w:val="0"/>
                <w:color w:val="auto"/>
                <w:sz w:val="24"/>
                <w:szCs w:val="24"/>
                <w:highlight w:val="none"/>
              </w:rPr>
            </w:pPr>
          </w:p>
        </w:tc>
        <w:tc>
          <w:tcPr>
            <w:tcW w:w="781" w:type="dxa"/>
            <w:noWrap w:val="0"/>
            <w:vAlign w:val="center"/>
          </w:tcPr>
          <w:p w14:paraId="1E39183F">
            <w:pPr>
              <w:jc w:val="center"/>
              <w:rPr>
                <w:rFonts w:hint="eastAsia" w:ascii="宋体" w:hAnsi="宋体" w:eastAsia="宋体" w:cs="宋体"/>
                <w:i w:val="0"/>
                <w:iCs w:val="0"/>
                <w:color w:val="auto"/>
                <w:sz w:val="24"/>
                <w:szCs w:val="24"/>
                <w:highlight w:val="none"/>
              </w:rPr>
            </w:pPr>
          </w:p>
        </w:tc>
        <w:tc>
          <w:tcPr>
            <w:tcW w:w="851" w:type="dxa"/>
            <w:noWrap w:val="0"/>
            <w:vAlign w:val="center"/>
          </w:tcPr>
          <w:p w14:paraId="2342B13F">
            <w:pPr>
              <w:jc w:val="center"/>
              <w:rPr>
                <w:rFonts w:hint="eastAsia" w:ascii="宋体" w:hAnsi="宋体" w:eastAsia="宋体" w:cs="宋体"/>
                <w:i w:val="0"/>
                <w:iCs w:val="0"/>
                <w:color w:val="auto"/>
                <w:sz w:val="24"/>
                <w:szCs w:val="24"/>
                <w:highlight w:val="none"/>
              </w:rPr>
            </w:pPr>
          </w:p>
        </w:tc>
        <w:tc>
          <w:tcPr>
            <w:tcW w:w="1044" w:type="dxa"/>
            <w:noWrap w:val="0"/>
            <w:vAlign w:val="center"/>
          </w:tcPr>
          <w:p w14:paraId="34D57641">
            <w:pPr>
              <w:jc w:val="center"/>
              <w:rPr>
                <w:rFonts w:hint="eastAsia" w:ascii="宋体" w:hAnsi="宋体" w:eastAsia="宋体" w:cs="宋体"/>
                <w:i w:val="0"/>
                <w:iCs w:val="0"/>
                <w:color w:val="auto"/>
                <w:sz w:val="24"/>
                <w:szCs w:val="24"/>
                <w:highlight w:val="none"/>
              </w:rPr>
            </w:pPr>
          </w:p>
        </w:tc>
        <w:tc>
          <w:tcPr>
            <w:tcW w:w="992" w:type="dxa"/>
            <w:noWrap w:val="0"/>
            <w:vAlign w:val="center"/>
          </w:tcPr>
          <w:p w14:paraId="09F8E9B1">
            <w:pPr>
              <w:jc w:val="center"/>
              <w:rPr>
                <w:rFonts w:hint="eastAsia" w:ascii="宋体" w:hAnsi="宋体" w:eastAsia="宋体" w:cs="宋体"/>
                <w:i w:val="0"/>
                <w:iCs w:val="0"/>
                <w:color w:val="auto"/>
                <w:sz w:val="24"/>
                <w:szCs w:val="24"/>
                <w:highlight w:val="none"/>
              </w:rPr>
            </w:pPr>
          </w:p>
        </w:tc>
        <w:tc>
          <w:tcPr>
            <w:tcW w:w="851" w:type="dxa"/>
            <w:noWrap w:val="0"/>
            <w:vAlign w:val="center"/>
          </w:tcPr>
          <w:p w14:paraId="65B392E8">
            <w:pPr>
              <w:jc w:val="center"/>
              <w:rPr>
                <w:rFonts w:hint="eastAsia" w:ascii="宋体" w:hAnsi="宋体" w:eastAsia="宋体" w:cs="宋体"/>
                <w:i w:val="0"/>
                <w:iCs w:val="0"/>
                <w:color w:val="auto"/>
                <w:sz w:val="24"/>
                <w:szCs w:val="24"/>
                <w:highlight w:val="none"/>
              </w:rPr>
            </w:pPr>
          </w:p>
        </w:tc>
        <w:tc>
          <w:tcPr>
            <w:tcW w:w="1228" w:type="dxa"/>
            <w:noWrap w:val="0"/>
            <w:vAlign w:val="center"/>
          </w:tcPr>
          <w:p w14:paraId="6A085F2B">
            <w:pPr>
              <w:jc w:val="center"/>
              <w:rPr>
                <w:rFonts w:hint="eastAsia" w:ascii="宋体" w:hAnsi="宋体" w:eastAsia="宋体" w:cs="宋体"/>
                <w:i w:val="0"/>
                <w:iCs w:val="0"/>
                <w:color w:val="auto"/>
                <w:sz w:val="24"/>
                <w:szCs w:val="24"/>
                <w:highlight w:val="none"/>
              </w:rPr>
            </w:pPr>
          </w:p>
        </w:tc>
        <w:tc>
          <w:tcPr>
            <w:tcW w:w="789" w:type="dxa"/>
            <w:noWrap w:val="0"/>
            <w:vAlign w:val="center"/>
          </w:tcPr>
          <w:p w14:paraId="43CA8FCB">
            <w:pPr>
              <w:jc w:val="center"/>
              <w:rPr>
                <w:rFonts w:hint="eastAsia" w:ascii="宋体" w:hAnsi="宋体" w:eastAsia="宋体" w:cs="宋体"/>
                <w:i w:val="0"/>
                <w:iCs w:val="0"/>
                <w:color w:val="auto"/>
                <w:sz w:val="24"/>
                <w:szCs w:val="24"/>
                <w:highlight w:val="none"/>
              </w:rPr>
            </w:pPr>
          </w:p>
        </w:tc>
      </w:tr>
      <w:tr w14:paraId="55E0AA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851" w:type="dxa"/>
            <w:noWrap w:val="0"/>
            <w:vAlign w:val="center"/>
          </w:tcPr>
          <w:p w14:paraId="552FABEF">
            <w:pPr>
              <w:jc w:val="center"/>
              <w:rPr>
                <w:rFonts w:hint="eastAsia" w:ascii="宋体" w:hAnsi="宋体" w:eastAsia="宋体" w:cs="宋体"/>
                <w:i w:val="0"/>
                <w:iCs w:val="0"/>
                <w:color w:val="auto"/>
                <w:sz w:val="24"/>
                <w:szCs w:val="24"/>
                <w:highlight w:val="none"/>
              </w:rPr>
            </w:pPr>
          </w:p>
        </w:tc>
        <w:tc>
          <w:tcPr>
            <w:tcW w:w="1276" w:type="dxa"/>
            <w:noWrap w:val="0"/>
            <w:vAlign w:val="center"/>
          </w:tcPr>
          <w:p w14:paraId="37D4C507">
            <w:pPr>
              <w:jc w:val="center"/>
              <w:rPr>
                <w:rFonts w:hint="eastAsia" w:ascii="宋体" w:hAnsi="宋体" w:eastAsia="宋体" w:cs="宋体"/>
                <w:i w:val="0"/>
                <w:iCs w:val="0"/>
                <w:color w:val="auto"/>
                <w:sz w:val="24"/>
                <w:szCs w:val="24"/>
                <w:highlight w:val="none"/>
              </w:rPr>
            </w:pPr>
          </w:p>
        </w:tc>
        <w:tc>
          <w:tcPr>
            <w:tcW w:w="1203" w:type="dxa"/>
            <w:noWrap w:val="0"/>
            <w:vAlign w:val="center"/>
          </w:tcPr>
          <w:p w14:paraId="11D81497">
            <w:pPr>
              <w:jc w:val="center"/>
              <w:rPr>
                <w:rFonts w:hint="eastAsia" w:ascii="宋体" w:hAnsi="宋体" w:eastAsia="宋体" w:cs="宋体"/>
                <w:i w:val="0"/>
                <w:iCs w:val="0"/>
                <w:color w:val="auto"/>
                <w:sz w:val="24"/>
                <w:szCs w:val="24"/>
                <w:highlight w:val="none"/>
              </w:rPr>
            </w:pPr>
          </w:p>
        </w:tc>
        <w:tc>
          <w:tcPr>
            <w:tcW w:w="781" w:type="dxa"/>
            <w:noWrap w:val="0"/>
            <w:vAlign w:val="center"/>
          </w:tcPr>
          <w:p w14:paraId="2EADDAE2">
            <w:pPr>
              <w:jc w:val="center"/>
              <w:rPr>
                <w:rFonts w:hint="eastAsia" w:ascii="宋体" w:hAnsi="宋体" w:eastAsia="宋体" w:cs="宋体"/>
                <w:i w:val="0"/>
                <w:iCs w:val="0"/>
                <w:color w:val="auto"/>
                <w:sz w:val="24"/>
                <w:szCs w:val="24"/>
                <w:highlight w:val="none"/>
              </w:rPr>
            </w:pPr>
          </w:p>
        </w:tc>
        <w:tc>
          <w:tcPr>
            <w:tcW w:w="851" w:type="dxa"/>
            <w:noWrap w:val="0"/>
            <w:vAlign w:val="center"/>
          </w:tcPr>
          <w:p w14:paraId="5D0BC46E">
            <w:pPr>
              <w:jc w:val="center"/>
              <w:rPr>
                <w:rFonts w:hint="eastAsia" w:ascii="宋体" w:hAnsi="宋体" w:eastAsia="宋体" w:cs="宋体"/>
                <w:i w:val="0"/>
                <w:iCs w:val="0"/>
                <w:color w:val="auto"/>
                <w:sz w:val="24"/>
                <w:szCs w:val="24"/>
                <w:highlight w:val="none"/>
              </w:rPr>
            </w:pPr>
          </w:p>
        </w:tc>
        <w:tc>
          <w:tcPr>
            <w:tcW w:w="1044" w:type="dxa"/>
            <w:noWrap w:val="0"/>
            <w:vAlign w:val="center"/>
          </w:tcPr>
          <w:p w14:paraId="145BE9AB">
            <w:pPr>
              <w:jc w:val="center"/>
              <w:rPr>
                <w:rFonts w:hint="eastAsia" w:ascii="宋体" w:hAnsi="宋体" w:eastAsia="宋体" w:cs="宋体"/>
                <w:i w:val="0"/>
                <w:iCs w:val="0"/>
                <w:color w:val="auto"/>
                <w:sz w:val="24"/>
                <w:szCs w:val="24"/>
                <w:highlight w:val="none"/>
              </w:rPr>
            </w:pPr>
          </w:p>
        </w:tc>
        <w:tc>
          <w:tcPr>
            <w:tcW w:w="992" w:type="dxa"/>
            <w:noWrap w:val="0"/>
            <w:vAlign w:val="center"/>
          </w:tcPr>
          <w:p w14:paraId="50EE8AE2">
            <w:pPr>
              <w:jc w:val="center"/>
              <w:rPr>
                <w:rFonts w:hint="eastAsia" w:ascii="宋体" w:hAnsi="宋体" w:eastAsia="宋体" w:cs="宋体"/>
                <w:i w:val="0"/>
                <w:iCs w:val="0"/>
                <w:color w:val="auto"/>
                <w:sz w:val="24"/>
                <w:szCs w:val="24"/>
                <w:highlight w:val="none"/>
              </w:rPr>
            </w:pPr>
          </w:p>
        </w:tc>
        <w:tc>
          <w:tcPr>
            <w:tcW w:w="851" w:type="dxa"/>
            <w:noWrap w:val="0"/>
            <w:vAlign w:val="center"/>
          </w:tcPr>
          <w:p w14:paraId="0B39D8EC">
            <w:pPr>
              <w:jc w:val="center"/>
              <w:rPr>
                <w:rFonts w:hint="eastAsia" w:ascii="宋体" w:hAnsi="宋体" w:eastAsia="宋体" w:cs="宋体"/>
                <w:i w:val="0"/>
                <w:iCs w:val="0"/>
                <w:color w:val="auto"/>
                <w:sz w:val="24"/>
                <w:szCs w:val="24"/>
                <w:highlight w:val="none"/>
              </w:rPr>
            </w:pPr>
          </w:p>
        </w:tc>
        <w:tc>
          <w:tcPr>
            <w:tcW w:w="1228" w:type="dxa"/>
            <w:noWrap w:val="0"/>
            <w:vAlign w:val="center"/>
          </w:tcPr>
          <w:p w14:paraId="7255A859">
            <w:pPr>
              <w:jc w:val="center"/>
              <w:rPr>
                <w:rFonts w:hint="eastAsia" w:ascii="宋体" w:hAnsi="宋体" w:eastAsia="宋体" w:cs="宋体"/>
                <w:i w:val="0"/>
                <w:iCs w:val="0"/>
                <w:color w:val="auto"/>
                <w:sz w:val="24"/>
                <w:szCs w:val="24"/>
                <w:highlight w:val="none"/>
              </w:rPr>
            </w:pPr>
          </w:p>
        </w:tc>
        <w:tc>
          <w:tcPr>
            <w:tcW w:w="789" w:type="dxa"/>
            <w:noWrap w:val="0"/>
            <w:vAlign w:val="center"/>
          </w:tcPr>
          <w:p w14:paraId="47DC6432">
            <w:pPr>
              <w:jc w:val="center"/>
              <w:rPr>
                <w:rFonts w:hint="eastAsia" w:ascii="宋体" w:hAnsi="宋体" w:eastAsia="宋体" w:cs="宋体"/>
                <w:i w:val="0"/>
                <w:iCs w:val="0"/>
                <w:color w:val="auto"/>
                <w:sz w:val="24"/>
                <w:szCs w:val="24"/>
                <w:highlight w:val="none"/>
              </w:rPr>
            </w:pPr>
          </w:p>
        </w:tc>
      </w:tr>
      <w:tr w14:paraId="539C2C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304F15C">
            <w:pPr>
              <w:jc w:val="center"/>
              <w:rPr>
                <w:rFonts w:hint="eastAsia" w:ascii="宋体" w:hAnsi="宋体" w:eastAsia="宋体" w:cs="宋体"/>
                <w:i w:val="0"/>
                <w:iCs w:val="0"/>
                <w:color w:val="auto"/>
                <w:sz w:val="24"/>
                <w:szCs w:val="24"/>
                <w:highlight w:val="none"/>
              </w:rPr>
            </w:pPr>
          </w:p>
        </w:tc>
        <w:tc>
          <w:tcPr>
            <w:tcW w:w="1276" w:type="dxa"/>
            <w:noWrap w:val="0"/>
            <w:vAlign w:val="center"/>
          </w:tcPr>
          <w:p w14:paraId="0E608DA9">
            <w:pPr>
              <w:jc w:val="center"/>
              <w:rPr>
                <w:rFonts w:hint="eastAsia" w:ascii="宋体" w:hAnsi="宋体" w:eastAsia="宋体" w:cs="宋体"/>
                <w:i w:val="0"/>
                <w:iCs w:val="0"/>
                <w:color w:val="auto"/>
                <w:sz w:val="24"/>
                <w:szCs w:val="24"/>
                <w:highlight w:val="none"/>
              </w:rPr>
            </w:pPr>
          </w:p>
        </w:tc>
        <w:tc>
          <w:tcPr>
            <w:tcW w:w="1203" w:type="dxa"/>
            <w:noWrap w:val="0"/>
            <w:vAlign w:val="center"/>
          </w:tcPr>
          <w:p w14:paraId="353FA388">
            <w:pPr>
              <w:jc w:val="center"/>
              <w:rPr>
                <w:rFonts w:hint="eastAsia" w:ascii="宋体" w:hAnsi="宋体" w:eastAsia="宋体" w:cs="宋体"/>
                <w:i w:val="0"/>
                <w:iCs w:val="0"/>
                <w:color w:val="auto"/>
                <w:sz w:val="24"/>
                <w:szCs w:val="24"/>
                <w:highlight w:val="none"/>
              </w:rPr>
            </w:pPr>
          </w:p>
        </w:tc>
        <w:tc>
          <w:tcPr>
            <w:tcW w:w="781" w:type="dxa"/>
            <w:noWrap w:val="0"/>
            <w:vAlign w:val="center"/>
          </w:tcPr>
          <w:p w14:paraId="7A35BF5A">
            <w:pPr>
              <w:jc w:val="center"/>
              <w:rPr>
                <w:rFonts w:hint="eastAsia" w:ascii="宋体" w:hAnsi="宋体" w:eastAsia="宋体" w:cs="宋体"/>
                <w:i w:val="0"/>
                <w:iCs w:val="0"/>
                <w:color w:val="auto"/>
                <w:sz w:val="24"/>
                <w:szCs w:val="24"/>
                <w:highlight w:val="none"/>
              </w:rPr>
            </w:pPr>
          </w:p>
        </w:tc>
        <w:tc>
          <w:tcPr>
            <w:tcW w:w="851" w:type="dxa"/>
            <w:noWrap w:val="0"/>
            <w:vAlign w:val="center"/>
          </w:tcPr>
          <w:p w14:paraId="7699A661">
            <w:pPr>
              <w:jc w:val="center"/>
              <w:rPr>
                <w:rFonts w:hint="eastAsia" w:ascii="宋体" w:hAnsi="宋体" w:eastAsia="宋体" w:cs="宋体"/>
                <w:i w:val="0"/>
                <w:iCs w:val="0"/>
                <w:color w:val="auto"/>
                <w:sz w:val="24"/>
                <w:szCs w:val="24"/>
                <w:highlight w:val="none"/>
              </w:rPr>
            </w:pPr>
          </w:p>
        </w:tc>
        <w:tc>
          <w:tcPr>
            <w:tcW w:w="1044" w:type="dxa"/>
            <w:noWrap w:val="0"/>
            <w:vAlign w:val="center"/>
          </w:tcPr>
          <w:p w14:paraId="433049F9">
            <w:pPr>
              <w:jc w:val="center"/>
              <w:rPr>
                <w:rFonts w:hint="eastAsia" w:ascii="宋体" w:hAnsi="宋体" w:eastAsia="宋体" w:cs="宋体"/>
                <w:i w:val="0"/>
                <w:iCs w:val="0"/>
                <w:color w:val="auto"/>
                <w:sz w:val="24"/>
                <w:szCs w:val="24"/>
                <w:highlight w:val="none"/>
              </w:rPr>
            </w:pPr>
          </w:p>
        </w:tc>
        <w:tc>
          <w:tcPr>
            <w:tcW w:w="992" w:type="dxa"/>
            <w:noWrap w:val="0"/>
            <w:vAlign w:val="center"/>
          </w:tcPr>
          <w:p w14:paraId="7408AD82">
            <w:pPr>
              <w:jc w:val="center"/>
              <w:rPr>
                <w:rFonts w:hint="eastAsia" w:ascii="宋体" w:hAnsi="宋体" w:eastAsia="宋体" w:cs="宋体"/>
                <w:i w:val="0"/>
                <w:iCs w:val="0"/>
                <w:color w:val="auto"/>
                <w:sz w:val="24"/>
                <w:szCs w:val="24"/>
                <w:highlight w:val="none"/>
              </w:rPr>
            </w:pPr>
          </w:p>
        </w:tc>
        <w:tc>
          <w:tcPr>
            <w:tcW w:w="851" w:type="dxa"/>
            <w:noWrap w:val="0"/>
            <w:vAlign w:val="center"/>
          </w:tcPr>
          <w:p w14:paraId="77CE376D">
            <w:pPr>
              <w:jc w:val="center"/>
              <w:rPr>
                <w:rFonts w:hint="eastAsia" w:ascii="宋体" w:hAnsi="宋体" w:eastAsia="宋体" w:cs="宋体"/>
                <w:i w:val="0"/>
                <w:iCs w:val="0"/>
                <w:color w:val="auto"/>
                <w:sz w:val="24"/>
                <w:szCs w:val="24"/>
                <w:highlight w:val="none"/>
              </w:rPr>
            </w:pPr>
          </w:p>
        </w:tc>
        <w:tc>
          <w:tcPr>
            <w:tcW w:w="1228" w:type="dxa"/>
            <w:noWrap w:val="0"/>
            <w:vAlign w:val="center"/>
          </w:tcPr>
          <w:p w14:paraId="2283F2BF">
            <w:pPr>
              <w:jc w:val="center"/>
              <w:rPr>
                <w:rFonts w:hint="eastAsia" w:ascii="宋体" w:hAnsi="宋体" w:eastAsia="宋体" w:cs="宋体"/>
                <w:i w:val="0"/>
                <w:iCs w:val="0"/>
                <w:color w:val="auto"/>
                <w:sz w:val="24"/>
                <w:szCs w:val="24"/>
                <w:highlight w:val="none"/>
              </w:rPr>
            </w:pPr>
          </w:p>
        </w:tc>
        <w:tc>
          <w:tcPr>
            <w:tcW w:w="789" w:type="dxa"/>
            <w:noWrap w:val="0"/>
            <w:vAlign w:val="center"/>
          </w:tcPr>
          <w:p w14:paraId="3D7AE12A">
            <w:pPr>
              <w:jc w:val="center"/>
              <w:rPr>
                <w:rFonts w:hint="eastAsia" w:ascii="宋体" w:hAnsi="宋体" w:eastAsia="宋体" w:cs="宋体"/>
                <w:i w:val="0"/>
                <w:iCs w:val="0"/>
                <w:color w:val="auto"/>
                <w:sz w:val="24"/>
                <w:szCs w:val="24"/>
                <w:highlight w:val="none"/>
              </w:rPr>
            </w:pPr>
          </w:p>
        </w:tc>
      </w:tr>
      <w:tr w14:paraId="7AE3EB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7176E5F">
            <w:pPr>
              <w:jc w:val="center"/>
              <w:rPr>
                <w:rFonts w:hint="eastAsia" w:ascii="宋体" w:hAnsi="宋体" w:eastAsia="宋体" w:cs="宋体"/>
                <w:i w:val="0"/>
                <w:iCs w:val="0"/>
                <w:color w:val="auto"/>
                <w:sz w:val="24"/>
                <w:szCs w:val="24"/>
                <w:highlight w:val="none"/>
              </w:rPr>
            </w:pPr>
          </w:p>
        </w:tc>
        <w:tc>
          <w:tcPr>
            <w:tcW w:w="1276" w:type="dxa"/>
            <w:noWrap w:val="0"/>
            <w:vAlign w:val="center"/>
          </w:tcPr>
          <w:p w14:paraId="088DE2D1">
            <w:pPr>
              <w:jc w:val="center"/>
              <w:rPr>
                <w:rFonts w:hint="eastAsia" w:ascii="宋体" w:hAnsi="宋体" w:eastAsia="宋体" w:cs="宋体"/>
                <w:i w:val="0"/>
                <w:iCs w:val="0"/>
                <w:color w:val="auto"/>
                <w:sz w:val="24"/>
                <w:szCs w:val="24"/>
                <w:highlight w:val="none"/>
              </w:rPr>
            </w:pPr>
          </w:p>
        </w:tc>
        <w:tc>
          <w:tcPr>
            <w:tcW w:w="1203" w:type="dxa"/>
            <w:noWrap w:val="0"/>
            <w:vAlign w:val="center"/>
          </w:tcPr>
          <w:p w14:paraId="64FBF9B6">
            <w:pPr>
              <w:jc w:val="center"/>
              <w:rPr>
                <w:rFonts w:hint="eastAsia" w:ascii="宋体" w:hAnsi="宋体" w:eastAsia="宋体" w:cs="宋体"/>
                <w:i w:val="0"/>
                <w:iCs w:val="0"/>
                <w:color w:val="auto"/>
                <w:sz w:val="24"/>
                <w:szCs w:val="24"/>
                <w:highlight w:val="none"/>
              </w:rPr>
            </w:pPr>
          </w:p>
        </w:tc>
        <w:tc>
          <w:tcPr>
            <w:tcW w:w="781" w:type="dxa"/>
            <w:noWrap w:val="0"/>
            <w:vAlign w:val="center"/>
          </w:tcPr>
          <w:p w14:paraId="54D5B9FB">
            <w:pPr>
              <w:jc w:val="center"/>
              <w:rPr>
                <w:rFonts w:hint="eastAsia" w:ascii="宋体" w:hAnsi="宋体" w:eastAsia="宋体" w:cs="宋体"/>
                <w:i w:val="0"/>
                <w:iCs w:val="0"/>
                <w:color w:val="auto"/>
                <w:sz w:val="24"/>
                <w:szCs w:val="24"/>
                <w:highlight w:val="none"/>
              </w:rPr>
            </w:pPr>
          </w:p>
        </w:tc>
        <w:tc>
          <w:tcPr>
            <w:tcW w:w="851" w:type="dxa"/>
            <w:noWrap w:val="0"/>
            <w:vAlign w:val="center"/>
          </w:tcPr>
          <w:p w14:paraId="74110CE6">
            <w:pPr>
              <w:jc w:val="center"/>
              <w:rPr>
                <w:rFonts w:hint="eastAsia" w:ascii="宋体" w:hAnsi="宋体" w:eastAsia="宋体" w:cs="宋体"/>
                <w:i w:val="0"/>
                <w:iCs w:val="0"/>
                <w:color w:val="auto"/>
                <w:sz w:val="24"/>
                <w:szCs w:val="24"/>
                <w:highlight w:val="none"/>
              </w:rPr>
            </w:pPr>
          </w:p>
        </w:tc>
        <w:tc>
          <w:tcPr>
            <w:tcW w:w="1044" w:type="dxa"/>
            <w:noWrap w:val="0"/>
            <w:vAlign w:val="center"/>
          </w:tcPr>
          <w:p w14:paraId="66B88BE3">
            <w:pPr>
              <w:jc w:val="center"/>
              <w:rPr>
                <w:rFonts w:hint="eastAsia" w:ascii="宋体" w:hAnsi="宋体" w:eastAsia="宋体" w:cs="宋体"/>
                <w:i w:val="0"/>
                <w:iCs w:val="0"/>
                <w:color w:val="auto"/>
                <w:sz w:val="24"/>
                <w:szCs w:val="24"/>
                <w:highlight w:val="none"/>
              </w:rPr>
            </w:pPr>
          </w:p>
        </w:tc>
        <w:tc>
          <w:tcPr>
            <w:tcW w:w="992" w:type="dxa"/>
            <w:noWrap w:val="0"/>
            <w:vAlign w:val="center"/>
          </w:tcPr>
          <w:p w14:paraId="4F24F2BA">
            <w:pPr>
              <w:jc w:val="center"/>
              <w:rPr>
                <w:rFonts w:hint="eastAsia" w:ascii="宋体" w:hAnsi="宋体" w:eastAsia="宋体" w:cs="宋体"/>
                <w:i w:val="0"/>
                <w:iCs w:val="0"/>
                <w:color w:val="auto"/>
                <w:sz w:val="24"/>
                <w:szCs w:val="24"/>
                <w:highlight w:val="none"/>
              </w:rPr>
            </w:pPr>
          </w:p>
        </w:tc>
        <w:tc>
          <w:tcPr>
            <w:tcW w:w="851" w:type="dxa"/>
            <w:noWrap w:val="0"/>
            <w:vAlign w:val="center"/>
          </w:tcPr>
          <w:p w14:paraId="19391326">
            <w:pPr>
              <w:jc w:val="center"/>
              <w:rPr>
                <w:rFonts w:hint="eastAsia" w:ascii="宋体" w:hAnsi="宋体" w:eastAsia="宋体" w:cs="宋体"/>
                <w:i w:val="0"/>
                <w:iCs w:val="0"/>
                <w:color w:val="auto"/>
                <w:sz w:val="24"/>
                <w:szCs w:val="24"/>
                <w:highlight w:val="none"/>
              </w:rPr>
            </w:pPr>
          </w:p>
        </w:tc>
        <w:tc>
          <w:tcPr>
            <w:tcW w:w="1228" w:type="dxa"/>
            <w:noWrap w:val="0"/>
            <w:vAlign w:val="center"/>
          </w:tcPr>
          <w:p w14:paraId="26B1E7CE">
            <w:pPr>
              <w:jc w:val="center"/>
              <w:rPr>
                <w:rFonts w:hint="eastAsia" w:ascii="宋体" w:hAnsi="宋体" w:eastAsia="宋体" w:cs="宋体"/>
                <w:i w:val="0"/>
                <w:iCs w:val="0"/>
                <w:color w:val="auto"/>
                <w:sz w:val="24"/>
                <w:szCs w:val="24"/>
                <w:highlight w:val="none"/>
              </w:rPr>
            </w:pPr>
          </w:p>
        </w:tc>
        <w:tc>
          <w:tcPr>
            <w:tcW w:w="789" w:type="dxa"/>
            <w:noWrap w:val="0"/>
            <w:vAlign w:val="center"/>
          </w:tcPr>
          <w:p w14:paraId="4E8D6870">
            <w:pPr>
              <w:jc w:val="center"/>
              <w:rPr>
                <w:rFonts w:hint="eastAsia" w:ascii="宋体" w:hAnsi="宋体" w:eastAsia="宋体" w:cs="宋体"/>
                <w:i w:val="0"/>
                <w:iCs w:val="0"/>
                <w:color w:val="auto"/>
                <w:sz w:val="24"/>
                <w:szCs w:val="24"/>
                <w:highlight w:val="none"/>
              </w:rPr>
            </w:pPr>
          </w:p>
        </w:tc>
      </w:tr>
      <w:tr w14:paraId="351E8A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5CA01DB">
            <w:pPr>
              <w:jc w:val="center"/>
              <w:rPr>
                <w:rFonts w:hint="eastAsia" w:ascii="宋体" w:hAnsi="宋体" w:eastAsia="宋体" w:cs="宋体"/>
                <w:i w:val="0"/>
                <w:iCs w:val="0"/>
                <w:color w:val="auto"/>
                <w:sz w:val="24"/>
                <w:szCs w:val="24"/>
                <w:highlight w:val="none"/>
              </w:rPr>
            </w:pPr>
          </w:p>
        </w:tc>
        <w:tc>
          <w:tcPr>
            <w:tcW w:w="1276" w:type="dxa"/>
            <w:noWrap w:val="0"/>
            <w:vAlign w:val="center"/>
          </w:tcPr>
          <w:p w14:paraId="22DA7B13">
            <w:pPr>
              <w:jc w:val="center"/>
              <w:rPr>
                <w:rFonts w:hint="eastAsia" w:ascii="宋体" w:hAnsi="宋体" w:eastAsia="宋体" w:cs="宋体"/>
                <w:i w:val="0"/>
                <w:iCs w:val="0"/>
                <w:color w:val="auto"/>
                <w:sz w:val="24"/>
                <w:szCs w:val="24"/>
                <w:highlight w:val="none"/>
              </w:rPr>
            </w:pPr>
          </w:p>
        </w:tc>
        <w:tc>
          <w:tcPr>
            <w:tcW w:w="1203" w:type="dxa"/>
            <w:noWrap w:val="0"/>
            <w:vAlign w:val="center"/>
          </w:tcPr>
          <w:p w14:paraId="5473E62B">
            <w:pPr>
              <w:jc w:val="center"/>
              <w:rPr>
                <w:rFonts w:hint="eastAsia" w:ascii="宋体" w:hAnsi="宋体" w:eastAsia="宋体" w:cs="宋体"/>
                <w:i w:val="0"/>
                <w:iCs w:val="0"/>
                <w:color w:val="auto"/>
                <w:sz w:val="24"/>
                <w:szCs w:val="24"/>
                <w:highlight w:val="none"/>
              </w:rPr>
            </w:pPr>
          </w:p>
        </w:tc>
        <w:tc>
          <w:tcPr>
            <w:tcW w:w="781" w:type="dxa"/>
            <w:noWrap w:val="0"/>
            <w:vAlign w:val="center"/>
          </w:tcPr>
          <w:p w14:paraId="6D727BD7">
            <w:pPr>
              <w:jc w:val="center"/>
              <w:rPr>
                <w:rFonts w:hint="eastAsia" w:ascii="宋体" w:hAnsi="宋体" w:eastAsia="宋体" w:cs="宋体"/>
                <w:i w:val="0"/>
                <w:iCs w:val="0"/>
                <w:color w:val="auto"/>
                <w:sz w:val="24"/>
                <w:szCs w:val="24"/>
                <w:highlight w:val="none"/>
              </w:rPr>
            </w:pPr>
          </w:p>
        </w:tc>
        <w:tc>
          <w:tcPr>
            <w:tcW w:w="851" w:type="dxa"/>
            <w:noWrap w:val="0"/>
            <w:vAlign w:val="center"/>
          </w:tcPr>
          <w:p w14:paraId="6C6429BF">
            <w:pPr>
              <w:jc w:val="center"/>
              <w:rPr>
                <w:rFonts w:hint="eastAsia" w:ascii="宋体" w:hAnsi="宋体" w:eastAsia="宋体" w:cs="宋体"/>
                <w:i w:val="0"/>
                <w:iCs w:val="0"/>
                <w:color w:val="auto"/>
                <w:sz w:val="24"/>
                <w:szCs w:val="24"/>
                <w:highlight w:val="none"/>
              </w:rPr>
            </w:pPr>
          </w:p>
        </w:tc>
        <w:tc>
          <w:tcPr>
            <w:tcW w:w="1044" w:type="dxa"/>
            <w:noWrap w:val="0"/>
            <w:vAlign w:val="center"/>
          </w:tcPr>
          <w:p w14:paraId="70FFB11D">
            <w:pPr>
              <w:jc w:val="center"/>
              <w:rPr>
                <w:rFonts w:hint="eastAsia" w:ascii="宋体" w:hAnsi="宋体" w:eastAsia="宋体" w:cs="宋体"/>
                <w:i w:val="0"/>
                <w:iCs w:val="0"/>
                <w:color w:val="auto"/>
                <w:sz w:val="24"/>
                <w:szCs w:val="24"/>
                <w:highlight w:val="none"/>
              </w:rPr>
            </w:pPr>
          </w:p>
        </w:tc>
        <w:tc>
          <w:tcPr>
            <w:tcW w:w="992" w:type="dxa"/>
            <w:noWrap w:val="0"/>
            <w:vAlign w:val="center"/>
          </w:tcPr>
          <w:p w14:paraId="5B136F88">
            <w:pPr>
              <w:jc w:val="center"/>
              <w:rPr>
                <w:rFonts w:hint="eastAsia" w:ascii="宋体" w:hAnsi="宋体" w:eastAsia="宋体" w:cs="宋体"/>
                <w:i w:val="0"/>
                <w:iCs w:val="0"/>
                <w:color w:val="auto"/>
                <w:sz w:val="24"/>
                <w:szCs w:val="24"/>
                <w:highlight w:val="none"/>
              </w:rPr>
            </w:pPr>
          </w:p>
        </w:tc>
        <w:tc>
          <w:tcPr>
            <w:tcW w:w="851" w:type="dxa"/>
            <w:noWrap w:val="0"/>
            <w:vAlign w:val="center"/>
          </w:tcPr>
          <w:p w14:paraId="092E1AEF">
            <w:pPr>
              <w:jc w:val="center"/>
              <w:rPr>
                <w:rFonts w:hint="eastAsia" w:ascii="宋体" w:hAnsi="宋体" w:eastAsia="宋体" w:cs="宋体"/>
                <w:i w:val="0"/>
                <w:iCs w:val="0"/>
                <w:color w:val="auto"/>
                <w:sz w:val="24"/>
                <w:szCs w:val="24"/>
                <w:highlight w:val="none"/>
              </w:rPr>
            </w:pPr>
          </w:p>
        </w:tc>
        <w:tc>
          <w:tcPr>
            <w:tcW w:w="1228" w:type="dxa"/>
            <w:noWrap w:val="0"/>
            <w:vAlign w:val="center"/>
          </w:tcPr>
          <w:p w14:paraId="25F00258">
            <w:pPr>
              <w:jc w:val="center"/>
              <w:rPr>
                <w:rFonts w:hint="eastAsia" w:ascii="宋体" w:hAnsi="宋体" w:eastAsia="宋体" w:cs="宋体"/>
                <w:i w:val="0"/>
                <w:iCs w:val="0"/>
                <w:color w:val="auto"/>
                <w:sz w:val="24"/>
                <w:szCs w:val="24"/>
                <w:highlight w:val="none"/>
              </w:rPr>
            </w:pPr>
          </w:p>
        </w:tc>
        <w:tc>
          <w:tcPr>
            <w:tcW w:w="789" w:type="dxa"/>
            <w:noWrap w:val="0"/>
            <w:vAlign w:val="center"/>
          </w:tcPr>
          <w:p w14:paraId="0F2EEED8">
            <w:pPr>
              <w:jc w:val="center"/>
              <w:rPr>
                <w:rFonts w:hint="eastAsia" w:ascii="宋体" w:hAnsi="宋体" w:eastAsia="宋体" w:cs="宋体"/>
                <w:i w:val="0"/>
                <w:iCs w:val="0"/>
                <w:color w:val="auto"/>
                <w:sz w:val="24"/>
                <w:szCs w:val="24"/>
                <w:highlight w:val="none"/>
              </w:rPr>
            </w:pPr>
          </w:p>
        </w:tc>
      </w:tr>
      <w:tr w14:paraId="23E40D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3A349E4">
            <w:pPr>
              <w:jc w:val="center"/>
              <w:rPr>
                <w:rFonts w:hint="eastAsia" w:ascii="宋体" w:hAnsi="宋体" w:eastAsia="宋体" w:cs="宋体"/>
                <w:i w:val="0"/>
                <w:iCs w:val="0"/>
                <w:color w:val="auto"/>
                <w:sz w:val="24"/>
                <w:szCs w:val="24"/>
                <w:highlight w:val="none"/>
              </w:rPr>
            </w:pPr>
          </w:p>
        </w:tc>
        <w:tc>
          <w:tcPr>
            <w:tcW w:w="1276" w:type="dxa"/>
            <w:noWrap w:val="0"/>
            <w:vAlign w:val="center"/>
          </w:tcPr>
          <w:p w14:paraId="352B4025">
            <w:pPr>
              <w:jc w:val="center"/>
              <w:rPr>
                <w:rFonts w:hint="eastAsia" w:ascii="宋体" w:hAnsi="宋体" w:eastAsia="宋体" w:cs="宋体"/>
                <w:i w:val="0"/>
                <w:iCs w:val="0"/>
                <w:color w:val="auto"/>
                <w:sz w:val="24"/>
                <w:szCs w:val="24"/>
                <w:highlight w:val="none"/>
              </w:rPr>
            </w:pPr>
          </w:p>
        </w:tc>
        <w:tc>
          <w:tcPr>
            <w:tcW w:w="1203" w:type="dxa"/>
            <w:noWrap w:val="0"/>
            <w:vAlign w:val="center"/>
          </w:tcPr>
          <w:p w14:paraId="5D0BDF80">
            <w:pPr>
              <w:jc w:val="center"/>
              <w:rPr>
                <w:rFonts w:hint="eastAsia" w:ascii="宋体" w:hAnsi="宋体" w:eastAsia="宋体" w:cs="宋体"/>
                <w:i w:val="0"/>
                <w:iCs w:val="0"/>
                <w:color w:val="auto"/>
                <w:sz w:val="24"/>
                <w:szCs w:val="24"/>
                <w:highlight w:val="none"/>
              </w:rPr>
            </w:pPr>
          </w:p>
        </w:tc>
        <w:tc>
          <w:tcPr>
            <w:tcW w:w="781" w:type="dxa"/>
            <w:noWrap w:val="0"/>
            <w:vAlign w:val="center"/>
          </w:tcPr>
          <w:p w14:paraId="145C200A">
            <w:pPr>
              <w:jc w:val="center"/>
              <w:rPr>
                <w:rFonts w:hint="eastAsia" w:ascii="宋体" w:hAnsi="宋体" w:eastAsia="宋体" w:cs="宋体"/>
                <w:i w:val="0"/>
                <w:iCs w:val="0"/>
                <w:color w:val="auto"/>
                <w:sz w:val="24"/>
                <w:szCs w:val="24"/>
                <w:highlight w:val="none"/>
              </w:rPr>
            </w:pPr>
          </w:p>
        </w:tc>
        <w:tc>
          <w:tcPr>
            <w:tcW w:w="851" w:type="dxa"/>
            <w:noWrap w:val="0"/>
            <w:vAlign w:val="center"/>
          </w:tcPr>
          <w:p w14:paraId="069DE622">
            <w:pPr>
              <w:jc w:val="center"/>
              <w:rPr>
                <w:rFonts w:hint="eastAsia" w:ascii="宋体" w:hAnsi="宋体" w:eastAsia="宋体" w:cs="宋体"/>
                <w:i w:val="0"/>
                <w:iCs w:val="0"/>
                <w:color w:val="auto"/>
                <w:sz w:val="24"/>
                <w:szCs w:val="24"/>
                <w:highlight w:val="none"/>
              </w:rPr>
            </w:pPr>
          </w:p>
        </w:tc>
        <w:tc>
          <w:tcPr>
            <w:tcW w:w="1044" w:type="dxa"/>
            <w:noWrap w:val="0"/>
            <w:vAlign w:val="center"/>
          </w:tcPr>
          <w:p w14:paraId="4FBC1B98">
            <w:pPr>
              <w:jc w:val="center"/>
              <w:rPr>
                <w:rFonts w:hint="eastAsia" w:ascii="宋体" w:hAnsi="宋体" w:eastAsia="宋体" w:cs="宋体"/>
                <w:i w:val="0"/>
                <w:iCs w:val="0"/>
                <w:color w:val="auto"/>
                <w:sz w:val="24"/>
                <w:szCs w:val="24"/>
                <w:highlight w:val="none"/>
              </w:rPr>
            </w:pPr>
          </w:p>
        </w:tc>
        <w:tc>
          <w:tcPr>
            <w:tcW w:w="992" w:type="dxa"/>
            <w:noWrap w:val="0"/>
            <w:vAlign w:val="center"/>
          </w:tcPr>
          <w:p w14:paraId="1CA75764">
            <w:pPr>
              <w:jc w:val="center"/>
              <w:rPr>
                <w:rFonts w:hint="eastAsia" w:ascii="宋体" w:hAnsi="宋体" w:eastAsia="宋体" w:cs="宋体"/>
                <w:i w:val="0"/>
                <w:iCs w:val="0"/>
                <w:color w:val="auto"/>
                <w:sz w:val="24"/>
                <w:szCs w:val="24"/>
                <w:highlight w:val="none"/>
              </w:rPr>
            </w:pPr>
          </w:p>
        </w:tc>
        <w:tc>
          <w:tcPr>
            <w:tcW w:w="851" w:type="dxa"/>
            <w:noWrap w:val="0"/>
            <w:vAlign w:val="center"/>
          </w:tcPr>
          <w:p w14:paraId="1DA705FB">
            <w:pPr>
              <w:jc w:val="center"/>
              <w:rPr>
                <w:rFonts w:hint="eastAsia" w:ascii="宋体" w:hAnsi="宋体" w:eastAsia="宋体" w:cs="宋体"/>
                <w:i w:val="0"/>
                <w:iCs w:val="0"/>
                <w:color w:val="auto"/>
                <w:sz w:val="24"/>
                <w:szCs w:val="24"/>
                <w:highlight w:val="none"/>
              </w:rPr>
            </w:pPr>
          </w:p>
        </w:tc>
        <w:tc>
          <w:tcPr>
            <w:tcW w:w="1228" w:type="dxa"/>
            <w:noWrap w:val="0"/>
            <w:vAlign w:val="center"/>
          </w:tcPr>
          <w:p w14:paraId="7BF9B9A4">
            <w:pPr>
              <w:jc w:val="center"/>
              <w:rPr>
                <w:rFonts w:hint="eastAsia" w:ascii="宋体" w:hAnsi="宋体" w:eastAsia="宋体" w:cs="宋体"/>
                <w:i w:val="0"/>
                <w:iCs w:val="0"/>
                <w:color w:val="auto"/>
                <w:sz w:val="24"/>
                <w:szCs w:val="24"/>
                <w:highlight w:val="none"/>
              </w:rPr>
            </w:pPr>
          </w:p>
        </w:tc>
        <w:tc>
          <w:tcPr>
            <w:tcW w:w="789" w:type="dxa"/>
            <w:noWrap w:val="0"/>
            <w:vAlign w:val="center"/>
          </w:tcPr>
          <w:p w14:paraId="682C42FD">
            <w:pPr>
              <w:jc w:val="center"/>
              <w:rPr>
                <w:rFonts w:hint="eastAsia" w:ascii="宋体" w:hAnsi="宋体" w:eastAsia="宋体" w:cs="宋体"/>
                <w:i w:val="0"/>
                <w:iCs w:val="0"/>
                <w:color w:val="auto"/>
                <w:sz w:val="24"/>
                <w:szCs w:val="24"/>
                <w:highlight w:val="none"/>
              </w:rPr>
            </w:pPr>
          </w:p>
        </w:tc>
      </w:tr>
      <w:tr w14:paraId="4E1A6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C961AA9">
            <w:pPr>
              <w:jc w:val="center"/>
              <w:rPr>
                <w:rFonts w:hint="eastAsia" w:ascii="宋体" w:hAnsi="宋体" w:eastAsia="宋体" w:cs="宋体"/>
                <w:i w:val="0"/>
                <w:iCs w:val="0"/>
                <w:color w:val="auto"/>
                <w:sz w:val="24"/>
                <w:szCs w:val="24"/>
                <w:highlight w:val="none"/>
              </w:rPr>
            </w:pPr>
          </w:p>
        </w:tc>
        <w:tc>
          <w:tcPr>
            <w:tcW w:w="1276" w:type="dxa"/>
            <w:noWrap w:val="0"/>
            <w:vAlign w:val="center"/>
          </w:tcPr>
          <w:p w14:paraId="603FE087">
            <w:pPr>
              <w:jc w:val="center"/>
              <w:rPr>
                <w:rFonts w:hint="eastAsia" w:ascii="宋体" w:hAnsi="宋体" w:eastAsia="宋体" w:cs="宋体"/>
                <w:i w:val="0"/>
                <w:iCs w:val="0"/>
                <w:color w:val="auto"/>
                <w:sz w:val="24"/>
                <w:szCs w:val="24"/>
                <w:highlight w:val="none"/>
              </w:rPr>
            </w:pPr>
          </w:p>
        </w:tc>
        <w:tc>
          <w:tcPr>
            <w:tcW w:w="1203" w:type="dxa"/>
            <w:noWrap w:val="0"/>
            <w:vAlign w:val="center"/>
          </w:tcPr>
          <w:p w14:paraId="0618FB7E">
            <w:pPr>
              <w:jc w:val="center"/>
              <w:rPr>
                <w:rFonts w:hint="eastAsia" w:ascii="宋体" w:hAnsi="宋体" w:eastAsia="宋体" w:cs="宋体"/>
                <w:i w:val="0"/>
                <w:iCs w:val="0"/>
                <w:color w:val="auto"/>
                <w:sz w:val="24"/>
                <w:szCs w:val="24"/>
                <w:highlight w:val="none"/>
              </w:rPr>
            </w:pPr>
          </w:p>
        </w:tc>
        <w:tc>
          <w:tcPr>
            <w:tcW w:w="781" w:type="dxa"/>
            <w:noWrap w:val="0"/>
            <w:vAlign w:val="center"/>
          </w:tcPr>
          <w:p w14:paraId="2FAF108B">
            <w:pPr>
              <w:jc w:val="center"/>
              <w:rPr>
                <w:rFonts w:hint="eastAsia" w:ascii="宋体" w:hAnsi="宋体" w:eastAsia="宋体" w:cs="宋体"/>
                <w:i w:val="0"/>
                <w:iCs w:val="0"/>
                <w:color w:val="auto"/>
                <w:sz w:val="24"/>
                <w:szCs w:val="24"/>
                <w:highlight w:val="none"/>
              </w:rPr>
            </w:pPr>
          </w:p>
        </w:tc>
        <w:tc>
          <w:tcPr>
            <w:tcW w:w="851" w:type="dxa"/>
            <w:noWrap w:val="0"/>
            <w:vAlign w:val="center"/>
          </w:tcPr>
          <w:p w14:paraId="3F5420B1">
            <w:pPr>
              <w:jc w:val="center"/>
              <w:rPr>
                <w:rFonts w:hint="eastAsia" w:ascii="宋体" w:hAnsi="宋体" w:eastAsia="宋体" w:cs="宋体"/>
                <w:i w:val="0"/>
                <w:iCs w:val="0"/>
                <w:color w:val="auto"/>
                <w:sz w:val="24"/>
                <w:szCs w:val="24"/>
                <w:highlight w:val="none"/>
              </w:rPr>
            </w:pPr>
          </w:p>
        </w:tc>
        <w:tc>
          <w:tcPr>
            <w:tcW w:w="1044" w:type="dxa"/>
            <w:noWrap w:val="0"/>
            <w:vAlign w:val="center"/>
          </w:tcPr>
          <w:p w14:paraId="5CC5CC96">
            <w:pPr>
              <w:jc w:val="center"/>
              <w:rPr>
                <w:rFonts w:hint="eastAsia" w:ascii="宋体" w:hAnsi="宋体" w:eastAsia="宋体" w:cs="宋体"/>
                <w:i w:val="0"/>
                <w:iCs w:val="0"/>
                <w:color w:val="auto"/>
                <w:sz w:val="24"/>
                <w:szCs w:val="24"/>
                <w:highlight w:val="none"/>
              </w:rPr>
            </w:pPr>
          </w:p>
        </w:tc>
        <w:tc>
          <w:tcPr>
            <w:tcW w:w="992" w:type="dxa"/>
            <w:noWrap w:val="0"/>
            <w:vAlign w:val="center"/>
          </w:tcPr>
          <w:p w14:paraId="753D3284">
            <w:pPr>
              <w:jc w:val="center"/>
              <w:rPr>
                <w:rFonts w:hint="eastAsia" w:ascii="宋体" w:hAnsi="宋体" w:eastAsia="宋体" w:cs="宋体"/>
                <w:i w:val="0"/>
                <w:iCs w:val="0"/>
                <w:color w:val="auto"/>
                <w:sz w:val="24"/>
                <w:szCs w:val="24"/>
                <w:highlight w:val="none"/>
              </w:rPr>
            </w:pPr>
          </w:p>
        </w:tc>
        <w:tc>
          <w:tcPr>
            <w:tcW w:w="851" w:type="dxa"/>
            <w:noWrap w:val="0"/>
            <w:vAlign w:val="center"/>
          </w:tcPr>
          <w:p w14:paraId="3728E3D7">
            <w:pPr>
              <w:jc w:val="center"/>
              <w:rPr>
                <w:rFonts w:hint="eastAsia" w:ascii="宋体" w:hAnsi="宋体" w:eastAsia="宋体" w:cs="宋体"/>
                <w:i w:val="0"/>
                <w:iCs w:val="0"/>
                <w:color w:val="auto"/>
                <w:sz w:val="24"/>
                <w:szCs w:val="24"/>
                <w:highlight w:val="none"/>
              </w:rPr>
            </w:pPr>
          </w:p>
        </w:tc>
        <w:tc>
          <w:tcPr>
            <w:tcW w:w="1228" w:type="dxa"/>
            <w:noWrap w:val="0"/>
            <w:vAlign w:val="center"/>
          </w:tcPr>
          <w:p w14:paraId="52B302C7">
            <w:pPr>
              <w:jc w:val="center"/>
              <w:rPr>
                <w:rFonts w:hint="eastAsia" w:ascii="宋体" w:hAnsi="宋体" w:eastAsia="宋体" w:cs="宋体"/>
                <w:i w:val="0"/>
                <w:iCs w:val="0"/>
                <w:color w:val="auto"/>
                <w:sz w:val="24"/>
                <w:szCs w:val="24"/>
                <w:highlight w:val="none"/>
              </w:rPr>
            </w:pPr>
          </w:p>
        </w:tc>
        <w:tc>
          <w:tcPr>
            <w:tcW w:w="789" w:type="dxa"/>
            <w:noWrap w:val="0"/>
            <w:vAlign w:val="center"/>
          </w:tcPr>
          <w:p w14:paraId="313F999B">
            <w:pPr>
              <w:jc w:val="center"/>
              <w:rPr>
                <w:rFonts w:hint="eastAsia" w:ascii="宋体" w:hAnsi="宋体" w:eastAsia="宋体" w:cs="宋体"/>
                <w:i w:val="0"/>
                <w:iCs w:val="0"/>
                <w:color w:val="auto"/>
                <w:sz w:val="24"/>
                <w:szCs w:val="24"/>
                <w:highlight w:val="none"/>
              </w:rPr>
            </w:pPr>
          </w:p>
        </w:tc>
      </w:tr>
    </w:tbl>
    <w:p w14:paraId="79911EC1">
      <w:pPr>
        <w:spacing w:line="440" w:lineRule="exact"/>
        <w:rPr>
          <w:rFonts w:ascii="Times New Roman" w:hAnsi="Times New Roman" w:eastAsia="仿宋_GB2312"/>
          <w:i w:val="0"/>
          <w:iCs w:val="0"/>
          <w:color w:val="auto"/>
          <w:sz w:val="30"/>
          <w:szCs w:val="30"/>
          <w:highlight w:val="none"/>
        </w:rPr>
      </w:pPr>
    </w:p>
    <w:p w14:paraId="76A40C0F">
      <w:pPr>
        <w:keepNext w:val="0"/>
        <w:keepLines w:val="0"/>
        <w:pageBreakBefore w:val="0"/>
        <w:widowControl w:val="0"/>
        <w:kinsoku/>
        <w:wordWrap/>
        <w:overflowPunct/>
        <w:topLinePunct w:val="0"/>
        <w:autoSpaceDE/>
        <w:autoSpaceDN/>
        <w:bidi w:val="0"/>
        <w:adjustRightInd/>
        <w:snapToGrid/>
        <w:spacing w:line="240" w:lineRule="auto"/>
        <w:ind w:firstLine="482"/>
        <w:textAlignment w:val="auto"/>
        <w:rPr>
          <w:rFonts w:hint="eastAsia" w:ascii="宋体" w:hAnsi="宋体" w:eastAsia="宋体"/>
          <w:b/>
          <w:bCs/>
          <w:i w:val="0"/>
          <w:iCs w:val="0"/>
          <w:color w:val="auto"/>
          <w:sz w:val="24"/>
          <w:highlight w:val="none"/>
        </w:rPr>
      </w:pPr>
    </w:p>
    <w:p w14:paraId="4462375F">
      <w:pPr>
        <w:keepNext w:val="0"/>
        <w:keepLines w:val="0"/>
        <w:pageBreakBefore w:val="0"/>
        <w:widowControl w:val="0"/>
        <w:kinsoku/>
        <w:wordWrap/>
        <w:overflowPunct/>
        <w:topLinePunct w:val="0"/>
        <w:autoSpaceDE/>
        <w:autoSpaceDN/>
        <w:bidi w:val="0"/>
        <w:adjustRightInd/>
        <w:snapToGrid/>
        <w:spacing w:line="240" w:lineRule="auto"/>
        <w:ind w:firstLine="482"/>
        <w:textAlignment w:val="auto"/>
        <w:rPr>
          <w:rFonts w:hint="eastAsia" w:ascii="宋体" w:hAnsi="宋体" w:eastAsia="宋体"/>
          <w:b/>
          <w:bCs/>
          <w:i w:val="0"/>
          <w:iCs w:val="0"/>
          <w:color w:val="auto"/>
          <w:sz w:val="24"/>
          <w:highlight w:val="none"/>
        </w:rPr>
      </w:pPr>
    </w:p>
    <w:p w14:paraId="69997DFC">
      <w:pPr>
        <w:keepNext w:val="0"/>
        <w:keepLines w:val="0"/>
        <w:pageBreakBefore w:val="0"/>
        <w:widowControl w:val="0"/>
        <w:kinsoku/>
        <w:wordWrap/>
        <w:overflowPunct/>
        <w:topLinePunct w:val="0"/>
        <w:autoSpaceDE/>
        <w:autoSpaceDN/>
        <w:bidi w:val="0"/>
        <w:adjustRightInd/>
        <w:snapToGrid/>
        <w:spacing w:line="240" w:lineRule="auto"/>
        <w:ind w:firstLine="482"/>
        <w:textAlignment w:val="auto"/>
        <w:rPr>
          <w:rFonts w:hint="eastAsia" w:ascii="宋体" w:hAnsi="宋体" w:eastAsia="宋体"/>
          <w:b/>
          <w:bCs/>
          <w:i w:val="0"/>
          <w:iCs w:val="0"/>
          <w:color w:val="auto"/>
          <w:sz w:val="24"/>
          <w:highlight w:val="none"/>
        </w:rPr>
      </w:pPr>
    </w:p>
    <w:p w14:paraId="3CC6CCD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b/>
          <w:bCs/>
          <w:i w:val="0"/>
          <w:iCs w:val="0"/>
          <w:color w:val="auto"/>
          <w:sz w:val="24"/>
          <w:highlight w:val="none"/>
        </w:rPr>
      </w:pPr>
      <w:r>
        <w:rPr>
          <w:rFonts w:hint="eastAsia" w:ascii="宋体" w:hAnsi="宋体" w:eastAsia="宋体"/>
          <w:b/>
          <w:bCs/>
          <w:i w:val="0"/>
          <w:iCs w:val="0"/>
          <w:color w:val="auto"/>
          <w:sz w:val="24"/>
          <w:highlight w:val="none"/>
        </w:rPr>
        <w:t>附</w:t>
      </w:r>
      <w:bookmarkStart w:id="1125" w:name="_Toc296944565"/>
      <w:bookmarkStart w:id="1126" w:name="_Toc296347225"/>
      <w:bookmarkStart w:id="1127" w:name="_Toc296891266"/>
      <w:bookmarkStart w:id="1128" w:name="_Toc296503226"/>
      <w:bookmarkStart w:id="1129" w:name="_Toc267261693"/>
      <w:bookmarkStart w:id="1130" w:name="_Toc296346727"/>
      <w:bookmarkStart w:id="1131" w:name="_Toc296891054"/>
      <w:r>
        <w:rPr>
          <w:rFonts w:hint="eastAsia" w:ascii="宋体" w:hAnsi="宋体" w:eastAsia="宋体"/>
          <w:b/>
          <w:bCs/>
          <w:i w:val="0"/>
          <w:iCs w:val="0"/>
          <w:color w:val="auto"/>
          <w:sz w:val="24"/>
          <w:highlight w:val="none"/>
        </w:rPr>
        <w:t>件3：</w:t>
      </w:r>
      <w:bookmarkEnd w:id="1125"/>
      <w:bookmarkEnd w:id="1126"/>
      <w:bookmarkEnd w:id="1127"/>
      <w:bookmarkEnd w:id="1128"/>
      <w:bookmarkEnd w:id="1129"/>
      <w:bookmarkEnd w:id="1130"/>
      <w:bookmarkEnd w:id="1131"/>
      <w:r>
        <w:rPr>
          <w:rFonts w:hint="eastAsia" w:ascii="宋体" w:hAnsi="宋体" w:eastAsia="宋体"/>
          <w:b/>
          <w:bCs/>
          <w:i w:val="0"/>
          <w:iCs w:val="0"/>
          <w:color w:val="auto"/>
          <w:sz w:val="24"/>
          <w:highlight w:val="none"/>
        </w:rPr>
        <w:t xml:space="preserve">    </w:t>
      </w:r>
    </w:p>
    <w:p w14:paraId="1AB7F94F">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工程质量保修书</w:t>
      </w:r>
    </w:p>
    <w:p w14:paraId="5E51B3D1">
      <w:pPr>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发包人（全称）：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35AFF9A7">
      <w:pPr>
        <w:spacing w:line="4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承包人（全称）：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7588B493">
      <w:pPr>
        <w:spacing w:line="440" w:lineRule="exact"/>
        <w:rPr>
          <w:rFonts w:hint="eastAsia" w:ascii="宋体" w:hAnsi="宋体" w:eastAsia="宋体" w:cs="宋体"/>
          <w:i w:val="0"/>
          <w:iCs w:val="0"/>
          <w:color w:val="auto"/>
          <w:sz w:val="24"/>
          <w:szCs w:val="24"/>
          <w:highlight w:val="none"/>
        </w:rPr>
      </w:pPr>
    </w:p>
    <w:p w14:paraId="6184E868">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发包人和承包人根据《中华人民共和国建筑法》和《建设工程质量管理条例》，经协商一致就</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（工程全称）签订工程质量保修书。</w:t>
      </w:r>
    </w:p>
    <w:p w14:paraId="3A0F892B">
      <w:pPr>
        <w:spacing w:line="360" w:lineRule="auto"/>
        <w:outlineLvl w:val="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bookmarkStart w:id="1132" w:name="_Toc24954"/>
      <w:r>
        <w:rPr>
          <w:rFonts w:hint="eastAsia" w:ascii="宋体" w:hAnsi="宋体" w:eastAsia="宋体" w:cs="宋体"/>
          <w:i w:val="0"/>
          <w:iCs w:val="0"/>
          <w:color w:val="auto"/>
          <w:sz w:val="24"/>
          <w:szCs w:val="24"/>
          <w:highlight w:val="none"/>
        </w:rPr>
        <w:t>一、工程质量保修范围和内容</w:t>
      </w:r>
      <w:bookmarkEnd w:id="1132"/>
    </w:p>
    <w:p w14:paraId="07B9A92A">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承包人在质量保修期内，按照有关法律规定和合同约定，承担工程质量保修责任。</w:t>
      </w:r>
    </w:p>
    <w:p w14:paraId="25057CDA">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321472FC">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7897DBC9">
      <w:pPr>
        <w:spacing w:line="360" w:lineRule="auto"/>
        <w:outlineLvl w:val="0"/>
        <w:rPr>
          <w:rFonts w:hint="eastAsia" w:ascii="宋体" w:hAnsi="宋体" w:eastAsia="宋体" w:cs="宋体"/>
          <w:i w:val="0"/>
          <w:iCs w:val="0"/>
          <w:color w:val="auto"/>
          <w:sz w:val="24"/>
          <w:szCs w:val="24"/>
          <w:highlight w:val="none"/>
        </w:rPr>
      </w:pPr>
      <w:r>
        <w:rPr>
          <w:rFonts w:hint="eastAsia" w:ascii="宋体" w:hAnsi="宋体" w:eastAsia="宋体" w:cs="宋体"/>
          <w:b/>
          <w:i w:val="0"/>
          <w:iCs w:val="0"/>
          <w:color w:val="auto"/>
          <w:sz w:val="24"/>
          <w:szCs w:val="24"/>
          <w:highlight w:val="none"/>
        </w:rPr>
        <w:t>　　</w:t>
      </w:r>
      <w:bookmarkStart w:id="1133" w:name="_Toc28609"/>
      <w:r>
        <w:rPr>
          <w:rFonts w:hint="eastAsia" w:ascii="宋体" w:hAnsi="宋体" w:eastAsia="宋体" w:cs="宋体"/>
          <w:i w:val="0"/>
          <w:iCs w:val="0"/>
          <w:color w:val="auto"/>
          <w:sz w:val="24"/>
          <w:szCs w:val="24"/>
          <w:highlight w:val="none"/>
        </w:rPr>
        <w:t>二、质量保修期</w:t>
      </w:r>
      <w:bookmarkEnd w:id="1133"/>
    </w:p>
    <w:p w14:paraId="58A53292">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根据《建设工程质量管理条例》及有关规定，工程的质量保修期如下：</w:t>
      </w:r>
    </w:p>
    <w:p w14:paraId="24E0C643">
      <w:pPr>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1．地基基础工程和主体结构工程为设计文件规定的工程合理使用年限；</w:t>
      </w:r>
    </w:p>
    <w:p w14:paraId="664CCD73">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2．屋面防水工程、有防水要求的卫生间、房间和外墙面的防渗为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p>
    <w:p w14:paraId="18F68833">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3．装修工程为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p>
    <w:p w14:paraId="4557A5FC">
      <w:pPr>
        <w:spacing w:line="360" w:lineRule="auto"/>
        <w:ind w:left="480" w:leftChars="200" w:firstLine="120" w:firstLineChars="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4．电气管线、给排水管道、设备安装工程为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p>
    <w:p w14:paraId="7C76BB57">
      <w:pPr>
        <w:spacing w:line="360" w:lineRule="auto"/>
        <w:ind w:left="480" w:leftChars="200" w:firstLine="120" w:firstLineChars="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5．供热与供冷系统为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个采暖期、供冷期；</w:t>
      </w:r>
    </w:p>
    <w:p w14:paraId="14EE6B29">
      <w:pPr>
        <w:spacing w:line="360" w:lineRule="auto"/>
        <w:ind w:left="480" w:leftChars="200" w:firstLine="120" w:firstLineChars="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6．住宅小区内的给排水设施、道路等配套工程为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p>
    <w:p w14:paraId="37476351">
      <w:pPr>
        <w:spacing w:line="360" w:lineRule="auto"/>
        <w:ind w:left="480" w:leftChars="200" w:firstLine="120" w:firstLineChars="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7．其他项目保修期限约定如下：</w:t>
      </w:r>
    </w:p>
    <w:p w14:paraId="11C9A2A6">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39F35B4E">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质量保修期自工程竣工验收合格之日起计算。</w:t>
      </w:r>
    </w:p>
    <w:p w14:paraId="2D6A7C42">
      <w:pPr>
        <w:spacing w:line="360" w:lineRule="auto"/>
        <w:ind w:firstLine="480" w:firstLineChars="200"/>
        <w:outlineLvl w:val="0"/>
        <w:rPr>
          <w:rFonts w:hint="eastAsia" w:ascii="宋体" w:hAnsi="宋体" w:eastAsia="宋体" w:cs="宋体"/>
          <w:i w:val="0"/>
          <w:iCs w:val="0"/>
          <w:color w:val="auto"/>
          <w:sz w:val="24"/>
          <w:szCs w:val="24"/>
          <w:highlight w:val="none"/>
        </w:rPr>
      </w:pPr>
      <w:bookmarkStart w:id="1134" w:name="_Toc25193"/>
      <w:r>
        <w:rPr>
          <w:rFonts w:hint="eastAsia" w:ascii="宋体" w:hAnsi="宋体" w:eastAsia="宋体" w:cs="宋体"/>
          <w:i w:val="0"/>
          <w:iCs w:val="0"/>
          <w:color w:val="auto"/>
          <w:sz w:val="24"/>
          <w:szCs w:val="24"/>
          <w:highlight w:val="none"/>
        </w:rPr>
        <w:t>三、缺陷责任期</w:t>
      </w:r>
      <w:bookmarkEnd w:id="1134"/>
    </w:p>
    <w:p w14:paraId="00ED8AF1">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工程缺陷责任期为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个月，缺陷责任期自工程通过竣工验收之日起计算。单位工程先于全部工程进行验收，单位工程缺陷责任期自单位工程验收合格之日起算。</w:t>
      </w:r>
    </w:p>
    <w:p w14:paraId="7124D8B3">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缺陷责任期终止后，发包人应退还剩余的质量保证金。</w:t>
      </w:r>
    </w:p>
    <w:p w14:paraId="6B096E88">
      <w:pPr>
        <w:spacing w:line="360" w:lineRule="auto"/>
        <w:outlineLvl w:val="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bookmarkStart w:id="1135" w:name="_Toc8041"/>
      <w:r>
        <w:rPr>
          <w:rFonts w:hint="eastAsia" w:ascii="宋体" w:hAnsi="宋体" w:eastAsia="宋体" w:cs="宋体"/>
          <w:i w:val="0"/>
          <w:iCs w:val="0"/>
          <w:color w:val="auto"/>
          <w:sz w:val="24"/>
          <w:szCs w:val="24"/>
          <w:highlight w:val="none"/>
        </w:rPr>
        <w:t>四、质量保修责任</w:t>
      </w:r>
      <w:bookmarkEnd w:id="1135"/>
    </w:p>
    <w:p w14:paraId="5EC47F0C">
      <w:pPr>
        <w:spacing w:line="360" w:lineRule="auto"/>
        <w:ind w:left="120" w:leftChars="50" w:firstLine="491" w:firstLineChars="20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1．属于保修范围、内容的项目，承包人应当在接到保修通知之日起7天内派人保修。承包人不在约定期限内派人保修的，发包人可以委托他人修理。</w:t>
      </w:r>
    </w:p>
    <w:p w14:paraId="3D4B1F51">
      <w:pPr>
        <w:spacing w:line="360" w:lineRule="auto"/>
        <w:ind w:left="120" w:leftChars="50" w:firstLine="491" w:firstLineChars="20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2．发生紧急事故需抢修的，承包人在接到事故通知后，应当立即到达事故现场抢修。</w:t>
      </w:r>
    </w:p>
    <w:p w14:paraId="143D8DA8">
      <w:pPr>
        <w:spacing w:line="360" w:lineRule="auto"/>
        <w:ind w:left="120" w:leftChars="50" w:firstLine="491" w:firstLineChars="20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79A4E937">
      <w:pPr>
        <w:spacing w:line="360" w:lineRule="auto"/>
        <w:ind w:left="480" w:leftChars="200" w:firstLine="120" w:firstLineChars="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4．质量保修完成后，由发包人组织验收。</w:t>
      </w:r>
    </w:p>
    <w:p w14:paraId="5A2242F3">
      <w:pPr>
        <w:spacing w:line="360" w:lineRule="auto"/>
        <w:outlineLvl w:val="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bookmarkStart w:id="1136" w:name="_Toc8491"/>
      <w:r>
        <w:rPr>
          <w:rFonts w:hint="eastAsia" w:ascii="宋体" w:hAnsi="宋体" w:eastAsia="宋体" w:cs="宋体"/>
          <w:i w:val="0"/>
          <w:iCs w:val="0"/>
          <w:color w:val="auto"/>
          <w:sz w:val="24"/>
          <w:szCs w:val="24"/>
          <w:highlight w:val="none"/>
        </w:rPr>
        <w:t>五、保修费用</w:t>
      </w:r>
      <w:bookmarkEnd w:id="1136"/>
    </w:p>
    <w:p w14:paraId="3BD6DE37">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保修费用由造成质量缺陷的责任方承担。</w:t>
      </w:r>
    </w:p>
    <w:p w14:paraId="3C541017">
      <w:pPr>
        <w:spacing w:line="360" w:lineRule="auto"/>
        <w:ind w:firstLine="600"/>
        <w:jc w:val="left"/>
        <w:outlineLvl w:val="0"/>
        <w:rPr>
          <w:rFonts w:hint="eastAsia" w:ascii="宋体" w:hAnsi="宋体" w:eastAsia="宋体" w:cs="宋体"/>
          <w:i w:val="0"/>
          <w:iCs w:val="0"/>
          <w:color w:val="auto"/>
          <w:sz w:val="24"/>
          <w:szCs w:val="24"/>
          <w:highlight w:val="none"/>
          <w:u w:val="single"/>
        </w:rPr>
      </w:pPr>
      <w:bookmarkStart w:id="1137" w:name="_Toc19089"/>
      <w:r>
        <w:rPr>
          <w:rFonts w:hint="eastAsia" w:ascii="宋体" w:hAnsi="宋体" w:eastAsia="宋体" w:cs="宋体"/>
          <w:b/>
          <w:i w:val="0"/>
          <w:iCs w:val="0"/>
          <w:color w:val="auto"/>
          <w:sz w:val="24"/>
          <w:szCs w:val="24"/>
          <w:highlight w:val="none"/>
        </w:rPr>
        <w:t>六</w:t>
      </w:r>
      <w:r>
        <w:rPr>
          <w:rFonts w:hint="eastAsia" w:ascii="宋体" w:hAnsi="宋体" w:eastAsia="宋体" w:cs="宋体"/>
          <w:i w:val="0"/>
          <w:iCs w:val="0"/>
          <w:color w:val="auto"/>
          <w:sz w:val="24"/>
          <w:szCs w:val="24"/>
          <w:highlight w:val="none"/>
        </w:rPr>
        <w:t>、双方约定的其他工程质量保修事项：</w:t>
      </w:r>
      <w:bookmarkEnd w:id="1137"/>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p>
    <w:p w14:paraId="3ED5BCA5">
      <w:pPr>
        <w:spacing w:line="360" w:lineRule="auto"/>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56A05B02">
      <w:pPr>
        <w:spacing w:line="360" w:lineRule="auto"/>
        <w:ind w:firstLine="456" w:firstLineChars="19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工程质量保修书由发包人、承包人在工程竣工验收前共同签署，作为施工合同附件，其有效期限至保修期满。</w:t>
      </w:r>
    </w:p>
    <w:p w14:paraId="37842628">
      <w:pPr>
        <w:spacing w:line="360" w:lineRule="auto"/>
        <w:ind w:firstLine="420"/>
        <w:rPr>
          <w:rFonts w:hint="eastAsia" w:ascii="宋体" w:hAnsi="宋体" w:eastAsia="宋体" w:cs="宋体"/>
          <w:i w:val="0"/>
          <w:iCs w:val="0"/>
          <w:color w:val="auto"/>
          <w:sz w:val="24"/>
          <w:szCs w:val="24"/>
          <w:highlight w:val="none"/>
        </w:rPr>
      </w:pPr>
    </w:p>
    <w:p w14:paraId="7FF8AE68">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发包人(公章)：</w:t>
      </w:r>
      <w:r>
        <w:rPr>
          <w:rFonts w:hint="eastAsia" w:ascii="宋体" w:hAnsi="宋体" w:eastAsia="宋体" w:cs="宋体"/>
          <w:i w:val="0"/>
          <w:iCs w:val="0"/>
          <w:color w:val="auto"/>
          <w:sz w:val="24"/>
          <w:szCs w:val="24"/>
          <w:highlight w:val="none"/>
          <w:u w:val="single"/>
        </w:rPr>
        <w:t xml:space="preserve">        </w:t>
      </w:r>
      <w:r>
        <w:rPr>
          <w:rFonts w:hint="eastAsia" w:ascii="宋体" w:hAnsi="宋体" w:eastAsia="宋体" w:cs="宋体"/>
          <w:i w:val="0"/>
          <w:iCs w:val="0"/>
          <w:color w:val="auto"/>
          <w:sz w:val="24"/>
          <w:szCs w:val="24"/>
          <w:highlight w:val="none"/>
        </w:rPr>
        <w:t xml:space="preserve"> 承包人(公章)：</w:t>
      </w:r>
      <w:r>
        <w:rPr>
          <w:rFonts w:hint="eastAsia" w:ascii="宋体" w:hAnsi="宋体" w:eastAsia="宋体" w:cs="宋体"/>
          <w:i w:val="0"/>
          <w:iCs w:val="0"/>
          <w:color w:val="auto"/>
          <w:sz w:val="24"/>
          <w:szCs w:val="24"/>
          <w:highlight w:val="none"/>
          <w:u w:val="single"/>
        </w:rPr>
        <w:t xml:space="preserve">           </w:t>
      </w:r>
    </w:p>
    <w:p w14:paraId="37B94679">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eastAsia="宋体" w:cs="宋体"/>
          <w:i w:val="0"/>
          <w:iCs w:val="0"/>
          <w:color w:val="auto"/>
          <w:sz w:val="24"/>
          <w:szCs w:val="24"/>
          <w:highlight w:val="none"/>
          <w:u w:val="single"/>
        </w:rPr>
        <w:t xml:space="preserve">     </w:t>
      </w:r>
      <w:r>
        <w:rPr>
          <w:rFonts w:hint="eastAsia" w:ascii="宋体" w:hAnsi="宋体" w:eastAsia="宋体" w:cs="宋体"/>
          <w:i w:val="0"/>
          <w:iCs w:val="0"/>
          <w:color w:val="auto"/>
          <w:sz w:val="24"/>
          <w:szCs w:val="24"/>
          <w:highlight w:val="none"/>
        </w:rPr>
        <w:t xml:space="preserve"> 地  址：</w:t>
      </w:r>
      <w:r>
        <w:rPr>
          <w:rFonts w:hint="eastAsia" w:ascii="宋体" w:hAnsi="宋体" w:eastAsia="宋体" w:cs="宋体"/>
          <w:i w:val="0"/>
          <w:iCs w:val="0"/>
          <w:color w:val="auto"/>
          <w:sz w:val="24"/>
          <w:szCs w:val="24"/>
          <w:highlight w:val="none"/>
          <w:u w:val="single"/>
        </w:rPr>
        <w:t xml:space="preserve">       </w:t>
      </w:r>
    </w:p>
    <w:p w14:paraId="7D34C193">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法定代表人(签字)：</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法定代表人(签字)：</w:t>
      </w:r>
      <w:r>
        <w:rPr>
          <w:rFonts w:hint="eastAsia" w:ascii="宋体" w:hAnsi="宋体" w:eastAsia="宋体" w:cs="宋体"/>
          <w:i w:val="0"/>
          <w:iCs w:val="0"/>
          <w:color w:val="auto"/>
          <w:sz w:val="24"/>
          <w:szCs w:val="24"/>
          <w:highlight w:val="none"/>
          <w:u w:val="single"/>
        </w:rPr>
        <w:t xml:space="preserve">       </w:t>
      </w:r>
    </w:p>
    <w:p w14:paraId="139E77A2">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委托代理人(签字)：</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委托代理人(签字)：</w:t>
      </w:r>
      <w:r>
        <w:rPr>
          <w:rFonts w:hint="eastAsia" w:ascii="宋体" w:hAnsi="宋体" w:eastAsia="宋体" w:cs="宋体"/>
          <w:i w:val="0"/>
          <w:iCs w:val="0"/>
          <w:color w:val="auto"/>
          <w:sz w:val="24"/>
          <w:szCs w:val="24"/>
          <w:highlight w:val="none"/>
          <w:u w:val="single"/>
        </w:rPr>
        <w:t xml:space="preserve">       </w:t>
      </w:r>
    </w:p>
    <w:p w14:paraId="2F052413">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  话：</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电  话：</w:t>
      </w:r>
      <w:r>
        <w:rPr>
          <w:rFonts w:hint="eastAsia" w:ascii="宋体" w:hAnsi="宋体" w:eastAsia="宋体" w:cs="宋体"/>
          <w:i w:val="0"/>
          <w:iCs w:val="0"/>
          <w:color w:val="auto"/>
          <w:sz w:val="24"/>
          <w:szCs w:val="24"/>
          <w:highlight w:val="none"/>
          <w:u w:val="single"/>
        </w:rPr>
        <w:t xml:space="preserve">     </w:t>
      </w:r>
    </w:p>
    <w:p w14:paraId="7F8053DA">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传  真：</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传  真：</w:t>
      </w:r>
      <w:r>
        <w:rPr>
          <w:rFonts w:hint="eastAsia" w:ascii="宋体" w:hAnsi="宋体" w:eastAsia="宋体" w:cs="宋体"/>
          <w:i w:val="0"/>
          <w:iCs w:val="0"/>
          <w:color w:val="auto"/>
          <w:sz w:val="24"/>
          <w:szCs w:val="24"/>
          <w:highlight w:val="none"/>
          <w:u w:val="single"/>
        </w:rPr>
        <w:t xml:space="preserve">     </w:t>
      </w:r>
    </w:p>
    <w:p w14:paraId="6B447987">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开户银行：</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开户银行：</w:t>
      </w:r>
      <w:r>
        <w:rPr>
          <w:rFonts w:hint="eastAsia" w:ascii="宋体" w:hAnsi="宋体" w:eastAsia="宋体" w:cs="宋体"/>
          <w:i w:val="0"/>
          <w:iCs w:val="0"/>
          <w:color w:val="auto"/>
          <w:sz w:val="24"/>
          <w:szCs w:val="24"/>
          <w:highlight w:val="none"/>
          <w:u w:val="single"/>
        </w:rPr>
        <w:t xml:space="preserve">   </w:t>
      </w:r>
    </w:p>
    <w:p w14:paraId="54F744AC">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账  号：</w:t>
      </w:r>
      <w:r>
        <w:rPr>
          <w:rFonts w:hint="eastAsia" w:ascii="宋体" w:hAnsi="宋体" w:eastAsia="宋体" w:cs="宋体"/>
          <w:i w:val="0"/>
          <w:iCs w:val="0"/>
          <w:color w:val="auto"/>
          <w:sz w:val="24"/>
          <w:szCs w:val="24"/>
          <w:highlight w:val="none"/>
          <w:u w:val="single"/>
        </w:rPr>
        <w:t xml:space="preserve">       </w:t>
      </w:r>
      <w:r>
        <w:rPr>
          <w:rFonts w:hint="eastAsia" w:ascii="宋体" w:hAnsi="宋体" w:eastAsia="宋体" w:cs="宋体"/>
          <w:i w:val="0"/>
          <w:iCs w:val="0"/>
          <w:color w:val="auto"/>
          <w:sz w:val="24"/>
          <w:szCs w:val="24"/>
          <w:highlight w:val="none"/>
        </w:rPr>
        <w:t xml:space="preserve">  账  号：</w:t>
      </w:r>
      <w:r>
        <w:rPr>
          <w:rFonts w:hint="eastAsia" w:ascii="宋体" w:hAnsi="宋体" w:eastAsia="宋体" w:cs="宋体"/>
          <w:i w:val="0"/>
          <w:iCs w:val="0"/>
          <w:color w:val="auto"/>
          <w:sz w:val="24"/>
          <w:szCs w:val="24"/>
          <w:highlight w:val="none"/>
          <w:u w:val="single"/>
        </w:rPr>
        <w:t xml:space="preserve">     </w:t>
      </w:r>
    </w:p>
    <w:p w14:paraId="4D87FD0D">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邮政编码：</w:t>
      </w:r>
      <w:r>
        <w:rPr>
          <w:rFonts w:hint="eastAsia" w:ascii="宋体" w:hAnsi="宋体" w:eastAsia="宋体" w:cs="宋体"/>
          <w:i w:val="0"/>
          <w:iCs w:val="0"/>
          <w:color w:val="auto"/>
          <w:sz w:val="24"/>
          <w:szCs w:val="24"/>
          <w:highlight w:val="none"/>
          <w:u w:val="single"/>
        </w:rPr>
        <w:t xml:space="preserve">     </w:t>
      </w:r>
      <w:r>
        <w:rPr>
          <w:rFonts w:hint="eastAsia" w:ascii="宋体" w:hAnsi="宋体" w:eastAsia="宋体" w:cs="宋体"/>
          <w:i w:val="0"/>
          <w:iCs w:val="0"/>
          <w:color w:val="auto"/>
          <w:sz w:val="24"/>
          <w:szCs w:val="24"/>
          <w:highlight w:val="none"/>
        </w:rPr>
        <w:t xml:space="preserve"> 邮政编码：</w:t>
      </w:r>
      <w:r>
        <w:rPr>
          <w:rFonts w:hint="eastAsia" w:ascii="宋体" w:hAnsi="宋体" w:eastAsia="宋体" w:cs="宋体"/>
          <w:i w:val="0"/>
          <w:iCs w:val="0"/>
          <w:color w:val="auto"/>
          <w:sz w:val="24"/>
          <w:szCs w:val="24"/>
          <w:highlight w:val="none"/>
          <w:u w:val="single"/>
        </w:rPr>
        <w:t xml:space="preserve">   </w:t>
      </w:r>
    </w:p>
    <w:p w14:paraId="22E3CE03">
      <w:pPr>
        <w:spacing w:line="440" w:lineRule="exact"/>
        <w:rPr>
          <w:rFonts w:hint="eastAsia" w:ascii="宋体" w:hAnsi="宋体" w:eastAsia="宋体"/>
          <w:b/>
          <w:bCs/>
          <w:i w:val="0"/>
          <w:iCs w:val="0"/>
          <w:color w:val="auto"/>
          <w:sz w:val="24"/>
          <w:highlight w:val="none"/>
        </w:rPr>
      </w:pPr>
      <w:r>
        <w:rPr>
          <w:rFonts w:ascii="Times New Roman" w:hAnsi="Times New Roman" w:eastAsia="仿宋_GB2312"/>
          <w:b/>
          <w:i w:val="0"/>
          <w:iCs w:val="0"/>
          <w:color w:val="auto"/>
          <w:sz w:val="30"/>
          <w:szCs w:val="30"/>
          <w:highlight w:val="none"/>
        </w:rPr>
        <w:br w:type="page"/>
      </w:r>
      <w:r>
        <w:rPr>
          <w:rFonts w:hint="eastAsia" w:ascii="宋体" w:hAnsi="宋体" w:eastAsia="宋体"/>
          <w:b/>
          <w:bCs/>
          <w:i w:val="0"/>
          <w:iCs w:val="0"/>
          <w:color w:val="auto"/>
          <w:sz w:val="24"/>
          <w:highlight w:val="none"/>
        </w:rPr>
        <w:t>附件4：</w:t>
      </w:r>
    </w:p>
    <w:p w14:paraId="18BE2F6B">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主要建设工程文件目录</w:t>
      </w:r>
    </w:p>
    <w:tbl>
      <w:tblPr>
        <w:tblStyle w:val="27"/>
        <w:tblW w:w="881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439"/>
      </w:tblGrid>
      <w:tr w14:paraId="4C7A11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7CC4DB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文件名称</w:t>
            </w:r>
          </w:p>
        </w:tc>
        <w:tc>
          <w:tcPr>
            <w:tcW w:w="1276" w:type="dxa"/>
            <w:tcBorders>
              <w:top w:val="single" w:color="auto" w:sz="12" w:space="0"/>
              <w:bottom w:val="double" w:color="auto" w:sz="6" w:space="0"/>
            </w:tcBorders>
            <w:noWrap w:val="0"/>
            <w:vAlign w:val="center"/>
          </w:tcPr>
          <w:p w14:paraId="5957300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套数</w:t>
            </w:r>
          </w:p>
        </w:tc>
        <w:tc>
          <w:tcPr>
            <w:tcW w:w="1450" w:type="dxa"/>
            <w:tcBorders>
              <w:top w:val="single" w:color="auto" w:sz="12" w:space="0"/>
              <w:bottom w:val="double" w:color="auto" w:sz="6" w:space="0"/>
            </w:tcBorders>
            <w:noWrap w:val="0"/>
            <w:vAlign w:val="center"/>
          </w:tcPr>
          <w:p w14:paraId="1D5D089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费用（元）</w:t>
            </w:r>
          </w:p>
        </w:tc>
        <w:tc>
          <w:tcPr>
            <w:tcW w:w="1243" w:type="dxa"/>
            <w:tcBorders>
              <w:top w:val="single" w:color="auto" w:sz="12" w:space="0"/>
              <w:bottom w:val="double" w:color="auto" w:sz="6" w:space="0"/>
            </w:tcBorders>
            <w:noWrap w:val="0"/>
            <w:vAlign w:val="center"/>
          </w:tcPr>
          <w:p w14:paraId="7EE806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质量</w:t>
            </w:r>
          </w:p>
        </w:tc>
        <w:tc>
          <w:tcPr>
            <w:tcW w:w="1450" w:type="dxa"/>
            <w:tcBorders>
              <w:top w:val="single" w:color="auto" w:sz="12" w:space="0"/>
              <w:bottom w:val="double" w:color="auto" w:sz="6" w:space="0"/>
            </w:tcBorders>
            <w:noWrap w:val="0"/>
            <w:vAlign w:val="top"/>
          </w:tcPr>
          <w:p w14:paraId="16B9E4C3">
            <w:pPr>
              <w:spacing w:line="4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移交时间</w:t>
            </w:r>
          </w:p>
        </w:tc>
        <w:tc>
          <w:tcPr>
            <w:tcW w:w="1439" w:type="dxa"/>
            <w:tcBorders>
              <w:top w:val="single" w:color="auto" w:sz="12" w:space="0"/>
              <w:bottom w:val="double" w:color="auto" w:sz="6" w:space="0"/>
            </w:tcBorders>
            <w:noWrap w:val="0"/>
            <w:vAlign w:val="top"/>
          </w:tcPr>
          <w:p w14:paraId="5997E7E2">
            <w:pPr>
              <w:spacing w:line="4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责任人</w:t>
            </w:r>
          </w:p>
        </w:tc>
      </w:tr>
      <w:tr w14:paraId="1DB445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77E283B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double" w:color="auto" w:sz="6" w:space="0"/>
              <w:bottom w:val="single" w:color="auto" w:sz="6" w:space="0"/>
            </w:tcBorders>
            <w:noWrap w:val="0"/>
            <w:vAlign w:val="center"/>
          </w:tcPr>
          <w:p w14:paraId="754E4C8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tcBorders>
              <w:top w:val="double" w:color="auto" w:sz="6" w:space="0"/>
              <w:bottom w:val="single" w:color="auto" w:sz="6" w:space="0"/>
            </w:tcBorders>
            <w:noWrap w:val="0"/>
            <w:vAlign w:val="center"/>
          </w:tcPr>
          <w:p w14:paraId="75698E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tcBorders>
              <w:top w:val="double" w:color="auto" w:sz="6" w:space="0"/>
              <w:bottom w:val="single" w:color="auto" w:sz="6" w:space="0"/>
            </w:tcBorders>
            <w:noWrap w:val="0"/>
            <w:vAlign w:val="center"/>
          </w:tcPr>
          <w:p w14:paraId="05E858D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tcBorders>
              <w:top w:val="double" w:color="auto" w:sz="6" w:space="0"/>
              <w:bottom w:val="single" w:color="auto" w:sz="6" w:space="0"/>
            </w:tcBorders>
            <w:noWrap w:val="0"/>
            <w:vAlign w:val="center"/>
          </w:tcPr>
          <w:p w14:paraId="740B80E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tcBorders>
              <w:top w:val="double" w:color="auto" w:sz="6" w:space="0"/>
              <w:bottom w:val="single" w:color="auto" w:sz="6" w:space="0"/>
            </w:tcBorders>
            <w:noWrap w:val="0"/>
            <w:vAlign w:val="center"/>
          </w:tcPr>
          <w:p w14:paraId="68CEBC1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1A6F3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7C9530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nil"/>
            </w:tcBorders>
            <w:noWrap w:val="0"/>
            <w:vAlign w:val="center"/>
          </w:tcPr>
          <w:p w14:paraId="576394D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tcBorders>
              <w:top w:val="nil"/>
            </w:tcBorders>
            <w:noWrap w:val="0"/>
            <w:vAlign w:val="center"/>
          </w:tcPr>
          <w:p w14:paraId="1A36D8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tcBorders>
              <w:top w:val="nil"/>
            </w:tcBorders>
            <w:noWrap w:val="0"/>
            <w:vAlign w:val="center"/>
          </w:tcPr>
          <w:p w14:paraId="0944AF8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tcBorders>
              <w:top w:val="nil"/>
            </w:tcBorders>
            <w:noWrap w:val="0"/>
            <w:vAlign w:val="center"/>
          </w:tcPr>
          <w:p w14:paraId="75A3BBC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tcBorders>
              <w:top w:val="nil"/>
            </w:tcBorders>
            <w:noWrap w:val="0"/>
            <w:vAlign w:val="center"/>
          </w:tcPr>
          <w:p w14:paraId="75C282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ECDBB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FBC67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12399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4BFB687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5DA45B8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01953A3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1A9A101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E5E69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8C1F38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10DE48E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482767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0030410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2BA9A74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514C29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DB6CA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B4E14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33AE82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390926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1368B2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3B77032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313312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6783A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AD8EB4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73202A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2F7BE4B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349AAF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18E6C8F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1E8AEA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63C79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0117ED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43E6FCB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3C09812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7488123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5B65B4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454BCAD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D2A04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69F341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C5F0B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0E5897A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3B485F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32928E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2354198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2A06A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5077C34">
            <w:pPr>
              <w:rPr>
                <w:rFonts w:hint="eastAsia" w:ascii="宋体" w:hAnsi="宋体" w:eastAsia="宋体" w:cs="宋体"/>
                <w:i w:val="0"/>
                <w:iCs w:val="0"/>
                <w:color w:val="auto"/>
                <w:sz w:val="24"/>
                <w:szCs w:val="24"/>
                <w:highlight w:val="none"/>
              </w:rPr>
            </w:pPr>
          </w:p>
        </w:tc>
        <w:tc>
          <w:tcPr>
            <w:tcW w:w="1276" w:type="dxa"/>
            <w:noWrap w:val="0"/>
            <w:vAlign w:val="top"/>
          </w:tcPr>
          <w:p w14:paraId="5E3BB35C">
            <w:pPr>
              <w:rPr>
                <w:rFonts w:hint="eastAsia" w:ascii="宋体" w:hAnsi="宋体" w:eastAsia="宋体" w:cs="宋体"/>
                <w:i w:val="0"/>
                <w:iCs w:val="0"/>
                <w:color w:val="auto"/>
                <w:sz w:val="24"/>
                <w:szCs w:val="24"/>
                <w:highlight w:val="none"/>
              </w:rPr>
            </w:pPr>
          </w:p>
        </w:tc>
        <w:tc>
          <w:tcPr>
            <w:tcW w:w="1450" w:type="dxa"/>
            <w:noWrap w:val="0"/>
            <w:vAlign w:val="top"/>
          </w:tcPr>
          <w:p w14:paraId="529EB0A1">
            <w:pPr>
              <w:rPr>
                <w:rFonts w:hint="eastAsia" w:ascii="宋体" w:hAnsi="宋体" w:eastAsia="宋体" w:cs="宋体"/>
                <w:i w:val="0"/>
                <w:iCs w:val="0"/>
                <w:color w:val="auto"/>
                <w:sz w:val="24"/>
                <w:szCs w:val="24"/>
                <w:highlight w:val="none"/>
              </w:rPr>
            </w:pPr>
          </w:p>
        </w:tc>
        <w:tc>
          <w:tcPr>
            <w:tcW w:w="1243" w:type="dxa"/>
            <w:noWrap w:val="0"/>
            <w:vAlign w:val="top"/>
          </w:tcPr>
          <w:p w14:paraId="33A53878">
            <w:pPr>
              <w:rPr>
                <w:rFonts w:hint="eastAsia" w:ascii="宋体" w:hAnsi="宋体" w:eastAsia="宋体" w:cs="宋体"/>
                <w:i w:val="0"/>
                <w:iCs w:val="0"/>
                <w:color w:val="auto"/>
                <w:sz w:val="24"/>
                <w:szCs w:val="24"/>
                <w:highlight w:val="none"/>
              </w:rPr>
            </w:pPr>
          </w:p>
        </w:tc>
        <w:tc>
          <w:tcPr>
            <w:tcW w:w="1450" w:type="dxa"/>
            <w:noWrap w:val="0"/>
            <w:vAlign w:val="top"/>
          </w:tcPr>
          <w:p w14:paraId="523D1E92">
            <w:pPr>
              <w:rPr>
                <w:rFonts w:hint="eastAsia" w:ascii="宋体" w:hAnsi="宋体" w:eastAsia="宋体" w:cs="宋体"/>
                <w:i w:val="0"/>
                <w:iCs w:val="0"/>
                <w:color w:val="auto"/>
                <w:sz w:val="24"/>
                <w:szCs w:val="24"/>
                <w:highlight w:val="none"/>
              </w:rPr>
            </w:pPr>
          </w:p>
        </w:tc>
        <w:tc>
          <w:tcPr>
            <w:tcW w:w="1439" w:type="dxa"/>
            <w:noWrap w:val="0"/>
            <w:vAlign w:val="top"/>
          </w:tcPr>
          <w:p w14:paraId="72E6D7EA">
            <w:pPr>
              <w:rPr>
                <w:rFonts w:hint="eastAsia" w:ascii="宋体" w:hAnsi="宋体" w:eastAsia="宋体" w:cs="宋体"/>
                <w:i w:val="0"/>
                <w:iCs w:val="0"/>
                <w:color w:val="auto"/>
                <w:sz w:val="24"/>
                <w:szCs w:val="24"/>
                <w:highlight w:val="none"/>
              </w:rPr>
            </w:pPr>
          </w:p>
        </w:tc>
      </w:tr>
      <w:tr w14:paraId="57501A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DE50B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center"/>
          </w:tcPr>
          <w:p w14:paraId="254C4D5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0FFFFFC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43" w:type="dxa"/>
            <w:noWrap w:val="0"/>
            <w:vAlign w:val="center"/>
          </w:tcPr>
          <w:p w14:paraId="7FC6086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50" w:type="dxa"/>
            <w:noWrap w:val="0"/>
            <w:vAlign w:val="center"/>
          </w:tcPr>
          <w:p w14:paraId="0870211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39" w:type="dxa"/>
            <w:noWrap w:val="0"/>
            <w:vAlign w:val="center"/>
          </w:tcPr>
          <w:p w14:paraId="00A863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FC5E0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44E1BC7A">
            <w:pPr>
              <w:rPr>
                <w:rFonts w:hint="eastAsia" w:ascii="宋体" w:hAnsi="宋体" w:eastAsia="宋体" w:cs="宋体"/>
                <w:i w:val="0"/>
                <w:iCs w:val="0"/>
                <w:color w:val="auto"/>
                <w:sz w:val="24"/>
                <w:szCs w:val="24"/>
                <w:highlight w:val="none"/>
              </w:rPr>
            </w:pPr>
          </w:p>
        </w:tc>
        <w:tc>
          <w:tcPr>
            <w:tcW w:w="1276" w:type="dxa"/>
            <w:noWrap w:val="0"/>
            <w:vAlign w:val="top"/>
          </w:tcPr>
          <w:p w14:paraId="107A21C7">
            <w:pPr>
              <w:rPr>
                <w:rFonts w:hint="eastAsia" w:ascii="宋体" w:hAnsi="宋体" w:eastAsia="宋体" w:cs="宋体"/>
                <w:i w:val="0"/>
                <w:iCs w:val="0"/>
                <w:color w:val="auto"/>
                <w:sz w:val="24"/>
                <w:szCs w:val="24"/>
                <w:highlight w:val="none"/>
              </w:rPr>
            </w:pPr>
          </w:p>
        </w:tc>
        <w:tc>
          <w:tcPr>
            <w:tcW w:w="1450" w:type="dxa"/>
            <w:noWrap w:val="0"/>
            <w:vAlign w:val="top"/>
          </w:tcPr>
          <w:p w14:paraId="60A6C80E">
            <w:pPr>
              <w:rPr>
                <w:rFonts w:hint="eastAsia" w:ascii="宋体" w:hAnsi="宋体" w:eastAsia="宋体" w:cs="宋体"/>
                <w:i w:val="0"/>
                <w:iCs w:val="0"/>
                <w:color w:val="auto"/>
                <w:sz w:val="24"/>
                <w:szCs w:val="24"/>
                <w:highlight w:val="none"/>
              </w:rPr>
            </w:pPr>
          </w:p>
        </w:tc>
        <w:tc>
          <w:tcPr>
            <w:tcW w:w="1243" w:type="dxa"/>
            <w:noWrap w:val="0"/>
            <w:vAlign w:val="top"/>
          </w:tcPr>
          <w:p w14:paraId="5CF0D34E">
            <w:pPr>
              <w:rPr>
                <w:rFonts w:hint="eastAsia" w:ascii="宋体" w:hAnsi="宋体" w:eastAsia="宋体" w:cs="宋体"/>
                <w:i w:val="0"/>
                <w:iCs w:val="0"/>
                <w:color w:val="auto"/>
                <w:sz w:val="24"/>
                <w:szCs w:val="24"/>
                <w:highlight w:val="none"/>
              </w:rPr>
            </w:pPr>
          </w:p>
        </w:tc>
        <w:tc>
          <w:tcPr>
            <w:tcW w:w="1450" w:type="dxa"/>
            <w:noWrap w:val="0"/>
            <w:vAlign w:val="top"/>
          </w:tcPr>
          <w:p w14:paraId="63ECE55E">
            <w:pPr>
              <w:rPr>
                <w:rFonts w:hint="eastAsia" w:ascii="宋体" w:hAnsi="宋体" w:eastAsia="宋体" w:cs="宋体"/>
                <w:i w:val="0"/>
                <w:iCs w:val="0"/>
                <w:color w:val="auto"/>
                <w:sz w:val="24"/>
                <w:szCs w:val="24"/>
                <w:highlight w:val="none"/>
              </w:rPr>
            </w:pPr>
          </w:p>
        </w:tc>
        <w:tc>
          <w:tcPr>
            <w:tcW w:w="1439" w:type="dxa"/>
            <w:noWrap w:val="0"/>
            <w:vAlign w:val="top"/>
          </w:tcPr>
          <w:p w14:paraId="55070C96">
            <w:pPr>
              <w:rPr>
                <w:rFonts w:hint="eastAsia" w:ascii="宋体" w:hAnsi="宋体" w:eastAsia="宋体" w:cs="宋体"/>
                <w:i w:val="0"/>
                <w:iCs w:val="0"/>
                <w:color w:val="auto"/>
                <w:sz w:val="24"/>
                <w:szCs w:val="24"/>
                <w:highlight w:val="none"/>
              </w:rPr>
            </w:pPr>
          </w:p>
        </w:tc>
      </w:tr>
      <w:tr w14:paraId="529286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03B5298">
            <w:pPr>
              <w:rPr>
                <w:rFonts w:hint="eastAsia" w:ascii="宋体" w:hAnsi="宋体" w:eastAsia="宋体" w:cs="宋体"/>
                <w:i w:val="0"/>
                <w:iCs w:val="0"/>
                <w:color w:val="auto"/>
                <w:sz w:val="24"/>
                <w:szCs w:val="24"/>
                <w:highlight w:val="none"/>
              </w:rPr>
            </w:pPr>
          </w:p>
        </w:tc>
        <w:tc>
          <w:tcPr>
            <w:tcW w:w="1276" w:type="dxa"/>
            <w:noWrap w:val="0"/>
            <w:vAlign w:val="top"/>
          </w:tcPr>
          <w:p w14:paraId="01EB6481">
            <w:pPr>
              <w:rPr>
                <w:rFonts w:hint="eastAsia" w:ascii="宋体" w:hAnsi="宋体" w:eastAsia="宋体" w:cs="宋体"/>
                <w:i w:val="0"/>
                <w:iCs w:val="0"/>
                <w:color w:val="auto"/>
                <w:sz w:val="24"/>
                <w:szCs w:val="24"/>
                <w:highlight w:val="none"/>
              </w:rPr>
            </w:pPr>
          </w:p>
        </w:tc>
        <w:tc>
          <w:tcPr>
            <w:tcW w:w="1450" w:type="dxa"/>
            <w:noWrap w:val="0"/>
            <w:vAlign w:val="top"/>
          </w:tcPr>
          <w:p w14:paraId="694374E9">
            <w:pPr>
              <w:rPr>
                <w:rFonts w:hint="eastAsia" w:ascii="宋体" w:hAnsi="宋体" w:eastAsia="宋体" w:cs="宋体"/>
                <w:i w:val="0"/>
                <w:iCs w:val="0"/>
                <w:color w:val="auto"/>
                <w:sz w:val="24"/>
                <w:szCs w:val="24"/>
                <w:highlight w:val="none"/>
              </w:rPr>
            </w:pPr>
          </w:p>
        </w:tc>
        <w:tc>
          <w:tcPr>
            <w:tcW w:w="1243" w:type="dxa"/>
            <w:noWrap w:val="0"/>
            <w:vAlign w:val="top"/>
          </w:tcPr>
          <w:p w14:paraId="2C83347A">
            <w:pPr>
              <w:rPr>
                <w:rFonts w:hint="eastAsia" w:ascii="宋体" w:hAnsi="宋体" w:eastAsia="宋体" w:cs="宋体"/>
                <w:i w:val="0"/>
                <w:iCs w:val="0"/>
                <w:color w:val="auto"/>
                <w:sz w:val="24"/>
                <w:szCs w:val="24"/>
                <w:highlight w:val="none"/>
              </w:rPr>
            </w:pPr>
          </w:p>
        </w:tc>
        <w:tc>
          <w:tcPr>
            <w:tcW w:w="1450" w:type="dxa"/>
            <w:noWrap w:val="0"/>
            <w:vAlign w:val="top"/>
          </w:tcPr>
          <w:p w14:paraId="146F112E">
            <w:pPr>
              <w:rPr>
                <w:rFonts w:hint="eastAsia" w:ascii="宋体" w:hAnsi="宋体" w:eastAsia="宋体" w:cs="宋体"/>
                <w:i w:val="0"/>
                <w:iCs w:val="0"/>
                <w:color w:val="auto"/>
                <w:sz w:val="24"/>
                <w:szCs w:val="24"/>
                <w:highlight w:val="none"/>
              </w:rPr>
            </w:pPr>
          </w:p>
        </w:tc>
        <w:tc>
          <w:tcPr>
            <w:tcW w:w="1439" w:type="dxa"/>
            <w:noWrap w:val="0"/>
            <w:vAlign w:val="top"/>
          </w:tcPr>
          <w:p w14:paraId="5A629D78">
            <w:pPr>
              <w:rPr>
                <w:rFonts w:hint="eastAsia" w:ascii="宋体" w:hAnsi="宋体" w:eastAsia="宋体" w:cs="宋体"/>
                <w:i w:val="0"/>
                <w:iCs w:val="0"/>
                <w:color w:val="auto"/>
                <w:sz w:val="24"/>
                <w:szCs w:val="24"/>
                <w:highlight w:val="none"/>
              </w:rPr>
            </w:pPr>
          </w:p>
        </w:tc>
      </w:tr>
      <w:tr w14:paraId="5CF83F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48ABE446">
            <w:pPr>
              <w:rPr>
                <w:rFonts w:hint="eastAsia" w:ascii="宋体" w:hAnsi="宋体" w:eastAsia="宋体" w:cs="宋体"/>
                <w:i w:val="0"/>
                <w:iCs w:val="0"/>
                <w:color w:val="auto"/>
                <w:sz w:val="24"/>
                <w:szCs w:val="24"/>
                <w:highlight w:val="none"/>
              </w:rPr>
            </w:pPr>
          </w:p>
        </w:tc>
        <w:tc>
          <w:tcPr>
            <w:tcW w:w="1276" w:type="dxa"/>
            <w:noWrap w:val="0"/>
            <w:vAlign w:val="top"/>
          </w:tcPr>
          <w:p w14:paraId="0F6051AB">
            <w:pPr>
              <w:rPr>
                <w:rFonts w:hint="eastAsia" w:ascii="宋体" w:hAnsi="宋体" w:eastAsia="宋体" w:cs="宋体"/>
                <w:i w:val="0"/>
                <w:iCs w:val="0"/>
                <w:color w:val="auto"/>
                <w:sz w:val="24"/>
                <w:szCs w:val="24"/>
                <w:highlight w:val="none"/>
              </w:rPr>
            </w:pPr>
          </w:p>
        </w:tc>
        <w:tc>
          <w:tcPr>
            <w:tcW w:w="1450" w:type="dxa"/>
            <w:noWrap w:val="0"/>
            <w:vAlign w:val="top"/>
          </w:tcPr>
          <w:p w14:paraId="0677C952">
            <w:pPr>
              <w:rPr>
                <w:rFonts w:hint="eastAsia" w:ascii="宋体" w:hAnsi="宋体" w:eastAsia="宋体" w:cs="宋体"/>
                <w:i w:val="0"/>
                <w:iCs w:val="0"/>
                <w:color w:val="auto"/>
                <w:sz w:val="24"/>
                <w:szCs w:val="24"/>
                <w:highlight w:val="none"/>
              </w:rPr>
            </w:pPr>
          </w:p>
        </w:tc>
        <w:tc>
          <w:tcPr>
            <w:tcW w:w="1243" w:type="dxa"/>
            <w:noWrap w:val="0"/>
            <w:vAlign w:val="top"/>
          </w:tcPr>
          <w:p w14:paraId="1926E1D4">
            <w:pPr>
              <w:rPr>
                <w:rFonts w:hint="eastAsia" w:ascii="宋体" w:hAnsi="宋体" w:eastAsia="宋体" w:cs="宋体"/>
                <w:i w:val="0"/>
                <w:iCs w:val="0"/>
                <w:color w:val="auto"/>
                <w:sz w:val="24"/>
                <w:szCs w:val="24"/>
                <w:highlight w:val="none"/>
              </w:rPr>
            </w:pPr>
          </w:p>
        </w:tc>
        <w:tc>
          <w:tcPr>
            <w:tcW w:w="1450" w:type="dxa"/>
            <w:noWrap w:val="0"/>
            <w:vAlign w:val="top"/>
          </w:tcPr>
          <w:p w14:paraId="421D5A73">
            <w:pPr>
              <w:rPr>
                <w:rFonts w:hint="eastAsia" w:ascii="宋体" w:hAnsi="宋体" w:eastAsia="宋体" w:cs="宋体"/>
                <w:i w:val="0"/>
                <w:iCs w:val="0"/>
                <w:color w:val="auto"/>
                <w:sz w:val="24"/>
                <w:szCs w:val="24"/>
                <w:highlight w:val="none"/>
              </w:rPr>
            </w:pPr>
          </w:p>
        </w:tc>
        <w:tc>
          <w:tcPr>
            <w:tcW w:w="1439" w:type="dxa"/>
            <w:noWrap w:val="0"/>
            <w:vAlign w:val="top"/>
          </w:tcPr>
          <w:p w14:paraId="707470D4">
            <w:pPr>
              <w:rPr>
                <w:rFonts w:hint="eastAsia" w:ascii="宋体" w:hAnsi="宋体" w:eastAsia="宋体" w:cs="宋体"/>
                <w:i w:val="0"/>
                <w:iCs w:val="0"/>
                <w:color w:val="auto"/>
                <w:sz w:val="24"/>
                <w:szCs w:val="24"/>
                <w:highlight w:val="none"/>
              </w:rPr>
            </w:pPr>
          </w:p>
        </w:tc>
      </w:tr>
      <w:tr w14:paraId="61C76C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95F9973">
            <w:pPr>
              <w:rPr>
                <w:rFonts w:hint="eastAsia" w:ascii="宋体" w:hAnsi="宋体" w:eastAsia="宋体" w:cs="宋体"/>
                <w:i w:val="0"/>
                <w:iCs w:val="0"/>
                <w:color w:val="auto"/>
                <w:sz w:val="24"/>
                <w:szCs w:val="24"/>
                <w:highlight w:val="none"/>
              </w:rPr>
            </w:pPr>
          </w:p>
        </w:tc>
        <w:tc>
          <w:tcPr>
            <w:tcW w:w="1276" w:type="dxa"/>
            <w:noWrap w:val="0"/>
            <w:vAlign w:val="top"/>
          </w:tcPr>
          <w:p w14:paraId="25C41D68">
            <w:pPr>
              <w:rPr>
                <w:rFonts w:hint="eastAsia" w:ascii="宋体" w:hAnsi="宋体" w:eastAsia="宋体" w:cs="宋体"/>
                <w:i w:val="0"/>
                <w:iCs w:val="0"/>
                <w:color w:val="auto"/>
                <w:sz w:val="24"/>
                <w:szCs w:val="24"/>
                <w:highlight w:val="none"/>
              </w:rPr>
            </w:pPr>
          </w:p>
        </w:tc>
        <w:tc>
          <w:tcPr>
            <w:tcW w:w="1450" w:type="dxa"/>
            <w:noWrap w:val="0"/>
            <w:vAlign w:val="top"/>
          </w:tcPr>
          <w:p w14:paraId="75D8993A">
            <w:pPr>
              <w:rPr>
                <w:rFonts w:hint="eastAsia" w:ascii="宋体" w:hAnsi="宋体" w:eastAsia="宋体" w:cs="宋体"/>
                <w:i w:val="0"/>
                <w:iCs w:val="0"/>
                <w:color w:val="auto"/>
                <w:sz w:val="24"/>
                <w:szCs w:val="24"/>
                <w:highlight w:val="none"/>
              </w:rPr>
            </w:pPr>
          </w:p>
        </w:tc>
        <w:tc>
          <w:tcPr>
            <w:tcW w:w="1243" w:type="dxa"/>
            <w:noWrap w:val="0"/>
            <w:vAlign w:val="top"/>
          </w:tcPr>
          <w:p w14:paraId="4C605ABA">
            <w:pPr>
              <w:rPr>
                <w:rFonts w:hint="eastAsia" w:ascii="宋体" w:hAnsi="宋体" w:eastAsia="宋体" w:cs="宋体"/>
                <w:i w:val="0"/>
                <w:iCs w:val="0"/>
                <w:color w:val="auto"/>
                <w:sz w:val="24"/>
                <w:szCs w:val="24"/>
                <w:highlight w:val="none"/>
              </w:rPr>
            </w:pPr>
          </w:p>
        </w:tc>
        <w:tc>
          <w:tcPr>
            <w:tcW w:w="1450" w:type="dxa"/>
            <w:noWrap w:val="0"/>
            <w:vAlign w:val="top"/>
          </w:tcPr>
          <w:p w14:paraId="3E0A1797">
            <w:pPr>
              <w:rPr>
                <w:rFonts w:hint="eastAsia" w:ascii="宋体" w:hAnsi="宋体" w:eastAsia="宋体" w:cs="宋体"/>
                <w:i w:val="0"/>
                <w:iCs w:val="0"/>
                <w:color w:val="auto"/>
                <w:sz w:val="24"/>
                <w:szCs w:val="24"/>
                <w:highlight w:val="none"/>
              </w:rPr>
            </w:pPr>
          </w:p>
        </w:tc>
        <w:tc>
          <w:tcPr>
            <w:tcW w:w="1439" w:type="dxa"/>
            <w:noWrap w:val="0"/>
            <w:vAlign w:val="top"/>
          </w:tcPr>
          <w:p w14:paraId="3A4A5001">
            <w:pPr>
              <w:rPr>
                <w:rFonts w:hint="eastAsia" w:ascii="宋体" w:hAnsi="宋体" w:eastAsia="宋体" w:cs="宋体"/>
                <w:i w:val="0"/>
                <w:iCs w:val="0"/>
                <w:color w:val="auto"/>
                <w:sz w:val="24"/>
                <w:szCs w:val="24"/>
                <w:highlight w:val="none"/>
              </w:rPr>
            </w:pPr>
          </w:p>
        </w:tc>
      </w:tr>
      <w:tr w14:paraId="11C826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4B39AB9">
            <w:pPr>
              <w:rPr>
                <w:rFonts w:hint="eastAsia" w:ascii="宋体" w:hAnsi="宋体" w:eastAsia="宋体" w:cs="宋体"/>
                <w:i w:val="0"/>
                <w:iCs w:val="0"/>
                <w:color w:val="auto"/>
                <w:sz w:val="24"/>
                <w:szCs w:val="24"/>
                <w:highlight w:val="none"/>
              </w:rPr>
            </w:pPr>
          </w:p>
        </w:tc>
        <w:tc>
          <w:tcPr>
            <w:tcW w:w="1276" w:type="dxa"/>
            <w:noWrap w:val="0"/>
            <w:vAlign w:val="top"/>
          </w:tcPr>
          <w:p w14:paraId="72F29370">
            <w:pPr>
              <w:rPr>
                <w:rFonts w:hint="eastAsia" w:ascii="宋体" w:hAnsi="宋体" w:eastAsia="宋体" w:cs="宋体"/>
                <w:i w:val="0"/>
                <w:iCs w:val="0"/>
                <w:color w:val="auto"/>
                <w:sz w:val="24"/>
                <w:szCs w:val="24"/>
                <w:highlight w:val="none"/>
              </w:rPr>
            </w:pPr>
          </w:p>
        </w:tc>
        <w:tc>
          <w:tcPr>
            <w:tcW w:w="1450" w:type="dxa"/>
            <w:noWrap w:val="0"/>
            <w:vAlign w:val="top"/>
          </w:tcPr>
          <w:p w14:paraId="6C7CA2EE">
            <w:pPr>
              <w:rPr>
                <w:rFonts w:hint="eastAsia" w:ascii="宋体" w:hAnsi="宋体" w:eastAsia="宋体" w:cs="宋体"/>
                <w:i w:val="0"/>
                <w:iCs w:val="0"/>
                <w:color w:val="auto"/>
                <w:sz w:val="24"/>
                <w:szCs w:val="24"/>
                <w:highlight w:val="none"/>
              </w:rPr>
            </w:pPr>
          </w:p>
        </w:tc>
        <w:tc>
          <w:tcPr>
            <w:tcW w:w="1243" w:type="dxa"/>
            <w:noWrap w:val="0"/>
            <w:vAlign w:val="top"/>
          </w:tcPr>
          <w:p w14:paraId="0CE49A3E">
            <w:pPr>
              <w:rPr>
                <w:rFonts w:hint="eastAsia" w:ascii="宋体" w:hAnsi="宋体" w:eastAsia="宋体" w:cs="宋体"/>
                <w:i w:val="0"/>
                <w:iCs w:val="0"/>
                <w:color w:val="auto"/>
                <w:sz w:val="24"/>
                <w:szCs w:val="24"/>
                <w:highlight w:val="none"/>
              </w:rPr>
            </w:pPr>
          </w:p>
        </w:tc>
        <w:tc>
          <w:tcPr>
            <w:tcW w:w="1450" w:type="dxa"/>
            <w:noWrap w:val="0"/>
            <w:vAlign w:val="top"/>
          </w:tcPr>
          <w:p w14:paraId="1CE62A85">
            <w:pPr>
              <w:rPr>
                <w:rFonts w:hint="eastAsia" w:ascii="宋体" w:hAnsi="宋体" w:eastAsia="宋体" w:cs="宋体"/>
                <w:i w:val="0"/>
                <w:iCs w:val="0"/>
                <w:color w:val="auto"/>
                <w:sz w:val="24"/>
                <w:szCs w:val="24"/>
                <w:highlight w:val="none"/>
              </w:rPr>
            </w:pPr>
          </w:p>
        </w:tc>
        <w:tc>
          <w:tcPr>
            <w:tcW w:w="1439" w:type="dxa"/>
            <w:noWrap w:val="0"/>
            <w:vAlign w:val="top"/>
          </w:tcPr>
          <w:p w14:paraId="299CAF4C">
            <w:pPr>
              <w:rPr>
                <w:rFonts w:hint="eastAsia" w:ascii="宋体" w:hAnsi="宋体" w:eastAsia="宋体" w:cs="宋体"/>
                <w:i w:val="0"/>
                <w:iCs w:val="0"/>
                <w:color w:val="auto"/>
                <w:sz w:val="24"/>
                <w:szCs w:val="24"/>
                <w:highlight w:val="none"/>
              </w:rPr>
            </w:pPr>
          </w:p>
        </w:tc>
      </w:tr>
      <w:tr w14:paraId="0773B2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5CA6838">
            <w:pPr>
              <w:rPr>
                <w:rFonts w:hint="eastAsia" w:ascii="宋体" w:hAnsi="宋体" w:eastAsia="宋体" w:cs="宋体"/>
                <w:i w:val="0"/>
                <w:iCs w:val="0"/>
                <w:color w:val="auto"/>
                <w:sz w:val="24"/>
                <w:szCs w:val="24"/>
                <w:highlight w:val="none"/>
              </w:rPr>
            </w:pPr>
          </w:p>
        </w:tc>
        <w:tc>
          <w:tcPr>
            <w:tcW w:w="1276" w:type="dxa"/>
            <w:noWrap w:val="0"/>
            <w:vAlign w:val="top"/>
          </w:tcPr>
          <w:p w14:paraId="580DAD90">
            <w:pPr>
              <w:rPr>
                <w:rFonts w:hint="eastAsia" w:ascii="宋体" w:hAnsi="宋体" w:eastAsia="宋体" w:cs="宋体"/>
                <w:i w:val="0"/>
                <w:iCs w:val="0"/>
                <w:color w:val="auto"/>
                <w:sz w:val="24"/>
                <w:szCs w:val="24"/>
                <w:highlight w:val="none"/>
              </w:rPr>
            </w:pPr>
          </w:p>
        </w:tc>
        <w:tc>
          <w:tcPr>
            <w:tcW w:w="1450" w:type="dxa"/>
            <w:noWrap w:val="0"/>
            <w:vAlign w:val="top"/>
          </w:tcPr>
          <w:p w14:paraId="398324D2">
            <w:pPr>
              <w:rPr>
                <w:rFonts w:hint="eastAsia" w:ascii="宋体" w:hAnsi="宋体" w:eastAsia="宋体" w:cs="宋体"/>
                <w:i w:val="0"/>
                <w:iCs w:val="0"/>
                <w:color w:val="auto"/>
                <w:sz w:val="24"/>
                <w:szCs w:val="24"/>
                <w:highlight w:val="none"/>
              </w:rPr>
            </w:pPr>
          </w:p>
        </w:tc>
        <w:tc>
          <w:tcPr>
            <w:tcW w:w="1243" w:type="dxa"/>
            <w:noWrap w:val="0"/>
            <w:vAlign w:val="top"/>
          </w:tcPr>
          <w:p w14:paraId="12D14A9C">
            <w:pPr>
              <w:rPr>
                <w:rFonts w:hint="eastAsia" w:ascii="宋体" w:hAnsi="宋体" w:eastAsia="宋体" w:cs="宋体"/>
                <w:i w:val="0"/>
                <w:iCs w:val="0"/>
                <w:color w:val="auto"/>
                <w:sz w:val="24"/>
                <w:szCs w:val="24"/>
                <w:highlight w:val="none"/>
              </w:rPr>
            </w:pPr>
          </w:p>
        </w:tc>
        <w:tc>
          <w:tcPr>
            <w:tcW w:w="1450" w:type="dxa"/>
            <w:noWrap w:val="0"/>
            <w:vAlign w:val="top"/>
          </w:tcPr>
          <w:p w14:paraId="7F2B50A4">
            <w:pPr>
              <w:rPr>
                <w:rFonts w:hint="eastAsia" w:ascii="宋体" w:hAnsi="宋体" w:eastAsia="宋体" w:cs="宋体"/>
                <w:i w:val="0"/>
                <w:iCs w:val="0"/>
                <w:color w:val="auto"/>
                <w:sz w:val="24"/>
                <w:szCs w:val="24"/>
                <w:highlight w:val="none"/>
              </w:rPr>
            </w:pPr>
          </w:p>
        </w:tc>
        <w:tc>
          <w:tcPr>
            <w:tcW w:w="1439" w:type="dxa"/>
            <w:noWrap w:val="0"/>
            <w:vAlign w:val="top"/>
          </w:tcPr>
          <w:p w14:paraId="142F32E3">
            <w:pPr>
              <w:rPr>
                <w:rFonts w:hint="eastAsia" w:ascii="宋体" w:hAnsi="宋体" w:eastAsia="宋体" w:cs="宋体"/>
                <w:i w:val="0"/>
                <w:iCs w:val="0"/>
                <w:color w:val="auto"/>
                <w:sz w:val="24"/>
                <w:szCs w:val="24"/>
                <w:highlight w:val="none"/>
              </w:rPr>
            </w:pPr>
          </w:p>
        </w:tc>
      </w:tr>
      <w:tr w14:paraId="283B8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BBD6313">
            <w:pPr>
              <w:rPr>
                <w:rFonts w:hint="eastAsia" w:ascii="宋体" w:hAnsi="宋体" w:eastAsia="宋体" w:cs="宋体"/>
                <w:i w:val="0"/>
                <w:iCs w:val="0"/>
                <w:color w:val="auto"/>
                <w:sz w:val="24"/>
                <w:szCs w:val="24"/>
                <w:highlight w:val="none"/>
              </w:rPr>
            </w:pPr>
          </w:p>
        </w:tc>
        <w:tc>
          <w:tcPr>
            <w:tcW w:w="1276" w:type="dxa"/>
            <w:noWrap w:val="0"/>
            <w:vAlign w:val="top"/>
          </w:tcPr>
          <w:p w14:paraId="14B4470A">
            <w:pPr>
              <w:rPr>
                <w:rFonts w:hint="eastAsia" w:ascii="宋体" w:hAnsi="宋体" w:eastAsia="宋体" w:cs="宋体"/>
                <w:i w:val="0"/>
                <w:iCs w:val="0"/>
                <w:color w:val="auto"/>
                <w:sz w:val="24"/>
                <w:szCs w:val="24"/>
                <w:highlight w:val="none"/>
              </w:rPr>
            </w:pPr>
          </w:p>
        </w:tc>
        <w:tc>
          <w:tcPr>
            <w:tcW w:w="1450" w:type="dxa"/>
            <w:noWrap w:val="0"/>
            <w:vAlign w:val="top"/>
          </w:tcPr>
          <w:p w14:paraId="1084FF7A">
            <w:pPr>
              <w:rPr>
                <w:rFonts w:hint="eastAsia" w:ascii="宋体" w:hAnsi="宋体" w:eastAsia="宋体" w:cs="宋体"/>
                <w:i w:val="0"/>
                <w:iCs w:val="0"/>
                <w:color w:val="auto"/>
                <w:sz w:val="24"/>
                <w:szCs w:val="24"/>
                <w:highlight w:val="none"/>
              </w:rPr>
            </w:pPr>
          </w:p>
        </w:tc>
        <w:tc>
          <w:tcPr>
            <w:tcW w:w="1243" w:type="dxa"/>
            <w:noWrap w:val="0"/>
            <w:vAlign w:val="top"/>
          </w:tcPr>
          <w:p w14:paraId="1EEC3479">
            <w:pPr>
              <w:rPr>
                <w:rFonts w:hint="eastAsia" w:ascii="宋体" w:hAnsi="宋体" w:eastAsia="宋体" w:cs="宋体"/>
                <w:i w:val="0"/>
                <w:iCs w:val="0"/>
                <w:color w:val="auto"/>
                <w:sz w:val="24"/>
                <w:szCs w:val="24"/>
                <w:highlight w:val="none"/>
              </w:rPr>
            </w:pPr>
          </w:p>
        </w:tc>
        <w:tc>
          <w:tcPr>
            <w:tcW w:w="1450" w:type="dxa"/>
            <w:noWrap w:val="0"/>
            <w:vAlign w:val="top"/>
          </w:tcPr>
          <w:p w14:paraId="605E270F">
            <w:pPr>
              <w:rPr>
                <w:rFonts w:hint="eastAsia" w:ascii="宋体" w:hAnsi="宋体" w:eastAsia="宋体" w:cs="宋体"/>
                <w:i w:val="0"/>
                <w:iCs w:val="0"/>
                <w:color w:val="auto"/>
                <w:sz w:val="24"/>
                <w:szCs w:val="24"/>
                <w:highlight w:val="none"/>
              </w:rPr>
            </w:pPr>
          </w:p>
        </w:tc>
        <w:tc>
          <w:tcPr>
            <w:tcW w:w="1439" w:type="dxa"/>
            <w:noWrap w:val="0"/>
            <w:vAlign w:val="top"/>
          </w:tcPr>
          <w:p w14:paraId="798C6CD2">
            <w:pPr>
              <w:rPr>
                <w:rFonts w:hint="eastAsia" w:ascii="宋体" w:hAnsi="宋体" w:eastAsia="宋体" w:cs="宋体"/>
                <w:i w:val="0"/>
                <w:iCs w:val="0"/>
                <w:color w:val="auto"/>
                <w:sz w:val="24"/>
                <w:szCs w:val="24"/>
                <w:highlight w:val="none"/>
              </w:rPr>
            </w:pPr>
          </w:p>
        </w:tc>
      </w:tr>
      <w:tr w14:paraId="69BF44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6464D29">
            <w:pPr>
              <w:rPr>
                <w:rFonts w:hint="eastAsia" w:ascii="宋体" w:hAnsi="宋体" w:eastAsia="宋体" w:cs="宋体"/>
                <w:i w:val="0"/>
                <w:iCs w:val="0"/>
                <w:color w:val="auto"/>
                <w:sz w:val="24"/>
                <w:szCs w:val="24"/>
                <w:highlight w:val="none"/>
              </w:rPr>
            </w:pPr>
          </w:p>
        </w:tc>
        <w:tc>
          <w:tcPr>
            <w:tcW w:w="1276" w:type="dxa"/>
            <w:noWrap w:val="0"/>
            <w:vAlign w:val="top"/>
          </w:tcPr>
          <w:p w14:paraId="27999102">
            <w:pPr>
              <w:rPr>
                <w:rFonts w:hint="eastAsia" w:ascii="宋体" w:hAnsi="宋体" w:eastAsia="宋体" w:cs="宋体"/>
                <w:i w:val="0"/>
                <w:iCs w:val="0"/>
                <w:color w:val="auto"/>
                <w:sz w:val="24"/>
                <w:szCs w:val="24"/>
                <w:highlight w:val="none"/>
              </w:rPr>
            </w:pPr>
          </w:p>
        </w:tc>
        <w:tc>
          <w:tcPr>
            <w:tcW w:w="1450" w:type="dxa"/>
            <w:noWrap w:val="0"/>
            <w:vAlign w:val="top"/>
          </w:tcPr>
          <w:p w14:paraId="40082F7C">
            <w:pPr>
              <w:rPr>
                <w:rFonts w:hint="eastAsia" w:ascii="宋体" w:hAnsi="宋体" w:eastAsia="宋体" w:cs="宋体"/>
                <w:i w:val="0"/>
                <w:iCs w:val="0"/>
                <w:color w:val="auto"/>
                <w:sz w:val="24"/>
                <w:szCs w:val="24"/>
                <w:highlight w:val="none"/>
              </w:rPr>
            </w:pPr>
          </w:p>
        </w:tc>
        <w:tc>
          <w:tcPr>
            <w:tcW w:w="1243" w:type="dxa"/>
            <w:noWrap w:val="0"/>
            <w:vAlign w:val="top"/>
          </w:tcPr>
          <w:p w14:paraId="5B1C0421">
            <w:pPr>
              <w:rPr>
                <w:rFonts w:hint="eastAsia" w:ascii="宋体" w:hAnsi="宋体" w:eastAsia="宋体" w:cs="宋体"/>
                <w:i w:val="0"/>
                <w:iCs w:val="0"/>
                <w:color w:val="auto"/>
                <w:sz w:val="24"/>
                <w:szCs w:val="24"/>
                <w:highlight w:val="none"/>
              </w:rPr>
            </w:pPr>
          </w:p>
        </w:tc>
        <w:tc>
          <w:tcPr>
            <w:tcW w:w="1450" w:type="dxa"/>
            <w:noWrap w:val="0"/>
            <w:vAlign w:val="top"/>
          </w:tcPr>
          <w:p w14:paraId="23FD3938">
            <w:pPr>
              <w:rPr>
                <w:rFonts w:hint="eastAsia" w:ascii="宋体" w:hAnsi="宋体" w:eastAsia="宋体" w:cs="宋体"/>
                <w:i w:val="0"/>
                <w:iCs w:val="0"/>
                <w:color w:val="auto"/>
                <w:sz w:val="24"/>
                <w:szCs w:val="24"/>
                <w:highlight w:val="none"/>
              </w:rPr>
            </w:pPr>
          </w:p>
        </w:tc>
        <w:tc>
          <w:tcPr>
            <w:tcW w:w="1439" w:type="dxa"/>
            <w:noWrap w:val="0"/>
            <w:vAlign w:val="top"/>
          </w:tcPr>
          <w:p w14:paraId="51C664D3">
            <w:pPr>
              <w:rPr>
                <w:rFonts w:hint="eastAsia" w:ascii="宋体" w:hAnsi="宋体" w:eastAsia="宋体" w:cs="宋体"/>
                <w:i w:val="0"/>
                <w:iCs w:val="0"/>
                <w:color w:val="auto"/>
                <w:sz w:val="24"/>
                <w:szCs w:val="24"/>
                <w:highlight w:val="none"/>
              </w:rPr>
            </w:pPr>
          </w:p>
        </w:tc>
      </w:tr>
      <w:tr w14:paraId="41AA4B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CF104D6">
            <w:pPr>
              <w:rPr>
                <w:rFonts w:hint="eastAsia" w:ascii="宋体" w:hAnsi="宋体" w:eastAsia="宋体" w:cs="宋体"/>
                <w:i w:val="0"/>
                <w:iCs w:val="0"/>
                <w:color w:val="auto"/>
                <w:sz w:val="24"/>
                <w:szCs w:val="24"/>
                <w:highlight w:val="none"/>
              </w:rPr>
            </w:pPr>
          </w:p>
        </w:tc>
        <w:tc>
          <w:tcPr>
            <w:tcW w:w="1276" w:type="dxa"/>
            <w:noWrap w:val="0"/>
            <w:vAlign w:val="top"/>
          </w:tcPr>
          <w:p w14:paraId="209D3DC5">
            <w:pPr>
              <w:rPr>
                <w:rFonts w:hint="eastAsia" w:ascii="宋体" w:hAnsi="宋体" w:eastAsia="宋体" w:cs="宋体"/>
                <w:i w:val="0"/>
                <w:iCs w:val="0"/>
                <w:color w:val="auto"/>
                <w:sz w:val="24"/>
                <w:szCs w:val="24"/>
                <w:highlight w:val="none"/>
              </w:rPr>
            </w:pPr>
          </w:p>
        </w:tc>
        <w:tc>
          <w:tcPr>
            <w:tcW w:w="1450" w:type="dxa"/>
            <w:noWrap w:val="0"/>
            <w:vAlign w:val="top"/>
          </w:tcPr>
          <w:p w14:paraId="3B114A91">
            <w:pPr>
              <w:rPr>
                <w:rFonts w:hint="eastAsia" w:ascii="宋体" w:hAnsi="宋体" w:eastAsia="宋体" w:cs="宋体"/>
                <w:i w:val="0"/>
                <w:iCs w:val="0"/>
                <w:color w:val="auto"/>
                <w:sz w:val="24"/>
                <w:szCs w:val="24"/>
                <w:highlight w:val="none"/>
              </w:rPr>
            </w:pPr>
          </w:p>
        </w:tc>
        <w:tc>
          <w:tcPr>
            <w:tcW w:w="1243" w:type="dxa"/>
            <w:noWrap w:val="0"/>
            <w:vAlign w:val="top"/>
          </w:tcPr>
          <w:p w14:paraId="67FC52A9">
            <w:pPr>
              <w:rPr>
                <w:rFonts w:hint="eastAsia" w:ascii="宋体" w:hAnsi="宋体" w:eastAsia="宋体" w:cs="宋体"/>
                <w:i w:val="0"/>
                <w:iCs w:val="0"/>
                <w:color w:val="auto"/>
                <w:sz w:val="24"/>
                <w:szCs w:val="24"/>
                <w:highlight w:val="none"/>
              </w:rPr>
            </w:pPr>
          </w:p>
        </w:tc>
        <w:tc>
          <w:tcPr>
            <w:tcW w:w="1450" w:type="dxa"/>
            <w:noWrap w:val="0"/>
            <w:vAlign w:val="top"/>
          </w:tcPr>
          <w:p w14:paraId="244860DB">
            <w:pPr>
              <w:rPr>
                <w:rFonts w:hint="eastAsia" w:ascii="宋体" w:hAnsi="宋体" w:eastAsia="宋体" w:cs="宋体"/>
                <w:i w:val="0"/>
                <w:iCs w:val="0"/>
                <w:color w:val="auto"/>
                <w:sz w:val="24"/>
                <w:szCs w:val="24"/>
                <w:highlight w:val="none"/>
              </w:rPr>
            </w:pPr>
          </w:p>
        </w:tc>
        <w:tc>
          <w:tcPr>
            <w:tcW w:w="1439" w:type="dxa"/>
            <w:noWrap w:val="0"/>
            <w:vAlign w:val="top"/>
          </w:tcPr>
          <w:p w14:paraId="6BCD4EDE">
            <w:pPr>
              <w:rPr>
                <w:rFonts w:hint="eastAsia" w:ascii="宋体" w:hAnsi="宋体" w:eastAsia="宋体" w:cs="宋体"/>
                <w:i w:val="0"/>
                <w:iCs w:val="0"/>
                <w:color w:val="auto"/>
                <w:sz w:val="24"/>
                <w:szCs w:val="24"/>
                <w:highlight w:val="none"/>
              </w:rPr>
            </w:pPr>
          </w:p>
        </w:tc>
      </w:tr>
    </w:tbl>
    <w:p w14:paraId="1854EF70">
      <w:pPr>
        <w:spacing w:line="440" w:lineRule="exact"/>
        <w:rPr>
          <w:rFonts w:hint="eastAsia" w:ascii="Times New Roman" w:hAnsi="Times New Roman" w:eastAsia="仿宋_GB2312"/>
          <w:i w:val="0"/>
          <w:iCs w:val="0"/>
          <w:color w:val="auto"/>
          <w:sz w:val="30"/>
          <w:szCs w:val="30"/>
          <w:highlight w:val="none"/>
        </w:rPr>
      </w:pPr>
    </w:p>
    <w:p w14:paraId="352D78B9">
      <w:pPr>
        <w:spacing w:line="440" w:lineRule="exact"/>
        <w:rPr>
          <w:rFonts w:hint="eastAsia" w:ascii="宋体" w:hAnsi="宋体" w:eastAsia="宋体"/>
          <w:b/>
          <w:bCs/>
          <w:i w:val="0"/>
          <w:iCs w:val="0"/>
          <w:color w:val="auto"/>
          <w:sz w:val="24"/>
          <w:highlight w:val="none"/>
        </w:rPr>
      </w:pPr>
      <w:r>
        <w:rPr>
          <w:rFonts w:ascii="Times New Roman" w:hAnsi="Times New Roman" w:eastAsia="仿宋_GB2312"/>
          <w:i w:val="0"/>
          <w:iCs w:val="0"/>
          <w:color w:val="auto"/>
          <w:sz w:val="30"/>
          <w:szCs w:val="30"/>
          <w:highlight w:val="none"/>
        </w:rPr>
        <w:br w:type="page"/>
      </w:r>
      <w:r>
        <w:rPr>
          <w:rFonts w:hint="eastAsia" w:ascii="宋体" w:hAnsi="宋体" w:eastAsia="宋体"/>
          <w:b/>
          <w:bCs/>
          <w:i w:val="0"/>
          <w:iCs w:val="0"/>
          <w:color w:val="auto"/>
          <w:sz w:val="24"/>
          <w:highlight w:val="none"/>
        </w:rPr>
        <w:t>附</w:t>
      </w:r>
      <w:bookmarkStart w:id="1138" w:name="_Toc296944566"/>
      <w:bookmarkStart w:id="1139" w:name="_Toc296347226"/>
      <w:bookmarkStart w:id="1140" w:name="_Toc296891055"/>
      <w:bookmarkStart w:id="1141" w:name="_Toc296503227"/>
      <w:bookmarkStart w:id="1142" w:name="_Toc296891267"/>
      <w:bookmarkStart w:id="1143" w:name="_Toc267261698"/>
      <w:bookmarkStart w:id="1144" w:name="_Toc296346728"/>
      <w:r>
        <w:rPr>
          <w:rFonts w:hint="eastAsia" w:ascii="宋体" w:hAnsi="宋体" w:eastAsia="宋体"/>
          <w:b/>
          <w:bCs/>
          <w:i w:val="0"/>
          <w:iCs w:val="0"/>
          <w:color w:val="auto"/>
          <w:sz w:val="24"/>
          <w:highlight w:val="none"/>
        </w:rPr>
        <w:t>件5：</w:t>
      </w:r>
    </w:p>
    <w:bookmarkEnd w:id="1138"/>
    <w:bookmarkEnd w:id="1139"/>
    <w:bookmarkEnd w:id="1140"/>
    <w:bookmarkEnd w:id="1141"/>
    <w:bookmarkEnd w:id="1142"/>
    <w:bookmarkEnd w:id="1143"/>
    <w:bookmarkEnd w:id="1144"/>
    <w:p w14:paraId="02F06814">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承包人用于本工程施工的机械设备表</w:t>
      </w:r>
    </w:p>
    <w:tbl>
      <w:tblPr>
        <w:tblStyle w:val="27"/>
        <w:tblW w:w="937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27"/>
        <w:gridCol w:w="1418"/>
        <w:gridCol w:w="850"/>
        <w:gridCol w:w="1058"/>
        <w:gridCol w:w="880"/>
        <w:gridCol w:w="1020"/>
        <w:gridCol w:w="1480"/>
        <w:gridCol w:w="1020"/>
        <w:gridCol w:w="921"/>
      </w:tblGrid>
      <w:tr w14:paraId="233369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727" w:type="dxa"/>
            <w:tcBorders>
              <w:top w:val="single" w:color="auto" w:sz="12" w:space="0"/>
              <w:bottom w:val="double" w:color="auto" w:sz="6" w:space="0"/>
            </w:tcBorders>
            <w:noWrap w:val="0"/>
            <w:vAlign w:val="center"/>
          </w:tcPr>
          <w:p w14:paraId="0B884E6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序号</w:t>
            </w:r>
          </w:p>
        </w:tc>
        <w:tc>
          <w:tcPr>
            <w:tcW w:w="1418" w:type="dxa"/>
            <w:tcBorders>
              <w:top w:val="single" w:color="auto" w:sz="12" w:space="0"/>
              <w:bottom w:val="double" w:color="auto" w:sz="6" w:space="0"/>
            </w:tcBorders>
            <w:noWrap w:val="0"/>
            <w:vAlign w:val="center"/>
          </w:tcPr>
          <w:p w14:paraId="11AE604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机械或设备名称</w:t>
            </w:r>
          </w:p>
        </w:tc>
        <w:tc>
          <w:tcPr>
            <w:tcW w:w="850" w:type="dxa"/>
            <w:tcBorders>
              <w:top w:val="single" w:color="auto" w:sz="12" w:space="0"/>
              <w:bottom w:val="double" w:color="auto" w:sz="6" w:space="0"/>
            </w:tcBorders>
            <w:noWrap w:val="0"/>
            <w:vAlign w:val="center"/>
          </w:tcPr>
          <w:p w14:paraId="0A2034C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规格型号</w:t>
            </w:r>
          </w:p>
        </w:tc>
        <w:tc>
          <w:tcPr>
            <w:tcW w:w="1058" w:type="dxa"/>
            <w:tcBorders>
              <w:top w:val="single" w:color="auto" w:sz="12" w:space="0"/>
              <w:bottom w:val="double" w:color="auto" w:sz="6" w:space="0"/>
            </w:tcBorders>
            <w:noWrap w:val="0"/>
            <w:vAlign w:val="center"/>
          </w:tcPr>
          <w:p w14:paraId="23AD169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数量</w:t>
            </w:r>
          </w:p>
        </w:tc>
        <w:tc>
          <w:tcPr>
            <w:tcW w:w="880" w:type="dxa"/>
            <w:tcBorders>
              <w:top w:val="single" w:color="auto" w:sz="12" w:space="0"/>
              <w:bottom w:val="double" w:color="auto" w:sz="6" w:space="0"/>
            </w:tcBorders>
            <w:noWrap w:val="0"/>
            <w:vAlign w:val="center"/>
          </w:tcPr>
          <w:p w14:paraId="78D8152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产地</w:t>
            </w:r>
          </w:p>
        </w:tc>
        <w:tc>
          <w:tcPr>
            <w:tcW w:w="1020" w:type="dxa"/>
            <w:tcBorders>
              <w:top w:val="single" w:color="auto" w:sz="12" w:space="0"/>
              <w:bottom w:val="double" w:color="auto" w:sz="6" w:space="0"/>
            </w:tcBorders>
            <w:noWrap w:val="0"/>
            <w:vAlign w:val="center"/>
          </w:tcPr>
          <w:p w14:paraId="6C6826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制造年份</w:t>
            </w:r>
          </w:p>
        </w:tc>
        <w:tc>
          <w:tcPr>
            <w:tcW w:w="1480" w:type="dxa"/>
            <w:tcBorders>
              <w:top w:val="single" w:color="auto" w:sz="12" w:space="0"/>
              <w:bottom w:val="double" w:color="auto" w:sz="6" w:space="0"/>
            </w:tcBorders>
            <w:noWrap w:val="0"/>
            <w:vAlign w:val="center"/>
          </w:tcPr>
          <w:p w14:paraId="3D45449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额定功率(kW)</w:t>
            </w:r>
          </w:p>
        </w:tc>
        <w:tc>
          <w:tcPr>
            <w:tcW w:w="1020" w:type="dxa"/>
            <w:tcBorders>
              <w:top w:val="single" w:color="auto" w:sz="12" w:space="0"/>
              <w:bottom w:val="double" w:color="auto" w:sz="6" w:space="0"/>
            </w:tcBorders>
            <w:noWrap w:val="0"/>
            <w:vAlign w:val="center"/>
          </w:tcPr>
          <w:p w14:paraId="5B3463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生产能力</w:t>
            </w:r>
          </w:p>
        </w:tc>
        <w:tc>
          <w:tcPr>
            <w:tcW w:w="921" w:type="dxa"/>
            <w:tcBorders>
              <w:top w:val="single" w:color="auto" w:sz="12" w:space="0"/>
              <w:bottom w:val="double" w:color="auto" w:sz="6" w:space="0"/>
            </w:tcBorders>
            <w:noWrap w:val="0"/>
            <w:vAlign w:val="center"/>
          </w:tcPr>
          <w:p w14:paraId="74E741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备注</w:t>
            </w:r>
          </w:p>
        </w:tc>
      </w:tr>
      <w:tr w14:paraId="173D4C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tcBorders>
              <w:top w:val="double" w:color="auto" w:sz="6" w:space="0"/>
              <w:bottom w:val="single" w:color="auto" w:sz="6" w:space="0"/>
            </w:tcBorders>
            <w:noWrap w:val="0"/>
            <w:vAlign w:val="center"/>
          </w:tcPr>
          <w:p w14:paraId="53A1FC7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double" w:color="auto" w:sz="6" w:space="0"/>
              <w:bottom w:val="single" w:color="auto" w:sz="6" w:space="0"/>
            </w:tcBorders>
            <w:noWrap w:val="0"/>
            <w:vAlign w:val="center"/>
          </w:tcPr>
          <w:p w14:paraId="7D3A25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double" w:color="auto" w:sz="6" w:space="0"/>
              <w:bottom w:val="single" w:color="auto" w:sz="6" w:space="0"/>
            </w:tcBorders>
            <w:noWrap w:val="0"/>
            <w:vAlign w:val="center"/>
          </w:tcPr>
          <w:p w14:paraId="300C3C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tcBorders>
              <w:top w:val="double" w:color="auto" w:sz="6" w:space="0"/>
              <w:bottom w:val="single" w:color="auto" w:sz="6" w:space="0"/>
            </w:tcBorders>
            <w:noWrap w:val="0"/>
            <w:vAlign w:val="center"/>
          </w:tcPr>
          <w:p w14:paraId="5F6DB6A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tcBorders>
              <w:top w:val="double" w:color="auto" w:sz="6" w:space="0"/>
              <w:bottom w:val="single" w:color="auto" w:sz="6" w:space="0"/>
            </w:tcBorders>
            <w:noWrap w:val="0"/>
            <w:vAlign w:val="center"/>
          </w:tcPr>
          <w:p w14:paraId="263DAE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tcBorders>
              <w:top w:val="double" w:color="auto" w:sz="6" w:space="0"/>
              <w:bottom w:val="single" w:color="auto" w:sz="6" w:space="0"/>
            </w:tcBorders>
            <w:noWrap w:val="0"/>
            <w:vAlign w:val="center"/>
          </w:tcPr>
          <w:p w14:paraId="1A58EC3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tcBorders>
              <w:top w:val="double" w:color="auto" w:sz="6" w:space="0"/>
              <w:bottom w:val="single" w:color="auto" w:sz="6" w:space="0"/>
            </w:tcBorders>
            <w:noWrap w:val="0"/>
            <w:vAlign w:val="center"/>
          </w:tcPr>
          <w:p w14:paraId="3845F4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tcBorders>
              <w:top w:val="double" w:color="auto" w:sz="6" w:space="0"/>
              <w:bottom w:val="single" w:color="auto" w:sz="6" w:space="0"/>
            </w:tcBorders>
            <w:noWrap w:val="0"/>
            <w:vAlign w:val="center"/>
          </w:tcPr>
          <w:p w14:paraId="54955F8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tcBorders>
              <w:top w:val="double" w:color="auto" w:sz="6" w:space="0"/>
              <w:bottom w:val="single" w:color="auto" w:sz="6" w:space="0"/>
            </w:tcBorders>
            <w:noWrap w:val="0"/>
            <w:vAlign w:val="center"/>
          </w:tcPr>
          <w:p w14:paraId="2D9B472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640A6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tcBorders>
              <w:top w:val="nil"/>
            </w:tcBorders>
            <w:noWrap w:val="0"/>
            <w:vAlign w:val="center"/>
          </w:tcPr>
          <w:p w14:paraId="5E1B14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nil"/>
            </w:tcBorders>
            <w:noWrap w:val="0"/>
            <w:vAlign w:val="center"/>
          </w:tcPr>
          <w:p w14:paraId="091EAA3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tcBorders>
              <w:top w:val="nil"/>
            </w:tcBorders>
            <w:noWrap w:val="0"/>
            <w:vAlign w:val="center"/>
          </w:tcPr>
          <w:p w14:paraId="2438D8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tcBorders>
              <w:top w:val="nil"/>
            </w:tcBorders>
            <w:noWrap w:val="0"/>
            <w:vAlign w:val="center"/>
          </w:tcPr>
          <w:p w14:paraId="6ABEB9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tcBorders>
              <w:top w:val="nil"/>
            </w:tcBorders>
            <w:noWrap w:val="0"/>
            <w:vAlign w:val="center"/>
          </w:tcPr>
          <w:p w14:paraId="41E1EA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tcBorders>
              <w:top w:val="nil"/>
            </w:tcBorders>
            <w:noWrap w:val="0"/>
            <w:vAlign w:val="center"/>
          </w:tcPr>
          <w:p w14:paraId="5AAADC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tcBorders>
              <w:top w:val="nil"/>
            </w:tcBorders>
            <w:noWrap w:val="0"/>
            <w:vAlign w:val="center"/>
          </w:tcPr>
          <w:p w14:paraId="4B95F8E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tcBorders>
              <w:top w:val="nil"/>
            </w:tcBorders>
            <w:noWrap w:val="0"/>
            <w:vAlign w:val="center"/>
          </w:tcPr>
          <w:p w14:paraId="07D35AE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tcBorders>
              <w:top w:val="nil"/>
            </w:tcBorders>
            <w:noWrap w:val="0"/>
            <w:vAlign w:val="center"/>
          </w:tcPr>
          <w:p w14:paraId="4521BC4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147A1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7B74138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7A07A43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6B41A4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35E50FE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41433D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520830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44923A3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79BC418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40DC3D6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47C66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441C118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380682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69B5420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380D182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73D7EF2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0C3854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3238706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54E58C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07055C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3C102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432F40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3F98F0B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6D5CF0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090744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274ECAC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1DB4F68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251B55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688E72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38177EB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F00B6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3497BD9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3169F90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477F272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44698CF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2131D7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343CC09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58BA1B8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0AEE1B5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4B855C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58353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78C636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2041CEC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7E9D0B1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4A163B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31FD512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1056C7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3D75BA4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0E972C4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34B560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C1080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4005AE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627374A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2C42B0E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1B8BE1D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493DA2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3ACDFCB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4FC2B8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422D1E8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204EBC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0787D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3600EB14">
            <w:pPr>
              <w:rPr>
                <w:rFonts w:hint="eastAsia" w:ascii="宋体" w:hAnsi="宋体" w:eastAsia="宋体" w:cs="宋体"/>
                <w:i w:val="0"/>
                <w:iCs w:val="0"/>
                <w:color w:val="auto"/>
                <w:sz w:val="24"/>
                <w:szCs w:val="24"/>
                <w:highlight w:val="none"/>
              </w:rPr>
            </w:pPr>
          </w:p>
        </w:tc>
        <w:tc>
          <w:tcPr>
            <w:tcW w:w="1418" w:type="dxa"/>
            <w:noWrap w:val="0"/>
            <w:vAlign w:val="top"/>
          </w:tcPr>
          <w:p w14:paraId="7B14F891">
            <w:pPr>
              <w:rPr>
                <w:rFonts w:hint="eastAsia" w:ascii="宋体" w:hAnsi="宋体" w:eastAsia="宋体" w:cs="宋体"/>
                <w:i w:val="0"/>
                <w:iCs w:val="0"/>
                <w:color w:val="auto"/>
                <w:sz w:val="24"/>
                <w:szCs w:val="24"/>
                <w:highlight w:val="none"/>
              </w:rPr>
            </w:pPr>
          </w:p>
        </w:tc>
        <w:tc>
          <w:tcPr>
            <w:tcW w:w="850" w:type="dxa"/>
            <w:noWrap w:val="0"/>
            <w:vAlign w:val="top"/>
          </w:tcPr>
          <w:p w14:paraId="7509FF5F">
            <w:pPr>
              <w:rPr>
                <w:rFonts w:hint="eastAsia" w:ascii="宋体" w:hAnsi="宋体" w:eastAsia="宋体" w:cs="宋体"/>
                <w:i w:val="0"/>
                <w:iCs w:val="0"/>
                <w:color w:val="auto"/>
                <w:sz w:val="24"/>
                <w:szCs w:val="24"/>
                <w:highlight w:val="none"/>
              </w:rPr>
            </w:pPr>
          </w:p>
        </w:tc>
        <w:tc>
          <w:tcPr>
            <w:tcW w:w="1058" w:type="dxa"/>
            <w:noWrap w:val="0"/>
            <w:vAlign w:val="top"/>
          </w:tcPr>
          <w:p w14:paraId="0E8AF84C">
            <w:pPr>
              <w:rPr>
                <w:rFonts w:hint="eastAsia" w:ascii="宋体" w:hAnsi="宋体" w:eastAsia="宋体" w:cs="宋体"/>
                <w:i w:val="0"/>
                <w:iCs w:val="0"/>
                <w:color w:val="auto"/>
                <w:sz w:val="24"/>
                <w:szCs w:val="24"/>
                <w:highlight w:val="none"/>
              </w:rPr>
            </w:pPr>
          </w:p>
        </w:tc>
        <w:tc>
          <w:tcPr>
            <w:tcW w:w="880" w:type="dxa"/>
            <w:noWrap w:val="0"/>
            <w:vAlign w:val="top"/>
          </w:tcPr>
          <w:p w14:paraId="7554B8C6">
            <w:pPr>
              <w:rPr>
                <w:rFonts w:hint="eastAsia" w:ascii="宋体" w:hAnsi="宋体" w:eastAsia="宋体" w:cs="宋体"/>
                <w:i w:val="0"/>
                <w:iCs w:val="0"/>
                <w:color w:val="auto"/>
                <w:sz w:val="24"/>
                <w:szCs w:val="24"/>
                <w:highlight w:val="none"/>
              </w:rPr>
            </w:pPr>
          </w:p>
        </w:tc>
        <w:tc>
          <w:tcPr>
            <w:tcW w:w="1020" w:type="dxa"/>
            <w:noWrap w:val="0"/>
            <w:vAlign w:val="top"/>
          </w:tcPr>
          <w:p w14:paraId="69BEA88C">
            <w:pPr>
              <w:rPr>
                <w:rFonts w:hint="eastAsia" w:ascii="宋体" w:hAnsi="宋体" w:eastAsia="宋体" w:cs="宋体"/>
                <w:i w:val="0"/>
                <w:iCs w:val="0"/>
                <w:color w:val="auto"/>
                <w:sz w:val="24"/>
                <w:szCs w:val="24"/>
                <w:highlight w:val="none"/>
              </w:rPr>
            </w:pPr>
          </w:p>
        </w:tc>
        <w:tc>
          <w:tcPr>
            <w:tcW w:w="1480" w:type="dxa"/>
            <w:noWrap w:val="0"/>
            <w:vAlign w:val="top"/>
          </w:tcPr>
          <w:p w14:paraId="54F78AD0">
            <w:pPr>
              <w:rPr>
                <w:rFonts w:hint="eastAsia" w:ascii="宋体" w:hAnsi="宋体" w:eastAsia="宋体" w:cs="宋体"/>
                <w:i w:val="0"/>
                <w:iCs w:val="0"/>
                <w:color w:val="auto"/>
                <w:sz w:val="24"/>
                <w:szCs w:val="24"/>
                <w:highlight w:val="none"/>
              </w:rPr>
            </w:pPr>
          </w:p>
        </w:tc>
        <w:tc>
          <w:tcPr>
            <w:tcW w:w="1020" w:type="dxa"/>
            <w:noWrap w:val="0"/>
            <w:vAlign w:val="top"/>
          </w:tcPr>
          <w:p w14:paraId="3FF8BFE8">
            <w:pPr>
              <w:rPr>
                <w:rFonts w:hint="eastAsia" w:ascii="宋体" w:hAnsi="宋体" w:eastAsia="宋体" w:cs="宋体"/>
                <w:i w:val="0"/>
                <w:iCs w:val="0"/>
                <w:color w:val="auto"/>
                <w:sz w:val="24"/>
                <w:szCs w:val="24"/>
                <w:highlight w:val="none"/>
              </w:rPr>
            </w:pPr>
          </w:p>
        </w:tc>
        <w:tc>
          <w:tcPr>
            <w:tcW w:w="921" w:type="dxa"/>
            <w:noWrap w:val="0"/>
            <w:vAlign w:val="top"/>
          </w:tcPr>
          <w:p w14:paraId="2A3A2F67">
            <w:pPr>
              <w:rPr>
                <w:rFonts w:hint="eastAsia" w:ascii="宋体" w:hAnsi="宋体" w:eastAsia="宋体" w:cs="宋体"/>
                <w:i w:val="0"/>
                <w:iCs w:val="0"/>
                <w:color w:val="auto"/>
                <w:sz w:val="24"/>
                <w:szCs w:val="24"/>
                <w:highlight w:val="none"/>
              </w:rPr>
            </w:pPr>
          </w:p>
        </w:tc>
      </w:tr>
      <w:tr w14:paraId="6BFA38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center"/>
          </w:tcPr>
          <w:p w14:paraId="024610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center"/>
          </w:tcPr>
          <w:p w14:paraId="05C803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0" w:type="dxa"/>
            <w:noWrap w:val="0"/>
            <w:vAlign w:val="center"/>
          </w:tcPr>
          <w:p w14:paraId="5D78440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58" w:type="dxa"/>
            <w:noWrap w:val="0"/>
            <w:vAlign w:val="center"/>
          </w:tcPr>
          <w:p w14:paraId="6D8D5B9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80" w:type="dxa"/>
            <w:noWrap w:val="0"/>
            <w:vAlign w:val="center"/>
          </w:tcPr>
          <w:p w14:paraId="2AF5FD4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060407B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80" w:type="dxa"/>
            <w:noWrap w:val="0"/>
            <w:vAlign w:val="center"/>
          </w:tcPr>
          <w:p w14:paraId="5FE513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020" w:type="dxa"/>
            <w:noWrap w:val="0"/>
            <w:vAlign w:val="center"/>
          </w:tcPr>
          <w:p w14:paraId="53050D2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921" w:type="dxa"/>
            <w:noWrap w:val="0"/>
            <w:vAlign w:val="center"/>
          </w:tcPr>
          <w:p w14:paraId="54974D8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6A7E6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063EFE76">
            <w:pPr>
              <w:rPr>
                <w:rFonts w:hint="eastAsia" w:ascii="宋体" w:hAnsi="宋体" w:eastAsia="宋体" w:cs="宋体"/>
                <w:i w:val="0"/>
                <w:iCs w:val="0"/>
                <w:color w:val="auto"/>
                <w:sz w:val="24"/>
                <w:szCs w:val="24"/>
                <w:highlight w:val="none"/>
              </w:rPr>
            </w:pPr>
          </w:p>
        </w:tc>
        <w:tc>
          <w:tcPr>
            <w:tcW w:w="1418" w:type="dxa"/>
            <w:noWrap w:val="0"/>
            <w:vAlign w:val="top"/>
          </w:tcPr>
          <w:p w14:paraId="7B13F7C1">
            <w:pPr>
              <w:rPr>
                <w:rFonts w:hint="eastAsia" w:ascii="宋体" w:hAnsi="宋体" w:eastAsia="宋体" w:cs="宋体"/>
                <w:i w:val="0"/>
                <w:iCs w:val="0"/>
                <w:color w:val="auto"/>
                <w:sz w:val="24"/>
                <w:szCs w:val="24"/>
                <w:highlight w:val="none"/>
              </w:rPr>
            </w:pPr>
          </w:p>
        </w:tc>
        <w:tc>
          <w:tcPr>
            <w:tcW w:w="850" w:type="dxa"/>
            <w:noWrap w:val="0"/>
            <w:vAlign w:val="top"/>
          </w:tcPr>
          <w:p w14:paraId="706ACF37">
            <w:pPr>
              <w:rPr>
                <w:rFonts w:hint="eastAsia" w:ascii="宋体" w:hAnsi="宋体" w:eastAsia="宋体" w:cs="宋体"/>
                <w:i w:val="0"/>
                <w:iCs w:val="0"/>
                <w:color w:val="auto"/>
                <w:sz w:val="24"/>
                <w:szCs w:val="24"/>
                <w:highlight w:val="none"/>
              </w:rPr>
            </w:pPr>
          </w:p>
        </w:tc>
        <w:tc>
          <w:tcPr>
            <w:tcW w:w="1058" w:type="dxa"/>
            <w:noWrap w:val="0"/>
            <w:vAlign w:val="top"/>
          </w:tcPr>
          <w:p w14:paraId="35FB3589">
            <w:pPr>
              <w:rPr>
                <w:rFonts w:hint="eastAsia" w:ascii="宋体" w:hAnsi="宋体" w:eastAsia="宋体" w:cs="宋体"/>
                <w:i w:val="0"/>
                <w:iCs w:val="0"/>
                <w:color w:val="auto"/>
                <w:sz w:val="24"/>
                <w:szCs w:val="24"/>
                <w:highlight w:val="none"/>
              </w:rPr>
            </w:pPr>
          </w:p>
        </w:tc>
        <w:tc>
          <w:tcPr>
            <w:tcW w:w="880" w:type="dxa"/>
            <w:noWrap w:val="0"/>
            <w:vAlign w:val="top"/>
          </w:tcPr>
          <w:p w14:paraId="7ADAD9BE">
            <w:pPr>
              <w:rPr>
                <w:rFonts w:hint="eastAsia" w:ascii="宋体" w:hAnsi="宋体" w:eastAsia="宋体" w:cs="宋体"/>
                <w:i w:val="0"/>
                <w:iCs w:val="0"/>
                <w:color w:val="auto"/>
                <w:sz w:val="24"/>
                <w:szCs w:val="24"/>
                <w:highlight w:val="none"/>
              </w:rPr>
            </w:pPr>
          </w:p>
        </w:tc>
        <w:tc>
          <w:tcPr>
            <w:tcW w:w="1020" w:type="dxa"/>
            <w:noWrap w:val="0"/>
            <w:vAlign w:val="top"/>
          </w:tcPr>
          <w:p w14:paraId="056E0173">
            <w:pPr>
              <w:rPr>
                <w:rFonts w:hint="eastAsia" w:ascii="宋体" w:hAnsi="宋体" w:eastAsia="宋体" w:cs="宋体"/>
                <w:i w:val="0"/>
                <w:iCs w:val="0"/>
                <w:color w:val="auto"/>
                <w:sz w:val="24"/>
                <w:szCs w:val="24"/>
                <w:highlight w:val="none"/>
              </w:rPr>
            </w:pPr>
          </w:p>
        </w:tc>
        <w:tc>
          <w:tcPr>
            <w:tcW w:w="1480" w:type="dxa"/>
            <w:noWrap w:val="0"/>
            <w:vAlign w:val="top"/>
          </w:tcPr>
          <w:p w14:paraId="598EEEA9">
            <w:pPr>
              <w:rPr>
                <w:rFonts w:hint="eastAsia" w:ascii="宋体" w:hAnsi="宋体" w:eastAsia="宋体" w:cs="宋体"/>
                <w:i w:val="0"/>
                <w:iCs w:val="0"/>
                <w:color w:val="auto"/>
                <w:sz w:val="24"/>
                <w:szCs w:val="24"/>
                <w:highlight w:val="none"/>
              </w:rPr>
            </w:pPr>
          </w:p>
        </w:tc>
        <w:tc>
          <w:tcPr>
            <w:tcW w:w="1020" w:type="dxa"/>
            <w:noWrap w:val="0"/>
            <w:vAlign w:val="top"/>
          </w:tcPr>
          <w:p w14:paraId="149EE784">
            <w:pPr>
              <w:rPr>
                <w:rFonts w:hint="eastAsia" w:ascii="宋体" w:hAnsi="宋体" w:eastAsia="宋体" w:cs="宋体"/>
                <w:i w:val="0"/>
                <w:iCs w:val="0"/>
                <w:color w:val="auto"/>
                <w:sz w:val="24"/>
                <w:szCs w:val="24"/>
                <w:highlight w:val="none"/>
              </w:rPr>
            </w:pPr>
          </w:p>
        </w:tc>
        <w:tc>
          <w:tcPr>
            <w:tcW w:w="921" w:type="dxa"/>
            <w:noWrap w:val="0"/>
            <w:vAlign w:val="top"/>
          </w:tcPr>
          <w:p w14:paraId="67C3AAD8">
            <w:pPr>
              <w:rPr>
                <w:rFonts w:hint="eastAsia" w:ascii="宋体" w:hAnsi="宋体" w:eastAsia="宋体" w:cs="宋体"/>
                <w:i w:val="0"/>
                <w:iCs w:val="0"/>
                <w:color w:val="auto"/>
                <w:sz w:val="24"/>
                <w:szCs w:val="24"/>
                <w:highlight w:val="none"/>
              </w:rPr>
            </w:pPr>
          </w:p>
        </w:tc>
      </w:tr>
      <w:tr w14:paraId="7B6C8E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299334E3">
            <w:pPr>
              <w:rPr>
                <w:rFonts w:hint="eastAsia" w:ascii="宋体" w:hAnsi="宋体" w:eastAsia="宋体" w:cs="宋体"/>
                <w:i w:val="0"/>
                <w:iCs w:val="0"/>
                <w:color w:val="auto"/>
                <w:sz w:val="24"/>
                <w:szCs w:val="24"/>
                <w:highlight w:val="none"/>
              </w:rPr>
            </w:pPr>
          </w:p>
        </w:tc>
        <w:tc>
          <w:tcPr>
            <w:tcW w:w="1418" w:type="dxa"/>
            <w:noWrap w:val="0"/>
            <w:vAlign w:val="top"/>
          </w:tcPr>
          <w:p w14:paraId="66919C83">
            <w:pPr>
              <w:rPr>
                <w:rFonts w:hint="eastAsia" w:ascii="宋体" w:hAnsi="宋体" w:eastAsia="宋体" w:cs="宋体"/>
                <w:i w:val="0"/>
                <w:iCs w:val="0"/>
                <w:color w:val="auto"/>
                <w:sz w:val="24"/>
                <w:szCs w:val="24"/>
                <w:highlight w:val="none"/>
              </w:rPr>
            </w:pPr>
          </w:p>
        </w:tc>
        <w:tc>
          <w:tcPr>
            <w:tcW w:w="850" w:type="dxa"/>
            <w:noWrap w:val="0"/>
            <w:vAlign w:val="top"/>
          </w:tcPr>
          <w:p w14:paraId="751510E9">
            <w:pPr>
              <w:rPr>
                <w:rFonts w:hint="eastAsia" w:ascii="宋体" w:hAnsi="宋体" w:eastAsia="宋体" w:cs="宋体"/>
                <w:i w:val="0"/>
                <w:iCs w:val="0"/>
                <w:color w:val="auto"/>
                <w:sz w:val="24"/>
                <w:szCs w:val="24"/>
                <w:highlight w:val="none"/>
              </w:rPr>
            </w:pPr>
          </w:p>
        </w:tc>
        <w:tc>
          <w:tcPr>
            <w:tcW w:w="1058" w:type="dxa"/>
            <w:noWrap w:val="0"/>
            <w:vAlign w:val="top"/>
          </w:tcPr>
          <w:p w14:paraId="68054087">
            <w:pPr>
              <w:rPr>
                <w:rFonts w:hint="eastAsia" w:ascii="宋体" w:hAnsi="宋体" w:eastAsia="宋体" w:cs="宋体"/>
                <w:i w:val="0"/>
                <w:iCs w:val="0"/>
                <w:color w:val="auto"/>
                <w:sz w:val="24"/>
                <w:szCs w:val="24"/>
                <w:highlight w:val="none"/>
              </w:rPr>
            </w:pPr>
          </w:p>
        </w:tc>
        <w:tc>
          <w:tcPr>
            <w:tcW w:w="880" w:type="dxa"/>
            <w:noWrap w:val="0"/>
            <w:vAlign w:val="top"/>
          </w:tcPr>
          <w:p w14:paraId="440E8163">
            <w:pPr>
              <w:rPr>
                <w:rFonts w:hint="eastAsia" w:ascii="宋体" w:hAnsi="宋体" w:eastAsia="宋体" w:cs="宋体"/>
                <w:i w:val="0"/>
                <w:iCs w:val="0"/>
                <w:color w:val="auto"/>
                <w:sz w:val="24"/>
                <w:szCs w:val="24"/>
                <w:highlight w:val="none"/>
              </w:rPr>
            </w:pPr>
          </w:p>
        </w:tc>
        <w:tc>
          <w:tcPr>
            <w:tcW w:w="1020" w:type="dxa"/>
            <w:noWrap w:val="0"/>
            <w:vAlign w:val="top"/>
          </w:tcPr>
          <w:p w14:paraId="213EE7E5">
            <w:pPr>
              <w:rPr>
                <w:rFonts w:hint="eastAsia" w:ascii="宋体" w:hAnsi="宋体" w:eastAsia="宋体" w:cs="宋体"/>
                <w:i w:val="0"/>
                <w:iCs w:val="0"/>
                <w:color w:val="auto"/>
                <w:sz w:val="24"/>
                <w:szCs w:val="24"/>
                <w:highlight w:val="none"/>
              </w:rPr>
            </w:pPr>
          </w:p>
        </w:tc>
        <w:tc>
          <w:tcPr>
            <w:tcW w:w="1480" w:type="dxa"/>
            <w:noWrap w:val="0"/>
            <w:vAlign w:val="top"/>
          </w:tcPr>
          <w:p w14:paraId="5FA6D47E">
            <w:pPr>
              <w:rPr>
                <w:rFonts w:hint="eastAsia" w:ascii="宋体" w:hAnsi="宋体" w:eastAsia="宋体" w:cs="宋体"/>
                <w:i w:val="0"/>
                <w:iCs w:val="0"/>
                <w:color w:val="auto"/>
                <w:sz w:val="24"/>
                <w:szCs w:val="24"/>
                <w:highlight w:val="none"/>
              </w:rPr>
            </w:pPr>
          </w:p>
        </w:tc>
        <w:tc>
          <w:tcPr>
            <w:tcW w:w="1020" w:type="dxa"/>
            <w:noWrap w:val="0"/>
            <w:vAlign w:val="top"/>
          </w:tcPr>
          <w:p w14:paraId="45AA32A3">
            <w:pPr>
              <w:rPr>
                <w:rFonts w:hint="eastAsia" w:ascii="宋体" w:hAnsi="宋体" w:eastAsia="宋体" w:cs="宋体"/>
                <w:i w:val="0"/>
                <w:iCs w:val="0"/>
                <w:color w:val="auto"/>
                <w:sz w:val="24"/>
                <w:szCs w:val="24"/>
                <w:highlight w:val="none"/>
              </w:rPr>
            </w:pPr>
          </w:p>
        </w:tc>
        <w:tc>
          <w:tcPr>
            <w:tcW w:w="921" w:type="dxa"/>
            <w:noWrap w:val="0"/>
            <w:vAlign w:val="top"/>
          </w:tcPr>
          <w:p w14:paraId="7A192B5A">
            <w:pPr>
              <w:rPr>
                <w:rFonts w:hint="eastAsia" w:ascii="宋体" w:hAnsi="宋体" w:eastAsia="宋体" w:cs="宋体"/>
                <w:i w:val="0"/>
                <w:iCs w:val="0"/>
                <w:color w:val="auto"/>
                <w:sz w:val="24"/>
                <w:szCs w:val="24"/>
                <w:highlight w:val="none"/>
              </w:rPr>
            </w:pPr>
          </w:p>
        </w:tc>
      </w:tr>
      <w:tr w14:paraId="20E66C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112C08FC">
            <w:pPr>
              <w:rPr>
                <w:rFonts w:hint="eastAsia" w:ascii="宋体" w:hAnsi="宋体" w:eastAsia="宋体" w:cs="宋体"/>
                <w:i w:val="0"/>
                <w:iCs w:val="0"/>
                <w:color w:val="auto"/>
                <w:sz w:val="24"/>
                <w:szCs w:val="24"/>
                <w:highlight w:val="none"/>
              </w:rPr>
            </w:pPr>
          </w:p>
        </w:tc>
        <w:tc>
          <w:tcPr>
            <w:tcW w:w="1418" w:type="dxa"/>
            <w:noWrap w:val="0"/>
            <w:vAlign w:val="top"/>
          </w:tcPr>
          <w:p w14:paraId="6CF1187A">
            <w:pPr>
              <w:rPr>
                <w:rFonts w:hint="eastAsia" w:ascii="宋体" w:hAnsi="宋体" w:eastAsia="宋体" w:cs="宋体"/>
                <w:i w:val="0"/>
                <w:iCs w:val="0"/>
                <w:color w:val="auto"/>
                <w:sz w:val="24"/>
                <w:szCs w:val="24"/>
                <w:highlight w:val="none"/>
              </w:rPr>
            </w:pPr>
          </w:p>
        </w:tc>
        <w:tc>
          <w:tcPr>
            <w:tcW w:w="850" w:type="dxa"/>
            <w:noWrap w:val="0"/>
            <w:vAlign w:val="top"/>
          </w:tcPr>
          <w:p w14:paraId="12CF80E2">
            <w:pPr>
              <w:rPr>
                <w:rFonts w:hint="eastAsia" w:ascii="宋体" w:hAnsi="宋体" w:eastAsia="宋体" w:cs="宋体"/>
                <w:i w:val="0"/>
                <w:iCs w:val="0"/>
                <w:color w:val="auto"/>
                <w:sz w:val="24"/>
                <w:szCs w:val="24"/>
                <w:highlight w:val="none"/>
              </w:rPr>
            </w:pPr>
          </w:p>
        </w:tc>
        <w:tc>
          <w:tcPr>
            <w:tcW w:w="1058" w:type="dxa"/>
            <w:noWrap w:val="0"/>
            <w:vAlign w:val="top"/>
          </w:tcPr>
          <w:p w14:paraId="13364AED">
            <w:pPr>
              <w:rPr>
                <w:rFonts w:hint="eastAsia" w:ascii="宋体" w:hAnsi="宋体" w:eastAsia="宋体" w:cs="宋体"/>
                <w:i w:val="0"/>
                <w:iCs w:val="0"/>
                <w:color w:val="auto"/>
                <w:sz w:val="24"/>
                <w:szCs w:val="24"/>
                <w:highlight w:val="none"/>
              </w:rPr>
            </w:pPr>
          </w:p>
        </w:tc>
        <w:tc>
          <w:tcPr>
            <w:tcW w:w="880" w:type="dxa"/>
            <w:noWrap w:val="0"/>
            <w:vAlign w:val="top"/>
          </w:tcPr>
          <w:p w14:paraId="664BD19C">
            <w:pPr>
              <w:rPr>
                <w:rFonts w:hint="eastAsia" w:ascii="宋体" w:hAnsi="宋体" w:eastAsia="宋体" w:cs="宋体"/>
                <w:i w:val="0"/>
                <w:iCs w:val="0"/>
                <w:color w:val="auto"/>
                <w:sz w:val="24"/>
                <w:szCs w:val="24"/>
                <w:highlight w:val="none"/>
              </w:rPr>
            </w:pPr>
          </w:p>
        </w:tc>
        <w:tc>
          <w:tcPr>
            <w:tcW w:w="1020" w:type="dxa"/>
            <w:noWrap w:val="0"/>
            <w:vAlign w:val="top"/>
          </w:tcPr>
          <w:p w14:paraId="6EEBF379">
            <w:pPr>
              <w:rPr>
                <w:rFonts w:hint="eastAsia" w:ascii="宋体" w:hAnsi="宋体" w:eastAsia="宋体" w:cs="宋体"/>
                <w:i w:val="0"/>
                <w:iCs w:val="0"/>
                <w:color w:val="auto"/>
                <w:sz w:val="24"/>
                <w:szCs w:val="24"/>
                <w:highlight w:val="none"/>
              </w:rPr>
            </w:pPr>
          </w:p>
        </w:tc>
        <w:tc>
          <w:tcPr>
            <w:tcW w:w="1480" w:type="dxa"/>
            <w:noWrap w:val="0"/>
            <w:vAlign w:val="top"/>
          </w:tcPr>
          <w:p w14:paraId="7AED002F">
            <w:pPr>
              <w:rPr>
                <w:rFonts w:hint="eastAsia" w:ascii="宋体" w:hAnsi="宋体" w:eastAsia="宋体" w:cs="宋体"/>
                <w:i w:val="0"/>
                <w:iCs w:val="0"/>
                <w:color w:val="auto"/>
                <w:sz w:val="24"/>
                <w:szCs w:val="24"/>
                <w:highlight w:val="none"/>
              </w:rPr>
            </w:pPr>
          </w:p>
        </w:tc>
        <w:tc>
          <w:tcPr>
            <w:tcW w:w="1020" w:type="dxa"/>
            <w:noWrap w:val="0"/>
            <w:vAlign w:val="top"/>
          </w:tcPr>
          <w:p w14:paraId="63300599">
            <w:pPr>
              <w:rPr>
                <w:rFonts w:hint="eastAsia" w:ascii="宋体" w:hAnsi="宋体" w:eastAsia="宋体" w:cs="宋体"/>
                <w:i w:val="0"/>
                <w:iCs w:val="0"/>
                <w:color w:val="auto"/>
                <w:sz w:val="24"/>
                <w:szCs w:val="24"/>
                <w:highlight w:val="none"/>
              </w:rPr>
            </w:pPr>
          </w:p>
        </w:tc>
        <w:tc>
          <w:tcPr>
            <w:tcW w:w="921" w:type="dxa"/>
            <w:noWrap w:val="0"/>
            <w:vAlign w:val="top"/>
          </w:tcPr>
          <w:p w14:paraId="0BA08474">
            <w:pPr>
              <w:rPr>
                <w:rFonts w:hint="eastAsia" w:ascii="宋体" w:hAnsi="宋体" w:eastAsia="宋体" w:cs="宋体"/>
                <w:i w:val="0"/>
                <w:iCs w:val="0"/>
                <w:color w:val="auto"/>
                <w:sz w:val="24"/>
                <w:szCs w:val="24"/>
                <w:highlight w:val="none"/>
              </w:rPr>
            </w:pPr>
          </w:p>
        </w:tc>
      </w:tr>
      <w:tr w14:paraId="6EB9AD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306F66F4">
            <w:pPr>
              <w:rPr>
                <w:rFonts w:hint="eastAsia" w:ascii="宋体" w:hAnsi="宋体" w:eastAsia="宋体" w:cs="宋体"/>
                <w:i w:val="0"/>
                <w:iCs w:val="0"/>
                <w:color w:val="auto"/>
                <w:sz w:val="24"/>
                <w:szCs w:val="24"/>
                <w:highlight w:val="none"/>
              </w:rPr>
            </w:pPr>
          </w:p>
        </w:tc>
        <w:tc>
          <w:tcPr>
            <w:tcW w:w="1418" w:type="dxa"/>
            <w:noWrap w:val="0"/>
            <w:vAlign w:val="top"/>
          </w:tcPr>
          <w:p w14:paraId="0BDC6533">
            <w:pPr>
              <w:rPr>
                <w:rFonts w:hint="eastAsia" w:ascii="宋体" w:hAnsi="宋体" w:eastAsia="宋体" w:cs="宋体"/>
                <w:i w:val="0"/>
                <w:iCs w:val="0"/>
                <w:color w:val="auto"/>
                <w:sz w:val="24"/>
                <w:szCs w:val="24"/>
                <w:highlight w:val="none"/>
              </w:rPr>
            </w:pPr>
          </w:p>
        </w:tc>
        <w:tc>
          <w:tcPr>
            <w:tcW w:w="850" w:type="dxa"/>
            <w:noWrap w:val="0"/>
            <w:vAlign w:val="top"/>
          </w:tcPr>
          <w:p w14:paraId="1A120462">
            <w:pPr>
              <w:rPr>
                <w:rFonts w:hint="eastAsia" w:ascii="宋体" w:hAnsi="宋体" w:eastAsia="宋体" w:cs="宋体"/>
                <w:i w:val="0"/>
                <w:iCs w:val="0"/>
                <w:color w:val="auto"/>
                <w:sz w:val="24"/>
                <w:szCs w:val="24"/>
                <w:highlight w:val="none"/>
              </w:rPr>
            </w:pPr>
          </w:p>
        </w:tc>
        <w:tc>
          <w:tcPr>
            <w:tcW w:w="1058" w:type="dxa"/>
            <w:noWrap w:val="0"/>
            <w:vAlign w:val="top"/>
          </w:tcPr>
          <w:p w14:paraId="51E4798E">
            <w:pPr>
              <w:rPr>
                <w:rFonts w:hint="eastAsia" w:ascii="宋体" w:hAnsi="宋体" w:eastAsia="宋体" w:cs="宋体"/>
                <w:i w:val="0"/>
                <w:iCs w:val="0"/>
                <w:color w:val="auto"/>
                <w:sz w:val="24"/>
                <w:szCs w:val="24"/>
                <w:highlight w:val="none"/>
              </w:rPr>
            </w:pPr>
          </w:p>
        </w:tc>
        <w:tc>
          <w:tcPr>
            <w:tcW w:w="880" w:type="dxa"/>
            <w:noWrap w:val="0"/>
            <w:vAlign w:val="top"/>
          </w:tcPr>
          <w:p w14:paraId="635FC9CD">
            <w:pPr>
              <w:rPr>
                <w:rFonts w:hint="eastAsia" w:ascii="宋体" w:hAnsi="宋体" w:eastAsia="宋体" w:cs="宋体"/>
                <w:i w:val="0"/>
                <w:iCs w:val="0"/>
                <w:color w:val="auto"/>
                <w:sz w:val="24"/>
                <w:szCs w:val="24"/>
                <w:highlight w:val="none"/>
              </w:rPr>
            </w:pPr>
          </w:p>
        </w:tc>
        <w:tc>
          <w:tcPr>
            <w:tcW w:w="1020" w:type="dxa"/>
            <w:noWrap w:val="0"/>
            <w:vAlign w:val="top"/>
          </w:tcPr>
          <w:p w14:paraId="5C9C94A1">
            <w:pPr>
              <w:rPr>
                <w:rFonts w:hint="eastAsia" w:ascii="宋体" w:hAnsi="宋体" w:eastAsia="宋体" w:cs="宋体"/>
                <w:i w:val="0"/>
                <w:iCs w:val="0"/>
                <w:color w:val="auto"/>
                <w:sz w:val="24"/>
                <w:szCs w:val="24"/>
                <w:highlight w:val="none"/>
              </w:rPr>
            </w:pPr>
          </w:p>
        </w:tc>
        <w:tc>
          <w:tcPr>
            <w:tcW w:w="1480" w:type="dxa"/>
            <w:noWrap w:val="0"/>
            <w:vAlign w:val="top"/>
          </w:tcPr>
          <w:p w14:paraId="034FDD7B">
            <w:pPr>
              <w:rPr>
                <w:rFonts w:hint="eastAsia" w:ascii="宋体" w:hAnsi="宋体" w:eastAsia="宋体" w:cs="宋体"/>
                <w:i w:val="0"/>
                <w:iCs w:val="0"/>
                <w:color w:val="auto"/>
                <w:sz w:val="24"/>
                <w:szCs w:val="24"/>
                <w:highlight w:val="none"/>
              </w:rPr>
            </w:pPr>
          </w:p>
        </w:tc>
        <w:tc>
          <w:tcPr>
            <w:tcW w:w="1020" w:type="dxa"/>
            <w:noWrap w:val="0"/>
            <w:vAlign w:val="top"/>
          </w:tcPr>
          <w:p w14:paraId="5FA2D7A4">
            <w:pPr>
              <w:rPr>
                <w:rFonts w:hint="eastAsia" w:ascii="宋体" w:hAnsi="宋体" w:eastAsia="宋体" w:cs="宋体"/>
                <w:i w:val="0"/>
                <w:iCs w:val="0"/>
                <w:color w:val="auto"/>
                <w:sz w:val="24"/>
                <w:szCs w:val="24"/>
                <w:highlight w:val="none"/>
              </w:rPr>
            </w:pPr>
          </w:p>
        </w:tc>
        <w:tc>
          <w:tcPr>
            <w:tcW w:w="921" w:type="dxa"/>
            <w:noWrap w:val="0"/>
            <w:vAlign w:val="top"/>
          </w:tcPr>
          <w:p w14:paraId="7FC22042">
            <w:pPr>
              <w:rPr>
                <w:rFonts w:hint="eastAsia" w:ascii="宋体" w:hAnsi="宋体" w:eastAsia="宋体" w:cs="宋体"/>
                <w:i w:val="0"/>
                <w:iCs w:val="0"/>
                <w:color w:val="auto"/>
                <w:sz w:val="24"/>
                <w:szCs w:val="24"/>
                <w:highlight w:val="none"/>
              </w:rPr>
            </w:pPr>
          </w:p>
        </w:tc>
      </w:tr>
      <w:tr w14:paraId="77158A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492DE697">
            <w:pPr>
              <w:rPr>
                <w:rFonts w:hint="eastAsia" w:ascii="宋体" w:hAnsi="宋体" w:eastAsia="宋体" w:cs="宋体"/>
                <w:i w:val="0"/>
                <w:iCs w:val="0"/>
                <w:color w:val="auto"/>
                <w:sz w:val="24"/>
                <w:szCs w:val="24"/>
                <w:highlight w:val="none"/>
              </w:rPr>
            </w:pPr>
          </w:p>
        </w:tc>
        <w:tc>
          <w:tcPr>
            <w:tcW w:w="1418" w:type="dxa"/>
            <w:noWrap w:val="0"/>
            <w:vAlign w:val="top"/>
          </w:tcPr>
          <w:p w14:paraId="5BFF11E2">
            <w:pPr>
              <w:rPr>
                <w:rFonts w:hint="eastAsia" w:ascii="宋体" w:hAnsi="宋体" w:eastAsia="宋体" w:cs="宋体"/>
                <w:i w:val="0"/>
                <w:iCs w:val="0"/>
                <w:color w:val="auto"/>
                <w:sz w:val="24"/>
                <w:szCs w:val="24"/>
                <w:highlight w:val="none"/>
              </w:rPr>
            </w:pPr>
          </w:p>
        </w:tc>
        <w:tc>
          <w:tcPr>
            <w:tcW w:w="850" w:type="dxa"/>
            <w:noWrap w:val="0"/>
            <w:vAlign w:val="top"/>
          </w:tcPr>
          <w:p w14:paraId="6E65B506">
            <w:pPr>
              <w:rPr>
                <w:rFonts w:hint="eastAsia" w:ascii="宋体" w:hAnsi="宋体" w:eastAsia="宋体" w:cs="宋体"/>
                <w:i w:val="0"/>
                <w:iCs w:val="0"/>
                <w:color w:val="auto"/>
                <w:sz w:val="24"/>
                <w:szCs w:val="24"/>
                <w:highlight w:val="none"/>
              </w:rPr>
            </w:pPr>
          </w:p>
        </w:tc>
        <w:tc>
          <w:tcPr>
            <w:tcW w:w="1058" w:type="dxa"/>
            <w:noWrap w:val="0"/>
            <w:vAlign w:val="top"/>
          </w:tcPr>
          <w:p w14:paraId="69155E4C">
            <w:pPr>
              <w:rPr>
                <w:rFonts w:hint="eastAsia" w:ascii="宋体" w:hAnsi="宋体" w:eastAsia="宋体" w:cs="宋体"/>
                <w:i w:val="0"/>
                <w:iCs w:val="0"/>
                <w:color w:val="auto"/>
                <w:sz w:val="24"/>
                <w:szCs w:val="24"/>
                <w:highlight w:val="none"/>
              </w:rPr>
            </w:pPr>
          </w:p>
        </w:tc>
        <w:tc>
          <w:tcPr>
            <w:tcW w:w="880" w:type="dxa"/>
            <w:noWrap w:val="0"/>
            <w:vAlign w:val="top"/>
          </w:tcPr>
          <w:p w14:paraId="0329DFDC">
            <w:pPr>
              <w:rPr>
                <w:rFonts w:hint="eastAsia" w:ascii="宋体" w:hAnsi="宋体" w:eastAsia="宋体" w:cs="宋体"/>
                <w:i w:val="0"/>
                <w:iCs w:val="0"/>
                <w:color w:val="auto"/>
                <w:sz w:val="24"/>
                <w:szCs w:val="24"/>
                <w:highlight w:val="none"/>
              </w:rPr>
            </w:pPr>
          </w:p>
        </w:tc>
        <w:tc>
          <w:tcPr>
            <w:tcW w:w="1020" w:type="dxa"/>
            <w:noWrap w:val="0"/>
            <w:vAlign w:val="top"/>
          </w:tcPr>
          <w:p w14:paraId="371C170E">
            <w:pPr>
              <w:rPr>
                <w:rFonts w:hint="eastAsia" w:ascii="宋体" w:hAnsi="宋体" w:eastAsia="宋体" w:cs="宋体"/>
                <w:i w:val="0"/>
                <w:iCs w:val="0"/>
                <w:color w:val="auto"/>
                <w:sz w:val="24"/>
                <w:szCs w:val="24"/>
                <w:highlight w:val="none"/>
              </w:rPr>
            </w:pPr>
          </w:p>
        </w:tc>
        <w:tc>
          <w:tcPr>
            <w:tcW w:w="1480" w:type="dxa"/>
            <w:noWrap w:val="0"/>
            <w:vAlign w:val="top"/>
          </w:tcPr>
          <w:p w14:paraId="1D34717E">
            <w:pPr>
              <w:rPr>
                <w:rFonts w:hint="eastAsia" w:ascii="宋体" w:hAnsi="宋体" w:eastAsia="宋体" w:cs="宋体"/>
                <w:i w:val="0"/>
                <w:iCs w:val="0"/>
                <w:color w:val="auto"/>
                <w:sz w:val="24"/>
                <w:szCs w:val="24"/>
                <w:highlight w:val="none"/>
              </w:rPr>
            </w:pPr>
          </w:p>
        </w:tc>
        <w:tc>
          <w:tcPr>
            <w:tcW w:w="1020" w:type="dxa"/>
            <w:noWrap w:val="0"/>
            <w:vAlign w:val="top"/>
          </w:tcPr>
          <w:p w14:paraId="41875498">
            <w:pPr>
              <w:rPr>
                <w:rFonts w:hint="eastAsia" w:ascii="宋体" w:hAnsi="宋体" w:eastAsia="宋体" w:cs="宋体"/>
                <w:i w:val="0"/>
                <w:iCs w:val="0"/>
                <w:color w:val="auto"/>
                <w:sz w:val="24"/>
                <w:szCs w:val="24"/>
                <w:highlight w:val="none"/>
              </w:rPr>
            </w:pPr>
          </w:p>
        </w:tc>
        <w:tc>
          <w:tcPr>
            <w:tcW w:w="921" w:type="dxa"/>
            <w:noWrap w:val="0"/>
            <w:vAlign w:val="top"/>
          </w:tcPr>
          <w:p w14:paraId="7B01BAAE">
            <w:pPr>
              <w:rPr>
                <w:rFonts w:hint="eastAsia" w:ascii="宋体" w:hAnsi="宋体" w:eastAsia="宋体" w:cs="宋体"/>
                <w:i w:val="0"/>
                <w:iCs w:val="0"/>
                <w:color w:val="auto"/>
                <w:sz w:val="24"/>
                <w:szCs w:val="24"/>
                <w:highlight w:val="none"/>
              </w:rPr>
            </w:pPr>
          </w:p>
        </w:tc>
      </w:tr>
      <w:tr w14:paraId="45BBFD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2F103F9F">
            <w:pPr>
              <w:rPr>
                <w:rFonts w:hint="eastAsia" w:ascii="宋体" w:hAnsi="宋体" w:eastAsia="宋体" w:cs="宋体"/>
                <w:i w:val="0"/>
                <w:iCs w:val="0"/>
                <w:color w:val="auto"/>
                <w:sz w:val="24"/>
                <w:szCs w:val="24"/>
                <w:highlight w:val="none"/>
              </w:rPr>
            </w:pPr>
          </w:p>
        </w:tc>
        <w:tc>
          <w:tcPr>
            <w:tcW w:w="1418" w:type="dxa"/>
            <w:noWrap w:val="0"/>
            <w:vAlign w:val="top"/>
          </w:tcPr>
          <w:p w14:paraId="0BD11F7A">
            <w:pPr>
              <w:rPr>
                <w:rFonts w:hint="eastAsia" w:ascii="宋体" w:hAnsi="宋体" w:eastAsia="宋体" w:cs="宋体"/>
                <w:i w:val="0"/>
                <w:iCs w:val="0"/>
                <w:color w:val="auto"/>
                <w:sz w:val="24"/>
                <w:szCs w:val="24"/>
                <w:highlight w:val="none"/>
              </w:rPr>
            </w:pPr>
          </w:p>
        </w:tc>
        <w:tc>
          <w:tcPr>
            <w:tcW w:w="850" w:type="dxa"/>
            <w:noWrap w:val="0"/>
            <w:vAlign w:val="top"/>
          </w:tcPr>
          <w:p w14:paraId="47EF0138">
            <w:pPr>
              <w:rPr>
                <w:rFonts w:hint="eastAsia" w:ascii="宋体" w:hAnsi="宋体" w:eastAsia="宋体" w:cs="宋体"/>
                <w:i w:val="0"/>
                <w:iCs w:val="0"/>
                <w:color w:val="auto"/>
                <w:sz w:val="24"/>
                <w:szCs w:val="24"/>
                <w:highlight w:val="none"/>
              </w:rPr>
            </w:pPr>
          </w:p>
        </w:tc>
        <w:tc>
          <w:tcPr>
            <w:tcW w:w="1058" w:type="dxa"/>
            <w:noWrap w:val="0"/>
            <w:vAlign w:val="top"/>
          </w:tcPr>
          <w:p w14:paraId="792A577F">
            <w:pPr>
              <w:rPr>
                <w:rFonts w:hint="eastAsia" w:ascii="宋体" w:hAnsi="宋体" w:eastAsia="宋体" w:cs="宋体"/>
                <w:i w:val="0"/>
                <w:iCs w:val="0"/>
                <w:color w:val="auto"/>
                <w:sz w:val="24"/>
                <w:szCs w:val="24"/>
                <w:highlight w:val="none"/>
              </w:rPr>
            </w:pPr>
          </w:p>
        </w:tc>
        <w:tc>
          <w:tcPr>
            <w:tcW w:w="880" w:type="dxa"/>
            <w:noWrap w:val="0"/>
            <w:vAlign w:val="top"/>
          </w:tcPr>
          <w:p w14:paraId="221D220B">
            <w:pPr>
              <w:rPr>
                <w:rFonts w:hint="eastAsia" w:ascii="宋体" w:hAnsi="宋体" w:eastAsia="宋体" w:cs="宋体"/>
                <w:i w:val="0"/>
                <w:iCs w:val="0"/>
                <w:color w:val="auto"/>
                <w:sz w:val="24"/>
                <w:szCs w:val="24"/>
                <w:highlight w:val="none"/>
              </w:rPr>
            </w:pPr>
          </w:p>
        </w:tc>
        <w:tc>
          <w:tcPr>
            <w:tcW w:w="1020" w:type="dxa"/>
            <w:noWrap w:val="0"/>
            <w:vAlign w:val="top"/>
          </w:tcPr>
          <w:p w14:paraId="202B8885">
            <w:pPr>
              <w:rPr>
                <w:rFonts w:hint="eastAsia" w:ascii="宋体" w:hAnsi="宋体" w:eastAsia="宋体" w:cs="宋体"/>
                <w:i w:val="0"/>
                <w:iCs w:val="0"/>
                <w:color w:val="auto"/>
                <w:sz w:val="24"/>
                <w:szCs w:val="24"/>
                <w:highlight w:val="none"/>
              </w:rPr>
            </w:pPr>
          </w:p>
        </w:tc>
        <w:tc>
          <w:tcPr>
            <w:tcW w:w="1480" w:type="dxa"/>
            <w:noWrap w:val="0"/>
            <w:vAlign w:val="top"/>
          </w:tcPr>
          <w:p w14:paraId="6894B177">
            <w:pPr>
              <w:rPr>
                <w:rFonts w:hint="eastAsia" w:ascii="宋体" w:hAnsi="宋体" w:eastAsia="宋体" w:cs="宋体"/>
                <w:i w:val="0"/>
                <w:iCs w:val="0"/>
                <w:color w:val="auto"/>
                <w:sz w:val="24"/>
                <w:szCs w:val="24"/>
                <w:highlight w:val="none"/>
              </w:rPr>
            </w:pPr>
          </w:p>
        </w:tc>
        <w:tc>
          <w:tcPr>
            <w:tcW w:w="1020" w:type="dxa"/>
            <w:noWrap w:val="0"/>
            <w:vAlign w:val="top"/>
          </w:tcPr>
          <w:p w14:paraId="6E4D1B81">
            <w:pPr>
              <w:rPr>
                <w:rFonts w:hint="eastAsia" w:ascii="宋体" w:hAnsi="宋体" w:eastAsia="宋体" w:cs="宋体"/>
                <w:i w:val="0"/>
                <w:iCs w:val="0"/>
                <w:color w:val="auto"/>
                <w:sz w:val="24"/>
                <w:szCs w:val="24"/>
                <w:highlight w:val="none"/>
              </w:rPr>
            </w:pPr>
          </w:p>
        </w:tc>
        <w:tc>
          <w:tcPr>
            <w:tcW w:w="921" w:type="dxa"/>
            <w:noWrap w:val="0"/>
            <w:vAlign w:val="top"/>
          </w:tcPr>
          <w:p w14:paraId="37D66D6E">
            <w:pPr>
              <w:rPr>
                <w:rFonts w:hint="eastAsia" w:ascii="宋体" w:hAnsi="宋体" w:eastAsia="宋体" w:cs="宋体"/>
                <w:i w:val="0"/>
                <w:iCs w:val="0"/>
                <w:color w:val="auto"/>
                <w:sz w:val="24"/>
                <w:szCs w:val="24"/>
                <w:highlight w:val="none"/>
              </w:rPr>
            </w:pPr>
          </w:p>
        </w:tc>
      </w:tr>
      <w:tr w14:paraId="24DE1A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50D84344">
            <w:pPr>
              <w:rPr>
                <w:rFonts w:hint="eastAsia" w:ascii="宋体" w:hAnsi="宋体" w:eastAsia="宋体" w:cs="宋体"/>
                <w:i w:val="0"/>
                <w:iCs w:val="0"/>
                <w:color w:val="auto"/>
                <w:sz w:val="24"/>
                <w:szCs w:val="24"/>
                <w:highlight w:val="none"/>
              </w:rPr>
            </w:pPr>
          </w:p>
        </w:tc>
        <w:tc>
          <w:tcPr>
            <w:tcW w:w="1418" w:type="dxa"/>
            <w:noWrap w:val="0"/>
            <w:vAlign w:val="top"/>
          </w:tcPr>
          <w:p w14:paraId="168FAC79">
            <w:pPr>
              <w:rPr>
                <w:rFonts w:hint="eastAsia" w:ascii="宋体" w:hAnsi="宋体" w:eastAsia="宋体" w:cs="宋体"/>
                <w:i w:val="0"/>
                <w:iCs w:val="0"/>
                <w:color w:val="auto"/>
                <w:sz w:val="24"/>
                <w:szCs w:val="24"/>
                <w:highlight w:val="none"/>
              </w:rPr>
            </w:pPr>
          </w:p>
        </w:tc>
        <w:tc>
          <w:tcPr>
            <w:tcW w:w="850" w:type="dxa"/>
            <w:noWrap w:val="0"/>
            <w:vAlign w:val="top"/>
          </w:tcPr>
          <w:p w14:paraId="52882A50">
            <w:pPr>
              <w:rPr>
                <w:rFonts w:hint="eastAsia" w:ascii="宋体" w:hAnsi="宋体" w:eastAsia="宋体" w:cs="宋体"/>
                <w:i w:val="0"/>
                <w:iCs w:val="0"/>
                <w:color w:val="auto"/>
                <w:sz w:val="24"/>
                <w:szCs w:val="24"/>
                <w:highlight w:val="none"/>
              </w:rPr>
            </w:pPr>
          </w:p>
        </w:tc>
        <w:tc>
          <w:tcPr>
            <w:tcW w:w="1058" w:type="dxa"/>
            <w:noWrap w:val="0"/>
            <w:vAlign w:val="top"/>
          </w:tcPr>
          <w:p w14:paraId="76AD799F">
            <w:pPr>
              <w:rPr>
                <w:rFonts w:hint="eastAsia" w:ascii="宋体" w:hAnsi="宋体" w:eastAsia="宋体" w:cs="宋体"/>
                <w:i w:val="0"/>
                <w:iCs w:val="0"/>
                <w:color w:val="auto"/>
                <w:sz w:val="24"/>
                <w:szCs w:val="24"/>
                <w:highlight w:val="none"/>
              </w:rPr>
            </w:pPr>
          </w:p>
        </w:tc>
        <w:tc>
          <w:tcPr>
            <w:tcW w:w="880" w:type="dxa"/>
            <w:noWrap w:val="0"/>
            <w:vAlign w:val="top"/>
          </w:tcPr>
          <w:p w14:paraId="716CCC39">
            <w:pPr>
              <w:rPr>
                <w:rFonts w:hint="eastAsia" w:ascii="宋体" w:hAnsi="宋体" w:eastAsia="宋体" w:cs="宋体"/>
                <w:i w:val="0"/>
                <w:iCs w:val="0"/>
                <w:color w:val="auto"/>
                <w:sz w:val="24"/>
                <w:szCs w:val="24"/>
                <w:highlight w:val="none"/>
              </w:rPr>
            </w:pPr>
          </w:p>
        </w:tc>
        <w:tc>
          <w:tcPr>
            <w:tcW w:w="1020" w:type="dxa"/>
            <w:noWrap w:val="0"/>
            <w:vAlign w:val="top"/>
          </w:tcPr>
          <w:p w14:paraId="71CECFE4">
            <w:pPr>
              <w:rPr>
                <w:rFonts w:hint="eastAsia" w:ascii="宋体" w:hAnsi="宋体" w:eastAsia="宋体" w:cs="宋体"/>
                <w:i w:val="0"/>
                <w:iCs w:val="0"/>
                <w:color w:val="auto"/>
                <w:sz w:val="24"/>
                <w:szCs w:val="24"/>
                <w:highlight w:val="none"/>
              </w:rPr>
            </w:pPr>
          </w:p>
        </w:tc>
        <w:tc>
          <w:tcPr>
            <w:tcW w:w="1480" w:type="dxa"/>
            <w:noWrap w:val="0"/>
            <w:vAlign w:val="top"/>
          </w:tcPr>
          <w:p w14:paraId="0989CB4B">
            <w:pPr>
              <w:rPr>
                <w:rFonts w:hint="eastAsia" w:ascii="宋体" w:hAnsi="宋体" w:eastAsia="宋体" w:cs="宋体"/>
                <w:i w:val="0"/>
                <w:iCs w:val="0"/>
                <w:color w:val="auto"/>
                <w:sz w:val="24"/>
                <w:szCs w:val="24"/>
                <w:highlight w:val="none"/>
              </w:rPr>
            </w:pPr>
          </w:p>
        </w:tc>
        <w:tc>
          <w:tcPr>
            <w:tcW w:w="1020" w:type="dxa"/>
            <w:noWrap w:val="0"/>
            <w:vAlign w:val="top"/>
          </w:tcPr>
          <w:p w14:paraId="675BCEB5">
            <w:pPr>
              <w:rPr>
                <w:rFonts w:hint="eastAsia" w:ascii="宋体" w:hAnsi="宋体" w:eastAsia="宋体" w:cs="宋体"/>
                <w:i w:val="0"/>
                <w:iCs w:val="0"/>
                <w:color w:val="auto"/>
                <w:sz w:val="24"/>
                <w:szCs w:val="24"/>
                <w:highlight w:val="none"/>
              </w:rPr>
            </w:pPr>
          </w:p>
        </w:tc>
        <w:tc>
          <w:tcPr>
            <w:tcW w:w="921" w:type="dxa"/>
            <w:noWrap w:val="0"/>
            <w:vAlign w:val="top"/>
          </w:tcPr>
          <w:p w14:paraId="16F979CC">
            <w:pPr>
              <w:rPr>
                <w:rFonts w:hint="eastAsia" w:ascii="宋体" w:hAnsi="宋体" w:eastAsia="宋体" w:cs="宋体"/>
                <w:i w:val="0"/>
                <w:iCs w:val="0"/>
                <w:color w:val="auto"/>
                <w:sz w:val="24"/>
                <w:szCs w:val="24"/>
                <w:highlight w:val="none"/>
              </w:rPr>
            </w:pPr>
          </w:p>
        </w:tc>
      </w:tr>
      <w:tr w14:paraId="6B68F4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34FC6058">
            <w:pPr>
              <w:rPr>
                <w:rFonts w:hint="eastAsia" w:ascii="宋体" w:hAnsi="宋体" w:eastAsia="宋体" w:cs="宋体"/>
                <w:i w:val="0"/>
                <w:iCs w:val="0"/>
                <w:color w:val="auto"/>
                <w:sz w:val="24"/>
                <w:szCs w:val="24"/>
                <w:highlight w:val="none"/>
              </w:rPr>
            </w:pPr>
          </w:p>
        </w:tc>
        <w:tc>
          <w:tcPr>
            <w:tcW w:w="1418" w:type="dxa"/>
            <w:noWrap w:val="0"/>
            <w:vAlign w:val="top"/>
          </w:tcPr>
          <w:p w14:paraId="4D07B10D">
            <w:pPr>
              <w:rPr>
                <w:rFonts w:hint="eastAsia" w:ascii="宋体" w:hAnsi="宋体" w:eastAsia="宋体" w:cs="宋体"/>
                <w:i w:val="0"/>
                <w:iCs w:val="0"/>
                <w:color w:val="auto"/>
                <w:sz w:val="24"/>
                <w:szCs w:val="24"/>
                <w:highlight w:val="none"/>
              </w:rPr>
            </w:pPr>
          </w:p>
        </w:tc>
        <w:tc>
          <w:tcPr>
            <w:tcW w:w="850" w:type="dxa"/>
            <w:noWrap w:val="0"/>
            <w:vAlign w:val="top"/>
          </w:tcPr>
          <w:p w14:paraId="78876686">
            <w:pPr>
              <w:rPr>
                <w:rFonts w:hint="eastAsia" w:ascii="宋体" w:hAnsi="宋体" w:eastAsia="宋体" w:cs="宋体"/>
                <w:i w:val="0"/>
                <w:iCs w:val="0"/>
                <w:color w:val="auto"/>
                <w:sz w:val="24"/>
                <w:szCs w:val="24"/>
                <w:highlight w:val="none"/>
              </w:rPr>
            </w:pPr>
          </w:p>
        </w:tc>
        <w:tc>
          <w:tcPr>
            <w:tcW w:w="1058" w:type="dxa"/>
            <w:noWrap w:val="0"/>
            <w:vAlign w:val="top"/>
          </w:tcPr>
          <w:p w14:paraId="6E940116">
            <w:pPr>
              <w:rPr>
                <w:rFonts w:hint="eastAsia" w:ascii="宋体" w:hAnsi="宋体" w:eastAsia="宋体" w:cs="宋体"/>
                <w:i w:val="0"/>
                <w:iCs w:val="0"/>
                <w:color w:val="auto"/>
                <w:sz w:val="24"/>
                <w:szCs w:val="24"/>
                <w:highlight w:val="none"/>
              </w:rPr>
            </w:pPr>
          </w:p>
        </w:tc>
        <w:tc>
          <w:tcPr>
            <w:tcW w:w="880" w:type="dxa"/>
            <w:noWrap w:val="0"/>
            <w:vAlign w:val="top"/>
          </w:tcPr>
          <w:p w14:paraId="660A3C16">
            <w:pPr>
              <w:rPr>
                <w:rFonts w:hint="eastAsia" w:ascii="宋体" w:hAnsi="宋体" w:eastAsia="宋体" w:cs="宋体"/>
                <w:i w:val="0"/>
                <w:iCs w:val="0"/>
                <w:color w:val="auto"/>
                <w:sz w:val="24"/>
                <w:szCs w:val="24"/>
                <w:highlight w:val="none"/>
              </w:rPr>
            </w:pPr>
          </w:p>
        </w:tc>
        <w:tc>
          <w:tcPr>
            <w:tcW w:w="1020" w:type="dxa"/>
            <w:noWrap w:val="0"/>
            <w:vAlign w:val="top"/>
          </w:tcPr>
          <w:p w14:paraId="0E97F38E">
            <w:pPr>
              <w:rPr>
                <w:rFonts w:hint="eastAsia" w:ascii="宋体" w:hAnsi="宋体" w:eastAsia="宋体" w:cs="宋体"/>
                <w:i w:val="0"/>
                <w:iCs w:val="0"/>
                <w:color w:val="auto"/>
                <w:sz w:val="24"/>
                <w:szCs w:val="24"/>
                <w:highlight w:val="none"/>
              </w:rPr>
            </w:pPr>
          </w:p>
        </w:tc>
        <w:tc>
          <w:tcPr>
            <w:tcW w:w="1480" w:type="dxa"/>
            <w:noWrap w:val="0"/>
            <w:vAlign w:val="top"/>
          </w:tcPr>
          <w:p w14:paraId="7A5928A4">
            <w:pPr>
              <w:rPr>
                <w:rFonts w:hint="eastAsia" w:ascii="宋体" w:hAnsi="宋体" w:eastAsia="宋体" w:cs="宋体"/>
                <w:i w:val="0"/>
                <w:iCs w:val="0"/>
                <w:color w:val="auto"/>
                <w:sz w:val="24"/>
                <w:szCs w:val="24"/>
                <w:highlight w:val="none"/>
              </w:rPr>
            </w:pPr>
          </w:p>
        </w:tc>
        <w:tc>
          <w:tcPr>
            <w:tcW w:w="1020" w:type="dxa"/>
            <w:noWrap w:val="0"/>
            <w:vAlign w:val="top"/>
          </w:tcPr>
          <w:p w14:paraId="7096AB7E">
            <w:pPr>
              <w:rPr>
                <w:rFonts w:hint="eastAsia" w:ascii="宋体" w:hAnsi="宋体" w:eastAsia="宋体" w:cs="宋体"/>
                <w:i w:val="0"/>
                <w:iCs w:val="0"/>
                <w:color w:val="auto"/>
                <w:sz w:val="24"/>
                <w:szCs w:val="24"/>
                <w:highlight w:val="none"/>
              </w:rPr>
            </w:pPr>
          </w:p>
        </w:tc>
        <w:tc>
          <w:tcPr>
            <w:tcW w:w="921" w:type="dxa"/>
            <w:noWrap w:val="0"/>
            <w:vAlign w:val="top"/>
          </w:tcPr>
          <w:p w14:paraId="532A805D">
            <w:pPr>
              <w:rPr>
                <w:rFonts w:hint="eastAsia" w:ascii="宋体" w:hAnsi="宋体" w:eastAsia="宋体" w:cs="宋体"/>
                <w:i w:val="0"/>
                <w:iCs w:val="0"/>
                <w:color w:val="auto"/>
                <w:sz w:val="24"/>
                <w:szCs w:val="24"/>
                <w:highlight w:val="none"/>
              </w:rPr>
            </w:pPr>
          </w:p>
        </w:tc>
      </w:tr>
      <w:tr w14:paraId="441C24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27" w:type="dxa"/>
            <w:noWrap w:val="0"/>
            <w:vAlign w:val="top"/>
          </w:tcPr>
          <w:p w14:paraId="44416E09">
            <w:pPr>
              <w:rPr>
                <w:rFonts w:hint="eastAsia" w:ascii="宋体" w:hAnsi="宋体" w:eastAsia="宋体" w:cs="宋体"/>
                <w:i w:val="0"/>
                <w:iCs w:val="0"/>
                <w:color w:val="auto"/>
                <w:sz w:val="24"/>
                <w:szCs w:val="24"/>
                <w:highlight w:val="none"/>
              </w:rPr>
            </w:pPr>
          </w:p>
        </w:tc>
        <w:tc>
          <w:tcPr>
            <w:tcW w:w="1418" w:type="dxa"/>
            <w:noWrap w:val="0"/>
            <w:vAlign w:val="top"/>
          </w:tcPr>
          <w:p w14:paraId="0D8363D2">
            <w:pPr>
              <w:rPr>
                <w:rFonts w:hint="eastAsia" w:ascii="宋体" w:hAnsi="宋体" w:eastAsia="宋体" w:cs="宋体"/>
                <w:i w:val="0"/>
                <w:iCs w:val="0"/>
                <w:color w:val="auto"/>
                <w:sz w:val="24"/>
                <w:szCs w:val="24"/>
                <w:highlight w:val="none"/>
              </w:rPr>
            </w:pPr>
          </w:p>
        </w:tc>
        <w:tc>
          <w:tcPr>
            <w:tcW w:w="850" w:type="dxa"/>
            <w:noWrap w:val="0"/>
            <w:vAlign w:val="top"/>
          </w:tcPr>
          <w:p w14:paraId="2F638169">
            <w:pPr>
              <w:rPr>
                <w:rFonts w:hint="eastAsia" w:ascii="宋体" w:hAnsi="宋体" w:eastAsia="宋体" w:cs="宋体"/>
                <w:i w:val="0"/>
                <w:iCs w:val="0"/>
                <w:color w:val="auto"/>
                <w:sz w:val="24"/>
                <w:szCs w:val="24"/>
                <w:highlight w:val="none"/>
              </w:rPr>
            </w:pPr>
          </w:p>
        </w:tc>
        <w:tc>
          <w:tcPr>
            <w:tcW w:w="1058" w:type="dxa"/>
            <w:noWrap w:val="0"/>
            <w:vAlign w:val="top"/>
          </w:tcPr>
          <w:p w14:paraId="63F744CD">
            <w:pPr>
              <w:rPr>
                <w:rFonts w:hint="eastAsia" w:ascii="宋体" w:hAnsi="宋体" w:eastAsia="宋体" w:cs="宋体"/>
                <w:i w:val="0"/>
                <w:iCs w:val="0"/>
                <w:color w:val="auto"/>
                <w:sz w:val="24"/>
                <w:szCs w:val="24"/>
                <w:highlight w:val="none"/>
              </w:rPr>
            </w:pPr>
          </w:p>
        </w:tc>
        <w:tc>
          <w:tcPr>
            <w:tcW w:w="880" w:type="dxa"/>
            <w:noWrap w:val="0"/>
            <w:vAlign w:val="top"/>
          </w:tcPr>
          <w:p w14:paraId="139F976E">
            <w:pPr>
              <w:rPr>
                <w:rFonts w:hint="eastAsia" w:ascii="宋体" w:hAnsi="宋体" w:eastAsia="宋体" w:cs="宋体"/>
                <w:i w:val="0"/>
                <w:iCs w:val="0"/>
                <w:color w:val="auto"/>
                <w:sz w:val="24"/>
                <w:szCs w:val="24"/>
                <w:highlight w:val="none"/>
              </w:rPr>
            </w:pPr>
          </w:p>
        </w:tc>
        <w:tc>
          <w:tcPr>
            <w:tcW w:w="1020" w:type="dxa"/>
            <w:noWrap w:val="0"/>
            <w:vAlign w:val="top"/>
          </w:tcPr>
          <w:p w14:paraId="0F15D5F8">
            <w:pPr>
              <w:rPr>
                <w:rFonts w:hint="eastAsia" w:ascii="宋体" w:hAnsi="宋体" w:eastAsia="宋体" w:cs="宋体"/>
                <w:i w:val="0"/>
                <w:iCs w:val="0"/>
                <w:color w:val="auto"/>
                <w:sz w:val="24"/>
                <w:szCs w:val="24"/>
                <w:highlight w:val="none"/>
              </w:rPr>
            </w:pPr>
          </w:p>
        </w:tc>
        <w:tc>
          <w:tcPr>
            <w:tcW w:w="1480" w:type="dxa"/>
            <w:noWrap w:val="0"/>
            <w:vAlign w:val="top"/>
          </w:tcPr>
          <w:p w14:paraId="77D3A400">
            <w:pPr>
              <w:rPr>
                <w:rFonts w:hint="eastAsia" w:ascii="宋体" w:hAnsi="宋体" w:eastAsia="宋体" w:cs="宋体"/>
                <w:i w:val="0"/>
                <w:iCs w:val="0"/>
                <w:color w:val="auto"/>
                <w:sz w:val="24"/>
                <w:szCs w:val="24"/>
                <w:highlight w:val="none"/>
              </w:rPr>
            </w:pPr>
          </w:p>
        </w:tc>
        <w:tc>
          <w:tcPr>
            <w:tcW w:w="1020" w:type="dxa"/>
            <w:noWrap w:val="0"/>
            <w:vAlign w:val="top"/>
          </w:tcPr>
          <w:p w14:paraId="372A6661">
            <w:pPr>
              <w:rPr>
                <w:rFonts w:hint="eastAsia" w:ascii="宋体" w:hAnsi="宋体" w:eastAsia="宋体" w:cs="宋体"/>
                <w:i w:val="0"/>
                <w:iCs w:val="0"/>
                <w:color w:val="auto"/>
                <w:sz w:val="24"/>
                <w:szCs w:val="24"/>
                <w:highlight w:val="none"/>
              </w:rPr>
            </w:pPr>
          </w:p>
        </w:tc>
        <w:tc>
          <w:tcPr>
            <w:tcW w:w="921" w:type="dxa"/>
            <w:noWrap w:val="0"/>
            <w:vAlign w:val="top"/>
          </w:tcPr>
          <w:p w14:paraId="14DF907F">
            <w:pPr>
              <w:rPr>
                <w:rFonts w:hint="eastAsia" w:ascii="宋体" w:hAnsi="宋体" w:eastAsia="宋体" w:cs="宋体"/>
                <w:i w:val="0"/>
                <w:iCs w:val="0"/>
                <w:color w:val="auto"/>
                <w:sz w:val="24"/>
                <w:szCs w:val="24"/>
                <w:highlight w:val="none"/>
              </w:rPr>
            </w:pPr>
          </w:p>
        </w:tc>
      </w:tr>
    </w:tbl>
    <w:p w14:paraId="7F43A2EF">
      <w:pPr>
        <w:keepNext w:val="0"/>
        <w:keepLines w:val="0"/>
        <w:pageBreakBefore w:val="0"/>
        <w:widowControl w:val="0"/>
        <w:kinsoku/>
        <w:wordWrap/>
        <w:overflowPunct/>
        <w:topLinePunct w:val="0"/>
        <w:autoSpaceDE/>
        <w:autoSpaceDN/>
        <w:bidi w:val="0"/>
        <w:adjustRightInd/>
        <w:snapToGrid/>
        <w:spacing w:line="240" w:lineRule="auto"/>
        <w:ind w:firstLine="482"/>
        <w:textAlignment w:val="auto"/>
        <w:rPr>
          <w:rFonts w:hint="eastAsia" w:ascii="宋体" w:hAnsi="宋体" w:eastAsia="宋体"/>
          <w:b/>
          <w:bCs/>
          <w:i w:val="0"/>
          <w:iCs w:val="0"/>
          <w:color w:val="auto"/>
          <w:sz w:val="24"/>
          <w:highlight w:val="none"/>
        </w:rPr>
      </w:pPr>
    </w:p>
    <w:p w14:paraId="7016DA11">
      <w:pPr>
        <w:keepNext w:val="0"/>
        <w:keepLines w:val="0"/>
        <w:pageBreakBefore w:val="0"/>
        <w:widowControl w:val="0"/>
        <w:kinsoku/>
        <w:wordWrap/>
        <w:overflowPunct/>
        <w:topLinePunct w:val="0"/>
        <w:autoSpaceDE/>
        <w:autoSpaceDN/>
        <w:bidi w:val="0"/>
        <w:adjustRightInd/>
        <w:snapToGrid/>
        <w:spacing w:line="240" w:lineRule="auto"/>
        <w:ind w:firstLine="482"/>
        <w:textAlignment w:val="auto"/>
        <w:rPr>
          <w:rFonts w:hint="eastAsia" w:ascii="宋体" w:hAnsi="宋体" w:eastAsia="宋体"/>
          <w:b/>
          <w:bCs/>
          <w:i w:val="0"/>
          <w:iCs w:val="0"/>
          <w:color w:val="auto"/>
          <w:sz w:val="24"/>
          <w:highlight w:val="none"/>
        </w:rPr>
      </w:pPr>
    </w:p>
    <w:p w14:paraId="1CF377F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b/>
          <w:bCs/>
          <w:i w:val="0"/>
          <w:iCs w:val="0"/>
          <w:color w:val="auto"/>
          <w:sz w:val="24"/>
          <w:highlight w:val="none"/>
        </w:rPr>
      </w:pPr>
      <w:r>
        <w:rPr>
          <w:rFonts w:hint="eastAsia" w:ascii="宋体" w:hAnsi="宋体" w:eastAsia="宋体"/>
          <w:b/>
          <w:bCs/>
          <w:i w:val="0"/>
          <w:iCs w:val="0"/>
          <w:color w:val="auto"/>
          <w:sz w:val="24"/>
          <w:highlight w:val="none"/>
        </w:rPr>
        <w:t>附</w:t>
      </w:r>
      <w:bookmarkStart w:id="1145" w:name="_Toc296503228"/>
      <w:bookmarkStart w:id="1146" w:name="_Toc296347227"/>
      <w:bookmarkStart w:id="1147" w:name="_Toc267261699"/>
      <w:bookmarkStart w:id="1148" w:name="_Toc296346729"/>
      <w:bookmarkStart w:id="1149" w:name="_Toc296891056"/>
      <w:bookmarkStart w:id="1150" w:name="_Toc296944567"/>
      <w:bookmarkStart w:id="1151" w:name="_Toc296891268"/>
      <w:r>
        <w:rPr>
          <w:rFonts w:hint="eastAsia" w:ascii="宋体" w:hAnsi="宋体" w:eastAsia="宋体"/>
          <w:b/>
          <w:bCs/>
          <w:i w:val="0"/>
          <w:iCs w:val="0"/>
          <w:color w:val="auto"/>
          <w:sz w:val="24"/>
          <w:highlight w:val="none"/>
        </w:rPr>
        <w:t>件6：</w:t>
      </w:r>
    </w:p>
    <w:bookmarkEnd w:id="1145"/>
    <w:bookmarkEnd w:id="1146"/>
    <w:bookmarkEnd w:id="1147"/>
    <w:bookmarkEnd w:id="1148"/>
    <w:bookmarkEnd w:id="1149"/>
    <w:bookmarkEnd w:id="1150"/>
    <w:bookmarkEnd w:id="1151"/>
    <w:p w14:paraId="258B860F">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承包人主要施工管理人员表</w:t>
      </w:r>
    </w:p>
    <w:tbl>
      <w:tblPr>
        <w:tblStyle w:val="27"/>
        <w:tblW w:w="91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169"/>
        <w:gridCol w:w="1134"/>
        <w:gridCol w:w="1134"/>
        <w:gridCol w:w="3849"/>
      </w:tblGrid>
      <w:tr w14:paraId="78EF18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0634D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名    称</w:t>
            </w:r>
          </w:p>
        </w:tc>
        <w:tc>
          <w:tcPr>
            <w:tcW w:w="1169" w:type="dxa"/>
            <w:tcBorders>
              <w:top w:val="single" w:color="auto" w:sz="12" w:space="0"/>
              <w:bottom w:val="double" w:color="auto" w:sz="6" w:space="0"/>
            </w:tcBorders>
            <w:noWrap w:val="0"/>
            <w:vAlign w:val="center"/>
          </w:tcPr>
          <w:p w14:paraId="7018F02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姓名</w:t>
            </w:r>
          </w:p>
        </w:tc>
        <w:tc>
          <w:tcPr>
            <w:tcW w:w="1134" w:type="dxa"/>
            <w:tcBorders>
              <w:top w:val="single" w:color="auto" w:sz="12" w:space="0"/>
              <w:bottom w:val="double" w:color="auto" w:sz="6" w:space="0"/>
            </w:tcBorders>
            <w:noWrap w:val="0"/>
            <w:vAlign w:val="center"/>
          </w:tcPr>
          <w:p w14:paraId="3ADF52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职务</w:t>
            </w:r>
          </w:p>
        </w:tc>
        <w:tc>
          <w:tcPr>
            <w:tcW w:w="1134" w:type="dxa"/>
            <w:tcBorders>
              <w:top w:val="single" w:color="auto" w:sz="12" w:space="0"/>
              <w:bottom w:val="double" w:color="auto" w:sz="6" w:space="0"/>
            </w:tcBorders>
            <w:noWrap w:val="0"/>
            <w:vAlign w:val="center"/>
          </w:tcPr>
          <w:p w14:paraId="6BDC03B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职称</w:t>
            </w:r>
          </w:p>
        </w:tc>
        <w:tc>
          <w:tcPr>
            <w:tcW w:w="3849" w:type="dxa"/>
            <w:tcBorders>
              <w:top w:val="single" w:color="auto" w:sz="12" w:space="0"/>
              <w:bottom w:val="double" w:color="auto" w:sz="6" w:space="0"/>
            </w:tcBorders>
            <w:noWrap w:val="0"/>
            <w:vAlign w:val="center"/>
          </w:tcPr>
          <w:p w14:paraId="352DB0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主要资历、经验及承担过的项目</w:t>
            </w:r>
          </w:p>
        </w:tc>
      </w:tr>
      <w:tr w14:paraId="47F5FE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157" w:type="dxa"/>
            <w:gridSpan w:val="5"/>
            <w:tcBorders>
              <w:top w:val="double" w:color="auto" w:sz="6" w:space="0"/>
              <w:bottom w:val="single" w:color="auto" w:sz="6" w:space="0"/>
            </w:tcBorders>
            <w:noWrap w:val="0"/>
            <w:vAlign w:val="center"/>
          </w:tcPr>
          <w:p w14:paraId="7404F27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一、总部人员</w:t>
            </w:r>
          </w:p>
        </w:tc>
      </w:tr>
      <w:tr w14:paraId="362C36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1190B3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项目主管</w:t>
            </w:r>
          </w:p>
        </w:tc>
        <w:tc>
          <w:tcPr>
            <w:tcW w:w="1169" w:type="dxa"/>
            <w:tcBorders>
              <w:top w:val="nil"/>
            </w:tcBorders>
            <w:noWrap w:val="0"/>
            <w:vAlign w:val="center"/>
          </w:tcPr>
          <w:p w14:paraId="045333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top w:val="nil"/>
            </w:tcBorders>
            <w:noWrap w:val="0"/>
            <w:vAlign w:val="center"/>
          </w:tcPr>
          <w:p w14:paraId="5DB2669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top w:val="nil"/>
            </w:tcBorders>
            <w:noWrap w:val="0"/>
            <w:vAlign w:val="center"/>
          </w:tcPr>
          <w:p w14:paraId="29A5BC5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tcBorders>
              <w:top w:val="nil"/>
            </w:tcBorders>
            <w:noWrap w:val="0"/>
            <w:vAlign w:val="center"/>
          </w:tcPr>
          <w:p w14:paraId="1571C24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08FA1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18D83C8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noWrap w:val="0"/>
            <w:vAlign w:val="center"/>
          </w:tcPr>
          <w:p w14:paraId="0BF4180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3F41A7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323175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76056A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D0373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481EB4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其他人员</w:t>
            </w:r>
          </w:p>
        </w:tc>
        <w:tc>
          <w:tcPr>
            <w:tcW w:w="1169" w:type="dxa"/>
            <w:noWrap w:val="0"/>
            <w:vAlign w:val="center"/>
          </w:tcPr>
          <w:p w14:paraId="1CDF89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098A8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AE9C4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4CBA2EC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96189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FB7AE5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noWrap w:val="0"/>
            <w:vAlign w:val="center"/>
          </w:tcPr>
          <w:p w14:paraId="538DF17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FED0B3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E91C95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16C4BE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F5820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157" w:type="dxa"/>
            <w:gridSpan w:val="5"/>
            <w:tcBorders>
              <w:top w:val="single" w:color="auto" w:sz="6" w:space="0"/>
              <w:bottom w:val="single" w:color="auto" w:sz="6" w:space="0"/>
            </w:tcBorders>
            <w:noWrap w:val="0"/>
            <w:vAlign w:val="center"/>
          </w:tcPr>
          <w:p w14:paraId="631C0C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二、现场人员</w:t>
            </w:r>
          </w:p>
        </w:tc>
      </w:tr>
      <w:tr w14:paraId="659760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FDC10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项目经理</w:t>
            </w:r>
          </w:p>
        </w:tc>
        <w:tc>
          <w:tcPr>
            <w:tcW w:w="1169" w:type="dxa"/>
            <w:noWrap w:val="0"/>
            <w:vAlign w:val="center"/>
          </w:tcPr>
          <w:p w14:paraId="464251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15F84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085BF1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2596C4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4E93D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A625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项目副经理</w:t>
            </w:r>
          </w:p>
        </w:tc>
        <w:tc>
          <w:tcPr>
            <w:tcW w:w="1169" w:type="dxa"/>
            <w:noWrap w:val="0"/>
            <w:vAlign w:val="center"/>
          </w:tcPr>
          <w:p w14:paraId="1BEE04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4FACF4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087AC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77DDAC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46CB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54F390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技术负责人</w:t>
            </w:r>
          </w:p>
        </w:tc>
        <w:tc>
          <w:tcPr>
            <w:tcW w:w="1169" w:type="dxa"/>
            <w:noWrap w:val="0"/>
            <w:vAlign w:val="center"/>
          </w:tcPr>
          <w:p w14:paraId="3FDF700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C109E3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6E2FD77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51206A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0BCB2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EC52C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造价管理</w:t>
            </w:r>
          </w:p>
        </w:tc>
        <w:tc>
          <w:tcPr>
            <w:tcW w:w="1169" w:type="dxa"/>
            <w:noWrap w:val="0"/>
            <w:vAlign w:val="center"/>
          </w:tcPr>
          <w:p w14:paraId="3D3794D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570066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76D8E0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2F59A4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FF76D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C405E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质量管理</w:t>
            </w:r>
          </w:p>
        </w:tc>
        <w:tc>
          <w:tcPr>
            <w:tcW w:w="1169" w:type="dxa"/>
            <w:noWrap w:val="0"/>
            <w:vAlign w:val="center"/>
          </w:tcPr>
          <w:p w14:paraId="415C94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401164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A0E79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3641AF2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3EA20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6E5CE0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材料管理</w:t>
            </w:r>
          </w:p>
        </w:tc>
        <w:tc>
          <w:tcPr>
            <w:tcW w:w="1169" w:type="dxa"/>
            <w:noWrap w:val="0"/>
            <w:vAlign w:val="center"/>
          </w:tcPr>
          <w:p w14:paraId="4A3FC46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F4056A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A0C4D5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2240E7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94DA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6638A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计划管理</w:t>
            </w:r>
          </w:p>
        </w:tc>
        <w:tc>
          <w:tcPr>
            <w:tcW w:w="1169" w:type="dxa"/>
            <w:noWrap w:val="0"/>
            <w:vAlign w:val="center"/>
          </w:tcPr>
          <w:p w14:paraId="3DB6AF2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4686C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3B2ED8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6455B9E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75CF9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535CD5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安全管理</w:t>
            </w:r>
          </w:p>
        </w:tc>
        <w:tc>
          <w:tcPr>
            <w:tcW w:w="1169" w:type="dxa"/>
            <w:noWrap w:val="0"/>
            <w:vAlign w:val="center"/>
          </w:tcPr>
          <w:p w14:paraId="00C1257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C8B666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4A2B1A7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053631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56BCF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E6868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其他人员</w:t>
            </w:r>
          </w:p>
        </w:tc>
        <w:tc>
          <w:tcPr>
            <w:tcW w:w="1169" w:type="dxa"/>
            <w:noWrap w:val="0"/>
            <w:vAlign w:val="center"/>
          </w:tcPr>
          <w:p w14:paraId="3A333C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ECD39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60E1E4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054C93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EE9F8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F58F4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tcBorders>
              <w:bottom w:val="nil"/>
            </w:tcBorders>
            <w:noWrap w:val="0"/>
            <w:vAlign w:val="center"/>
          </w:tcPr>
          <w:p w14:paraId="603382E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nil"/>
            </w:tcBorders>
            <w:noWrap w:val="0"/>
            <w:vAlign w:val="center"/>
          </w:tcPr>
          <w:p w14:paraId="48C63BD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nil"/>
            </w:tcBorders>
            <w:noWrap w:val="0"/>
            <w:vAlign w:val="center"/>
          </w:tcPr>
          <w:p w14:paraId="1FAB18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tcBorders>
              <w:bottom w:val="nil"/>
            </w:tcBorders>
            <w:noWrap w:val="0"/>
            <w:vAlign w:val="center"/>
          </w:tcPr>
          <w:p w14:paraId="2C15113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1EB25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66ED8B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noWrap w:val="0"/>
            <w:vAlign w:val="center"/>
          </w:tcPr>
          <w:p w14:paraId="603CA13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C1AF0A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5FB6B3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70835E3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D12EA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0A09FD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noWrap w:val="0"/>
            <w:vAlign w:val="center"/>
          </w:tcPr>
          <w:p w14:paraId="565FF3A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2A4753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4524A9C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677BA4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E81BD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F21895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noWrap w:val="0"/>
            <w:vAlign w:val="center"/>
          </w:tcPr>
          <w:p w14:paraId="4A719C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009D62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26FBF7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noWrap w:val="0"/>
            <w:vAlign w:val="center"/>
          </w:tcPr>
          <w:p w14:paraId="6103FD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6532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161CF8E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69" w:type="dxa"/>
            <w:tcBorders>
              <w:bottom w:val="single" w:color="auto" w:sz="12" w:space="0"/>
            </w:tcBorders>
            <w:noWrap w:val="0"/>
            <w:vAlign w:val="center"/>
          </w:tcPr>
          <w:p w14:paraId="63FAB21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single" w:color="auto" w:sz="12" w:space="0"/>
            </w:tcBorders>
            <w:noWrap w:val="0"/>
            <w:vAlign w:val="center"/>
          </w:tcPr>
          <w:p w14:paraId="2F4D5F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single" w:color="auto" w:sz="12" w:space="0"/>
            </w:tcBorders>
            <w:noWrap w:val="0"/>
            <w:vAlign w:val="center"/>
          </w:tcPr>
          <w:p w14:paraId="4E8B5C5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849" w:type="dxa"/>
            <w:tcBorders>
              <w:bottom w:val="single" w:color="auto" w:sz="12" w:space="0"/>
            </w:tcBorders>
            <w:noWrap w:val="0"/>
            <w:vAlign w:val="center"/>
          </w:tcPr>
          <w:p w14:paraId="256F49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bl>
    <w:p w14:paraId="4858B2F9">
      <w:pPr>
        <w:spacing w:line="440" w:lineRule="exact"/>
        <w:rPr>
          <w:rFonts w:hint="eastAsia" w:ascii="宋体" w:hAnsi="宋体" w:eastAsia="宋体"/>
          <w:b/>
          <w:bCs/>
          <w:i w:val="0"/>
          <w:iCs w:val="0"/>
          <w:color w:val="auto"/>
          <w:sz w:val="24"/>
          <w:highlight w:val="none"/>
        </w:rPr>
      </w:pPr>
      <w:r>
        <w:rPr>
          <w:rFonts w:ascii="Times New Roman" w:hAnsi="Times New Roman" w:eastAsia="仿宋_GB2312"/>
          <w:i w:val="0"/>
          <w:iCs w:val="0"/>
          <w:color w:val="auto"/>
          <w:sz w:val="30"/>
          <w:szCs w:val="30"/>
          <w:highlight w:val="none"/>
        </w:rPr>
        <w:br w:type="page"/>
      </w:r>
      <w:r>
        <w:rPr>
          <w:rFonts w:hint="eastAsia" w:ascii="宋体" w:hAnsi="宋体" w:eastAsia="宋体"/>
          <w:b/>
          <w:bCs/>
          <w:i w:val="0"/>
          <w:iCs w:val="0"/>
          <w:color w:val="auto"/>
          <w:sz w:val="24"/>
          <w:highlight w:val="none"/>
        </w:rPr>
        <w:t>附</w:t>
      </w:r>
      <w:bookmarkStart w:id="1152" w:name="_Toc296347228"/>
      <w:bookmarkStart w:id="1153" w:name="_Toc296503229"/>
      <w:bookmarkStart w:id="1154" w:name="_Toc296944568"/>
      <w:bookmarkStart w:id="1155" w:name="_Toc296891057"/>
      <w:bookmarkStart w:id="1156" w:name="_Toc296891269"/>
      <w:bookmarkStart w:id="1157" w:name="_Toc296346730"/>
      <w:r>
        <w:rPr>
          <w:rFonts w:hint="eastAsia" w:ascii="宋体" w:hAnsi="宋体" w:eastAsia="宋体"/>
          <w:b/>
          <w:bCs/>
          <w:i w:val="0"/>
          <w:iCs w:val="0"/>
          <w:color w:val="auto"/>
          <w:sz w:val="24"/>
          <w:highlight w:val="none"/>
        </w:rPr>
        <w:t>件7：</w:t>
      </w:r>
    </w:p>
    <w:bookmarkEnd w:id="1152"/>
    <w:bookmarkEnd w:id="1153"/>
    <w:bookmarkEnd w:id="1154"/>
    <w:bookmarkEnd w:id="1155"/>
    <w:bookmarkEnd w:id="1156"/>
    <w:bookmarkEnd w:id="1157"/>
    <w:p w14:paraId="691529A7">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分包人主要施工管理人员表</w:t>
      </w:r>
    </w:p>
    <w:tbl>
      <w:tblPr>
        <w:tblStyle w:val="27"/>
        <w:tblW w:w="905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183"/>
        <w:gridCol w:w="1134"/>
        <w:gridCol w:w="1134"/>
        <w:gridCol w:w="3728"/>
      </w:tblGrid>
      <w:tr w14:paraId="421330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162AA2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名    称</w:t>
            </w:r>
          </w:p>
        </w:tc>
        <w:tc>
          <w:tcPr>
            <w:tcW w:w="1183" w:type="dxa"/>
            <w:tcBorders>
              <w:top w:val="single" w:color="auto" w:sz="12" w:space="0"/>
              <w:bottom w:val="double" w:color="auto" w:sz="6" w:space="0"/>
            </w:tcBorders>
            <w:noWrap w:val="0"/>
            <w:vAlign w:val="center"/>
          </w:tcPr>
          <w:p w14:paraId="63BDFD5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姓名</w:t>
            </w:r>
          </w:p>
        </w:tc>
        <w:tc>
          <w:tcPr>
            <w:tcW w:w="1134" w:type="dxa"/>
            <w:tcBorders>
              <w:top w:val="single" w:color="auto" w:sz="12" w:space="0"/>
              <w:bottom w:val="double" w:color="auto" w:sz="6" w:space="0"/>
            </w:tcBorders>
            <w:noWrap w:val="0"/>
            <w:vAlign w:val="center"/>
          </w:tcPr>
          <w:p w14:paraId="1046EFE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职务</w:t>
            </w:r>
          </w:p>
        </w:tc>
        <w:tc>
          <w:tcPr>
            <w:tcW w:w="1134" w:type="dxa"/>
            <w:tcBorders>
              <w:top w:val="single" w:color="auto" w:sz="12" w:space="0"/>
              <w:bottom w:val="double" w:color="auto" w:sz="6" w:space="0"/>
            </w:tcBorders>
            <w:noWrap w:val="0"/>
            <w:vAlign w:val="center"/>
          </w:tcPr>
          <w:p w14:paraId="7DE21EB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职称</w:t>
            </w:r>
          </w:p>
        </w:tc>
        <w:tc>
          <w:tcPr>
            <w:tcW w:w="3728" w:type="dxa"/>
            <w:tcBorders>
              <w:top w:val="single" w:color="auto" w:sz="12" w:space="0"/>
              <w:bottom w:val="double" w:color="auto" w:sz="6" w:space="0"/>
            </w:tcBorders>
            <w:noWrap w:val="0"/>
            <w:vAlign w:val="center"/>
          </w:tcPr>
          <w:p w14:paraId="05F6F5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主要资历、经验及承担过的项目</w:t>
            </w:r>
          </w:p>
        </w:tc>
      </w:tr>
      <w:tr w14:paraId="5D9144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050" w:type="dxa"/>
            <w:gridSpan w:val="5"/>
            <w:tcBorders>
              <w:top w:val="double" w:color="auto" w:sz="6" w:space="0"/>
              <w:bottom w:val="single" w:color="auto" w:sz="6" w:space="0"/>
            </w:tcBorders>
            <w:noWrap w:val="0"/>
            <w:vAlign w:val="center"/>
          </w:tcPr>
          <w:p w14:paraId="1AAD0F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一、总部人员</w:t>
            </w:r>
          </w:p>
        </w:tc>
      </w:tr>
      <w:tr w14:paraId="61B3E4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61171B1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项目主管</w:t>
            </w:r>
          </w:p>
        </w:tc>
        <w:tc>
          <w:tcPr>
            <w:tcW w:w="1183" w:type="dxa"/>
            <w:tcBorders>
              <w:top w:val="nil"/>
            </w:tcBorders>
            <w:noWrap w:val="0"/>
            <w:vAlign w:val="center"/>
          </w:tcPr>
          <w:p w14:paraId="6233D2A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top w:val="nil"/>
            </w:tcBorders>
            <w:noWrap w:val="0"/>
            <w:vAlign w:val="center"/>
          </w:tcPr>
          <w:p w14:paraId="228ADB1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top w:val="nil"/>
            </w:tcBorders>
            <w:noWrap w:val="0"/>
            <w:vAlign w:val="center"/>
          </w:tcPr>
          <w:p w14:paraId="3ED89D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tcBorders>
              <w:top w:val="nil"/>
            </w:tcBorders>
            <w:noWrap w:val="0"/>
            <w:vAlign w:val="center"/>
          </w:tcPr>
          <w:p w14:paraId="32F8EB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CB594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1DE13E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noWrap w:val="0"/>
            <w:vAlign w:val="center"/>
          </w:tcPr>
          <w:p w14:paraId="1543592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12D34A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22DC57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0CF03B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B8FA0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8DF175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其他人员</w:t>
            </w:r>
          </w:p>
        </w:tc>
        <w:tc>
          <w:tcPr>
            <w:tcW w:w="1183" w:type="dxa"/>
            <w:noWrap w:val="0"/>
            <w:vAlign w:val="center"/>
          </w:tcPr>
          <w:p w14:paraId="699CB82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2B64FF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48FEFB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055A52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1E785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845FD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noWrap w:val="0"/>
            <w:vAlign w:val="center"/>
          </w:tcPr>
          <w:p w14:paraId="5666B2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AF0752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FCC071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353AA07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D74D8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050" w:type="dxa"/>
            <w:gridSpan w:val="5"/>
            <w:tcBorders>
              <w:top w:val="single" w:color="auto" w:sz="6" w:space="0"/>
              <w:bottom w:val="single" w:color="auto" w:sz="6" w:space="0"/>
            </w:tcBorders>
            <w:noWrap w:val="0"/>
            <w:vAlign w:val="center"/>
          </w:tcPr>
          <w:p w14:paraId="14B31B2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二、现场人员</w:t>
            </w:r>
          </w:p>
        </w:tc>
      </w:tr>
      <w:tr w14:paraId="189351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6333D5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项目经理</w:t>
            </w:r>
          </w:p>
        </w:tc>
        <w:tc>
          <w:tcPr>
            <w:tcW w:w="1183" w:type="dxa"/>
            <w:noWrap w:val="0"/>
            <w:vAlign w:val="center"/>
          </w:tcPr>
          <w:p w14:paraId="43DCB9E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52658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ACE373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46C0FA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58E3A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CA848E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项目副经理</w:t>
            </w:r>
          </w:p>
        </w:tc>
        <w:tc>
          <w:tcPr>
            <w:tcW w:w="1183" w:type="dxa"/>
            <w:noWrap w:val="0"/>
            <w:vAlign w:val="center"/>
          </w:tcPr>
          <w:p w14:paraId="50B993E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191381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BEFA4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418C3E1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A93C2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3131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技术负责人</w:t>
            </w:r>
          </w:p>
        </w:tc>
        <w:tc>
          <w:tcPr>
            <w:tcW w:w="1183" w:type="dxa"/>
            <w:noWrap w:val="0"/>
            <w:vAlign w:val="center"/>
          </w:tcPr>
          <w:p w14:paraId="4785F75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A26F5C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22434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1A9984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64561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5F2C61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造价管理</w:t>
            </w:r>
          </w:p>
        </w:tc>
        <w:tc>
          <w:tcPr>
            <w:tcW w:w="1183" w:type="dxa"/>
            <w:noWrap w:val="0"/>
            <w:vAlign w:val="center"/>
          </w:tcPr>
          <w:p w14:paraId="42E0AE9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4161504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464D86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02ED49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CE0FF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258A8C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质量管理</w:t>
            </w:r>
          </w:p>
        </w:tc>
        <w:tc>
          <w:tcPr>
            <w:tcW w:w="1183" w:type="dxa"/>
            <w:noWrap w:val="0"/>
            <w:vAlign w:val="center"/>
          </w:tcPr>
          <w:p w14:paraId="30C5D2A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ED3EFB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9858E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40747B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6E521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4C6E3A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材料管理</w:t>
            </w:r>
          </w:p>
        </w:tc>
        <w:tc>
          <w:tcPr>
            <w:tcW w:w="1183" w:type="dxa"/>
            <w:noWrap w:val="0"/>
            <w:vAlign w:val="center"/>
          </w:tcPr>
          <w:p w14:paraId="757284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E20C3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6F8192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3836454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00272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B3708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计划管理</w:t>
            </w:r>
          </w:p>
        </w:tc>
        <w:tc>
          <w:tcPr>
            <w:tcW w:w="1183" w:type="dxa"/>
            <w:noWrap w:val="0"/>
            <w:vAlign w:val="center"/>
          </w:tcPr>
          <w:p w14:paraId="1C4CC16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CD75F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C1013E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66918F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896F1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959A0B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安全管理</w:t>
            </w:r>
          </w:p>
        </w:tc>
        <w:tc>
          <w:tcPr>
            <w:tcW w:w="1183" w:type="dxa"/>
            <w:noWrap w:val="0"/>
            <w:vAlign w:val="center"/>
          </w:tcPr>
          <w:p w14:paraId="3C9363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1BF103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24B53F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676821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16B9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90C8D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其他人员</w:t>
            </w:r>
          </w:p>
        </w:tc>
        <w:tc>
          <w:tcPr>
            <w:tcW w:w="1183" w:type="dxa"/>
            <w:noWrap w:val="0"/>
            <w:vAlign w:val="center"/>
          </w:tcPr>
          <w:p w14:paraId="5093AC5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4F23D0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5EE31B9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5B18E86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07D81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F2FD7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tcBorders>
              <w:bottom w:val="nil"/>
            </w:tcBorders>
            <w:noWrap w:val="0"/>
            <w:vAlign w:val="center"/>
          </w:tcPr>
          <w:p w14:paraId="6DFEDC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nil"/>
            </w:tcBorders>
            <w:noWrap w:val="0"/>
            <w:vAlign w:val="center"/>
          </w:tcPr>
          <w:p w14:paraId="5B4CB88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nil"/>
            </w:tcBorders>
            <w:noWrap w:val="0"/>
            <w:vAlign w:val="center"/>
          </w:tcPr>
          <w:p w14:paraId="6CA9A87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tcBorders>
              <w:bottom w:val="nil"/>
            </w:tcBorders>
            <w:noWrap w:val="0"/>
            <w:vAlign w:val="center"/>
          </w:tcPr>
          <w:p w14:paraId="184DD3B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7B241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868BA3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noWrap w:val="0"/>
            <w:vAlign w:val="center"/>
          </w:tcPr>
          <w:p w14:paraId="38CEF83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3CFF0A5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099B6C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37971C5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F96FA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D1C9CB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noWrap w:val="0"/>
            <w:vAlign w:val="center"/>
          </w:tcPr>
          <w:p w14:paraId="55CD7E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0F0A7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11C4F32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31EFBBB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C37A7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8F2FB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noWrap w:val="0"/>
            <w:vAlign w:val="center"/>
          </w:tcPr>
          <w:p w14:paraId="740D194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7902D89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noWrap w:val="0"/>
            <w:vAlign w:val="center"/>
          </w:tcPr>
          <w:p w14:paraId="0B68A9E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noWrap w:val="0"/>
            <w:vAlign w:val="center"/>
          </w:tcPr>
          <w:p w14:paraId="6E01DB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ABC06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25C201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83" w:type="dxa"/>
            <w:tcBorders>
              <w:bottom w:val="single" w:color="auto" w:sz="12" w:space="0"/>
            </w:tcBorders>
            <w:noWrap w:val="0"/>
            <w:vAlign w:val="center"/>
          </w:tcPr>
          <w:p w14:paraId="2792179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single" w:color="auto" w:sz="12" w:space="0"/>
            </w:tcBorders>
            <w:noWrap w:val="0"/>
            <w:vAlign w:val="center"/>
          </w:tcPr>
          <w:p w14:paraId="16310D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34" w:type="dxa"/>
            <w:tcBorders>
              <w:bottom w:val="single" w:color="auto" w:sz="12" w:space="0"/>
            </w:tcBorders>
            <w:noWrap w:val="0"/>
            <w:vAlign w:val="center"/>
          </w:tcPr>
          <w:p w14:paraId="762CB8A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3728" w:type="dxa"/>
            <w:tcBorders>
              <w:bottom w:val="single" w:color="auto" w:sz="12" w:space="0"/>
            </w:tcBorders>
            <w:noWrap w:val="0"/>
            <w:vAlign w:val="center"/>
          </w:tcPr>
          <w:p w14:paraId="377174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bl>
    <w:p w14:paraId="5A4DE106">
      <w:pPr>
        <w:spacing w:line="440" w:lineRule="exact"/>
        <w:rPr>
          <w:rFonts w:hint="eastAsia" w:ascii="宋体" w:hAnsi="宋体" w:eastAsia="宋体"/>
          <w:b/>
          <w:bCs/>
          <w:i w:val="0"/>
          <w:iCs w:val="0"/>
          <w:color w:val="auto"/>
          <w:sz w:val="24"/>
          <w:highlight w:val="none"/>
        </w:rPr>
      </w:pPr>
      <w:r>
        <w:rPr>
          <w:rFonts w:ascii="Times New Roman" w:hAnsi="Times New Roman" w:eastAsia="仿宋_GB2312"/>
          <w:i w:val="0"/>
          <w:iCs w:val="0"/>
          <w:color w:val="auto"/>
          <w:sz w:val="30"/>
          <w:szCs w:val="30"/>
          <w:highlight w:val="none"/>
        </w:rPr>
        <w:br w:type="page"/>
      </w:r>
      <w:bookmarkStart w:id="1158" w:name="_Toc267261701"/>
      <w:r>
        <w:rPr>
          <w:rFonts w:hint="eastAsia" w:ascii="宋体" w:hAnsi="宋体" w:eastAsia="宋体"/>
          <w:b/>
          <w:bCs/>
          <w:i w:val="0"/>
          <w:iCs w:val="0"/>
          <w:color w:val="auto"/>
          <w:sz w:val="24"/>
          <w:highlight w:val="none"/>
        </w:rPr>
        <w:t>附</w:t>
      </w:r>
      <w:bookmarkStart w:id="1159" w:name="_Toc296891271"/>
      <w:bookmarkStart w:id="1160" w:name="_Toc296891059"/>
      <w:bookmarkStart w:id="1161" w:name="_Toc296503231"/>
      <w:bookmarkStart w:id="1162" w:name="_Toc296944570"/>
      <w:bookmarkStart w:id="1163" w:name="_Toc296347230"/>
      <w:bookmarkStart w:id="1164" w:name="_Toc296346732"/>
      <w:r>
        <w:rPr>
          <w:rFonts w:hint="eastAsia" w:ascii="宋体" w:hAnsi="宋体" w:eastAsia="宋体"/>
          <w:b/>
          <w:bCs/>
          <w:i w:val="0"/>
          <w:iCs w:val="0"/>
          <w:color w:val="auto"/>
          <w:sz w:val="24"/>
          <w:highlight w:val="none"/>
        </w:rPr>
        <w:t>件8：</w:t>
      </w:r>
    </w:p>
    <w:bookmarkEnd w:id="1158"/>
    <w:bookmarkEnd w:id="1159"/>
    <w:bookmarkEnd w:id="1160"/>
    <w:bookmarkEnd w:id="1161"/>
    <w:bookmarkEnd w:id="1162"/>
    <w:bookmarkEnd w:id="1163"/>
    <w:bookmarkEnd w:id="1164"/>
    <w:p w14:paraId="02350EAA">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履约担保</w:t>
      </w:r>
    </w:p>
    <w:p w14:paraId="100D6B20">
      <w:pPr>
        <w:spacing w:line="4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rPr>
        <w:t>（发包人名称）：</w:t>
      </w:r>
    </w:p>
    <w:p w14:paraId="6EB4B351">
      <w:pPr>
        <w:spacing w:line="440" w:lineRule="exact"/>
        <w:rPr>
          <w:rFonts w:hint="eastAsia" w:ascii="宋体" w:hAnsi="宋体" w:eastAsia="宋体" w:cs="宋体"/>
          <w:i w:val="0"/>
          <w:iCs w:val="0"/>
          <w:color w:val="auto"/>
          <w:sz w:val="24"/>
          <w:szCs w:val="24"/>
          <w:highlight w:val="none"/>
        </w:rPr>
      </w:pPr>
    </w:p>
    <w:p w14:paraId="65D434C8">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鉴于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（发包人名称，以下简称“发包人”）与</w:t>
      </w:r>
    </w:p>
    <w:p w14:paraId="561F85FD">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（承包人名称）（以下称“承包人”）于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日就</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（工程名称）施工及有关事项协商一致共同签订《建设工程施工合同》。我方愿意无条件地、不可撤销地就承包人履行与你方签订的合同，向你方提供连带责任担保。 </w:t>
      </w:r>
    </w:p>
    <w:p w14:paraId="65359280">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担保金额人民币（大写）</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元（¥</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0A0CADB2">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担保有效期自你方与承包人签订的合同生效之日起至你方签发或应签发工程接收证书之日止。</w:t>
      </w:r>
    </w:p>
    <w:p w14:paraId="197B1553">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在本担保有效期内，因承包人违反合同约定的义务给你方造成经济损失时，我方在收到你方以书面形式提出的在担保金额内的赔偿要求后，在7天内无条件支付。</w:t>
      </w:r>
    </w:p>
    <w:p w14:paraId="309B860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 你方和承包人按合同约定变更合同时，我方承担本担保规定的义务不变。</w:t>
      </w:r>
    </w:p>
    <w:p w14:paraId="5E285E8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 因本保函发生的纠纷，可由双方协商解决，协商不成的，任何一方均可提请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仲裁委员会仲裁。</w:t>
      </w:r>
    </w:p>
    <w:p w14:paraId="33012D83">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 本保函自我方法定代表人（或其授权代理人）签字并加盖公章之日起生效。</w:t>
      </w:r>
    </w:p>
    <w:p w14:paraId="44DA8C6B">
      <w:pPr>
        <w:spacing w:line="360" w:lineRule="auto"/>
        <w:rPr>
          <w:rFonts w:hint="eastAsia" w:ascii="宋体" w:hAnsi="宋体" w:eastAsia="宋体" w:cs="宋体"/>
          <w:i w:val="0"/>
          <w:iCs w:val="0"/>
          <w:color w:val="auto"/>
          <w:sz w:val="24"/>
          <w:szCs w:val="24"/>
          <w:highlight w:val="none"/>
        </w:rPr>
      </w:pPr>
    </w:p>
    <w:p w14:paraId="7CD84A08">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担 保 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38DEA618">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法定代表人或其委托代理人：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21B8FF80">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eastAsia="宋体" w:cs="宋体"/>
          <w:i w:val="0"/>
          <w:iCs w:val="0"/>
          <w:color w:val="auto"/>
          <w:sz w:val="24"/>
          <w:szCs w:val="24"/>
          <w:highlight w:val="none"/>
          <w:u w:val="single"/>
        </w:rPr>
        <w:t xml:space="preserve">                                      </w:t>
      </w:r>
    </w:p>
    <w:p w14:paraId="4E3D88C6">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邮政编码：</w:t>
      </w:r>
      <w:r>
        <w:rPr>
          <w:rFonts w:hint="eastAsia" w:ascii="宋体" w:hAnsi="宋体" w:eastAsia="宋体" w:cs="宋体"/>
          <w:i w:val="0"/>
          <w:iCs w:val="0"/>
          <w:color w:val="auto"/>
          <w:sz w:val="24"/>
          <w:szCs w:val="24"/>
          <w:highlight w:val="none"/>
          <w:u w:val="single"/>
        </w:rPr>
        <w:t xml:space="preserve">                                      </w:t>
      </w:r>
    </w:p>
    <w:p w14:paraId="0D54499D">
      <w:pPr>
        <w:spacing w:line="36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电    话：</w:t>
      </w:r>
      <w:r>
        <w:rPr>
          <w:rFonts w:hint="eastAsia" w:ascii="宋体" w:hAnsi="宋体" w:eastAsia="宋体" w:cs="宋体"/>
          <w:i w:val="0"/>
          <w:iCs w:val="0"/>
          <w:color w:val="auto"/>
          <w:sz w:val="24"/>
          <w:szCs w:val="24"/>
          <w:highlight w:val="none"/>
          <w:u w:val="single"/>
        </w:rPr>
        <w:t xml:space="preserve">                                      </w:t>
      </w:r>
    </w:p>
    <w:p w14:paraId="4317B422">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传    真：</w:t>
      </w:r>
      <w:r>
        <w:rPr>
          <w:rFonts w:hint="eastAsia" w:ascii="宋体" w:hAnsi="宋体" w:eastAsia="宋体" w:cs="宋体"/>
          <w:i w:val="0"/>
          <w:iCs w:val="0"/>
          <w:color w:val="auto"/>
          <w:sz w:val="24"/>
          <w:szCs w:val="24"/>
          <w:highlight w:val="none"/>
          <w:u w:val="single"/>
        </w:rPr>
        <w:t xml:space="preserve">                                      </w:t>
      </w:r>
    </w:p>
    <w:p w14:paraId="6D939AED">
      <w:pPr>
        <w:spacing w:line="360" w:lineRule="auto"/>
        <w:jc w:val="left"/>
        <w:rPr>
          <w:rFonts w:hint="eastAsia" w:ascii="宋体" w:hAnsi="宋体" w:eastAsia="宋体" w:cs="宋体"/>
          <w:i w:val="0"/>
          <w:iCs w:val="0"/>
          <w:color w:val="auto"/>
          <w:sz w:val="24"/>
          <w:szCs w:val="24"/>
          <w:highlight w:val="none"/>
          <w:u w:val="single"/>
        </w:rPr>
      </w:pPr>
    </w:p>
    <w:p w14:paraId="4B5EBFD9">
      <w:pPr>
        <w:spacing w:line="360" w:lineRule="auto"/>
        <w:ind w:left="1899" w:hanging="1519" w:hangingChars="63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0E2C3C8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b/>
          <w:bCs/>
          <w:i w:val="0"/>
          <w:iCs w:val="0"/>
          <w:color w:val="auto"/>
          <w:sz w:val="24"/>
          <w:highlight w:val="none"/>
        </w:rPr>
      </w:pPr>
      <w:r>
        <w:rPr>
          <w:rFonts w:hint="eastAsia" w:ascii="宋体" w:hAnsi="宋体" w:eastAsia="宋体"/>
          <w:b/>
          <w:bCs/>
          <w:i w:val="0"/>
          <w:iCs w:val="0"/>
          <w:color w:val="auto"/>
          <w:sz w:val="24"/>
          <w:highlight w:val="none"/>
        </w:rPr>
        <w:t>附</w:t>
      </w:r>
      <w:bookmarkStart w:id="1165" w:name="_Toc296503232"/>
      <w:bookmarkStart w:id="1166" w:name="_Toc267261702"/>
      <w:bookmarkStart w:id="1167" w:name="_Toc296891272"/>
      <w:bookmarkStart w:id="1168" w:name="_Toc296944571"/>
      <w:bookmarkStart w:id="1169" w:name="_Toc296891060"/>
      <w:bookmarkStart w:id="1170" w:name="_Toc296346733"/>
      <w:bookmarkStart w:id="1171" w:name="_Toc296347231"/>
      <w:r>
        <w:rPr>
          <w:rFonts w:hint="eastAsia" w:ascii="宋体" w:hAnsi="宋体" w:eastAsia="宋体"/>
          <w:b/>
          <w:bCs/>
          <w:i w:val="0"/>
          <w:iCs w:val="0"/>
          <w:color w:val="auto"/>
          <w:sz w:val="24"/>
          <w:highlight w:val="none"/>
        </w:rPr>
        <w:t>件9 ：</w:t>
      </w:r>
    </w:p>
    <w:bookmarkEnd w:id="1165"/>
    <w:bookmarkEnd w:id="1166"/>
    <w:bookmarkEnd w:id="1167"/>
    <w:bookmarkEnd w:id="1168"/>
    <w:bookmarkEnd w:id="1169"/>
    <w:bookmarkEnd w:id="1170"/>
    <w:bookmarkEnd w:id="1171"/>
    <w:p w14:paraId="11E8BC22">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预付款担保</w:t>
      </w:r>
    </w:p>
    <w:p w14:paraId="23B68784">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（发包人名称）：</w:t>
      </w:r>
    </w:p>
    <w:p w14:paraId="5E583CEF">
      <w:pPr>
        <w:spacing w:line="360" w:lineRule="auto"/>
        <w:rPr>
          <w:rFonts w:hint="eastAsia" w:ascii="宋体" w:hAnsi="宋体" w:eastAsia="宋体" w:cs="宋体"/>
          <w:i w:val="0"/>
          <w:iCs w:val="0"/>
          <w:color w:val="auto"/>
          <w:sz w:val="24"/>
          <w:szCs w:val="24"/>
          <w:highlight w:val="none"/>
        </w:rPr>
      </w:pPr>
    </w:p>
    <w:p w14:paraId="253754F1">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根据</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（承包人名称）（以下称“承包人”）与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（发包人名称）（以下简称“发包人”）于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日签订的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4DFB77E0">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担保金额人民币（大写）</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元（¥</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3C3F556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担保有效期自预付款支付给承包人起生效，至你方签发的进度款支付证书说明已完全扣清止。</w:t>
      </w:r>
    </w:p>
    <w:p w14:paraId="2986D4F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E193A85">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 你方和承包人按合同约定变更合同时，我方承担本保函规定的义务不变。</w:t>
      </w:r>
    </w:p>
    <w:p w14:paraId="2473891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 因本保函发生的纠纷，可由双方协商解决，协商不成的，任何一方均可提请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仲裁委员会仲裁。</w:t>
      </w:r>
    </w:p>
    <w:p w14:paraId="2188B9F6">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 本保函自我方法定代表人（或其授权代理人）签字并加盖公章之日起生效。</w:t>
      </w:r>
    </w:p>
    <w:p w14:paraId="5DEA9F2C">
      <w:pPr>
        <w:spacing w:line="360" w:lineRule="auto"/>
        <w:rPr>
          <w:rFonts w:hint="eastAsia" w:ascii="宋体" w:hAnsi="宋体" w:eastAsia="宋体" w:cs="宋体"/>
          <w:i w:val="0"/>
          <w:iCs w:val="0"/>
          <w:color w:val="auto"/>
          <w:sz w:val="24"/>
          <w:szCs w:val="24"/>
          <w:highlight w:val="none"/>
        </w:rPr>
      </w:pPr>
    </w:p>
    <w:p w14:paraId="6BACF101">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担保人：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22817A9A">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法定代表人或其委托代理人：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7BB7DBA8">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p>
    <w:p w14:paraId="44A1DD85">
      <w:pPr>
        <w:spacing w:line="36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邮政编码：</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p>
    <w:p w14:paraId="247A7B3C">
      <w:pPr>
        <w:spacing w:line="36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电    话：</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p>
    <w:p w14:paraId="192BF2C1">
      <w:pPr>
        <w:spacing w:line="36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传    真：</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rPr>
        <w:tab/>
      </w:r>
    </w:p>
    <w:p w14:paraId="431B868C">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6105C8A5">
      <w:pPr>
        <w:spacing w:line="440" w:lineRule="exact"/>
        <w:rPr>
          <w:rFonts w:hint="eastAsia" w:ascii="宋体" w:hAnsi="宋体" w:eastAsia="宋体"/>
          <w:b/>
          <w:bCs/>
          <w:i w:val="0"/>
          <w:iCs w:val="0"/>
          <w:color w:val="auto"/>
          <w:sz w:val="24"/>
          <w:highlight w:val="none"/>
        </w:rPr>
      </w:pPr>
      <w:r>
        <w:rPr>
          <w:rFonts w:ascii="Times New Roman" w:hAnsi="Times New Roman" w:eastAsia="仿宋_GB2312"/>
          <w:b/>
          <w:i w:val="0"/>
          <w:iCs w:val="0"/>
          <w:color w:val="auto"/>
          <w:sz w:val="30"/>
          <w:szCs w:val="30"/>
          <w:highlight w:val="none"/>
        </w:rPr>
        <w:br w:type="page"/>
      </w:r>
      <w:r>
        <w:rPr>
          <w:rFonts w:hint="eastAsia" w:ascii="宋体" w:hAnsi="宋体" w:eastAsia="宋体"/>
          <w:b/>
          <w:bCs/>
          <w:i w:val="0"/>
          <w:iCs w:val="0"/>
          <w:color w:val="auto"/>
          <w:sz w:val="24"/>
          <w:highlight w:val="none"/>
        </w:rPr>
        <w:t>附</w:t>
      </w:r>
      <w:bookmarkStart w:id="1172" w:name="_Toc296891061"/>
      <w:bookmarkStart w:id="1173" w:name="_Toc296346734"/>
      <w:bookmarkStart w:id="1174" w:name="_Toc296503233"/>
      <w:bookmarkStart w:id="1175" w:name="_Toc296347232"/>
      <w:bookmarkStart w:id="1176" w:name="_Toc296891273"/>
      <w:bookmarkStart w:id="1177" w:name="_Toc296944572"/>
      <w:r>
        <w:rPr>
          <w:rFonts w:hint="eastAsia" w:ascii="宋体" w:hAnsi="宋体" w:eastAsia="宋体"/>
          <w:b/>
          <w:bCs/>
          <w:i w:val="0"/>
          <w:iCs w:val="0"/>
          <w:color w:val="auto"/>
          <w:sz w:val="24"/>
          <w:highlight w:val="none"/>
        </w:rPr>
        <w:t xml:space="preserve">件10:  </w:t>
      </w:r>
    </w:p>
    <w:bookmarkEnd w:id="1172"/>
    <w:bookmarkEnd w:id="1173"/>
    <w:bookmarkEnd w:id="1174"/>
    <w:bookmarkEnd w:id="1175"/>
    <w:bookmarkEnd w:id="1176"/>
    <w:bookmarkEnd w:id="1177"/>
    <w:p w14:paraId="53619EB7">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支付担保</w:t>
      </w:r>
    </w:p>
    <w:p w14:paraId="3EC79177">
      <w:pPr>
        <w:spacing w:line="440" w:lineRule="exact"/>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（承包人）：</w:t>
      </w:r>
    </w:p>
    <w:p w14:paraId="6EBB6EC6">
      <w:pPr>
        <w:spacing w:line="440" w:lineRule="exact"/>
        <w:jc w:val="left"/>
        <w:rPr>
          <w:rFonts w:hint="eastAsia" w:ascii="宋体" w:hAnsi="宋体" w:eastAsia="宋体" w:cs="宋体"/>
          <w:i w:val="0"/>
          <w:iCs w:val="0"/>
          <w:color w:val="auto"/>
          <w:sz w:val="24"/>
          <w:szCs w:val="24"/>
          <w:highlight w:val="none"/>
        </w:rPr>
      </w:pPr>
    </w:p>
    <w:p w14:paraId="02DAE64B">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鉴于你方作为承包人已经与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（发包人名称）（以下称“发包人”）于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日签订了</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（工程名称）《建设工程施工合同》（以下称“主合同”），应发包人的申请，我方愿就发包人履行主合同约定的工程款支付义务以保证的方式向你方提供如下担保：</w:t>
      </w:r>
    </w:p>
    <w:p w14:paraId="7480518B">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78" w:name="_Toc30604"/>
      <w:r>
        <w:rPr>
          <w:rFonts w:hint="eastAsia" w:ascii="宋体" w:hAnsi="宋体" w:eastAsia="宋体" w:cs="宋体"/>
          <w:i w:val="0"/>
          <w:iCs w:val="0"/>
          <w:color w:val="auto"/>
          <w:sz w:val="24"/>
          <w:szCs w:val="24"/>
          <w:highlight w:val="none"/>
        </w:rPr>
        <w:t>一、保证的范围及保证金额</w:t>
      </w:r>
      <w:bookmarkEnd w:id="1178"/>
    </w:p>
    <w:p w14:paraId="423FAD8D">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我方的保证范围是主合同约定的工程款。</w:t>
      </w:r>
    </w:p>
    <w:p w14:paraId="62CE53D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本保函所称主合同约定的工程款是指主合同约定的除工程质量保证金以外的合同价款。</w:t>
      </w:r>
    </w:p>
    <w:p w14:paraId="2CF7394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我方保证的金额是主合同约定的工程款的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%，数额最高不超过人民币元（大写：</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0AB40E35">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79" w:name="_Toc5509"/>
      <w:r>
        <w:rPr>
          <w:rFonts w:hint="eastAsia" w:ascii="宋体" w:hAnsi="宋体" w:eastAsia="宋体" w:cs="宋体"/>
          <w:i w:val="0"/>
          <w:iCs w:val="0"/>
          <w:color w:val="auto"/>
          <w:sz w:val="24"/>
          <w:szCs w:val="24"/>
          <w:highlight w:val="none"/>
        </w:rPr>
        <w:t>二、保证的方式及保证期间</w:t>
      </w:r>
      <w:bookmarkEnd w:id="1179"/>
    </w:p>
    <w:p w14:paraId="6A7473DF">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我方保证的方式为：连带责任保证。</w:t>
      </w:r>
    </w:p>
    <w:p w14:paraId="53E5D7BC">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我方保证的期间为：自本合同生效之日起至主合同约定的工程款支付完毕之日后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日内。</w:t>
      </w:r>
    </w:p>
    <w:p w14:paraId="0A1DB465">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你方与发包人协议变更工程款支付日期的，经我方书面同意后，保证期间按照变更后的支付日期做相应调整。</w:t>
      </w:r>
    </w:p>
    <w:p w14:paraId="60EACA64">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0" w:name="_Toc11154"/>
      <w:r>
        <w:rPr>
          <w:rFonts w:hint="eastAsia" w:ascii="宋体" w:hAnsi="宋体" w:eastAsia="宋体" w:cs="宋体"/>
          <w:i w:val="0"/>
          <w:iCs w:val="0"/>
          <w:color w:val="auto"/>
          <w:sz w:val="24"/>
          <w:szCs w:val="24"/>
          <w:highlight w:val="none"/>
        </w:rPr>
        <w:t>三、承担保证责任的形式</w:t>
      </w:r>
      <w:bookmarkEnd w:id="1180"/>
    </w:p>
    <w:p w14:paraId="7450BBCC">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我方承担保证责任的形式是代为支付。发包人未按主合同约定向你方支付工程款的，由我方在保证金额内代为支付。</w:t>
      </w:r>
    </w:p>
    <w:p w14:paraId="17FEF585">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1" w:name="_Toc15728"/>
      <w:r>
        <w:rPr>
          <w:rFonts w:hint="eastAsia" w:ascii="宋体" w:hAnsi="宋体" w:eastAsia="宋体" w:cs="宋体"/>
          <w:i w:val="0"/>
          <w:iCs w:val="0"/>
          <w:color w:val="auto"/>
          <w:sz w:val="24"/>
          <w:szCs w:val="24"/>
          <w:highlight w:val="none"/>
        </w:rPr>
        <w:t>四、代偿的安排</w:t>
      </w:r>
      <w:bookmarkEnd w:id="1181"/>
    </w:p>
    <w:p w14:paraId="12FBCAC9">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你方要求我方承担保证责任的，应向我方发出书面索赔通知及发包人未支付主合同约定工程款的证明材料。索赔通知应写明要求索赔的金额，支付款项应到达的账号。</w:t>
      </w:r>
    </w:p>
    <w:p w14:paraId="05A71CD0">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4D32CC39">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我方收到你方的书面索赔通知及相应的证明材料后７天内无条件支付。</w:t>
      </w:r>
    </w:p>
    <w:p w14:paraId="532617E6">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2" w:name="_Toc24561"/>
      <w:r>
        <w:rPr>
          <w:rFonts w:hint="eastAsia" w:ascii="宋体" w:hAnsi="宋体" w:eastAsia="宋体" w:cs="宋体"/>
          <w:i w:val="0"/>
          <w:iCs w:val="0"/>
          <w:color w:val="auto"/>
          <w:sz w:val="24"/>
          <w:szCs w:val="24"/>
          <w:highlight w:val="none"/>
        </w:rPr>
        <w:t>五、保证责任的解除</w:t>
      </w:r>
      <w:bookmarkEnd w:id="1182"/>
    </w:p>
    <w:p w14:paraId="643285D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在本保函承诺的保证期间内，你方未书面向我方主张保证责任的，自保证期间届满次日起，我方保证责任解除。</w:t>
      </w:r>
    </w:p>
    <w:p w14:paraId="047DB318">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发包人按主合同约定履行了工程款的全部支付义务的，自本保函承诺的保证期间届满次日起，我方保证责任解除。</w:t>
      </w:r>
    </w:p>
    <w:p w14:paraId="00096A0E">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我方按照本保函向你方履行保证责任所支付金额达到本保函保证金额时，自我方向你方支付（支付款项从我方账户划出）之日起，保证责任即解除。</w:t>
      </w:r>
    </w:p>
    <w:p w14:paraId="299BC8FB">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 按照法律法规的规定或出现应解除我方保证责任的其他情形的，我方在本保函项下的保证责任亦解除。</w:t>
      </w:r>
    </w:p>
    <w:p w14:paraId="69572317">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 我方解除保证责任后，你方应自我方保证责任解除之日起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个工作日内，将本保函原件返还我方。</w:t>
      </w:r>
    </w:p>
    <w:p w14:paraId="6B4EE54D">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3" w:name="_Toc13199"/>
      <w:r>
        <w:rPr>
          <w:rFonts w:hint="eastAsia" w:ascii="宋体" w:hAnsi="宋体" w:eastAsia="宋体" w:cs="宋体"/>
          <w:i w:val="0"/>
          <w:iCs w:val="0"/>
          <w:color w:val="auto"/>
          <w:sz w:val="24"/>
          <w:szCs w:val="24"/>
          <w:highlight w:val="none"/>
        </w:rPr>
        <w:t>六、免责条款</w:t>
      </w:r>
      <w:bookmarkEnd w:id="1183"/>
    </w:p>
    <w:p w14:paraId="405540C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因你方违约致使发包人不能履行义务的，我方不承担保证责任。</w:t>
      </w:r>
    </w:p>
    <w:p w14:paraId="43828DA4">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依照法律法规的规定或你方与发包人的另行约定，免除发包人部分或全部义务的，我方亦免除其相应的保证责任。</w:t>
      </w:r>
    </w:p>
    <w:p w14:paraId="561540E2">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55CA07CA">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 因不可抗力造成发包人不能履行义务的，我方不承担保证责任。</w:t>
      </w:r>
    </w:p>
    <w:p w14:paraId="1EA9D576">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4" w:name="_Toc32000"/>
      <w:r>
        <w:rPr>
          <w:rFonts w:hint="eastAsia" w:ascii="宋体" w:hAnsi="宋体" w:eastAsia="宋体" w:cs="宋体"/>
          <w:i w:val="0"/>
          <w:iCs w:val="0"/>
          <w:color w:val="auto"/>
          <w:sz w:val="24"/>
          <w:szCs w:val="24"/>
          <w:highlight w:val="none"/>
        </w:rPr>
        <w:t>七、争议解决</w:t>
      </w:r>
      <w:bookmarkEnd w:id="1184"/>
    </w:p>
    <w:p w14:paraId="74194F62">
      <w:pPr>
        <w:spacing w:after="120"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因本保函或本保函相关事项发生的纠纷，可由双方协商解决，协商不成的，按下列第</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种方式解决：</w:t>
      </w:r>
    </w:p>
    <w:p w14:paraId="312D770C">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（1）向</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仲裁委员会申请仲裁；</w:t>
      </w:r>
    </w:p>
    <w:p w14:paraId="65D4E49C">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（2）向</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人民法院起诉。</w:t>
      </w:r>
    </w:p>
    <w:p w14:paraId="2371BAA8">
      <w:pPr>
        <w:spacing w:line="360" w:lineRule="auto"/>
        <w:ind w:firstLine="480" w:firstLineChars="200"/>
        <w:jc w:val="left"/>
        <w:outlineLvl w:val="0"/>
        <w:rPr>
          <w:rFonts w:hint="eastAsia" w:ascii="宋体" w:hAnsi="宋体" w:eastAsia="宋体" w:cs="宋体"/>
          <w:i w:val="0"/>
          <w:iCs w:val="0"/>
          <w:color w:val="auto"/>
          <w:sz w:val="24"/>
          <w:szCs w:val="24"/>
          <w:highlight w:val="none"/>
        </w:rPr>
      </w:pPr>
      <w:bookmarkStart w:id="1185" w:name="_Toc12990"/>
      <w:r>
        <w:rPr>
          <w:rFonts w:hint="eastAsia" w:ascii="宋体" w:hAnsi="宋体" w:eastAsia="宋体" w:cs="宋体"/>
          <w:i w:val="0"/>
          <w:iCs w:val="0"/>
          <w:color w:val="auto"/>
          <w:sz w:val="24"/>
          <w:szCs w:val="24"/>
          <w:highlight w:val="none"/>
        </w:rPr>
        <w:t>八、保函的生效</w:t>
      </w:r>
      <w:bookmarkEnd w:id="1185"/>
    </w:p>
    <w:p w14:paraId="47CAD001">
      <w:pPr>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本保函自我方法定代表人（或其授权代理人）签字并加盖公章之日起生效。</w:t>
      </w:r>
    </w:p>
    <w:p w14:paraId="36BF6053">
      <w:pPr>
        <w:spacing w:line="360" w:lineRule="auto"/>
        <w:ind w:firstLine="480" w:firstLineChars="200"/>
        <w:jc w:val="left"/>
        <w:rPr>
          <w:rFonts w:hint="eastAsia" w:ascii="宋体" w:hAnsi="宋体" w:eastAsia="宋体" w:cs="宋体"/>
          <w:i w:val="0"/>
          <w:iCs w:val="0"/>
          <w:color w:val="auto"/>
          <w:sz w:val="24"/>
          <w:szCs w:val="24"/>
          <w:highlight w:val="none"/>
        </w:rPr>
      </w:pPr>
    </w:p>
    <w:p w14:paraId="2FB7598F">
      <w:pPr>
        <w:spacing w:line="360" w:lineRule="auto"/>
        <w:ind w:right="600"/>
        <w:jc w:val="left"/>
        <w:rPr>
          <w:rFonts w:hint="eastAsia" w:ascii="宋体" w:hAnsi="宋体" w:eastAsia="宋体" w:cs="宋体"/>
          <w:i w:val="0"/>
          <w:iCs w:val="0"/>
          <w:color w:val="auto"/>
          <w:sz w:val="24"/>
          <w:szCs w:val="24"/>
          <w:highlight w:val="none"/>
        </w:rPr>
      </w:pPr>
    </w:p>
    <w:p w14:paraId="145DD85F">
      <w:pPr>
        <w:spacing w:line="360" w:lineRule="auto"/>
        <w:ind w:right="6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担保人：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（盖章）</w:t>
      </w:r>
    </w:p>
    <w:p w14:paraId="7F13D1B0">
      <w:pPr>
        <w:spacing w:line="360" w:lineRule="auto"/>
        <w:ind w:right="1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23A27E52">
      <w:pPr>
        <w:spacing w:line="360" w:lineRule="auto"/>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eastAsia="宋体" w:cs="宋体"/>
          <w:i w:val="0"/>
          <w:iCs w:val="0"/>
          <w:color w:val="auto"/>
          <w:sz w:val="24"/>
          <w:szCs w:val="24"/>
          <w:highlight w:val="none"/>
          <w:u w:val="single"/>
        </w:rPr>
        <w:t xml:space="preserve">                                        </w:t>
      </w:r>
    </w:p>
    <w:p w14:paraId="0459AE5C">
      <w:pPr>
        <w:spacing w:line="360" w:lineRule="auto"/>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邮政编码：</w:t>
      </w:r>
      <w:r>
        <w:rPr>
          <w:rFonts w:hint="eastAsia" w:ascii="宋体" w:hAnsi="宋体" w:eastAsia="宋体" w:cs="宋体"/>
          <w:i w:val="0"/>
          <w:iCs w:val="0"/>
          <w:color w:val="auto"/>
          <w:sz w:val="24"/>
          <w:szCs w:val="24"/>
          <w:highlight w:val="none"/>
          <w:u w:val="single"/>
        </w:rPr>
        <w:t xml:space="preserve">                                        </w:t>
      </w:r>
    </w:p>
    <w:p w14:paraId="031FFB3F">
      <w:pPr>
        <w:spacing w:line="360" w:lineRule="auto"/>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传    真：</w:t>
      </w:r>
      <w:r>
        <w:rPr>
          <w:rFonts w:hint="eastAsia" w:ascii="宋体" w:hAnsi="宋体" w:eastAsia="宋体" w:cs="宋体"/>
          <w:i w:val="0"/>
          <w:iCs w:val="0"/>
          <w:color w:val="auto"/>
          <w:sz w:val="24"/>
          <w:szCs w:val="24"/>
          <w:highlight w:val="none"/>
          <w:u w:val="single"/>
        </w:rPr>
        <w:t xml:space="preserve">                                        </w:t>
      </w:r>
    </w:p>
    <w:p w14:paraId="1042EF92">
      <w:pPr>
        <w:spacing w:line="360" w:lineRule="auto"/>
        <w:ind w:right="150" w:firstLine="480" w:firstLineChars="200"/>
        <w:jc w:val="left"/>
        <w:rPr>
          <w:rFonts w:hint="eastAsia" w:ascii="宋体" w:hAnsi="宋体" w:eastAsia="宋体" w:cs="宋体"/>
          <w:i w:val="0"/>
          <w:iCs w:val="0"/>
          <w:color w:val="auto"/>
          <w:sz w:val="24"/>
          <w:szCs w:val="24"/>
          <w:highlight w:val="none"/>
          <w:u w:val="single"/>
        </w:rPr>
      </w:pPr>
    </w:p>
    <w:p w14:paraId="3B0B425A">
      <w:pPr>
        <w:spacing w:line="360" w:lineRule="auto"/>
        <w:ind w:right="150"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081F3369">
      <w:pPr>
        <w:spacing w:line="440" w:lineRule="exact"/>
        <w:rPr>
          <w:rFonts w:hint="eastAsia" w:ascii="宋体" w:hAnsi="宋体" w:eastAsia="宋体"/>
          <w:b/>
          <w:bCs/>
          <w:i w:val="0"/>
          <w:iCs w:val="0"/>
          <w:color w:val="auto"/>
          <w:sz w:val="24"/>
          <w:highlight w:val="none"/>
        </w:rPr>
      </w:pPr>
      <w:r>
        <w:rPr>
          <w:rFonts w:ascii="Times New Roman" w:hAnsi="Times New Roman" w:eastAsia="仿宋_GB2312"/>
          <w:i w:val="0"/>
          <w:iCs w:val="0"/>
          <w:color w:val="auto"/>
          <w:sz w:val="30"/>
          <w:szCs w:val="30"/>
          <w:highlight w:val="none"/>
        </w:rPr>
        <w:br w:type="page"/>
      </w:r>
      <w:r>
        <w:rPr>
          <w:rFonts w:hint="eastAsia" w:ascii="宋体" w:hAnsi="宋体" w:eastAsia="宋体"/>
          <w:b/>
          <w:bCs/>
          <w:i w:val="0"/>
          <w:iCs w:val="0"/>
          <w:color w:val="auto"/>
          <w:sz w:val="24"/>
          <w:highlight w:val="none"/>
        </w:rPr>
        <w:t>附件11：</w:t>
      </w:r>
    </w:p>
    <w:p w14:paraId="5270E47C">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11-1：材料暂估价表</w:t>
      </w:r>
    </w:p>
    <w:tbl>
      <w:tblPr>
        <w:tblStyle w:val="27"/>
        <w:tblW w:w="8670"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298"/>
      </w:tblGrid>
      <w:tr w14:paraId="065285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23943A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序号</w:t>
            </w:r>
          </w:p>
        </w:tc>
        <w:tc>
          <w:tcPr>
            <w:tcW w:w="1984" w:type="dxa"/>
            <w:tcBorders>
              <w:top w:val="single" w:color="auto" w:sz="12" w:space="0"/>
              <w:bottom w:val="double" w:color="auto" w:sz="6" w:space="0"/>
            </w:tcBorders>
            <w:noWrap w:val="0"/>
            <w:vAlign w:val="top"/>
          </w:tcPr>
          <w:p w14:paraId="20F747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名称</w:t>
            </w:r>
          </w:p>
        </w:tc>
        <w:tc>
          <w:tcPr>
            <w:tcW w:w="851" w:type="dxa"/>
            <w:tcBorders>
              <w:top w:val="single" w:color="auto" w:sz="12" w:space="0"/>
              <w:bottom w:val="double" w:color="auto" w:sz="6" w:space="0"/>
            </w:tcBorders>
            <w:noWrap w:val="0"/>
            <w:vAlign w:val="top"/>
          </w:tcPr>
          <w:p w14:paraId="1898406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单位</w:t>
            </w:r>
          </w:p>
        </w:tc>
        <w:tc>
          <w:tcPr>
            <w:tcW w:w="774" w:type="dxa"/>
            <w:tcBorders>
              <w:top w:val="single" w:color="auto" w:sz="12" w:space="0"/>
              <w:bottom w:val="double" w:color="auto" w:sz="6" w:space="0"/>
            </w:tcBorders>
            <w:noWrap w:val="0"/>
            <w:vAlign w:val="top"/>
          </w:tcPr>
          <w:p w14:paraId="09E58A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数量</w:t>
            </w:r>
          </w:p>
        </w:tc>
        <w:tc>
          <w:tcPr>
            <w:tcW w:w="1352" w:type="dxa"/>
            <w:tcBorders>
              <w:top w:val="single" w:color="auto" w:sz="12" w:space="0"/>
              <w:bottom w:val="double" w:color="auto" w:sz="6" w:space="0"/>
            </w:tcBorders>
            <w:noWrap w:val="0"/>
            <w:vAlign w:val="top"/>
          </w:tcPr>
          <w:p w14:paraId="6DF491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单价（元）</w:t>
            </w:r>
          </w:p>
        </w:tc>
        <w:tc>
          <w:tcPr>
            <w:tcW w:w="1418" w:type="dxa"/>
            <w:tcBorders>
              <w:top w:val="single" w:color="auto" w:sz="12" w:space="0"/>
              <w:bottom w:val="double" w:color="auto" w:sz="6" w:space="0"/>
            </w:tcBorders>
            <w:noWrap w:val="0"/>
            <w:vAlign w:val="top"/>
          </w:tcPr>
          <w:p w14:paraId="5475C10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合价（元）</w:t>
            </w:r>
          </w:p>
        </w:tc>
        <w:tc>
          <w:tcPr>
            <w:tcW w:w="1298" w:type="dxa"/>
            <w:tcBorders>
              <w:top w:val="single" w:color="auto" w:sz="12" w:space="0"/>
              <w:bottom w:val="double" w:color="auto" w:sz="6" w:space="0"/>
            </w:tcBorders>
            <w:noWrap w:val="0"/>
            <w:vAlign w:val="top"/>
          </w:tcPr>
          <w:p w14:paraId="787828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备注</w:t>
            </w:r>
          </w:p>
        </w:tc>
      </w:tr>
      <w:tr w14:paraId="6F0226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6FF7442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double" w:color="auto" w:sz="6" w:space="0"/>
              <w:bottom w:val="single" w:color="auto" w:sz="6" w:space="0"/>
            </w:tcBorders>
            <w:noWrap w:val="0"/>
            <w:vAlign w:val="top"/>
          </w:tcPr>
          <w:p w14:paraId="4BE9ABC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double" w:color="auto" w:sz="6" w:space="0"/>
              <w:bottom w:val="single" w:color="auto" w:sz="6" w:space="0"/>
            </w:tcBorders>
            <w:noWrap w:val="0"/>
            <w:vAlign w:val="top"/>
          </w:tcPr>
          <w:p w14:paraId="20803B5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tcBorders>
              <w:top w:val="double" w:color="auto" w:sz="6" w:space="0"/>
              <w:bottom w:val="single" w:color="auto" w:sz="6" w:space="0"/>
            </w:tcBorders>
            <w:noWrap w:val="0"/>
            <w:vAlign w:val="top"/>
          </w:tcPr>
          <w:p w14:paraId="3A6114C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tcBorders>
              <w:top w:val="double" w:color="auto" w:sz="6" w:space="0"/>
              <w:bottom w:val="single" w:color="auto" w:sz="6" w:space="0"/>
            </w:tcBorders>
            <w:noWrap w:val="0"/>
            <w:vAlign w:val="top"/>
          </w:tcPr>
          <w:p w14:paraId="68C5F6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double" w:color="auto" w:sz="6" w:space="0"/>
              <w:bottom w:val="single" w:color="auto" w:sz="6" w:space="0"/>
            </w:tcBorders>
            <w:noWrap w:val="0"/>
            <w:vAlign w:val="top"/>
          </w:tcPr>
          <w:p w14:paraId="28D1B62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tcBorders>
              <w:top w:val="double" w:color="auto" w:sz="6" w:space="0"/>
              <w:bottom w:val="single" w:color="auto" w:sz="6" w:space="0"/>
            </w:tcBorders>
            <w:noWrap w:val="0"/>
            <w:vAlign w:val="top"/>
          </w:tcPr>
          <w:p w14:paraId="27D9C17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1C0F7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741BB80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nil"/>
            </w:tcBorders>
            <w:noWrap w:val="0"/>
            <w:vAlign w:val="top"/>
          </w:tcPr>
          <w:p w14:paraId="38B5F23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top"/>
          </w:tcPr>
          <w:p w14:paraId="2288347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tcBorders>
              <w:top w:val="nil"/>
            </w:tcBorders>
            <w:noWrap w:val="0"/>
            <w:vAlign w:val="top"/>
          </w:tcPr>
          <w:p w14:paraId="20C58D9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tcBorders>
              <w:top w:val="nil"/>
            </w:tcBorders>
            <w:noWrap w:val="0"/>
            <w:vAlign w:val="top"/>
          </w:tcPr>
          <w:p w14:paraId="5B9B931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nil"/>
            </w:tcBorders>
            <w:noWrap w:val="0"/>
            <w:vAlign w:val="top"/>
          </w:tcPr>
          <w:p w14:paraId="394852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tcBorders>
              <w:top w:val="nil"/>
            </w:tcBorders>
            <w:noWrap w:val="0"/>
            <w:vAlign w:val="top"/>
          </w:tcPr>
          <w:p w14:paraId="061FA09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C1A8C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C6C13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B6D31C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5482D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873FC7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00B9F30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96B1F7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61BFFFE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7DDAE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5B77E5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E994F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14B56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5E389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0DCE2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A0978A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0CD02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28B7A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56D1D9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413FAE8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1A6146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1C837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6D494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2B8F467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1BB2E0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371D7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C28E34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462A0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9090B9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7FF310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9D563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3DC67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65925A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9D665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1E7FA7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DB1F5F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9319E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63B1E1B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4215073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6FCBF74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2AB4AB5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06768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BE1A9A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B0401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33C32D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7220796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1CD84C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1C0725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2001D76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84C7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FE1653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3A12DF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6FD69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97FAAD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1B43C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9382D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53A171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4E0F5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CC8F5A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3A188D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7D9294D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000DA5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69CB34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5C45F3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C94E5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98FC5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7E8D0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1003AE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7DBBEA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B2E0DB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316D58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12E57FF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1CC4880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8DBEF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8CEA01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2BE5F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247A7B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64EAF1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8B8FAB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D4077A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0F2A804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E8E82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0FC38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189A0F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88F5E0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7C9ED14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9D5FA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8C177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676D4E0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F23C6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08B81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4BAF0BB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7AF9DF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13956A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6310097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F85FFE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149F6F5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ACBD8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DCEB3F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6BAE6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34B2F3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058C8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CB344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553757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0167E4B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C3768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2F0A18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BBE90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5DC2B5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3F4537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5564A7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74DC2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B5BF4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5B286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184EC5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29C484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67902F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47D8F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C8761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F0E6B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8954E3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63B93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E4FD6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12EE01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153EFF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5322466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669F74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586C85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5BDCA13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B2D1A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D9962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2F466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5DEE84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ED5DC7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38CC35E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4B6BB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5FCEC34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44A88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40A687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8758A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3A78CE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9A6553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434D96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1EF603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24CC55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1EF88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B691C6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E7D8DC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D3E5E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2F59A0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3A13EF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0DF876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174AAAB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516F7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77EB84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C12159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4D2D75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6B1BCAF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042FF9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30A6BC5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6943E4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81BC9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0F76F3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69CE43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ECE5B2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56910F1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01C49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7D22C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E60228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B8AAF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6125F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C0CC78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1D993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B6C09E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052F29F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34458E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54285F8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8785B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DBAA8E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85F349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DA892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44BFB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6164A8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2792F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98" w:type="dxa"/>
            <w:noWrap w:val="0"/>
            <w:vAlign w:val="top"/>
          </w:tcPr>
          <w:p w14:paraId="3B20A6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bl>
    <w:p w14:paraId="3A4F9599">
      <w:pPr>
        <w:spacing w:before="156" w:beforeLines="50" w:after="156" w:afterLines="50" w:line="440" w:lineRule="exact"/>
        <w:rPr>
          <w:rFonts w:hint="eastAsia" w:ascii="Times New Roman" w:hAnsi="Times New Roman" w:eastAsia="黑体"/>
          <w:i w:val="0"/>
          <w:iCs w:val="0"/>
          <w:color w:val="auto"/>
          <w:sz w:val="30"/>
          <w:szCs w:val="30"/>
          <w:highlight w:val="none"/>
        </w:rPr>
      </w:pPr>
    </w:p>
    <w:p w14:paraId="4F4051A3">
      <w:pPr>
        <w:adjustRightInd/>
        <w:spacing w:before="120" w:beforeLines="50" w:after="120" w:afterLines="50" w:line="288" w:lineRule="auto"/>
        <w:jc w:val="center"/>
        <w:rPr>
          <w:rFonts w:ascii="宋体" w:hAnsi="宋体" w:eastAsia="宋体"/>
          <w:b/>
          <w:bCs/>
          <w:i w:val="0"/>
          <w:iCs w:val="0"/>
          <w:snapToGrid w:val="0"/>
          <w:color w:val="auto"/>
          <w:kern w:val="0"/>
          <w:szCs w:val="21"/>
          <w:highlight w:val="none"/>
        </w:rPr>
      </w:pPr>
      <w:r>
        <w:rPr>
          <w:rFonts w:ascii="宋体" w:hAnsi="宋体" w:eastAsia="宋体"/>
          <w:b/>
          <w:bCs/>
          <w:i w:val="0"/>
          <w:iCs w:val="0"/>
          <w:snapToGrid w:val="0"/>
          <w:color w:val="auto"/>
          <w:kern w:val="0"/>
          <w:szCs w:val="21"/>
          <w:highlight w:val="none"/>
        </w:rPr>
        <w:t>11-2：工程设备暂估价表</w:t>
      </w:r>
    </w:p>
    <w:tbl>
      <w:tblPr>
        <w:tblStyle w:val="27"/>
        <w:tblW w:w="8550"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178"/>
      </w:tblGrid>
      <w:tr w14:paraId="023761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1D7834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序号</w:t>
            </w:r>
          </w:p>
        </w:tc>
        <w:tc>
          <w:tcPr>
            <w:tcW w:w="1984" w:type="dxa"/>
            <w:tcBorders>
              <w:top w:val="single" w:color="auto" w:sz="12" w:space="0"/>
              <w:bottom w:val="double" w:color="auto" w:sz="6" w:space="0"/>
            </w:tcBorders>
            <w:noWrap w:val="0"/>
            <w:vAlign w:val="top"/>
          </w:tcPr>
          <w:p w14:paraId="4C0EBE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名称</w:t>
            </w:r>
          </w:p>
        </w:tc>
        <w:tc>
          <w:tcPr>
            <w:tcW w:w="851" w:type="dxa"/>
            <w:tcBorders>
              <w:top w:val="single" w:color="auto" w:sz="12" w:space="0"/>
              <w:bottom w:val="double" w:color="auto" w:sz="6" w:space="0"/>
            </w:tcBorders>
            <w:noWrap w:val="0"/>
            <w:vAlign w:val="top"/>
          </w:tcPr>
          <w:p w14:paraId="4598D3B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单位</w:t>
            </w:r>
          </w:p>
        </w:tc>
        <w:tc>
          <w:tcPr>
            <w:tcW w:w="774" w:type="dxa"/>
            <w:tcBorders>
              <w:top w:val="single" w:color="auto" w:sz="12" w:space="0"/>
              <w:bottom w:val="double" w:color="auto" w:sz="6" w:space="0"/>
            </w:tcBorders>
            <w:noWrap w:val="0"/>
            <w:vAlign w:val="top"/>
          </w:tcPr>
          <w:p w14:paraId="2E02524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数量</w:t>
            </w:r>
          </w:p>
        </w:tc>
        <w:tc>
          <w:tcPr>
            <w:tcW w:w="1352" w:type="dxa"/>
            <w:tcBorders>
              <w:top w:val="single" w:color="auto" w:sz="12" w:space="0"/>
              <w:bottom w:val="double" w:color="auto" w:sz="6" w:space="0"/>
            </w:tcBorders>
            <w:noWrap w:val="0"/>
            <w:vAlign w:val="top"/>
          </w:tcPr>
          <w:p w14:paraId="51DBDC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单价（元）</w:t>
            </w:r>
          </w:p>
        </w:tc>
        <w:tc>
          <w:tcPr>
            <w:tcW w:w="1418" w:type="dxa"/>
            <w:tcBorders>
              <w:top w:val="single" w:color="auto" w:sz="12" w:space="0"/>
              <w:bottom w:val="double" w:color="auto" w:sz="6" w:space="0"/>
            </w:tcBorders>
            <w:noWrap w:val="0"/>
            <w:vAlign w:val="top"/>
          </w:tcPr>
          <w:p w14:paraId="349E55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合价（元）</w:t>
            </w:r>
          </w:p>
        </w:tc>
        <w:tc>
          <w:tcPr>
            <w:tcW w:w="1178" w:type="dxa"/>
            <w:tcBorders>
              <w:top w:val="single" w:color="auto" w:sz="12" w:space="0"/>
              <w:bottom w:val="double" w:color="auto" w:sz="6" w:space="0"/>
            </w:tcBorders>
            <w:noWrap w:val="0"/>
            <w:vAlign w:val="top"/>
          </w:tcPr>
          <w:p w14:paraId="176B33C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备注</w:t>
            </w:r>
          </w:p>
        </w:tc>
      </w:tr>
      <w:tr w14:paraId="1D1934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5ABD28F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double" w:color="auto" w:sz="6" w:space="0"/>
              <w:bottom w:val="single" w:color="auto" w:sz="6" w:space="0"/>
            </w:tcBorders>
            <w:noWrap w:val="0"/>
            <w:vAlign w:val="top"/>
          </w:tcPr>
          <w:p w14:paraId="4F904E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double" w:color="auto" w:sz="6" w:space="0"/>
              <w:bottom w:val="single" w:color="auto" w:sz="6" w:space="0"/>
            </w:tcBorders>
            <w:noWrap w:val="0"/>
            <w:vAlign w:val="top"/>
          </w:tcPr>
          <w:p w14:paraId="2BE556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tcBorders>
              <w:top w:val="double" w:color="auto" w:sz="6" w:space="0"/>
              <w:bottom w:val="single" w:color="auto" w:sz="6" w:space="0"/>
            </w:tcBorders>
            <w:noWrap w:val="0"/>
            <w:vAlign w:val="top"/>
          </w:tcPr>
          <w:p w14:paraId="02B5D7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tcBorders>
              <w:top w:val="double" w:color="auto" w:sz="6" w:space="0"/>
              <w:bottom w:val="single" w:color="auto" w:sz="6" w:space="0"/>
            </w:tcBorders>
            <w:noWrap w:val="0"/>
            <w:vAlign w:val="top"/>
          </w:tcPr>
          <w:p w14:paraId="0CC94C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double" w:color="auto" w:sz="6" w:space="0"/>
              <w:bottom w:val="single" w:color="auto" w:sz="6" w:space="0"/>
            </w:tcBorders>
            <w:noWrap w:val="0"/>
            <w:vAlign w:val="top"/>
          </w:tcPr>
          <w:p w14:paraId="1857DDA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tcBorders>
              <w:top w:val="double" w:color="auto" w:sz="6" w:space="0"/>
              <w:bottom w:val="single" w:color="auto" w:sz="6" w:space="0"/>
            </w:tcBorders>
            <w:noWrap w:val="0"/>
            <w:vAlign w:val="top"/>
          </w:tcPr>
          <w:p w14:paraId="581688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5A00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1E21D08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nil"/>
            </w:tcBorders>
            <w:noWrap w:val="0"/>
            <w:vAlign w:val="top"/>
          </w:tcPr>
          <w:p w14:paraId="4880FAA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tcBorders>
              <w:top w:val="nil"/>
            </w:tcBorders>
            <w:noWrap w:val="0"/>
            <w:vAlign w:val="top"/>
          </w:tcPr>
          <w:p w14:paraId="6424BD2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tcBorders>
              <w:top w:val="nil"/>
            </w:tcBorders>
            <w:noWrap w:val="0"/>
            <w:vAlign w:val="top"/>
          </w:tcPr>
          <w:p w14:paraId="1D30F4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tcBorders>
              <w:top w:val="nil"/>
            </w:tcBorders>
            <w:noWrap w:val="0"/>
            <w:vAlign w:val="top"/>
          </w:tcPr>
          <w:p w14:paraId="61A747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tcBorders>
              <w:top w:val="nil"/>
            </w:tcBorders>
            <w:noWrap w:val="0"/>
            <w:vAlign w:val="top"/>
          </w:tcPr>
          <w:p w14:paraId="02E82A1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tcBorders>
              <w:top w:val="nil"/>
            </w:tcBorders>
            <w:noWrap w:val="0"/>
            <w:vAlign w:val="top"/>
          </w:tcPr>
          <w:p w14:paraId="38FA598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9F255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FAC147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2A78D2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3CD705D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63D627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238E31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D1D9AD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14E578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5F6D1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956F2D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921847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0B5CC1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5989193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15A305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385A48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72CBD0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D3857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17CC69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B4B9C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E2FD6F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BF9377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0BE77C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6BF09B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2C4865C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38E14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D31DF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2B3051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34B54D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4C65F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9C3C4B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A4811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6A193FA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16D7C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7697D6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8CA353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BE981E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6CEFE3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1E27FE8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6690CE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503396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60D68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D511B1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591C8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FFEA4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181482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439C17A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3CD0095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3181680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4DEA3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67752B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61F3F4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1FC763E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998B86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45E061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248AE2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0AEC976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799F7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D348A9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29A66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1A26A01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7FCAFAF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546333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7F9040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33A3E54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923CE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4A629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6B9A16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5AD17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C11AB4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5705F2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295E9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27F79D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702B9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25A974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F1B1B5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361113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17D05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16F820B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298096E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75A4DD0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AD5C1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A749A5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4663915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4ED1A4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F530C8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46869F8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5F2F0B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04D163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75470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567A46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1F20D6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4A4ED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9BC74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69FBA34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561DD93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113C36F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4F4E1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92577A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257B1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48CF379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1ABEFE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12638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2CE116E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5DB3975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B2127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411944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126F87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705BF39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7DB8BB6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27D6F0D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A09FE9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223C871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04860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F717BC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3CC198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3F6B182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087D5E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DF8D1A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2AD720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3746AD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157D1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76A46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330BC2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5C120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CE0DB8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64F77E0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67ECA73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6D4D4EE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CB30B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BF8DB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3DC131E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1C52254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F27DDE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301AA64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18B234B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151081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2359C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EE247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21D8C7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291727E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353B007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410A3B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2E5658F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5F1E7F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FD3EC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4A7EB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AD6DDF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0446B2C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642B5A8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1BCAC94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7C56605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71BC06C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8DEA8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C1B401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8AAEB4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77DD669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4185BBB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2CCBB7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33C540C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4F20048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AAF18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70DE4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8BDF2F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559603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228C6A6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0F31320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092247E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0222059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AC6B9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BA9C6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2563BD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7C3A31D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1B29FA6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57498A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6A6510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1BB1941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178C1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4D7AB7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8B13C6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851" w:type="dxa"/>
            <w:noWrap w:val="0"/>
            <w:vAlign w:val="top"/>
          </w:tcPr>
          <w:p w14:paraId="6DE4113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774" w:type="dxa"/>
            <w:noWrap w:val="0"/>
            <w:vAlign w:val="top"/>
          </w:tcPr>
          <w:p w14:paraId="0F7DF55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352" w:type="dxa"/>
            <w:noWrap w:val="0"/>
            <w:vAlign w:val="top"/>
          </w:tcPr>
          <w:p w14:paraId="7E29C2F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418" w:type="dxa"/>
            <w:noWrap w:val="0"/>
            <w:vAlign w:val="top"/>
          </w:tcPr>
          <w:p w14:paraId="4889B69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178" w:type="dxa"/>
            <w:noWrap w:val="0"/>
            <w:vAlign w:val="top"/>
          </w:tcPr>
          <w:p w14:paraId="5170CA3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bl>
    <w:p w14:paraId="52EBE46D">
      <w:pPr>
        <w:spacing w:line="440" w:lineRule="exact"/>
        <w:rPr>
          <w:rFonts w:ascii="Times New Roman" w:hAnsi="Times New Roman" w:eastAsia="仿宋_GB2312"/>
          <w:i w:val="0"/>
          <w:iCs w:val="0"/>
          <w:color w:val="auto"/>
          <w:sz w:val="30"/>
          <w:szCs w:val="30"/>
          <w:highlight w:val="none"/>
        </w:rPr>
      </w:pPr>
    </w:p>
    <w:p w14:paraId="164D82C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ascii="宋体" w:hAnsi="宋体" w:eastAsia="宋体"/>
          <w:b/>
          <w:bCs/>
          <w:i w:val="0"/>
          <w:iCs w:val="0"/>
          <w:snapToGrid w:val="0"/>
          <w:color w:val="auto"/>
          <w:kern w:val="0"/>
          <w:szCs w:val="21"/>
          <w:highlight w:val="none"/>
        </w:rPr>
      </w:pPr>
      <w:r>
        <w:rPr>
          <w:rFonts w:ascii="Times New Roman" w:hAnsi="Times New Roman" w:eastAsia="仿宋_GB2312"/>
          <w:i w:val="0"/>
          <w:iCs w:val="0"/>
          <w:color w:val="auto"/>
          <w:sz w:val="30"/>
          <w:szCs w:val="30"/>
          <w:highlight w:val="none"/>
        </w:rPr>
        <w:br w:type="page"/>
      </w:r>
      <w:r>
        <w:rPr>
          <w:rFonts w:ascii="宋体" w:hAnsi="宋体" w:eastAsia="宋体"/>
          <w:b/>
          <w:bCs/>
          <w:i w:val="0"/>
          <w:iCs w:val="0"/>
          <w:snapToGrid w:val="0"/>
          <w:color w:val="auto"/>
          <w:kern w:val="0"/>
          <w:szCs w:val="21"/>
          <w:highlight w:val="none"/>
        </w:rPr>
        <w:t>11-3：专业工程暂估价表</w:t>
      </w:r>
    </w:p>
    <w:p w14:paraId="6DB505B4">
      <w:pPr>
        <w:keepNext w:val="0"/>
        <w:keepLines w:val="0"/>
        <w:pageBreakBefore w:val="0"/>
        <w:widowControl w:val="0"/>
        <w:kinsoku/>
        <w:wordWrap/>
        <w:overflowPunct/>
        <w:topLinePunct w:val="0"/>
        <w:autoSpaceDE/>
        <w:autoSpaceDN/>
        <w:bidi w:val="0"/>
        <w:adjustRightInd/>
        <w:snapToGrid/>
        <w:spacing w:line="180" w:lineRule="exact"/>
        <w:jc w:val="center"/>
        <w:textAlignment w:val="auto"/>
        <w:rPr>
          <w:rFonts w:ascii="宋体" w:hAnsi="宋体" w:eastAsia="宋体"/>
          <w:b/>
          <w:bCs/>
          <w:i w:val="0"/>
          <w:iCs w:val="0"/>
          <w:snapToGrid w:val="0"/>
          <w:color w:val="auto"/>
          <w:kern w:val="0"/>
          <w:szCs w:val="21"/>
          <w:highlight w:val="none"/>
        </w:rPr>
      </w:pPr>
    </w:p>
    <w:tbl>
      <w:tblPr>
        <w:tblStyle w:val="27"/>
        <w:tblW w:w="840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265"/>
        <w:gridCol w:w="1276"/>
      </w:tblGrid>
      <w:tr w14:paraId="604D17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14:paraId="439822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序号</w:t>
            </w:r>
          </w:p>
        </w:tc>
        <w:tc>
          <w:tcPr>
            <w:tcW w:w="1984" w:type="dxa"/>
            <w:tcBorders>
              <w:top w:val="single" w:color="auto" w:sz="12" w:space="0"/>
              <w:bottom w:val="double" w:color="auto" w:sz="6" w:space="0"/>
            </w:tcBorders>
            <w:noWrap w:val="0"/>
            <w:vAlign w:val="top"/>
          </w:tcPr>
          <w:p w14:paraId="4040ED4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专业工程名称</w:t>
            </w:r>
          </w:p>
        </w:tc>
        <w:tc>
          <w:tcPr>
            <w:tcW w:w="4265" w:type="dxa"/>
            <w:tcBorders>
              <w:top w:val="single" w:color="auto" w:sz="12" w:space="0"/>
              <w:bottom w:val="double" w:color="auto" w:sz="6" w:space="0"/>
            </w:tcBorders>
            <w:noWrap w:val="0"/>
            <w:vAlign w:val="top"/>
          </w:tcPr>
          <w:p w14:paraId="6007C99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工程内容</w:t>
            </w:r>
          </w:p>
        </w:tc>
        <w:tc>
          <w:tcPr>
            <w:tcW w:w="1276" w:type="dxa"/>
            <w:tcBorders>
              <w:top w:val="single" w:color="auto" w:sz="12" w:space="0"/>
              <w:bottom w:val="double" w:color="auto" w:sz="6" w:space="0"/>
            </w:tcBorders>
            <w:noWrap w:val="0"/>
            <w:vAlign w:val="top"/>
          </w:tcPr>
          <w:p w14:paraId="4E288DA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金额</w:t>
            </w:r>
          </w:p>
        </w:tc>
      </w:tr>
      <w:tr w14:paraId="789359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14:paraId="793FF5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double" w:color="auto" w:sz="6" w:space="0"/>
              <w:bottom w:val="single" w:color="auto" w:sz="6" w:space="0"/>
            </w:tcBorders>
            <w:noWrap w:val="0"/>
            <w:vAlign w:val="top"/>
          </w:tcPr>
          <w:p w14:paraId="19B7B36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tcBorders>
              <w:top w:val="double" w:color="auto" w:sz="6" w:space="0"/>
              <w:bottom w:val="single" w:color="auto" w:sz="6" w:space="0"/>
            </w:tcBorders>
            <w:noWrap w:val="0"/>
            <w:vAlign w:val="top"/>
          </w:tcPr>
          <w:p w14:paraId="461CDD0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double" w:color="auto" w:sz="6" w:space="0"/>
              <w:bottom w:val="single" w:color="auto" w:sz="6" w:space="0"/>
            </w:tcBorders>
            <w:noWrap w:val="0"/>
            <w:vAlign w:val="top"/>
          </w:tcPr>
          <w:p w14:paraId="5FDFC08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B372A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7F6B731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nil"/>
            </w:tcBorders>
            <w:noWrap w:val="0"/>
            <w:vAlign w:val="top"/>
          </w:tcPr>
          <w:p w14:paraId="40F9E0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tcBorders>
              <w:top w:val="nil"/>
            </w:tcBorders>
            <w:noWrap w:val="0"/>
            <w:vAlign w:val="top"/>
          </w:tcPr>
          <w:p w14:paraId="072EDD7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nil"/>
            </w:tcBorders>
            <w:noWrap w:val="0"/>
            <w:vAlign w:val="top"/>
          </w:tcPr>
          <w:p w14:paraId="47B5DF2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F2C22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4076AA4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tcBorders>
              <w:top w:val="nil"/>
            </w:tcBorders>
            <w:noWrap w:val="0"/>
            <w:vAlign w:val="top"/>
          </w:tcPr>
          <w:p w14:paraId="52A3AF3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tcBorders>
              <w:top w:val="nil"/>
            </w:tcBorders>
            <w:noWrap w:val="0"/>
            <w:vAlign w:val="top"/>
          </w:tcPr>
          <w:p w14:paraId="069D5AA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tcBorders>
              <w:top w:val="nil"/>
            </w:tcBorders>
            <w:noWrap w:val="0"/>
            <w:vAlign w:val="top"/>
          </w:tcPr>
          <w:p w14:paraId="2EDF998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7EAAB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F9E1C2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B9EFF7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2758ED7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029CA80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59B1C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C5DB2C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40CC22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7B5831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B331A6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289B8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338F79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2D0691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27F6AD2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C99886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9B3C0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759834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37FEEF7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343C296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653D5C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1FE33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549464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C9AB3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2863CF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6EA581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1D062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5CC712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97233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3A6EF7B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6BA460A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EC5B7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ED43AF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8E03CF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1500111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36607A9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8725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637962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ED9D9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1764D3C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49F782E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EC454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37DDCB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5DC4CD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6A9E95B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1F63F8A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066B7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12473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6589D78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20597FA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8B81AF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D896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50712D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1BF116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7CB30C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2D5561D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1C32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0ACF9D9">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96481C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68B8A12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35F5683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AFFAE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E89C4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6B9B0A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5A3B544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527F33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4E154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FC40984">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022F0F1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37B5A8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5315B466">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4EBA84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E8A60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B5BAE8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426CB12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A2E6E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005792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0559E9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786F62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7D17C52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07E890FD">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A87E4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164FD3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225196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488B8603">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7EEAE95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95DCE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C71BBEB">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2A51E54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3DE4A6B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1D5F185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1423C3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40BBEAA">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34D9235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0DF82AA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218503E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577E7F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CE7CAB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0437F3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5334B825">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33B9E63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27A00A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5629271">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7658F6B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3284D94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0B3B886F">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348233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B3AA69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561ED1D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7148D18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172DB32C">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7DEC21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8B86F10">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984" w:type="dxa"/>
            <w:noWrap w:val="0"/>
            <w:vAlign w:val="top"/>
          </w:tcPr>
          <w:p w14:paraId="159CF7CE">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4265" w:type="dxa"/>
            <w:noWrap w:val="0"/>
            <w:vAlign w:val="top"/>
          </w:tcPr>
          <w:p w14:paraId="46798132">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c>
          <w:tcPr>
            <w:tcW w:w="1276" w:type="dxa"/>
            <w:noWrap w:val="0"/>
            <w:vAlign w:val="top"/>
          </w:tcPr>
          <w:p w14:paraId="16A2D3B8">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p>
        </w:tc>
      </w:tr>
      <w:tr w14:paraId="6606B5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404" w:type="dxa"/>
            <w:gridSpan w:val="4"/>
            <w:noWrap w:val="0"/>
            <w:vAlign w:val="top"/>
          </w:tcPr>
          <w:p w14:paraId="0751E6F7">
            <w:pPr>
              <w:pStyle w:val="11"/>
              <w:keepNext/>
              <w:spacing w:after="0" w:line="440" w:lineRule="exact"/>
              <w:ind w:left="63" w:right="63"/>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小计：</w:t>
            </w:r>
          </w:p>
        </w:tc>
      </w:tr>
      <w:bookmarkEnd w:id="474"/>
    </w:tbl>
    <w:p w14:paraId="25B1FD2B">
      <w:pPr>
        <w:pStyle w:val="2"/>
        <w:keepNext/>
        <w:keepLines/>
        <w:pageBreakBefore w:val="0"/>
        <w:widowControl w:val="0"/>
        <w:numPr>
          <w:ilvl w:val="0"/>
          <w:numId w:val="0"/>
        </w:numPr>
        <w:kinsoku/>
        <w:wordWrap/>
        <w:overflowPunct/>
        <w:topLinePunct w:val="0"/>
        <w:autoSpaceDE/>
        <w:autoSpaceDN/>
        <w:bidi w:val="0"/>
        <w:adjustRightInd/>
        <w:snapToGrid/>
        <w:spacing w:before="0" w:after="0" w:line="240" w:lineRule="exact"/>
        <w:ind w:left="420" w:leftChars="0" w:hanging="420" w:firstLineChars="0"/>
        <w:textAlignment w:val="auto"/>
        <w:rPr>
          <w:rFonts w:hint="eastAsia" w:ascii="宋体" w:hAnsi="宋体" w:eastAsia="黑体" w:cstheme="minorBidi"/>
          <w:b/>
          <w:bCs/>
          <w:i w:val="0"/>
          <w:iCs w:val="0"/>
          <w:color w:val="auto"/>
          <w:kern w:val="44"/>
          <w:sz w:val="44"/>
          <w:szCs w:val="44"/>
          <w:highlight w:val="none"/>
          <w:lang w:val="en-US" w:eastAsia="zh-CN" w:bidi="ar-SA"/>
        </w:rPr>
      </w:pPr>
    </w:p>
    <w:p w14:paraId="1173E89C">
      <w:pPr>
        <w:keepNext w:val="0"/>
        <w:keepLines w:val="0"/>
        <w:pageBreakBefore w:val="0"/>
        <w:widowControl w:val="0"/>
        <w:kinsoku/>
        <w:wordWrap/>
        <w:overflowPunct/>
        <w:topLinePunct w:val="0"/>
        <w:autoSpaceDE/>
        <w:autoSpaceDN/>
        <w:bidi w:val="0"/>
        <w:adjustRightInd/>
        <w:snapToGrid/>
        <w:spacing w:line="180" w:lineRule="exact"/>
        <w:jc w:val="center"/>
        <w:textAlignment w:val="auto"/>
        <w:rPr>
          <w:rFonts w:hint="eastAsia" w:ascii="宋体" w:hAnsi="宋体" w:eastAsia="宋体"/>
          <w:b/>
          <w:bCs/>
          <w:i w:val="0"/>
          <w:iCs w:val="0"/>
          <w:snapToGrid w:val="0"/>
          <w:color w:val="auto"/>
          <w:kern w:val="0"/>
          <w:szCs w:val="21"/>
          <w:highlight w:val="none"/>
          <w:lang w:val="en-US" w:eastAsia="zh-CN"/>
        </w:rPr>
      </w:pPr>
    </w:p>
    <w:p w14:paraId="6AE0B59E">
      <w:pPr>
        <w:rPr>
          <w:rFonts w:hint="eastAsia"/>
          <w:lang w:val="en-US" w:eastAsia="zh-CN"/>
        </w:rPr>
      </w:pPr>
    </w:p>
    <w:p w14:paraId="27E26346">
      <w:pPr>
        <w:pStyle w:val="2"/>
        <w:numPr>
          <w:ilvl w:val="0"/>
          <w:numId w:val="0"/>
        </w:numPr>
        <w:ind w:left="420" w:leftChars="0" w:hanging="420" w:firstLineChars="0"/>
        <w:rPr>
          <w:rFonts w:hint="eastAsia" w:ascii="宋体" w:hAnsi="宋体" w:eastAsia="宋体" w:cs="宋体"/>
          <w:color w:val="auto"/>
          <w:sz w:val="36"/>
          <w:szCs w:val="36"/>
          <w:highlight w:val="none"/>
        </w:rPr>
      </w:pPr>
      <w:bookmarkStart w:id="1186" w:name="_Toc32390"/>
      <w:r>
        <w:rPr>
          <w:rFonts w:hint="eastAsia" w:ascii="宋体" w:hAnsi="宋体" w:eastAsia="宋体" w:cs="宋体"/>
          <w:b/>
          <w:bCs/>
          <w:color w:val="auto"/>
          <w:kern w:val="44"/>
          <w:sz w:val="36"/>
          <w:szCs w:val="36"/>
          <w:highlight w:val="none"/>
          <w:lang w:val="en-US" w:eastAsia="zh-CN" w:bidi="ar-SA"/>
        </w:rPr>
        <w:t xml:space="preserve">第六章 </w:t>
      </w:r>
      <w:r>
        <w:rPr>
          <w:rFonts w:hint="eastAsia" w:ascii="宋体" w:hAnsi="宋体" w:eastAsia="宋体" w:cs="宋体"/>
          <w:color w:val="auto"/>
          <w:sz w:val="36"/>
          <w:szCs w:val="36"/>
          <w:highlight w:val="none"/>
        </w:rPr>
        <w:t>响应文件的格式</w:t>
      </w:r>
      <w:bookmarkEnd w:id="1186"/>
    </w:p>
    <w:p w14:paraId="174BB9C4">
      <w:pPr>
        <w:ind w:firstLine="480" w:firstLineChars="200"/>
        <w:rPr>
          <w:rFonts w:hint="eastAsia" w:cs="仿宋_GB2312"/>
          <w:color w:val="auto"/>
          <w:highlight w:val="none"/>
          <w:lang w:val="zh-CN"/>
        </w:rPr>
      </w:pPr>
    </w:p>
    <w:p w14:paraId="08C8A4A8">
      <w:pPr>
        <w:ind w:firstLine="480" w:firstLineChars="200"/>
        <w:rPr>
          <w:rFonts w:hint="eastAsia" w:cs="仿宋_GB2312"/>
          <w:i w:val="0"/>
          <w:iCs w:val="0"/>
          <w:color w:val="auto"/>
          <w:highlight w:val="none"/>
          <w:lang w:val="zh-CN"/>
        </w:rPr>
      </w:pPr>
    </w:p>
    <w:p w14:paraId="0F1E5057">
      <w:pPr>
        <w:ind w:firstLine="480" w:firstLineChars="200"/>
        <w:rPr>
          <w:rFonts w:hint="eastAsia" w:cs="仿宋_GB2312"/>
          <w:i w:val="0"/>
          <w:iCs w:val="0"/>
          <w:color w:val="auto"/>
          <w:highlight w:val="none"/>
          <w:lang w:val="zh-CN"/>
        </w:rPr>
      </w:pPr>
    </w:p>
    <w:p w14:paraId="02C1CDE2">
      <w:pPr>
        <w:ind w:firstLine="480" w:firstLineChars="200"/>
        <w:rPr>
          <w:rFonts w:hint="eastAsia" w:cs="仿宋_GB2312"/>
          <w:i w:val="0"/>
          <w:iCs w:val="0"/>
          <w:color w:val="auto"/>
          <w:highlight w:val="none"/>
          <w:lang w:val="zh-CN"/>
        </w:rPr>
      </w:pPr>
    </w:p>
    <w:p w14:paraId="5FD4F8BE">
      <w:pPr>
        <w:ind w:firstLine="480" w:firstLineChars="200"/>
        <w:rPr>
          <w:rFonts w:hint="eastAsia" w:cs="仿宋_GB2312"/>
          <w:i w:val="0"/>
          <w:iCs w:val="0"/>
          <w:color w:val="auto"/>
          <w:highlight w:val="none"/>
          <w:lang w:val="zh-CN"/>
        </w:rPr>
      </w:pPr>
    </w:p>
    <w:p w14:paraId="40FD170D">
      <w:pPr>
        <w:ind w:firstLine="480" w:firstLineChars="200"/>
        <w:rPr>
          <w:rFonts w:hint="eastAsia" w:cs="仿宋_GB2312"/>
          <w:i w:val="0"/>
          <w:iCs w:val="0"/>
          <w:color w:val="auto"/>
          <w:highlight w:val="none"/>
          <w:lang w:val="zh-CN"/>
        </w:rPr>
      </w:pPr>
    </w:p>
    <w:p w14:paraId="333C12D2">
      <w:pPr>
        <w:ind w:firstLine="480" w:firstLineChars="200"/>
        <w:rPr>
          <w:rFonts w:hint="eastAsia" w:cs="仿宋_GB2312"/>
          <w:i w:val="0"/>
          <w:iCs w:val="0"/>
          <w:color w:val="auto"/>
          <w:highlight w:val="none"/>
          <w:lang w:val="zh-CN"/>
        </w:rPr>
      </w:pPr>
    </w:p>
    <w:p w14:paraId="0DC5F5FB">
      <w:pPr>
        <w:ind w:firstLine="480" w:firstLineChars="200"/>
        <w:rPr>
          <w:rFonts w:hint="eastAsia" w:cs="仿宋_GB2312"/>
          <w:i w:val="0"/>
          <w:iCs w:val="0"/>
          <w:color w:val="auto"/>
          <w:highlight w:val="none"/>
          <w:lang w:val="zh-CN"/>
        </w:rPr>
      </w:pPr>
    </w:p>
    <w:p w14:paraId="7D5CE0DF">
      <w:pPr>
        <w:ind w:firstLine="480" w:firstLineChars="200"/>
        <w:rPr>
          <w:rFonts w:hint="eastAsia" w:cs="仿宋_GB2312"/>
          <w:i w:val="0"/>
          <w:iCs w:val="0"/>
          <w:color w:val="auto"/>
          <w:highlight w:val="none"/>
          <w:lang w:val="zh-CN"/>
        </w:rPr>
      </w:pPr>
    </w:p>
    <w:p w14:paraId="226FEC9F">
      <w:pPr>
        <w:ind w:firstLine="480" w:firstLineChars="200"/>
        <w:rPr>
          <w:rFonts w:hint="eastAsia" w:cs="仿宋_GB2312"/>
          <w:i w:val="0"/>
          <w:iCs w:val="0"/>
          <w:color w:val="auto"/>
          <w:highlight w:val="none"/>
          <w:lang w:val="zh-CN"/>
        </w:rPr>
      </w:pPr>
    </w:p>
    <w:p w14:paraId="3B193948">
      <w:pPr>
        <w:ind w:firstLine="480" w:firstLineChars="200"/>
        <w:rPr>
          <w:rFonts w:hint="eastAsia" w:cs="仿宋_GB2312"/>
          <w:i w:val="0"/>
          <w:iCs w:val="0"/>
          <w:color w:val="auto"/>
          <w:highlight w:val="none"/>
          <w:lang w:val="zh-CN"/>
        </w:rPr>
      </w:pPr>
    </w:p>
    <w:p w14:paraId="25528327">
      <w:pPr>
        <w:ind w:firstLine="480" w:firstLineChars="200"/>
        <w:rPr>
          <w:rFonts w:hint="eastAsia" w:cs="仿宋_GB2312"/>
          <w:i w:val="0"/>
          <w:iCs w:val="0"/>
          <w:color w:val="auto"/>
          <w:highlight w:val="none"/>
          <w:lang w:val="zh-CN"/>
        </w:rPr>
      </w:pPr>
    </w:p>
    <w:p w14:paraId="6F2846A3">
      <w:pPr>
        <w:ind w:firstLine="480" w:firstLineChars="200"/>
        <w:rPr>
          <w:rFonts w:hint="eastAsia" w:cs="仿宋_GB2312"/>
          <w:i w:val="0"/>
          <w:iCs w:val="0"/>
          <w:color w:val="auto"/>
          <w:highlight w:val="none"/>
          <w:lang w:val="zh-CN"/>
        </w:rPr>
      </w:pPr>
    </w:p>
    <w:p w14:paraId="6D7EA01B">
      <w:pPr>
        <w:ind w:firstLine="480" w:firstLineChars="200"/>
        <w:rPr>
          <w:rFonts w:hint="eastAsia" w:cs="仿宋_GB2312"/>
          <w:i w:val="0"/>
          <w:iCs w:val="0"/>
          <w:color w:val="auto"/>
          <w:highlight w:val="none"/>
          <w:lang w:val="zh-CN"/>
        </w:rPr>
      </w:pPr>
    </w:p>
    <w:p w14:paraId="1FA1C6E4">
      <w:pPr>
        <w:ind w:firstLine="480" w:firstLineChars="200"/>
        <w:rPr>
          <w:rFonts w:hint="eastAsia" w:cs="仿宋_GB2312"/>
          <w:i w:val="0"/>
          <w:iCs w:val="0"/>
          <w:color w:val="auto"/>
          <w:highlight w:val="none"/>
          <w:lang w:val="zh-CN"/>
        </w:rPr>
      </w:pPr>
    </w:p>
    <w:p w14:paraId="7080018F">
      <w:pPr>
        <w:ind w:firstLine="480" w:firstLineChars="200"/>
        <w:rPr>
          <w:rFonts w:hint="eastAsia" w:cs="仿宋_GB2312"/>
          <w:i w:val="0"/>
          <w:iCs w:val="0"/>
          <w:color w:val="auto"/>
          <w:highlight w:val="none"/>
          <w:lang w:val="zh-CN"/>
        </w:rPr>
      </w:pPr>
    </w:p>
    <w:p w14:paraId="4B79049E">
      <w:pPr>
        <w:ind w:firstLine="480" w:firstLineChars="200"/>
        <w:rPr>
          <w:rFonts w:hint="eastAsia" w:cs="仿宋_GB2312"/>
          <w:i w:val="0"/>
          <w:iCs w:val="0"/>
          <w:color w:val="auto"/>
          <w:highlight w:val="none"/>
          <w:lang w:val="zh-CN"/>
        </w:rPr>
      </w:pPr>
    </w:p>
    <w:p w14:paraId="690F05F4">
      <w:pPr>
        <w:ind w:firstLine="480" w:firstLineChars="200"/>
        <w:rPr>
          <w:rFonts w:hint="eastAsia" w:cs="仿宋_GB2312"/>
          <w:i w:val="0"/>
          <w:iCs w:val="0"/>
          <w:color w:val="auto"/>
          <w:highlight w:val="none"/>
          <w:lang w:val="zh-CN"/>
        </w:rPr>
      </w:pPr>
    </w:p>
    <w:p w14:paraId="6ED94B89">
      <w:pPr>
        <w:ind w:firstLine="480" w:firstLineChars="200"/>
        <w:rPr>
          <w:rFonts w:hint="eastAsia" w:cs="仿宋_GB2312"/>
          <w:i w:val="0"/>
          <w:iCs w:val="0"/>
          <w:color w:val="auto"/>
          <w:highlight w:val="none"/>
          <w:lang w:val="zh-CN"/>
        </w:rPr>
      </w:pPr>
    </w:p>
    <w:p w14:paraId="7DE59651">
      <w:pPr>
        <w:ind w:firstLine="480" w:firstLineChars="200"/>
        <w:rPr>
          <w:rFonts w:hint="eastAsia" w:cs="仿宋_GB2312"/>
          <w:i w:val="0"/>
          <w:iCs w:val="0"/>
          <w:color w:val="auto"/>
          <w:highlight w:val="none"/>
          <w:lang w:val="zh-CN"/>
        </w:rPr>
      </w:pPr>
    </w:p>
    <w:p w14:paraId="0D899E1D">
      <w:pPr>
        <w:ind w:firstLine="480" w:firstLineChars="200"/>
        <w:rPr>
          <w:rFonts w:hint="eastAsia" w:cs="仿宋_GB2312"/>
          <w:i w:val="0"/>
          <w:iCs w:val="0"/>
          <w:color w:val="auto"/>
          <w:highlight w:val="none"/>
          <w:lang w:val="zh-CN"/>
        </w:rPr>
      </w:pPr>
    </w:p>
    <w:p w14:paraId="6EA0DF60">
      <w:pPr>
        <w:ind w:firstLine="480" w:firstLineChars="200"/>
        <w:rPr>
          <w:rFonts w:hint="eastAsia" w:cs="仿宋_GB2312"/>
          <w:i w:val="0"/>
          <w:iCs w:val="0"/>
          <w:color w:val="auto"/>
          <w:highlight w:val="none"/>
          <w:lang w:val="zh-CN"/>
        </w:rPr>
      </w:pPr>
    </w:p>
    <w:p w14:paraId="0EAD2D3B">
      <w:pPr>
        <w:ind w:firstLine="480" w:firstLineChars="200"/>
        <w:rPr>
          <w:rFonts w:hint="eastAsia" w:cs="仿宋_GB2312"/>
          <w:i w:val="0"/>
          <w:iCs w:val="0"/>
          <w:color w:val="auto"/>
          <w:highlight w:val="none"/>
          <w:lang w:val="zh-CN"/>
        </w:rPr>
      </w:pPr>
    </w:p>
    <w:p w14:paraId="7F23D0C8">
      <w:pPr>
        <w:ind w:firstLine="480" w:firstLineChars="200"/>
        <w:rPr>
          <w:rFonts w:hint="eastAsia" w:cs="仿宋_GB2312"/>
          <w:i w:val="0"/>
          <w:iCs w:val="0"/>
          <w:color w:val="auto"/>
          <w:highlight w:val="none"/>
          <w:lang w:val="zh-CN"/>
        </w:rPr>
      </w:pPr>
    </w:p>
    <w:p w14:paraId="3D40132F">
      <w:pPr>
        <w:ind w:firstLine="480" w:firstLineChars="200"/>
        <w:rPr>
          <w:rFonts w:hint="eastAsia" w:cs="仿宋_GB2312"/>
          <w:color w:val="auto"/>
          <w:szCs w:val="24"/>
          <w:highlight w:val="none"/>
          <w:lang w:val="zh-CN"/>
        </w:rPr>
      </w:pPr>
    </w:p>
    <w:p w14:paraId="6DC90E3C">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202803F7">
      <w:pPr>
        <w:autoSpaceDE w:val="0"/>
        <w:autoSpaceDN w:val="0"/>
        <w:adjustRightInd w:val="0"/>
        <w:rPr>
          <w:color w:val="auto"/>
          <w:sz w:val="21"/>
          <w:szCs w:val="24"/>
          <w:highlight w:val="none"/>
        </w:rPr>
      </w:pPr>
    </w:p>
    <w:p w14:paraId="73B11C8A">
      <w:pPr>
        <w:autoSpaceDE w:val="0"/>
        <w:autoSpaceDN w:val="0"/>
        <w:adjustRightInd w:val="0"/>
        <w:rPr>
          <w:color w:val="auto"/>
          <w:sz w:val="21"/>
          <w:szCs w:val="24"/>
          <w:highlight w:val="none"/>
        </w:rPr>
      </w:pPr>
    </w:p>
    <w:p w14:paraId="36DF3F4E">
      <w:pPr>
        <w:autoSpaceDE w:val="0"/>
        <w:autoSpaceDN w:val="0"/>
        <w:adjustRightInd w:val="0"/>
        <w:jc w:val="center"/>
        <w:rPr>
          <w:color w:val="auto"/>
          <w:sz w:val="21"/>
          <w:szCs w:val="24"/>
          <w:highlight w:val="none"/>
        </w:rPr>
      </w:pPr>
    </w:p>
    <w:p w14:paraId="336E03FA">
      <w:pPr>
        <w:pStyle w:val="3"/>
        <w:bidi w:val="0"/>
        <w:jc w:val="center"/>
        <w:rPr>
          <w:sz w:val="84"/>
          <w:szCs w:val="84"/>
        </w:rPr>
      </w:pPr>
      <w:bookmarkStart w:id="1187" w:name="_Toc10901"/>
      <w:r>
        <w:rPr>
          <w:rFonts w:hint="eastAsia"/>
          <w:sz w:val="84"/>
          <w:szCs w:val="84"/>
          <w:lang w:val="en-US" w:eastAsia="zh-CN"/>
        </w:rPr>
        <w:t>响</w:t>
      </w:r>
      <w:r>
        <w:rPr>
          <w:rFonts w:hint="eastAsia"/>
          <w:sz w:val="84"/>
          <w:szCs w:val="84"/>
        </w:rPr>
        <w:t xml:space="preserve"> </w:t>
      </w:r>
      <w:r>
        <w:rPr>
          <w:rFonts w:hint="eastAsia"/>
          <w:sz w:val="84"/>
          <w:szCs w:val="84"/>
          <w:lang w:val="en-US" w:eastAsia="zh-CN"/>
        </w:rPr>
        <w:t>应</w:t>
      </w:r>
      <w:r>
        <w:rPr>
          <w:rFonts w:hint="eastAsia"/>
          <w:sz w:val="84"/>
          <w:szCs w:val="84"/>
        </w:rPr>
        <w:t xml:space="preserve"> 文 件</w:t>
      </w:r>
      <w:bookmarkEnd w:id="1187"/>
    </w:p>
    <w:p w14:paraId="7053976A">
      <w:pPr>
        <w:pStyle w:val="3"/>
        <w:bidi w:val="0"/>
        <w:jc w:val="center"/>
        <w:rPr>
          <w:sz w:val="56"/>
          <w:szCs w:val="56"/>
        </w:rPr>
      </w:pPr>
      <w:bookmarkStart w:id="1188" w:name="_Toc13537"/>
      <w:r>
        <w:rPr>
          <w:rFonts w:hint="eastAsia"/>
          <w:sz w:val="56"/>
          <w:szCs w:val="56"/>
        </w:rPr>
        <w:t>资格证明文件</w:t>
      </w:r>
      <w:bookmarkEnd w:id="1188"/>
    </w:p>
    <w:p w14:paraId="11B2218D">
      <w:pPr>
        <w:autoSpaceDE w:val="0"/>
        <w:autoSpaceDN w:val="0"/>
        <w:adjustRightInd w:val="0"/>
        <w:rPr>
          <w:b/>
          <w:bCs/>
          <w:color w:val="auto"/>
          <w:sz w:val="22"/>
          <w:highlight w:val="none"/>
        </w:rPr>
      </w:pPr>
    </w:p>
    <w:p w14:paraId="06BBF80E">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7EDE7CD9">
      <w:pPr>
        <w:autoSpaceDE w:val="0"/>
        <w:autoSpaceDN w:val="0"/>
        <w:adjustRightInd w:val="0"/>
        <w:rPr>
          <w:color w:val="auto"/>
          <w:sz w:val="21"/>
          <w:szCs w:val="21"/>
          <w:highlight w:val="none"/>
        </w:rPr>
      </w:pPr>
    </w:p>
    <w:p w14:paraId="42DB1859">
      <w:pPr>
        <w:pStyle w:val="3"/>
        <w:rPr>
          <w:color w:val="auto"/>
          <w:highlight w:val="none"/>
        </w:rPr>
      </w:pPr>
    </w:p>
    <w:p w14:paraId="30EB22E6">
      <w:pPr>
        <w:autoSpaceDE w:val="0"/>
        <w:autoSpaceDN w:val="0"/>
        <w:adjustRightInd w:val="0"/>
        <w:rPr>
          <w:color w:val="auto"/>
          <w:sz w:val="21"/>
          <w:szCs w:val="21"/>
          <w:highlight w:val="none"/>
        </w:rPr>
      </w:pPr>
    </w:p>
    <w:p w14:paraId="0D158554">
      <w:pPr>
        <w:autoSpaceDE w:val="0"/>
        <w:autoSpaceDN w:val="0"/>
        <w:adjustRightInd w:val="0"/>
        <w:rPr>
          <w:color w:val="auto"/>
          <w:sz w:val="21"/>
          <w:szCs w:val="21"/>
          <w:highlight w:val="none"/>
        </w:rPr>
      </w:pPr>
    </w:p>
    <w:p w14:paraId="01B855BF">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E0530D8">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4281C2EA">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7DB2DE4">
      <w:pPr>
        <w:ind w:left="840" w:firstLine="420"/>
        <w:rPr>
          <w:b/>
          <w:bCs/>
          <w:color w:val="auto"/>
          <w:sz w:val="28"/>
          <w:szCs w:val="28"/>
          <w:highlight w:val="none"/>
        </w:rPr>
      </w:pPr>
    </w:p>
    <w:p w14:paraId="1D6D546F">
      <w:pPr>
        <w:ind w:left="840" w:firstLine="420"/>
        <w:rPr>
          <w:b/>
          <w:bCs/>
          <w:color w:val="auto"/>
          <w:sz w:val="28"/>
          <w:szCs w:val="28"/>
          <w:highlight w:val="none"/>
        </w:rPr>
      </w:pPr>
    </w:p>
    <w:p w14:paraId="167EF277">
      <w:pPr>
        <w:ind w:left="840" w:firstLine="420"/>
        <w:rPr>
          <w:b/>
          <w:bCs/>
          <w:color w:val="auto"/>
          <w:sz w:val="28"/>
          <w:szCs w:val="28"/>
          <w:highlight w:val="none"/>
        </w:rPr>
      </w:pPr>
    </w:p>
    <w:p w14:paraId="6F83EA22">
      <w:pPr>
        <w:jc w:val="center"/>
        <w:rPr>
          <w:rFonts w:ascii="黑体" w:hAnsi="黑体" w:eastAsia="黑体"/>
          <w:i w:val="0"/>
          <w:iCs w:val="0"/>
          <w:color w:val="auto"/>
          <w:sz w:val="32"/>
          <w:szCs w:val="32"/>
          <w:highlight w:val="none"/>
        </w:rPr>
      </w:pPr>
      <w:r>
        <w:rPr>
          <w:rFonts w:hint="eastAsia" w:ascii="宋体" w:hAnsi="宋体" w:eastAsia="宋体" w:cs="宋体"/>
          <w:color w:val="auto"/>
          <w:sz w:val="32"/>
          <w:szCs w:val="32"/>
          <w:highlight w:val="none"/>
        </w:rPr>
        <w:t>年   月    日</w:t>
      </w:r>
    </w:p>
    <w:p w14:paraId="39BD53E8">
      <w:pPr>
        <w:jc w:val="center"/>
        <w:rPr>
          <w:b/>
          <w:bCs/>
          <w:i w:val="0"/>
          <w:iCs w:val="0"/>
          <w:color w:val="auto"/>
          <w:sz w:val="28"/>
          <w:szCs w:val="28"/>
          <w:highlight w:val="none"/>
        </w:rPr>
      </w:pPr>
      <w:r>
        <w:rPr>
          <w:b/>
          <w:bCs/>
          <w:i w:val="0"/>
          <w:iCs w:val="0"/>
          <w:color w:val="auto"/>
          <w:sz w:val="28"/>
          <w:szCs w:val="28"/>
          <w:highlight w:val="none"/>
        </w:rPr>
        <w:br w:type="page"/>
      </w:r>
    </w:p>
    <w:p w14:paraId="1582779F">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1189" w:name="_Toc29826"/>
      <w:bookmarkStart w:id="1190" w:name="_Toc155185927"/>
      <w:bookmarkStart w:id="1191" w:name="_Toc163493643"/>
      <w:r>
        <w:rPr>
          <w:rFonts w:hint="eastAsia" w:eastAsia="宋体" w:asciiTheme="majorHAnsi" w:hAnsiTheme="majorHAnsi" w:cstheme="majorBidi"/>
          <w:b/>
          <w:bCs/>
          <w:color w:val="auto"/>
          <w:kern w:val="2"/>
          <w:sz w:val="28"/>
          <w:szCs w:val="28"/>
          <w:highlight w:val="none"/>
          <w:lang w:val="en-US" w:eastAsia="zh-CN" w:bidi="ar-SA"/>
        </w:rPr>
        <w:t>一、满足《中华人民共和国政府采购法》第二十二条规定</w:t>
      </w:r>
      <w:bookmarkEnd w:id="1189"/>
    </w:p>
    <w:bookmarkEnd w:id="1190"/>
    <w:p w14:paraId="6B7B06FF">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18B0578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1、供应商</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1D91F8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2、供应商</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11EBB2B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3、供应商</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783D095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4、供应商</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1C5E4BB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5、供应商</w:t>
      </w:r>
      <w:r>
        <w:rPr>
          <w:rFonts w:hint="eastAsia" w:ascii="宋体" w:hAnsi="宋体" w:eastAsia="宋体" w:cs="宋体"/>
          <w:b w:val="0"/>
          <w:bCs w:val="0"/>
          <w:color w:val="auto"/>
          <w:kern w:val="0"/>
          <w:sz w:val="24"/>
          <w:szCs w:val="24"/>
          <w:highlight w:val="none"/>
          <w:lang w:val="en-US" w:eastAsia="zh-CN"/>
        </w:rPr>
        <w:t>是自然人的，应提供有效的自然人身份证明。</w:t>
      </w:r>
    </w:p>
    <w:p w14:paraId="77687BE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20552EC5">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55A5AE20">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593C05F7">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4E552CF1">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71719380">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0E2D6054">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3845DBA7">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278832F9">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5867C6B0">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4053A2AA">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5A243C91">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08CDCDAB">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28CC4660">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47D8D8D0">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5C8690F1">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eastAsia="宋体" w:cs="宋体"/>
          <w:i w:val="0"/>
          <w:iCs w:val="0"/>
          <w:color w:val="auto"/>
          <w:kern w:val="0"/>
          <w:sz w:val="24"/>
          <w:szCs w:val="24"/>
          <w:highlight w:val="none"/>
          <w:lang w:val="en-US" w:eastAsia="zh-CN"/>
        </w:rPr>
      </w:pPr>
    </w:p>
    <w:p w14:paraId="69A95AD2">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0" w:leftChars="0" w:firstLine="0" w:firstLineChars="0"/>
        <w:textAlignment w:val="auto"/>
        <w:rPr>
          <w:rFonts w:hint="eastAsia" w:eastAsia="宋体" w:cstheme="majorBidi"/>
          <w:b/>
          <w:bCs/>
          <w:color w:val="auto"/>
          <w:kern w:val="2"/>
          <w:sz w:val="24"/>
          <w:szCs w:val="24"/>
          <w:highlight w:val="none"/>
          <w:lang w:val="en-US" w:eastAsia="zh-CN" w:bidi="ar-SA"/>
        </w:rPr>
      </w:pPr>
      <w:bookmarkStart w:id="1192" w:name="_Toc155185928"/>
      <w:bookmarkStart w:id="1193" w:name="_Toc163492922"/>
      <w:bookmarkStart w:id="1194" w:name="_Toc15431"/>
      <w:r>
        <w:rPr>
          <w:rFonts w:hint="eastAsia" w:eastAsia="宋体" w:cstheme="majorBidi"/>
          <w:b/>
          <w:bCs/>
          <w:color w:val="auto"/>
          <w:kern w:val="2"/>
          <w:sz w:val="24"/>
          <w:szCs w:val="24"/>
          <w:highlight w:val="none"/>
          <w:lang w:val="en-US" w:eastAsia="zh-CN" w:bidi="ar-SA"/>
        </w:rPr>
        <w:t>（二</w:t>
      </w:r>
      <w:bookmarkEnd w:id="1192"/>
      <w:bookmarkEnd w:id="1193"/>
      <w:r>
        <w:rPr>
          <w:rFonts w:hint="eastAsia" w:eastAsia="宋体" w:cstheme="majorBidi"/>
          <w:b/>
          <w:bCs/>
          <w:color w:val="auto"/>
          <w:kern w:val="2"/>
          <w:sz w:val="24"/>
          <w:szCs w:val="24"/>
          <w:highlight w:val="none"/>
          <w:lang w:val="en-US" w:eastAsia="zh-CN" w:bidi="ar-SA"/>
        </w:rPr>
        <w:t>）</w:t>
      </w:r>
      <w:r>
        <w:rPr>
          <w:rFonts w:hint="eastAsia" w:cstheme="majorBidi"/>
          <w:b/>
          <w:bCs/>
          <w:color w:val="auto"/>
          <w:kern w:val="2"/>
          <w:sz w:val="24"/>
          <w:szCs w:val="24"/>
          <w:highlight w:val="none"/>
          <w:lang w:val="en-US" w:eastAsia="zh-CN" w:bidi="ar-SA"/>
        </w:rPr>
        <w:t>新疆政府采购</w:t>
      </w:r>
      <w:r>
        <w:rPr>
          <w:rFonts w:hint="eastAsia" w:eastAsia="宋体" w:cstheme="majorBidi"/>
          <w:b/>
          <w:bCs/>
          <w:color w:val="auto"/>
          <w:kern w:val="2"/>
          <w:sz w:val="24"/>
          <w:szCs w:val="24"/>
          <w:highlight w:val="none"/>
          <w:lang w:val="en-US" w:eastAsia="zh-CN" w:bidi="ar-SA"/>
        </w:rPr>
        <w:t>供应商信用承诺函</w:t>
      </w:r>
      <w:bookmarkEnd w:id="1194"/>
    </w:p>
    <w:p w14:paraId="149786FB">
      <w:pPr>
        <w:spacing w:line="560" w:lineRule="exact"/>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rPr>
        <w:t>单位名称</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自然人姓名</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48FFA3C0">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统一社会信用代码</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身份证号码</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7DA4A26F">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负责人</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2565F5FE">
      <w:pPr>
        <w:spacing w:line="560" w:lineRule="exact"/>
        <w:ind w:firstLine="480" w:firstLineChars="200"/>
        <w:rPr>
          <w:rFonts w:hint="eastAsia" w:ascii="宋体" w:hAnsi="宋体" w:eastAsia="宋体" w:cs="宋体"/>
          <w:i w:val="0"/>
          <w:iCs w:val="0"/>
          <w:color w:val="auto"/>
          <w:kern w:val="0"/>
          <w:sz w:val="24"/>
          <w:szCs w:val="24"/>
          <w:highlight w:val="none"/>
        </w:rPr>
      </w:pPr>
    </w:p>
    <w:p w14:paraId="39CDD6B5">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我单位</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本人</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 xml:space="preserve">自愿参加本次政府采购活动，严格遵守《中华人民共和国政府采购法》及相关法律法规，坚守公开、公平、公正和诚实信用等原则，依法诚信经营，并郑重承诺：    </w:t>
      </w:r>
    </w:p>
    <w:p w14:paraId="15BD2674">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一、我单位</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本人</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符合《中华人民共和国政府采购法》第二十二条规定：</w:t>
      </w:r>
    </w:p>
    <w:p w14:paraId="3218A359">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一</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具有独立承担民事责任的能力;</w:t>
      </w:r>
    </w:p>
    <w:p w14:paraId="036C60EA">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（二）</w:t>
      </w:r>
      <w:r>
        <w:rPr>
          <w:rFonts w:hint="eastAsia" w:ascii="宋体" w:hAnsi="宋体" w:eastAsia="宋体" w:cs="宋体"/>
          <w:i w:val="0"/>
          <w:iCs w:val="0"/>
          <w:color w:val="auto"/>
          <w:kern w:val="0"/>
          <w:sz w:val="24"/>
          <w:szCs w:val="24"/>
          <w:highlight w:val="none"/>
        </w:rPr>
        <w:t>具有良好的商业信誉和健全的财务会计制度;</w:t>
      </w:r>
    </w:p>
    <w:p w14:paraId="32BE9145">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（三）</w:t>
      </w:r>
      <w:r>
        <w:rPr>
          <w:rFonts w:hint="eastAsia" w:ascii="宋体" w:hAnsi="宋体" w:eastAsia="宋体" w:cs="宋体"/>
          <w:i w:val="0"/>
          <w:iCs w:val="0"/>
          <w:color w:val="auto"/>
          <w:kern w:val="0"/>
          <w:sz w:val="24"/>
          <w:szCs w:val="24"/>
          <w:highlight w:val="none"/>
        </w:rPr>
        <w:t>具有履行合同所必需的设备和专业技术能力;</w:t>
      </w:r>
    </w:p>
    <w:p w14:paraId="5C988BD2">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（四）</w:t>
      </w:r>
      <w:r>
        <w:rPr>
          <w:rFonts w:hint="eastAsia" w:ascii="宋体" w:hAnsi="宋体" w:eastAsia="宋体" w:cs="宋体"/>
          <w:i w:val="0"/>
          <w:iCs w:val="0"/>
          <w:color w:val="auto"/>
          <w:kern w:val="0"/>
          <w:sz w:val="24"/>
          <w:szCs w:val="24"/>
          <w:highlight w:val="none"/>
        </w:rPr>
        <w:t>有依法缴纳税收和社会保障资金的良好记录;</w:t>
      </w:r>
    </w:p>
    <w:p w14:paraId="64311F89">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（五）</w:t>
      </w:r>
      <w:r>
        <w:rPr>
          <w:rFonts w:hint="eastAsia" w:ascii="宋体" w:hAnsi="宋体" w:eastAsia="宋体" w:cs="宋体"/>
          <w:i w:val="0"/>
          <w:iCs w:val="0"/>
          <w:color w:val="auto"/>
          <w:kern w:val="0"/>
          <w:sz w:val="24"/>
          <w:szCs w:val="24"/>
          <w:highlight w:val="none"/>
        </w:rPr>
        <w:t>参加政府采购活动前三年内，在经营活动中没有重大违法记录;</w:t>
      </w:r>
    </w:p>
    <w:p w14:paraId="09591AFC">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eastAsia="zh-CN"/>
        </w:rPr>
        <w:t>（六）</w:t>
      </w:r>
      <w:r>
        <w:rPr>
          <w:rFonts w:hint="eastAsia" w:ascii="宋体" w:hAnsi="宋体" w:eastAsia="宋体" w:cs="宋体"/>
          <w:i w:val="0"/>
          <w:iCs w:val="0"/>
          <w:color w:val="auto"/>
          <w:kern w:val="0"/>
          <w:sz w:val="24"/>
          <w:szCs w:val="24"/>
          <w:highlight w:val="none"/>
        </w:rPr>
        <w:t>符合法律、行政法规规定的其他条件。</w:t>
      </w:r>
    </w:p>
    <w:p w14:paraId="1BA808C2">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二、我单位</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本人</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未被列入严重违法失信名单、失信被执行人</w:t>
      </w:r>
      <w:r>
        <w:rPr>
          <w:rFonts w:hint="eastAsia" w:ascii="宋体" w:hAnsi="宋体" w:eastAsia="宋体" w:cs="宋体"/>
          <w:i w:val="0"/>
          <w:iCs w:val="0"/>
          <w:color w:val="auto"/>
          <w:kern w:val="0"/>
          <w:sz w:val="24"/>
          <w:szCs w:val="24"/>
          <w:highlight w:val="none"/>
          <w:lang w:eastAsia="zh-CN"/>
        </w:rPr>
        <w:t>名单</w:t>
      </w:r>
      <w:r>
        <w:rPr>
          <w:rFonts w:hint="eastAsia" w:ascii="宋体" w:hAnsi="宋体" w:eastAsia="宋体" w:cs="宋体"/>
          <w:i w:val="0"/>
          <w:iCs w:val="0"/>
          <w:color w:val="auto"/>
          <w:kern w:val="0"/>
          <w:sz w:val="24"/>
          <w:szCs w:val="24"/>
          <w:highlight w:val="none"/>
        </w:rPr>
        <w:t>、重大税收违法案件当事人名单、政府采购严重违法失信行为记录名</w:t>
      </w:r>
      <w:r>
        <w:rPr>
          <w:rFonts w:hint="eastAsia" w:ascii="宋体" w:hAnsi="宋体" w:eastAsia="宋体" w:cs="宋体"/>
          <w:i w:val="0"/>
          <w:iCs w:val="0"/>
          <w:color w:val="auto"/>
          <w:kern w:val="0"/>
          <w:sz w:val="24"/>
          <w:szCs w:val="24"/>
          <w:highlight w:val="none"/>
          <w:lang w:eastAsia="zh-CN"/>
        </w:rPr>
        <w:t>单</w:t>
      </w:r>
      <w:r>
        <w:rPr>
          <w:rFonts w:hint="eastAsia" w:ascii="宋体" w:hAnsi="宋体" w:eastAsia="宋体" w:cs="宋体"/>
          <w:i w:val="0"/>
          <w:iCs w:val="0"/>
          <w:color w:val="auto"/>
          <w:kern w:val="0"/>
          <w:sz w:val="24"/>
          <w:szCs w:val="24"/>
          <w:highlight w:val="none"/>
        </w:rPr>
        <w:t>。</w:t>
      </w:r>
    </w:p>
    <w:p w14:paraId="70127B20">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三、如果本公司（本人）有幸中标（成交），在合同签订之前，采购单位有权要求本公司（本人）提供资格证明材料原件进行核验。</w:t>
      </w:r>
    </w:p>
    <w:p w14:paraId="32445A77">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四、我单位</w:t>
      </w:r>
      <w:r>
        <w:rPr>
          <w:rFonts w:hint="eastAsia" w:ascii="宋体" w:hAnsi="宋体" w:eastAsia="宋体" w:cs="宋体"/>
          <w:i w:val="0"/>
          <w:iCs w:val="0"/>
          <w:color w:val="auto"/>
          <w:kern w:val="0"/>
          <w:sz w:val="24"/>
          <w:szCs w:val="24"/>
          <w:highlight w:val="none"/>
          <w:lang w:eastAsia="zh-CN"/>
        </w:rPr>
        <w:t>（本人）</w:t>
      </w:r>
      <w:r>
        <w:rPr>
          <w:rFonts w:hint="eastAsia" w:ascii="宋体" w:hAnsi="宋体" w:eastAsia="宋体" w:cs="宋体"/>
          <w:i w:val="0"/>
          <w:iCs w:val="0"/>
          <w:color w:val="auto"/>
          <w:kern w:val="0"/>
          <w:sz w:val="24"/>
          <w:szCs w:val="24"/>
          <w:highlight w:val="none"/>
        </w:rPr>
        <w:t>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57CE52DB">
      <w:pPr>
        <w:spacing w:line="560" w:lineRule="exact"/>
        <w:rPr>
          <w:rFonts w:hint="eastAsia" w:ascii="宋体" w:hAnsi="宋体" w:eastAsia="宋体" w:cs="宋体"/>
          <w:i w:val="0"/>
          <w:iCs w:val="0"/>
          <w:color w:val="auto"/>
          <w:kern w:val="0"/>
          <w:sz w:val="24"/>
          <w:szCs w:val="24"/>
          <w:highlight w:val="none"/>
        </w:rPr>
      </w:pPr>
    </w:p>
    <w:p w14:paraId="5883D10C">
      <w:pPr>
        <w:spacing w:line="560" w:lineRule="exact"/>
        <w:rPr>
          <w:rFonts w:hint="eastAsia" w:ascii="宋体" w:hAnsi="宋体" w:eastAsia="宋体" w:cs="宋体"/>
          <w:i w:val="0"/>
          <w:iCs w:val="0"/>
          <w:color w:val="auto"/>
          <w:kern w:val="0"/>
          <w:sz w:val="24"/>
          <w:szCs w:val="24"/>
          <w:highlight w:val="none"/>
        </w:rPr>
      </w:pPr>
    </w:p>
    <w:p w14:paraId="02066849">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w:t>
      </w:r>
      <w:r>
        <w:rPr>
          <w:rFonts w:hint="eastAsia" w:cs="宋体"/>
          <w:i w:val="0"/>
          <w:iCs w:val="0"/>
          <w:color w:val="auto"/>
          <w:kern w:val="0"/>
          <w:sz w:val="24"/>
          <w:szCs w:val="24"/>
          <w:highlight w:val="none"/>
          <w:lang w:val="en-US" w:eastAsia="zh-CN"/>
        </w:rPr>
        <w:t>名称</w:t>
      </w:r>
      <w:r>
        <w:rPr>
          <w:rFonts w:hint="eastAsia" w:ascii="宋体" w:hAnsi="宋体" w:eastAsia="宋体" w:cs="宋体"/>
          <w:i w:val="0"/>
          <w:iCs w:val="0"/>
          <w:color w:val="auto"/>
          <w:kern w:val="0"/>
          <w:sz w:val="24"/>
          <w:szCs w:val="24"/>
          <w:highlight w:val="none"/>
          <w:lang w:eastAsia="zh-CN"/>
        </w:rPr>
        <w:t>（</w:t>
      </w:r>
      <w:r>
        <w:rPr>
          <w:rFonts w:hint="eastAsia" w:cs="宋体"/>
          <w:i w:val="0"/>
          <w:iCs w:val="0"/>
          <w:color w:val="auto"/>
          <w:kern w:val="0"/>
          <w:sz w:val="24"/>
          <w:szCs w:val="24"/>
          <w:highlight w:val="none"/>
          <w:lang w:eastAsia="zh-CN"/>
        </w:rPr>
        <w:t>公章</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3FCFFDCC">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法定代表人、负责人、本人、或授权代表</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签字或</w:t>
      </w:r>
      <w:r>
        <w:rPr>
          <w:rFonts w:hint="eastAsia" w:cs="宋体"/>
          <w:i w:val="0"/>
          <w:iCs w:val="0"/>
          <w:color w:val="auto"/>
          <w:kern w:val="0"/>
          <w:sz w:val="24"/>
          <w:szCs w:val="24"/>
          <w:highlight w:val="none"/>
          <w:lang w:val="en-US" w:eastAsia="zh-CN"/>
        </w:rPr>
        <w:t>盖章</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510A1256">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日期： 年 月 日</w:t>
      </w:r>
    </w:p>
    <w:p w14:paraId="1F4E790D">
      <w:pPr>
        <w:widowControl/>
        <w:spacing w:line="560" w:lineRule="exact"/>
        <w:ind w:firstLine="630"/>
        <w:jc w:val="left"/>
        <w:rPr>
          <w:rFonts w:hint="eastAsia" w:ascii="宋体" w:hAnsi="宋体" w:eastAsia="宋体" w:cs="宋体"/>
          <w:i w:val="0"/>
          <w:iCs w:val="0"/>
          <w:color w:val="auto"/>
          <w:kern w:val="0"/>
          <w:sz w:val="24"/>
          <w:szCs w:val="24"/>
          <w:highlight w:val="none"/>
        </w:rPr>
      </w:pPr>
    </w:p>
    <w:p w14:paraId="282D3BE6">
      <w:pPr>
        <w:rPr>
          <w:rFonts w:ascii="Arial" w:hAnsi="Arial" w:cs="Arial"/>
          <w:i w:val="0"/>
          <w:iCs w:val="0"/>
          <w:color w:val="auto"/>
          <w:szCs w:val="21"/>
          <w:highlight w:val="none"/>
        </w:rPr>
      </w:pPr>
      <w:r>
        <w:rPr>
          <w:rFonts w:ascii="Arial" w:hAnsi="Arial" w:cs="Arial"/>
          <w:i w:val="0"/>
          <w:iCs w:val="0"/>
          <w:color w:val="auto"/>
          <w:szCs w:val="21"/>
          <w:highlight w:val="none"/>
        </w:rPr>
        <w:br w:type="page"/>
      </w:r>
    </w:p>
    <w:p w14:paraId="33E55E65">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1195" w:name="_Toc155185930"/>
      <w:bookmarkStart w:id="1196" w:name="_Toc109899498"/>
      <w:bookmarkStart w:id="1197" w:name="_Toc140132840"/>
      <w:bookmarkStart w:id="1198" w:name="_Toc109899917"/>
      <w:bookmarkStart w:id="1199" w:name="_Toc109900336"/>
      <w:bookmarkStart w:id="1200" w:name="_Toc163492923"/>
      <w:bookmarkStart w:id="1201" w:name="_Toc10865"/>
      <w:r>
        <w:rPr>
          <w:rFonts w:hint="eastAsia" w:cstheme="majorBidi"/>
          <w:b/>
          <w:bCs/>
          <w:color w:val="auto"/>
          <w:kern w:val="2"/>
          <w:sz w:val="28"/>
          <w:szCs w:val="28"/>
          <w:highlight w:val="none"/>
          <w:lang w:val="en-US" w:eastAsia="zh-CN" w:bidi="ar-SA"/>
        </w:rPr>
        <w:t>二</w:t>
      </w:r>
      <w:r>
        <w:rPr>
          <w:rFonts w:hint="eastAsia" w:eastAsia="宋体" w:asciiTheme="majorHAnsi" w:hAnsiTheme="majorHAnsi" w:cstheme="majorBidi"/>
          <w:b/>
          <w:bCs/>
          <w:color w:val="auto"/>
          <w:kern w:val="2"/>
          <w:sz w:val="28"/>
          <w:szCs w:val="28"/>
          <w:highlight w:val="none"/>
          <w:lang w:val="en-US" w:eastAsia="zh-CN" w:bidi="ar-SA"/>
        </w:rPr>
        <w:t>、</w:t>
      </w:r>
      <w:bookmarkEnd w:id="1195"/>
      <w:bookmarkEnd w:id="1196"/>
      <w:bookmarkEnd w:id="1197"/>
      <w:bookmarkEnd w:id="1198"/>
      <w:bookmarkEnd w:id="1199"/>
      <w:bookmarkEnd w:id="1200"/>
      <w:bookmarkStart w:id="1202" w:name="_Toc155185931"/>
      <w:r>
        <w:rPr>
          <w:rFonts w:hint="eastAsia" w:eastAsia="宋体" w:asciiTheme="majorHAnsi" w:hAnsiTheme="majorHAnsi" w:cstheme="majorBidi"/>
          <w:b/>
          <w:bCs/>
          <w:color w:val="auto"/>
          <w:kern w:val="2"/>
          <w:sz w:val="28"/>
          <w:szCs w:val="28"/>
          <w:highlight w:val="none"/>
          <w:lang w:val="zh-CN" w:eastAsia="zh-CN" w:bidi="ar-SA"/>
        </w:rPr>
        <w:t>联合体协议书</w:t>
      </w:r>
      <w:bookmarkEnd w:id="1202"/>
      <w:r>
        <w:rPr>
          <w:rFonts w:hint="eastAsia" w:ascii="宋体" w:hAnsi="宋体" w:eastAsia="宋体" w:cstheme="minorBidi"/>
          <w:b w:val="0"/>
          <w:bCs w:val="0"/>
          <w:color w:val="auto"/>
          <w:kern w:val="2"/>
          <w:sz w:val="28"/>
          <w:szCs w:val="28"/>
          <w:highlight w:val="none"/>
          <w:lang w:val="zh-CN" w:eastAsia="zh-CN" w:bidi="ar-SA"/>
        </w:rPr>
        <w:t>【如适用】</w:t>
      </w:r>
      <w:bookmarkEnd w:id="1201"/>
    </w:p>
    <w:p w14:paraId="39563C7F">
      <w:pPr>
        <w:snapToGrid w:val="0"/>
        <w:spacing w:line="360" w:lineRule="auto"/>
        <w:jc w:val="center"/>
        <w:outlineLvl w:val="0"/>
        <w:rPr>
          <w:rFonts w:hint="eastAsia" w:ascii="宋体" w:hAnsi="宋体" w:cs="宋体"/>
          <w:b/>
          <w:color w:val="auto"/>
          <w:kern w:val="0"/>
          <w:sz w:val="32"/>
          <w:szCs w:val="32"/>
          <w:highlight w:val="none"/>
        </w:rPr>
      </w:pPr>
    </w:p>
    <w:p w14:paraId="5AAD02BD">
      <w:pPr>
        <w:snapToGrid w:val="0"/>
        <w:spacing w:line="360" w:lineRule="auto"/>
        <w:jc w:val="center"/>
        <w:outlineLvl w:val="0"/>
        <w:rPr>
          <w:rFonts w:hint="eastAsia" w:ascii="宋体" w:hAnsi="宋体" w:cs="宋体"/>
          <w:b/>
          <w:i w:val="0"/>
          <w:iCs w:val="0"/>
          <w:color w:val="auto"/>
          <w:kern w:val="0"/>
          <w:sz w:val="32"/>
          <w:szCs w:val="32"/>
          <w:highlight w:val="none"/>
        </w:rPr>
      </w:pPr>
      <w:bookmarkStart w:id="1203" w:name="_Toc17206"/>
      <w:r>
        <w:rPr>
          <w:rFonts w:hint="eastAsia" w:ascii="宋体" w:hAnsi="宋体" w:cs="宋体"/>
          <w:b/>
          <w:color w:val="auto"/>
          <w:kern w:val="0"/>
          <w:sz w:val="32"/>
          <w:szCs w:val="32"/>
          <w:highlight w:val="none"/>
        </w:rPr>
        <w:t>联合体协议书</w:t>
      </w:r>
      <w:bookmarkEnd w:id="1203"/>
    </w:p>
    <w:p w14:paraId="67954623">
      <w:pPr>
        <w:widowControl/>
        <w:spacing w:line="360" w:lineRule="auto"/>
        <w:ind w:firstLine="482" w:firstLineChars="200"/>
        <w:jc w:val="left"/>
        <w:rPr>
          <w:rFonts w:ascii="宋体" w:hAnsi="宋体" w:cs="宋体"/>
          <w:b/>
          <w:i w:val="0"/>
          <w:iCs w:val="0"/>
          <w:color w:val="auto"/>
          <w:sz w:val="24"/>
          <w:highlight w:val="none"/>
        </w:rPr>
      </w:pPr>
      <w:r>
        <w:rPr>
          <w:rFonts w:hint="eastAsia" w:ascii="宋体" w:hAnsi="宋体" w:cs="宋体"/>
          <w:b/>
          <w:i w:val="0"/>
          <w:iCs w:val="0"/>
          <w:color w:val="auto"/>
          <w:sz w:val="24"/>
          <w:highlight w:val="none"/>
        </w:rPr>
        <w:t>（以联合体形式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的，提供联合</w:t>
      </w:r>
      <w:r>
        <w:rPr>
          <w:rFonts w:hint="eastAsia" w:cs="宋体"/>
          <w:b/>
          <w:i w:val="0"/>
          <w:iCs w:val="0"/>
          <w:color w:val="auto"/>
          <w:sz w:val="24"/>
          <w:highlight w:val="none"/>
          <w:lang w:val="en-US" w:eastAsia="zh-CN"/>
        </w:rPr>
        <w:t>体</w:t>
      </w:r>
      <w:r>
        <w:rPr>
          <w:rFonts w:hint="eastAsia" w:ascii="宋体" w:hAnsi="宋体" w:cs="宋体"/>
          <w:b/>
          <w:i w:val="0"/>
          <w:iCs w:val="0"/>
          <w:color w:val="auto"/>
          <w:sz w:val="24"/>
          <w:highlight w:val="none"/>
        </w:rPr>
        <w:t>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；本项目不接受联合体</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或者</w:t>
      </w:r>
      <w:r>
        <w:rPr>
          <w:rFonts w:hint="eastAsia" w:cs="宋体"/>
          <w:b/>
          <w:i w:val="0"/>
          <w:iCs w:val="0"/>
          <w:color w:val="auto"/>
          <w:sz w:val="24"/>
          <w:highlight w:val="none"/>
          <w:lang w:val="en-US" w:eastAsia="zh-CN"/>
        </w:rPr>
        <w:t>供应商</w:t>
      </w:r>
      <w:r>
        <w:rPr>
          <w:rFonts w:hint="eastAsia" w:ascii="宋体" w:hAnsi="宋体" w:cs="宋体"/>
          <w:b/>
          <w:i w:val="0"/>
          <w:iCs w:val="0"/>
          <w:color w:val="auto"/>
          <w:sz w:val="24"/>
          <w:highlight w:val="none"/>
        </w:rPr>
        <w:t>不以联合体形式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的，则不需要提供）</w:t>
      </w:r>
    </w:p>
    <w:p w14:paraId="14187E65">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（联合体所有成员名称）</w:t>
      </w:r>
      <w:r>
        <w:rPr>
          <w:rFonts w:hint="eastAsia" w:ascii="宋体" w:hAnsi="宋体" w:cs="宋体"/>
          <w:i w:val="0"/>
          <w:iCs w:val="0"/>
          <w:color w:val="auto"/>
          <w:kern w:val="0"/>
          <w:sz w:val="24"/>
          <w:highlight w:val="none"/>
        </w:rPr>
        <w:t>自愿</w:t>
      </w:r>
      <w:r>
        <w:rPr>
          <w:rFonts w:hint="eastAsia" w:ascii="宋体" w:hAnsi="宋体" w:cs="宋体"/>
          <w:i w:val="0"/>
          <w:iCs w:val="0"/>
          <w:color w:val="auto"/>
          <w:kern w:val="0"/>
          <w:sz w:val="24"/>
          <w:highlight w:val="none"/>
          <w:lang w:val="zh-CN"/>
        </w:rPr>
        <w:t>组成一个联合体，以一个</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的身份</w:t>
      </w:r>
      <w:r>
        <w:rPr>
          <w:rFonts w:hint="eastAsia" w:ascii="宋体" w:hAnsi="宋体" w:cs="宋体"/>
          <w:i w:val="0"/>
          <w:iCs w:val="0"/>
          <w:color w:val="auto"/>
          <w:kern w:val="0"/>
          <w:sz w:val="24"/>
          <w:highlight w:val="none"/>
        </w:rPr>
        <w:t>参加</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kern w:val="0"/>
          <w:sz w:val="24"/>
          <w:highlight w:val="none"/>
          <w:lang w:val="en-US" w:eastAsia="zh-CN"/>
        </w:rPr>
        <w:t>磋商</w:t>
      </w:r>
      <w:r>
        <w:rPr>
          <w:rFonts w:hint="eastAsia" w:ascii="宋体" w:hAnsi="宋体" w:cs="宋体"/>
          <w:i w:val="0"/>
          <w:iCs w:val="0"/>
          <w:color w:val="auto"/>
          <w:kern w:val="0"/>
          <w:sz w:val="24"/>
          <w:highlight w:val="none"/>
          <w:lang w:val="zh-CN"/>
        </w:rPr>
        <w:t xml:space="preserve">。 </w:t>
      </w:r>
    </w:p>
    <w:p w14:paraId="682E874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一、各方一致决定，</w:t>
      </w:r>
      <w:r>
        <w:rPr>
          <w:rFonts w:hint="eastAsia" w:ascii="宋体" w:hAnsi="宋体" w:cs="宋体"/>
          <w:i w:val="0"/>
          <w:iCs w:val="0"/>
          <w:color w:val="auto"/>
          <w:kern w:val="0"/>
          <w:sz w:val="24"/>
          <w:highlight w:val="none"/>
          <w:u w:val="single"/>
        </w:rPr>
        <w:t>（某联合体成员名称）</w:t>
      </w:r>
      <w:r>
        <w:rPr>
          <w:rFonts w:hint="eastAsia" w:ascii="宋体" w:hAnsi="宋体" w:cs="宋体"/>
          <w:i w:val="0"/>
          <w:iCs w:val="0"/>
          <w:color w:val="auto"/>
          <w:kern w:val="0"/>
          <w:sz w:val="24"/>
          <w:highlight w:val="none"/>
        </w:rPr>
        <w:t>为联合体</w:t>
      </w:r>
      <w:r>
        <w:rPr>
          <w:rFonts w:hint="eastAsia" w:ascii="宋体" w:hAnsi="宋体" w:cs="宋体"/>
          <w:i w:val="0"/>
          <w:iCs w:val="0"/>
          <w:color w:val="auto"/>
          <w:kern w:val="0"/>
          <w:sz w:val="24"/>
          <w:highlight w:val="none"/>
          <w:lang w:val="zh-CN"/>
        </w:rPr>
        <w:t>牵头人</w:t>
      </w:r>
      <w:r>
        <w:rPr>
          <w:rFonts w:hint="eastAsia" w:ascii="宋体" w:hAnsi="宋体" w:cs="宋体"/>
          <w:i w:val="0"/>
          <w:iCs w:val="0"/>
          <w:color w:val="auto"/>
          <w:sz w:val="24"/>
          <w:highlight w:val="none"/>
        </w:rPr>
        <w:t>，代表所有联合体成员负责</w:t>
      </w:r>
      <w:r>
        <w:rPr>
          <w:rFonts w:hint="eastAsia" w:cs="宋体"/>
          <w:i w:val="0"/>
          <w:iCs w:val="0"/>
          <w:color w:val="auto"/>
          <w:sz w:val="24"/>
          <w:highlight w:val="none"/>
          <w:lang w:val="en-US" w:eastAsia="zh-CN"/>
        </w:rPr>
        <w:t>磋商响应</w:t>
      </w:r>
      <w:r>
        <w:rPr>
          <w:rFonts w:hint="eastAsia" w:ascii="宋体" w:hAnsi="宋体" w:cs="宋体"/>
          <w:i w:val="0"/>
          <w:iCs w:val="0"/>
          <w:color w:val="auto"/>
          <w:sz w:val="24"/>
          <w:highlight w:val="none"/>
        </w:rPr>
        <w:t>和合同实施阶段的主办、协调工作</w:t>
      </w:r>
      <w:r>
        <w:rPr>
          <w:rFonts w:hint="eastAsia" w:ascii="宋体" w:hAnsi="宋体" w:cs="宋体"/>
          <w:i w:val="0"/>
          <w:iCs w:val="0"/>
          <w:color w:val="auto"/>
          <w:kern w:val="0"/>
          <w:sz w:val="24"/>
          <w:highlight w:val="none"/>
          <w:lang w:val="zh-CN"/>
        </w:rPr>
        <w:t>。</w:t>
      </w:r>
    </w:p>
    <w:p w14:paraId="2FA3C75E">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w:t>
      </w:r>
      <w:r>
        <w:rPr>
          <w:rFonts w:hint="eastAsia" w:ascii="宋体" w:hAnsi="宋体" w:cs="宋体"/>
          <w:i w:val="0"/>
          <w:iCs w:val="0"/>
          <w:color w:val="auto"/>
          <w:sz w:val="24"/>
          <w:highlight w:val="none"/>
        </w:rPr>
        <w:t>所有联合体成员各方签署授权书，授权书载明的</w:t>
      </w:r>
      <w:r>
        <w:rPr>
          <w:rFonts w:hint="eastAsia" w:ascii="宋体" w:hAnsi="宋体" w:cs="宋体"/>
          <w:i w:val="0"/>
          <w:iCs w:val="0"/>
          <w:color w:val="auto"/>
          <w:kern w:val="0"/>
          <w:sz w:val="24"/>
          <w:highlight w:val="none"/>
          <w:lang w:val="zh-CN"/>
        </w:rPr>
        <w:t>授权代表根据</w:t>
      </w:r>
      <w:r>
        <w:rPr>
          <w:rFonts w:hint="eastAsia" w:ascii="宋体" w:hAnsi="宋体" w:cs="宋体"/>
          <w:i w:val="0"/>
          <w:iCs w:val="0"/>
          <w:color w:val="auto"/>
          <w:kern w:val="0"/>
          <w:sz w:val="24"/>
          <w:highlight w:val="none"/>
          <w:lang w:val="zh-CN" w:eastAsia="zh-CN"/>
        </w:rPr>
        <w:t>竞争性磋商</w:t>
      </w:r>
      <w:r>
        <w:rPr>
          <w:rFonts w:hint="eastAsia" w:ascii="宋体" w:hAnsi="宋体" w:cs="宋体"/>
          <w:i w:val="0"/>
          <w:iCs w:val="0"/>
          <w:color w:val="auto"/>
          <w:kern w:val="0"/>
          <w:sz w:val="24"/>
          <w:highlight w:val="none"/>
          <w:lang w:val="zh-CN"/>
        </w:rPr>
        <w:t>文件规定及</w:t>
      </w:r>
      <w:r>
        <w:rPr>
          <w:rFonts w:hint="eastAsia" w:cs="宋体"/>
          <w:i w:val="0"/>
          <w:iCs w:val="0"/>
          <w:color w:val="auto"/>
          <w:kern w:val="0"/>
          <w:sz w:val="24"/>
          <w:highlight w:val="none"/>
          <w:lang w:val="en-US" w:eastAsia="zh-CN"/>
        </w:rPr>
        <w:t>响应</w:t>
      </w:r>
      <w:r>
        <w:rPr>
          <w:rFonts w:hint="eastAsia" w:ascii="宋体" w:hAnsi="宋体" w:cs="宋体"/>
          <w:i w:val="0"/>
          <w:iCs w:val="0"/>
          <w:color w:val="auto"/>
          <w:kern w:val="0"/>
          <w:sz w:val="24"/>
          <w:highlight w:val="none"/>
          <w:lang w:val="zh-CN"/>
        </w:rPr>
        <w:t>内容而对采购人、采购代理机构所作的任何合法承诺，包括书面澄清及相应等均对联合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各方产生约束力。</w:t>
      </w:r>
    </w:p>
    <w:p w14:paraId="794C756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中，分工如下：</w:t>
      </w:r>
    </w:p>
    <w:p w14:paraId="5742291A">
      <w:pPr>
        <w:snapToGrid w:val="0"/>
        <w:spacing w:line="360" w:lineRule="auto"/>
        <w:ind w:firstLine="576"/>
        <w:rPr>
          <w:rFonts w:ascii="宋体" w:hAnsi="宋体" w:cs="宋体"/>
          <w:i w:val="0"/>
          <w:iCs w:val="0"/>
          <w:color w:val="auto"/>
          <w:kern w:val="0"/>
          <w:sz w:val="24"/>
          <w:highlight w:val="none"/>
          <w:lang w:val="zh-CN"/>
        </w:rPr>
      </w:pPr>
      <w:bookmarkStart w:id="1204" w:name="_Hlk101134295"/>
      <w:r>
        <w:rPr>
          <w:rFonts w:hint="eastAsia" w:ascii="宋体" w:hAnsi="宋体" w:cs="宋体"/>
          <w:i w:val="0"/>
          <w:iCs w:val="0"/>
          <w:color w:val="auto"/>
          <w:kern w:val="0"/>
          <w:sz w:val="24"/>
          <w:highlight w:val="none"/>
          <w:u w:val="single"/>
        </w:rPr>
        <w:t>（联合体成员1）</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51F758B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2</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6E4350A6">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w:t>
      </w:r>
    </w:p>
    <w:bookmarkEnd w:id="1204"/>
    <w:p w14:paraId="417425E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四、联合体成员中小企业合同份额。</w:t>
      </w:r>
    </w:p>
    <w:p w14:paraId="40493970">
      <w:pPr>
        <w:snapToGrid w:val="0"/>
        <w:spacing w:line="360" w:lineRule="auto"/>
        <w:ind w:firstLine="576"/>
        <w:rPr>
          <w:rFonts w:ascii="宋体" w:hAnsi="宋体" w:cs="宋体"/>
          <w:b/>
          <w:i w:val="0"/>
          <w:iCs w:val="0"/>
          <w:color w:val="auto"/>
          <w:kern w:val="0"/>
          <w:sz w:val="24"/>
          <w:highlight w:val="none"/>
          <w:lang w:val="zh-CN"/>
        </w:rPr>
      </w:pPr>
      <w:r>
        <w:rPr>
          <w:rFonts w:hint="eastAsia" w:ascii="宋体" w:hAnsi="宋体" w:cs="宋体"/>
          <w:i w:val="0"/>
          <w:iCs w:val="0"/>
          <w:color w:val="auto"/>
          <w:kern w:val="0"/>
          <w:sz w:val="24"/>
          <w:highlight w:val="none"/>
          <w:lang w:val="zh-CN"/>
        </w:rPr>
        <w:t>1、</w:t>
      </w: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X,</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rPr>
        <w:t>提供的全部</w:t>
      </w:r>
      <w:r>
        <w:rPr>
          <w:rFonts w:hint="eastAsia" w:cs="宋体"/>
          <w:i w:val="0"/>
          <w:iCs w:val="0"/>
          <w:color w:val="auto"/>
          <w:kern w:val="0"/>
          <w:sz w:val="24"/>
          <w:highlight w:val="none"/>
          <w:lang w:val="en-US" w:eastAsia="zh-CN"/>
        </w:rPr>
        <w:t>工程</w:t>
      </w:r>
      <w:r>
        <w:rPr>
          <w:rFonts w:hint="eastAsia" w:ascii="宋体" w:hAnsi="宋体" w:cs="宋体"/>
          <w:i w:val="0"/>
          <w:iCs w:val="0"/>
          <w:color w:val="auto"/>
          <w:kern w:val="0"/>
          <w:sz w:val="24"/>
          <w:highlight w:val="none"/>
        </w:rPr>
        <w:t>由小微企业</w:t>
      </w:r>
      <w:r>
        <w:rPr>
          <w:rFonts w:hint="eastAsia" w:cs="宋体"/>
          <w:i w:val="0"/>
          <w:iCs w:val="0"/>
          <w:color w:val="auto"/>
          <w:kern w:val="0"/>
          <w:sz w:val="24"/>
          <w:highlight w:val="none"/>
          <w:lang w:val="en-US" w:eastAsia="zh-CN"/>
        </w:rPr>
        <w:t>实施</w:t>
      </w:r>
      <w:r>
        <w:rPr>
          <w:rFonts w:hint="eastAsia" w:ascii="宋体" w:hAnsi="宋体" w:cs="宋体"/>
          <w:i w:val="0"/>
          <w:iCs w:val="0"/>
          <w:color w:val="auto"/>
          <w:kern w:val="0"/>
          <w:sz w:val="24"/>
          <w:highlight w:val="none"/>
        </w:rPr>
        <w:t>，其合同份额占到合同总金额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kern w:val="0"/>
          <w:sz w:val="24"/>
          <w:highlight w:val="none"/>
          <w:lang w:val="zh-CN"/>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（未预留份额专门面向中小企业采购的采购项目，以及预留份额中的非预留部分采购包，接受联合体</w:t>
      </w:r>
      <w:r>
        <w:rPr>
          <w:rFonts w:hint="eastAsia" w:ascii="宋体" w:hAnsi="宋体" w:cs="宋体"/>
          <w:b/>
          <w:i w:val="0"/>
          <w:iCs w:val="0"/>
          <w:color w:val="auto"/>
          <w:kern w:val="0"/>
          <w:sz w:val="24"/>
          <w:highlight w:val="none"/>
          <w:lang w:val="zh-CN" w:eastAsia="zh-CN"/>
        </w:rPr>
        <w:t>磋商响应</w:t>
      </w:r>
      <w:r>
        <w:rPr>
          <w:rFonts w:hint="eastAsia" w:ascii="宋体" w:hAnsi="宋体" w:cs="宋体"/>
          <w:b/>
          <w:i w:val="0"/>
          <w:iCs w:val="0"/>
          <w:color w:val="auto"/>
          <w:kern w:val="0"/>
          <w:sz w:val="24"/>
          <w:highlight w:val="none"/>
          <w:lang w:val="zh-CN"/>
        </w:rPr>
        <w:t>的，联合</w:t>
      </w:r>
      <w:r>
        <w:rPr>
          <w:rFonts w:hint="eastAsia" w:cs="宋体"/>
          <w:b/>
          <w:i w:val="0"/>
          <w:iCs w:val="0"/>
          <w:color w:val="auto"/>
          <w:kern w:val="0"/>
          <w:sz w:val="24"/>
          <w:highlight w:val="none"/>
          <w:lang w:val="en-US" w:eastAsia="zh-CN"/>
        </w:rPr>
        <w:t>体</w:t>
      </w:r>
      <w:r>
        <w:rPr>
          <w:rFonts w:hint="eastAsia" w:ascii="宋体" w:hAnsi="宋体" w:cs="宋体"/>
          <w:b/>
          <w:i w:val="0"/>
          <w:iCs w:val="0"/>
          <w:color w:val="auto"/>
          <w:kern w:val="0"/>
          <w:sz w:val="24"/>
          <w:highlight w:val="none"/>
          <w:lang w:val="zh-CN"/>
        </w:rPr>
        <w:t>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约定小微企业的合同份额占到合同总金额30%以上的，对联合体报价按评</w:t>
      </w:r>
      <w:r>
        <w:rPr>
          <w:rFonts w:hint="eastAsia" w:cs="宋体"/>
          <w:b/>
          <w:i w:val="0"/>
          <w:iCs w:val="0"/>
          <w:color w:val="auto"/>
          <w:kern w:val="0"/>
          <w:sz w:val="24"/>
          <w:highlight w:val="none"/>
          <w:lang w:val="en-US" w:eastAsia="zh-CN"/>
        </w:rPr>
        <w:t>审</w:t>
      </w:r>
      <w:r>
        <w:rPr>
          <w:rFonts w:hint="eastAsia" w:ascii="宋体" w:hAnsi="宋体" w:cs="宋体"/>
          <w:b/>
          <w:i w:val="0"/>
          <w:iCs w:val="0"/>
          <w:color w:val="auto"/>
          <w:kern w:val="0"/>
          <w:sz w:val="24"/>
          <w:highlight w:val="none"/>
          <w:lang w:val="zh-CN"/>
        </w:rPr>
        <w:t>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1C0B640E">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sz w:val="24"/>
          <w:highlight w:val="none"/>
        </w:rPr>
        <w:t>2、中小企业合同金额达到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要求以联合体形式参加的项目或采购包，供应商按</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文件第一部分</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公告申请人的资格要求中规定的联合</w:t>
      </w:r>
      <w:r>
        <w:rPr>
          <w:rFonts w:hint="eastAsia" w:cs="宋体"/>
          <w:b/>
          <w:bCs/>
          <w:i w:val="0"/>
          <w:iCs w:val="0"/>
          <w:color w:val="auto"/>
          <w:sz w:val="24"/>
          <w:highlight w:val="none"/>
          <w:lang w:val="en-US" w:eastAsia="zh-CN"/>
        </w:rPr>
        <w:t>体</w:t>
      </w:r>
      <w:r>
        <w:rPr>
          <w:rFonts w:hint="eastAsia" w:ascii="宋体" w:hAnsi="宋体" w:cs="宋体"/>
          <w:b/>
          <w:bCs/>
          <w:i w:val="0"/>
          <w:iCs w:val="0"/>
          <w:color w:val="auto"/>
          <w:sz w:val="24"/>
          <w:highlight w:val="none"/>
        </w:rPr>
        <w:t>协议</w:t>
      </w:r>
      <w:r>
        <w:rPr>
          <w:rFonts w:hint="eastAsia" w:cs="宋体"/>
          <w:b/>
          <w:bCs/>
          <w:i w:val="0"/>
          <w:iCs w:val="0"/>
          <w:color w:val="auto"/>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p>
    <w:p w14:paraId="1EC462A4">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五、如果</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sz w:val="24"/>
          <w:highlight w:val="none"/>
        </w:rPr>
        <w:t>联合体各成员方共同与采购人签订</w:t>
      </w:r>
      <w:r>
        <w:rPr>
          <w:rFonts w:hint="eastAsia" w:ascii="宋体" w:hAnsi="宋体" w:cs="宋体"/>
          <w:i w:val="0"/>
          <w:iCs w:val="0"/>
          <w:color w:val="auto"/>
          <w:sz w:val="24"/>
          <w:highlight w:val="none"/>
          <w:lang w:val="en-US" w:eastAsia="zh-CN"/>
        </w:rPr>
        <w:t>采购</w:t>
      </w:r>
      <w:r>
        <w:rPr>
          <w:rFonts w:hint="eastAsia" w:ascii="宋体" w:hAnsi="宋体" w:cs="宋体"/>
          <w:i w:val="0"/>
          <w:iCs w:val="0"/>
          <w:color w:val="auto"/>
          <w:sz w:val="24"/>
          <w:highlight w:val="none"/>
        </w:rPr>
        <w:t>合同，并就采购合同约定的事项对采购人承担连带责任。</w:t>
      </w:r>
    </w:p>
    <w:p w14:paraId="0B6A82FE">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六、有关本次联合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的其他事宜：</w:t>
      </w:r>
    </w:p>
    <w:p w14:paraId="518CE91A">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1、联合体各方不再单独参加或者与其他供应商另外组成联合体参加同一合同项下的政府采购活动。</w:t>
      </w:r>
    </w:p>
    <w:p w14:paraId="23C062C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2、联合体中有同类资质的各方按照联合体分工承担相同工作的，按照资质等级较低的供应商确定资质等级。</w:t>
      </w:r>
    </w:p>
    <w:p w14:paraId="0DAC4003">
      <w:pPr>
        <w:snapToGrid w:val="0"/>
        <w:spacing w:line="360" w:lineRule="auto"/>
        <w:ind w:firstLine="576"/>
        <w:rPr>
          <w:rFonts w:hint="eastAsia"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3、本协议提交采购人、采购代理机构后，联合体各方不得以任何形式对上述内容进行修改或撤销。</w:t>
      </w:r>
    </w:p>
    <w:p w14:paraId="5B293209">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4、</w:t>
      </w:r>
      <w:r>
        <w:rPr>
          <w:rFonts w:hint="eastAsia" w:ascii="宋体" w:hAnsi="宋体" w:cs="宋体"/>
          <w:i w:val="0"/>
          <w:iCs w:val="0"/>
          <w:color w:val="auto"/>
          <w:kern w:val="0"/>
          <w:sz w:val="24"/>
          <w:highlight w:val="none"/>
          <w:lang w:val="zh-CN"/>
        </w:rPr>
        <w:t>其他：……</w:t>
      </w:r>
    </w:p>
    <w:p w14:paraId="43009373">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5、</w:t>
      </w:r>
      <w:r>
        <w:rPr>
          <w:rFonts w:hint="eastAsia" w:ascii="宋体" w:hAnsi="宋体" w:cs="宋体"/>
          <w:i w:val="0"/>
          <w:iCs w:val="0"/>
          <w:color w:val="auto"/>
          <w:kern w:val="0"/>
          <w:sz w:val="24"/>
          <w:highlight w:val="none"/>
          <w:lang w:val="zh-CN"/>
        </w:rPr>
        <w:t>本协议书自签署之日起生效，若未</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，自本</w:t>
      </w:r>
      <w:r>
        <w:rPr>
          <w:rFonts w:hint="eastAsia" w:cs="宋体"/>
          <w:i w:val="0"/>
          <w:iCs w:val="0"/>
          <w:color w:val="auto"/>
          <w:kern w:val="0"/>
          <w:sz w:val="24"/>
          <w:highlight w:val="none"/>
          <w:lang w:val="en-US" w:eastAsia="zh-CN"/>
        </w:rPr>
        <w:t>响应文件</w:t>
      </w:r>
      <w:r>
        <w:rPr>
          <w:rFonts w:hint="eastAsia" w:ascii="宋体" w:hAnsi="宋体" w:cs="宋体"/>
          <w:i w:val="0"/>
          <w:iCs w:val="0"/>
          <w:color w:val="auto"/>
          <w:kern w:val="0"/>
          <w:sz w:val="24"/>
          <w:highlight w:val="none"/>
          <w:lang w:val="zh-CN"/>
        </w:rPr>
        <w:t>有效期结束后自行失效；若</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，自合同书规定的期限之后自行失效。</w:t>
      </w:r>
    </w:p>
    <w:p w14:paraId="580F475F">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6、</w:t>
      </w:r>
      <w:r>
        <w:rPr>
          <w:rFonts w:hint="eastAsia" w:ascii="宋体" w:hAnsi="宋体" w:cs="宋体"/>
          <w:i w:val="0"/>
          <w:iCs w:val="0"/>
          <w:color w:val="auto"/>
          <w:kern w:val="0"/>
          <w:sz w:val="24"/>
          <w:highlight w:val="none"/>
          <w:lang w:val="zh-CN"/>
        </w:rPr>
        <w:t>本协议书正本一式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份；副本一式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w:t>
      </w:r>
    </w:p>
    <w:p w14:paraId="1797DC92">
      <w:pPr>
        <w:pStyle w:val="3"/>
        <w:rPr>
          <w:i w:val="0"/>
          <w:iCs w:val="0"/>
          <w:color w:val="auto"/>
          <w:highlight w:val="none"/>
          <w:lang w:val="zh-CN"/>
        </w:rPr>
      </w:pPr>
    </w:p>
    <w:p w14:paraId="6A1B5B57">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1</w:t>
      </w:r>
      <w:r>
        <w:rPr>
          <w:rFonts w:hint="eastAsia" w:ascii="宋体" w:hAnsi="宋体" w:cs="宋体"/>
          <w:i w:val="0"/>
          <w:iCs w:val="0"/>
          <w:color w:val="auto"/>
          <w:kern w:val="0"/>
          <w:sz w:val="24"/>
          <w:highlight w:val="none"/>
          <w:lang w:val="zh-CN"/>
        </w:rPr>
        <w:t>名称(公章)：</w:t>
      </w:r>
    </w:p>
    <w:p w14:paraId="21DBA726">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2</w:t>
      </w:r>
      <w:r>
        <w:rPr>
          <w:rFonts w:hint="eastAsia" w:ascii="宋体" w:hAnsi="宋体" w:cs="宋体"/>
          <w:i w:val="0"/>
          <w:iCs w:val="0"/>
          <w:color w:val="auto"/>
          <w:kern w:val="0"/>
          <w:sz w:val="24"/>
          <w:highlight w:val="none"/>
          <w:lang w:val="zh-CN"/>
        </w:rPr>
        <w:t>名称(公章)：</w:t>
      </w:r>
    </w:p>
    <w:p w14:paraId="2C01AA77">
      <w:pPr>
        <w:snapToGrid w:val="0"/>
        <w:spacing w:line="360" w:lineRule="auto"/>
        <w:ind w:right="960"/>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p>
    <w:p w14:paraId="64D03F6B">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日期：  年  月   日</w:t>
      </w:r>
    </w:p>
    <w:p w14:paraId="69BB115A">
      <w:pPr>
        <w:spacing w:line="360" w:lineRule="auto"/>
        <w:ind w:right="420"/>
        <w:rPr>
          <w:rFonts w:ascii="宋体" w:hAnsi="宋体" w:cs="宋体"/>
          <w:i w:val="0"/>
          <w:iCs w:val="0"/>
          <w:color w:val="auto"/>
          <w:sz w:val="21"/>
          <w:szCs w:val="21"/>
          <w:highlight w:val="none"/>
        </w:rPr>
      </w:pPr>
      <w:r>
        <w:rPr>
          <w:rFonts w:hint="eastAsia" w:ascii="宋体" w:hAnsi="宋体" w:cs="宋体"/>
          <w:i w:val="0"/>
          <w:iCs w:val="0"/>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i w:val="0"/>
          <w:iCs w:val="0"/>
          <w:color w:val="auto"/>
          <w:highlight w:val="none"/>
          <w:u w:val="single"/>
        </w:rPr>
      </w:pPr>
      <w:r>
        <w:rPr>
          <w:rFonts w:cs="Tahoma"/>
          <w:i w:val="0"/>
          <w:iCs w:val="0"/>
          <w:color w:val="auto"/>
          <w:highlight w:val="none"/>
          <w:u w:val="single"/>
        </w:rPr>
        <w:br w:type="page"/>
      </w:r>
    </w:p>
    <w:p w14:paraId="7512156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1205" w:name="_Toc162299566"/>
      <w:bookmarkStart w:id="1206" w:name="_Toc29707"/>
      <w:bookmarkStart w:id="1207" w:name="_Toc156490356"/>
      <w:bookmarkStart w:id="1208" w:name="_Hlk101169080"/>
      <w:r>
        <w:rPr>
          <w:rFonts w:hint="eastAsia" w:cstheme="majorBidi"/>
          <w:b/>
          <w:bCs/>
          <w:color w:val="auto"/>
          <w:kern w:val="2"/>
          <w:sz w:val="28"/>
          <w:szCs w:val="28"/>
          <w:highlight w:val="none"/>
          <w:lang w:val="en-US" w:eastAsia="zh-CN" w:bidi="ar-SA"/>
        </w:rPr>
        <w:t>三</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分包意向协议书</w:t>
      </w:r>
      <w:r>
        <w:rPr>
          <w:rFonts w:hint="eastAsia" w:ascii="宋体" w:hAnsi="宋体" w:eastAsia="宋体" w:cstheme="minorBidi"/>
          <w:b w:val="0"/>
          <w:bCs w:val="0"/>
          <w:color w:val="auto"/>
          <w:kern w:val="2"/>
          <w:sz w:val="28"/>
          <w:szCs w:val="28"/>
          <w:highlight w:val="none"/>
          <w:lang w:val="zh-CN" w:eastAsia="zh-CN" w:bidi="ar-SA"/>
        </w:rPr>
        <w:t>【如适用】</w:t>
      </w:r>
      <w:bookmarkEnd w:id="1205"/>
      <w:bookmarkEnd w:id="1206"/>
      <w:bookmarkEnd w:id="1207"/>
    </w:p>
    <w:p w14:paraId="72EF9FB2">
      <w:pPr>
        <w:snapToGrid w:val="0"/>
        <w:spacing w:line="360" w:lineRule="auto"/>
        <w:jc w:val="center"/>
        <w:outlineLvl w:val="0"/>
        <w:rPr>
          <w:rFonts w:hint="eastAsia" w:ascii="宋体" w:hAnsi="宋体" w:cs="宋体"/>
          <w:b/>
          <w:color w:val="auto"/>
          <w:kern w:val="0"/>
          <w:sz w:val="32"/>
          <w:szCs w:val="32"/>
          <w:highlight w:val="none"/>
        </w:rPr>
      </w:pPr>
    </w:p>
    <w:p w14:paraId="14324193">
      <w:pPr>
        <w:snapToGrid w:val="0"/>
        <w:spacing w:line="360" w:lineRule="auto"/>
        <w:jc w:val="center"/>
        <w:outlineLvl w:val="0"/>
        <w:rPr>
          <w:rFonts w:hint="eastAsia" w:ascii="宋体" w:hAnsi="宋体" w:eastAsia="宋体" w:cs="宋体"/>
          <w:b/>
          <w:i w:val="0"/>
          <w:iCs w:val="0"/>
          <w:color w:val="auto"/>
          <w:kern w:val="0"/>
          <w:sz w:val="32"/>
          <w:szCs w:val="32"/>
          <w:highlight w:val="none"/>
          <w:lang w:val="en-US" w:eastAsia="zh-CN"/>
        </w:rPr>
      </w:pPr>
      <w:bookmarkStart w:id="1209" w:name="_Toc16723"/>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1209"/>
    </w:p>
    <w:p w14:paraId="4E9F0BF4">
      <w:pPr>
        <w:widowControl/>
        <w:spacing w:line="360" w:lineRule="auto"/>
        <w:ind w:firstLine="120" w:firstLineChars="50"/>
        <w:jc w:val="left"/>
        <w:rPr>
          <w:rFonts w:ascii="宋体" w:hAnsi="宋体" w:cs="宋体"/>
          <w:i w:val="0"/>
          <w:iCs w:val="0"/>
          <w:color w:val="auto"/>
          <w:sz w:val="24"/>
          <w:highlight w:val="none"/>
        </w:rPr>
      </w:pPr>
      <w:r>
        <w:rPr>
          <w:rFonts w:hint="eastAsia" w:ascii="宋体" w:hAnsi="宋体" w:cs="宋体"/>
          <w:i w:val="0"/>
          <w:iCs w:val="0"/>
          <w:color w:val="auto"/>
          <w:sz w:val="24"/>
          <w:highlight w:val="none"/>
        </w:rPr>
        <w:t>（</w:t>
      </w:r>
      <w:r>
        <w:rPr>
          <w:rFonts w:hint="eastAsia" w:cs="宋体"/>
          <w:b/>
          <w:i w:val="0"/>
          <w:iCs w:val="0"/>
          <w:color w:val="auto"/>
          <w:sz w:val="24"/>
          <w:highlight w:val="none"/>
          <w:lang w:val="en-US" w:eastAsia="zh-CN"/>
        </w:rPr>
        <w:t>成交</w:t>
      </w:r>
      <w:r>
        <w:rPr>
          <w:rFonts w:hint="eastAsia" w:ascii="宋体" w:hAnsi="宋体" w:cs="宋体"/>
          <w:b/>
          <w:i w:val="0"/>
          <w:iCs w:val="0"/>
          <w:color w:val="auto"/>
          <w:sz w:val="24"/>
          <w:highlight w:val="none"/>
        </w:rPr>
        <w:t>后以分包方式履行合同的，提供分包意向协议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；采购人不同意分包或者</w:t>
      </w:r>
      <w:r>
        <w:rPr>
          <w:rFonts w:hint="eastAsia" w:cs="宋体"/>
          <w:b/>
          <w:i w:val="0"/>
          <w:iCs w:val="0"/>
          <w:color w:val="auto"/>
          <w:sz w:val="24"/>
          <w:highlight w:val="none"/>
          <w:lang w:val="en-US" w:eastAsia="zh-CN"/>
        </w:rPr>
        <w:t>供应商成交</w:t>
      </w:r>
      <w:r>
        <w:rPr>
          <w:rFonts w:hint="eastAsia" w:ascii="宋体" w:hAnsi="宋体" w:cs="宋体"/>
          <w:b/>
          <w:i w:val="0"/>
          <w:iCs w:val="0"/>
          <w:color w:val="auto"/>
          <w:sz w:val="24"/>
          <w:highlight w:val="none"/>
        </w:rPr>
        <w:t>后不以分包方式履行合同的，则不需要提供。</w:t>
      </w:r>
      <w:r>
        <w:rPr>
          <w:rFonts w:hint="eastAsia" w:ascii="宋体" w:hAnsi="宋体" w:cs="宋体"/>
          <w:i w:val="0"/>
          <w:iCs w:val="0"/>
          <w:color w:val="auto"/>
          <w:sz w:val="24"/>
          <w:highlight w:val="none"/>
        </w:rPr>
        <w:t>）</w:t>
      </w:r>
    </w:p>
    <w:p w14:paraId="5791A45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若成为</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的</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供应商，将依法采取分包方式履行合同。</w:t>
      </w: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rPr>
        <w:t>与</w:t>
      </w:r>
      <w:r>
        <w:rPr>
          <w:rFonts w:hint="eastAsia" w:ascii="宋体" w:hAnsi="宋体" w:cs="宋体"/>
          <w:i w:val="0"/>
          <w:iCs w:val="0"/>
          <w:color w:val="auto"/>
          <w:kern w:val="0"/>
          <w:sz w:val="24"/>
          <w:highlight w:val="none"/>
          <w:u w:val="single"/>
        </w:rPr>
        <w:t>（所有分包供应商名称）</w:t>
      </w:r>
      <w:r>
        <w:rPr>
          <w:rFonts w:hint="eastAsia" w:ascii="宋体" w:hAnsi="宋体" w:cs="宋体"/>
          <w:i w:val="0"/>
          <w:iCs w:val="0"/>
          <w:color w:val="auto"/>
          <w:kern w:val="0"/>
          <w:sz w:val="24"/>
          <w:highlight w:val="none"/>
        </w:rPr>
        <w:t>达成分包意向协议</w:t>
      </w:r>
      <w:r>
        <w:rPr>
          <w:rFonts w:hint="eastAsia" w:cs="宋体"/>
          <w:i w:val="0"/>
          <w:iCs w:val="0"/>
          <w:color w:val="auto"/>
          <w:kern w:val="0"/>
          <w:sz w:val="24"/>
          <w:highlight w:val="none"/>
          <w:lang w:val="en-US" w:eastAsia="zh-CN"/>
        </w:rPr>
        <w:t>书</w:t>
      </w:r>
      <w:r>
        <w:rPr>
          <w:rFonts w:hint="eastAsia" w:ascii="宋体" w:hAnsi="宋体" w:cs="宋体"/>
          <w:i w:val="0"/>
          <w:iCs w:val="0"/>
          <w:color w:val="auto"/>
          <w:kern w:val="0"/>
          <w:sz w:val="24"/>
          <w:highlight w:val="none"/>
          <w:lang w:val="zh-CN"/>
        </w:rPr>
        <w:t xml:space="preserve">。 </w:t>
      </w:r>
    </w:p>
    <w:p w14:paraId="545E907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一、分包标的及数量</w:t>
      </w:r>
    </w:p>
    <w:p w14:paraId="5E087378">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将</w:t>
      </w:r>
      <w:r>
        <w:rPr>
          <w:rFonts w:hint="eastAsia" w:ascii="宋体" w:hAnsi="宋体" w:cs="宋体"/>
          <w:i w:val="0"/>
          <w:iCs w:val="0"/>
          <w:color w:val="auto"/>
          <w:highlight w:val="none"/>
          <w:u w:val="single"/>
        </w:rPr>
        <w:t xml:space="preserve"> </w:t>
      </w:r>
      <w:r>
        <w:rPr>
          <w:rFonts w:ascii="宋体" w:hAnsi="宋体" w:cs="宋体"/>
          <w:i w:val="0"/>
          <w:iCs w:val="0"/>
          <w:color w:val="auto"/>
          <w:kern w:val="0"/>
          <w:sz w:val="24"/>
          <w:highlight w:val="none"/>
          <w:u w:val="single"/>
        </w:rPr>
        <w:t xml:space="preserve">  XX工作内容   </w:t>
      </w:r>
      <w:r>
        <w:rPr>
          <w:rFonts w:hint="eastAsia" w:ascii="宋体" w:hAnsi="宋体" w:cs="宋体"/>
          <w:i w:val="0"/>
          <w:iCs w:val="0"/>
          <w:color w:val="auto"/>
          <w:sz w:val="24"/>
          <w:highlight w:val="none"/>
        </w:rPr>
        <w:t>分包给</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具备承</w:t>
      </w:r>
      <w:r>
        <w:rPr>
          <w:rFonts w:hint="eastAsia" w:ascii="宋体" w:hAnsi="宋体" w:cs="宋体"/>
          <w:i w:val="0"/>
          <w:iCs w:val="0"/>
          <w:color w:val="auto"/>
          <w:kern w:val="0"/>
          <w:sz w:val="24"/>
          <w:highlight w:val="none"/>
        </w:rPr>
        <w:t>担</w:t>
      </w:r>
      <w:r>
        <w:rPr>
          <w:rFonts w:hint="eastAsia" w:ascii="宋体" w:hAnsi="宋体" w:cs="宋体"/>
          <w:i w:val="0"/>
          <w:iCs w:val="0"/>
          <w:color w:val="auto"/>
          <w:kern w:val="0"/>
          <w:sz w:val="24"/>
          <w:highlight w:val="none"/>
          <w:u w:val="single"/>
          <w:lang w:val="zh-CN"/>
        </w:rPr>
        <w:t>XX工作内容</w:t>
      </w:r>
      <w:r>
        <w:rPr>
          <w:rFonts w:hint="eastAsia" w:ascii="宋体" w:hAnsi="宋体" w:cs="宋体"/>
          <w:i w:val="0"/>
          <w:iCs w:val="0"/>
          <w:color w:val="auto"/>
          <w:kern w:val="0"/>
          <w:sz w:val="24"/>
          <w:highlight w:val="none"/>
          <w:lang w:val="zh-CN"/>
        </w:rPr>
        <w:t>相应资质条件且不得再次分包；</w:t>
      </w:r>
    </w:p>
    <w:p w14:paraId="37B916C5">
      <w:pPr>
        <w:pStyle w:val="3"/>
        <w:tabs>
          <w:tab w:val="left" w:pos="432"/>
        </w:tabs>
        <w:ind w:left="758" w:leftChars="316" w:firstLine="229" w:firstLineChars="95"/>
        <w:rPr>
          <w:rFonts w:ascii="宋体" w:hAnsi="宋体" w:eastAsia="宋体" w:cs="宋体"/>
          <w:i w:val="0"/>
          <w:iCs w:val="0"/>
          <w:color w:val="auto"/>
          <w:kern w:val="0"/>
          <w:sz w:val="24"/>
          <w:szCs w:val="24"/>
          <w:highlight w:val="none"/>
        </w:rPr>
      </w:pPr>
      <w:bookmarkStart w:id="1210" w:name="_Toc1681"/>
      <w:r>
        <w:rPr>
          <w:rFonts w:hint="eastAsia" w:ascii="宋体" w:hAnsi="宋体" w:eastAsia="宋体" w:cs="宋体"/>
          <w:i w:val="0"/>
          <w:iCs w:val="0"/>
          <w:color w:val="auto"/>
          <w:kern w:val="0"/>
          <w:sz w:val="24"/>
          <w:szCs w:val="24"/>
          <w:highlight w:val="none"/>
        </w:rPr>
        <w:t>……</w:t>
      </w:r>
      <w:bookmarkEnd w:id="1210"/>
    </w:p>
    <w:p w14:paraId="04268894">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二、分包供应商中小企业合同份额</w:t>
      </w:r>
    </w:p>
    <w:p w14:paraId="188898B5">
      <w:pPr>
        <w:snapToGrid w:val="0"/>
        <w:spacing w:line="360" w:lineRule="auto"/>
        <w:ind w:firstLine="576"/>
        <w:rPr>
          <w:rFonts w:ascii="宋体" w:hAnsi="宋体" w:cs="宋体"/>
          <w:b/>
          <w:i w:val="0"/>
          <w:iCs w:val="0"/>
          <w:color w:val="auto"/>
          <w:kern w:val="0"/>
          <w:sz w:val="24"/>
          <w:highlight w:val="none"/>
          <w:lang w:val="zh-CN"/>
        </w:rPr>
      </w:pPr>
      <w:r>
        <w:rPr>
          <w:rFonts w:ascii="宋体" w:hAnsi="宋体" w:cs="宋体"/>
          <w:i w:val="0"/>
          <w:iCs w:val="0"/>
          <w:color w:val="auto"/>
          <w:kern w:val="0"/>
          <w:sz w:val="24"/>
          <w:highlight w:val="none"/>
        </w:rPr>
        <w:t>1、</w:t>
      </w:r>
      <w:r>
        <w:rPr>
          <w:rFonts w:hint="eastAsia" w:ascii="宋体" w:hAnsi="宋体" w:cs="宋体"/>
          <w:i w:val="0"/>
          <w:iCs w:val="0"/>
          <w:color w:val="auto"/>
          <w:kern w:val="0"/>
          <w:sz w:val="24"/>
          <w:highlight w:val="none"/>
          <w:u w:val="single"/>
        </w:rPr>
        <w:t>（分包供应商X</w:t>
      </w:r>
      <w:r>
        <w:rPr>
          <w:rFonts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rPr>
        <w:t>……）提供的</w:t>
      </w:r>
      <w:r>
        <w:rPr>
          <w:rFonts w:hint="eastAsia" w:cs="宋体"/>
          <w:i w:val="0"/>
          <w:iCs w:val="0"/>
          <w:color w:val="auto"/>
          <w:kern w:val="0"/>
          <w:sz w:val="24"/>
          <w:highlight w:val="none"/>
          <w:u w:val="single"/>
          <w:lang w:val="en-US" w:eastAsia="zh-CN"/>
        </w:rPr>
        <w:t>工程</w:t>
      </w:r>
      <w:r>
        <w:rPr>
          <w:rFonts w:hint="eastAsia" w:ascii="宋体" w:hAnsi="宋体" w:cs="宋体"/>
          <w:i w:val="0"/>
          <w:iCs w:val="0"/>
          <w:color w:val="auto"/>
          <w:kern w:val="0"/>
          <w:sz w:val="24"/>
          <w:highlight w:val="none"/>
          <w:u w:val="single"/>
        </w:rPr>
        <w:t>全部由小微企业</w:t>
      </w:r>
      <w:r>
        <w:rPr>
          <w:rFonts w:hint="eastAsia" w:cs="宋体"/>
          <w:i w:val="0"/>
          <w:iCs w:val="0"/>
          <w:color w:val="auto"/>
          <w:kern w:val="0"/>
          <w:sz w:val="24"/>
          <w:highlight w:val="none"/>
          <w:u w:val="single"/>
          <w:lang w:val="en-US" w:eastAsia="zh-CN"/>
        </w:rPr>
        <w:t>实施</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rPr>
        <w:t>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highlight w:val="none"/>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（未预留份额专门面向中小企业采购的采购项目，以及预留份额中的非预留部分采购包，允许分包的，分包意向协议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145FF207">
      <w:pPr>
        <w:spacing w:line="360" w:lineRule="auto"/>
        <w:ind w:firstLine="480" w:firstLineChars="200"/>
        <w:rPr>
          <w:rFonts w:ascii="宋体" w:hAnsi="宋体" w:cs="宋体"/>
          <w:b/>
          <w:bCs/>
          <w:i w:val="0"/>
          <w:iCs w:val="0"/>
          <w:color w:val="auto"/>
          <w:kern w:val="0"/>
          <w:sz w:val="24"/>
          <w:highlight w:val="none"/>
          <w:lang w:val="zh-CN"/>
        </w:rPr>
      </w:pPr>
      <w:r>
        <w:rPr>
          <w:rFonts w:hint="eastAsia" w:ascii="宋体" w:hAnsi="宋体" w:cs="宋体"/>
          <w:i w:val="0"/>
          <w:iCs w:val="0"/>
          <w:color w:val="auto"/>
          <w:sz w:val="24"/>
          <w:highlight w:val="none"/>
        </w:rPr>
        <w:t>2、</w:t>
      </w:r>
      <w:bookmarkStart w:id="1211" w:name="_Hlk101133173"/>
      <w:r>
        <w:rPr>
          <w:rFonts w:hint="eastAsia" w:ascii="宋体" w:hAnsi="宋体" w:cs="宋体"/>
          <w:i w:val="0"/>
          <w:iCs w:val="0"/>
          <w:color w:val="auto"/>
          <w:sz w:val="24"/>
          <w:highlight w:val="none"/>
        </w:rPr>
        <w:t>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要求合同分包形式参加的项目或采购包，供应商按</w:t>
      </w:r>
      <w:r>
        <w:rPr>
          <w:rFonts w:hint="eastAsia" w:cs="宋体"/>
          <w:b/>
          <w:bCs/>
          <w:i w:val="0"/>
          <w:iCs w:val="0"/>
          <w:color w:val="auto"/>
          <w:sz w:val="24"/>
          <w:highlight w:val="none"/>
          <w:lang w:eastAsia="zh-CN"/>
        </w:rPr>
        <w:t>磋商文件</w:t>
      </w:r>
      <w:r>
        <w:rPr>
          <w:rFonts w:hint="eastAsia" w:ascii="宋体" w:hAnsi="宋体" w:cs="宋体"/>
          <w:b/>
          <w:bCs/>
          <w:i w:val="0"/>
          <w:iCs w:val="0"/>
          <w:color w:val="auto"/>
          <w:sz w:val="24"/>
          <w:highlight w:val="none"/>
        </w:rPr>
        <w:t>第一部分</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公告申请人的资格要求中规定的</w:t>
      </w:r>
      <w:r>
        <w:rPr>
          <w:rFonts w:hint="eastAsia" w:ascii="宋体" w:hAnsi="宋体" w:cs="宋体"/>
          <w:b/>
          <w:i w:val="0"/>
          <w:iCs w:val="0"/>
          <w:color w:val="auto"/>
          <w:kern w:val="0"/>
          <w:sz w:val="24"/>
          <w:highlight w:val="none"/>
          <w:lang w:val="zh-CN"/>
        </w:rPr>
        <w:t>分包意向协议</w:t>
      </w:r>
      <w:r>
        <w:rPr>
          <w:rFonts w:hint="eastAsia" w:cs="宋体"/>
          <w:b/>
          <w:i w:val="0"/>
          <w:iCs w:val="0"/>
          <w:color w:val="auto"/>
          <w:kern w:val="0"/>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bookmarkEnd w:id="1211"/>
    </w:p>
    <w:p w14:paraId="51C56E7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三、分包工作履行期限、地点、方式</w:t>
      </w:r>
    </w:p>
    <w:p w14:paraId="7F26E4A3">
      <w:pPr>
        <w:snapToGrid w:val="0"/>
        <w:spacing w:line="360" w:lineRule="auto"/>
        <w:ind w:firstLine="576"/>
        <w:rPr>
          <w:rFonts w:ascii="宋体" w:hAnsi="宋体" w:cs="宋体"/>
          <w:i w:val="0"/>
          <w:iCs w:val="0"/>
          <w:color w:val="auto"/>
          <w:highlight w:val="none"/>
          <w:u w:val="single"/>
        </w:rPr>
      </w:pPr>
      <w:r>
        <w:rPr>
          <w:rFonts w:hint="eastAsia" w:ascii="宋体" w:hAnsi="宋体" w:cs="宋体"/>
          <w:i w:val="0"/>
          <w:iCs w:val="0"/>
          <w:color w:val="auto"/>
          <w:highlight w:val="none"/>
          <w:u w:val="single"/>
        </w:rPr>
        <w:t xml:space="preserve">                                                                                  </w:t>
      </w:r>
    </w:p>
    <w:p w14:paraId="7925029E">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四、质量</w:t>
      </w:r>
    </w:p>
    <w:p w14:paraId="7369B1B5">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0E7AB09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五、价款或者报酬</w:t>
      </w:r>
    </w:p>
    <w:p w14:paraId="632B92C8">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0C79FAF7">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六、违约责任</w:t>
      </w:r>
    </w:p>
    <w:p w14:paraId="17F77B9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22CBB9BB">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七、争议解决的办法</w:t>
      </w:r>
    </w:p>
    <w:p w14:paraId="5D83C45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2A9066DF">
      <w:pPr>
        <w:snapToGrid w:val="0"/>
        <w:spacing w:line="360" w:lineRule="auto"/>
        <w:ind w:left="5861" w:leftChars="342" w:hanging="5040" w:hangingChars="21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名称(</w:t>
      </w:r>
      <w:r>
        <w:rPr>
          <w:rFonts w:hint="eastAsia" w:cs="宋体"/>
          <w:i w:val="0"/>
          <w:iCs w:val="0"/>
          <w:color w:val="auto"/>
          <w:kern w:val="0"/>
          <w:sz w:val="24"/>
          <w:highlight w:val="none"/>
          <w:lang w:val="en-US" w:eastAsia="zh-CN"/>
        </w:rPr>
        <w:t>公章</w:t>
      </w:r>
      <w:r>
        <w:rPr>
          <w:rFonts w:hint="eastAsia" w:ascii="宋体" w:hAnsi="宋体" w:cs="宋体"/>
          <w:i w:val="0"/>
          <w:iCs w:val="0"/>
          <w:color w:val="auto"/>
          <w:kern w:val="0"/>
          <w:sz w:val="24"/>
          <w:highlight w:val="none"/>
          <w:lang w:val="zh-CN"/>
        </w:rPr>
        <w:t>)：</w:t>
      </w:r>
    </w:p>
    <w:p w14:paraId="665C464B">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分包供应商名称(公章)：</w:t>
      </w:r>
    </w:p>
    <w:p w14:paraId="102F6BD9">
      <w:pPr>
        <w:snapToGrid w:val="0"/>
        <w:spacing w:line="360" w:lineRule="auto"/>
        <w:ind w:firstLine="5760" w:firstLineChars="2400"/>
        <w:rPr>
          <w:rFonts w:ascii="宋体" w:hAnsi="宋体" w:cs="宋体"/>
          <w:i w:val="0"/>
          <w:iCs w:val="0"/>
          <w:color w:val="auto"/>
          <w:highlight w:val="none"/>
        </w:rPr>
      </w:pPr>
      <w:r>
        <w:rPr>
          <w:rFonts w:hint="eastAsia" w:ascii="宋体" w:hAnsi="宋体" w:cs="宋体"/>
          <w:i w:val="0"/>
          <w:iCs w:val="0"/>
          <w:color w:val="auto"/>
          <w:kern w:val="0"/>
          <w:sz w:val="24"/>
          <w:highlight w:val="none"/>
          <w:lang w:val="zh-CN"/>
        </w:rPr>
        <w:t>……</w:t>
      </w:r>
    </w:p>
    <w:p w14:paraId="22C38D7A">
      <w:pPr>
        <w:spacing w:line="360" w:lineRule="auto"/>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日期：  年  月   日</w:t>
      </w:r>
    </w:p>
    <w:p w14:paraId="49A2F910">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7F0D76CC">
      <w:pPr>
        <w:topLinePunct/>
        <w:ind w:firstLine="480" w:firstLineChars="200"/>
        <w:rPr>
          <w:rFonts w:hint="eastAsia"/>
          <w:i w:val="0"/>
          <w:iCs w:val="0"/>
          <w:color w:val="auto"/>
          <w:szCs w:val="32"/>
          <w:highlight w:val="none"/>
        </w:rPr>
      </w:pPr>
    </w:p>
    <w:p w14:paraId="5F400CB9">
      <w:pPr>
        <w:topLinePunct/>
        <w:ind w:firstLine="480" w:firstLineChars="200"/>
        <w:rPr>
          <w:rFonts w:hint="eastAsia"/>
          <w:i w:val="0"/>
          <w:iCs w:val="0"/>
          <w:color w:val="auto"/>
          <w:szCs w:val="32"/>
          <w:highlight w:val="none"/>
        </w:rPr>
      </w:pPr>
    </w:p>
    <w:p w14:paraId="11CAF290">
      <w:pPr>
        <w:topLinePunct/>
        <w:ind w:firstLine="480" w:firstLineChars="200"/>
        <w:rPr>
          <w:rFonts w:hint="eastAsia"/>
          <w:i w:val="0"/>
          <w:iCs w:val="0"/>
          <w:color w:val="auto"/>
          <w:szCs w:val="32"/>
          <w:highlight w:val="none"/>
        </w:rPr>
      </w:pPr>
    </w:p>
    <w:p w14:paraId="35CFE103">
      <w:pPr>
        <w:topLinePunct/>
        <w:ind w:firstLine="480" w:firstLineChars="200"/>
        <w:rPr>
          <w:rFonts w:hint="eastAsia"/>
          <w:i w:val="0"/>
          <w:iCs w:val="0"/>
          <w:color w:val="auto"/>
          <w:szCs w:val="32"/>
          <w:highlight w:val="none"/>
        </w:rPr>
      </w:pPr>
    </w:p>
    <w:bookmarkEnd w:id="1208"/>
    <w:p w14:paraId="5775F461">
      <w:pPr>
        <w:ind w:left="2520" w:leftChars="1050"/>
        <w:rPr>
          <w:i w:val="0"/>
          <w:iCs w:val="0"/>
          <w:color w:val="auto"/>
          <w:highlight w:val="none"/>
        </w:rPr>
      </w:pPr>
      <w:r>
        <w:rPr>
          <w:rFonts w:cs="Courier New"/>
          <w:i w:val="0"/>
          <w:iCs w:val="0"/>
          <w:color w:val="auto"/>
          <w:szCs w:val="24"/>
          <w:highlight w:val="none"/>
        </w:rPr>
        <w:br w:type="page"/>
      </w:r>
    </w:p>
    <w:p w14:paraId="27442EE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1212" w:name="_Toc163492926"/>
      <w:bookmarkStart w:id="1213" w:name="_Toc155185932"/>
      <w:bookmarkStart w:id="1214" w:name="_Toc2629"/>
      <w:r>
        <w:rPr>
          <w:rFonts w:hint="eastAsia" w:cstheme="majorBidi"/>
          <w:b/>
          <w:bCs/>
          <w:color w:val="auto"/>
          <w:kern w:val="2"/>
          <w:sz w:val="28"/>
          <w:szCs w:val="28"/>
          <w:highlight w:val="none"/>
          <w:lang w:val="en-US" w:eastAsia="zh-CN" w:bidi="ar-SA"/>
        </w:rPr>
        <w:t>四</w:t>
      </w:r>
      <w:r>
        <w:rPr>
          <w:rFonts w:hint="eastAsia" w:eastAsia="宋体" w:asciiTheme="majorHAnsi" w:hAnsiTheme="majorHAnsi" w:cstheme="majorBidi"/>
          <w:b/>
          <w:bCs/>
          <w:color w:val="auto"/>
          <w:kern w:val="2"/>
          <w:sz w:val="28"/>
          <w:szCs w:val="28"/>
          <w:highlight w:val="none"/>
          <w:lang w:val="en-US" w:eastAsia="zh-CN" w:bidi="ar-SA"/>
        </w:rPr>
        <w:t>、</w:t>
      </w:r>
      <w:bookmarkEnd w:id="1212"/>
      <w:bookmarkEnd w:id="1213"/>
      <w:r>
        <w:rPr>
          <w:rFonts w:hint="eastAsia" w:eastAsia="宋体" w:asciiTheme="majorHAnsi" w:hAnsiTheme="majorHAnsi" w:cstheme="majorBidi"/>
          <w:b/>
          <w:bCs/>
          <w:color w:val="auto"/>
          <w:kern w:val="2"/>
          <w:sz w:val="28"/>
          <w:szCs w:val="28"/>
          <w:highlight w:val="none"/>
          <w:lang w:val="en-US" w:eastAsia="zh-CN" w:bidi="ar-SA"/>
        </w:rPr>
        <w:t>落实政府采购政策相关证明文件</w:t>
      </w:r>
      <w:bookmarkEnd w:id="1214"/>
    </w:p>
    <w:p w14:paraId="0BDCE4AB">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15" w:name="_Toc13527"/>
      <w:bookmarkStart w:id="1216" w:name="_Toc163492938"/>
      <w:r>
        <w:rPr>
          <w:rFonts w:hint="eastAsia" w:ascii="宋体" w:hAnsi="宋体" w:eastAsia="宋体" w:cs="宋体"/>
          <w:b/>
          <w:bCs/>
          <w:color w:val="auto"/>
          <w:kern w:val="2"/>
          <w:sz w:val="24"/>
          <w:szCs w:val="24"/>
          <w:highlight w:val="none"/>
          <w:lang w:val="en-US" w:eastAsia="zh-CN" w:bidi="ar-SA"/>
        </w:rPr>
        <w:t>（一）节能环保产品清单及证明材料</w:t>
      </w:r>
      <w:r>
        <w:rPr>
          <w:rFonts w:hint="eastAsia" w:ascii="宋体" w:hAnsi="宋体" w:eastAsia="宋体" w:cs="宋体"/>
          <w:b w:val="0"/>
          <w:bCs w:val="0"/>
          <w:color w:val="auto"/>
          <w:kern w:val="2"/>
          <w:sz w:val="24"/>
          <w:szCs w:val="24"/>
          <w:highlight w:val="none"/>
          <w:lang w:val="en-US" w:eastAsia="zh-CN" w:bidi="ar-SA"/>
        </w:rPr>
        <w:t>【如适用】</w:t>
      </w:r>
      <w:bookmarkEnd w:id="1215"/>
      <w:bookmarkEnd w:id="1216"/>
    </w:p>
    <w:p w14:paraId="738C7A23">
      <w:pPr>
        <w:spacing w:line="30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74728550">
      <w:pPr>
        <w:spacing w:line="3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27"/>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0D711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7FCF36A0">
            <w:pPr>
              <w:pStyle w:val="44"/>
              <w:jc w:val="center"/>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454C6998">
            <w:pPr>
              <w:pStyle w:val="44"/>
              <w:jc w:val="center"/>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4BB5F633">
            <w:pPr>
              <w:pStyle w:val="44"/>
              <w:jc w:val="center"/>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05539A93">
            <w:pPr>
              <w:pStyle w:val="44"/>
              <w:jc w:val="center"/>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0DDEEF99">
            <w:pPr>
              <w:pStyle w:val="44"/>
              <w:jc w:val="center"/>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3F9D9ED4">
            <w:pPr>
              <w:pStyle w:val="44"/>
              <w:jc w:val="center"/>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46E5422B">
            <w:pPr>
              <w:pStyle w:val="44"/>
              <w:jc w:val="center"/>
              <w:rPr>
                <w:color w:val="auto"/>
                <w:sz w:val="21"/>
                <w:szCs w:val="21"/>
                <w:highlight w:val="none"/>
              </w:rPr>
            </w:pPr>
            <w:r>
              <w:rPr>
                <w:rFonts w:hint="eastAsia"/>
                <w:color w:val="auto"/>
                <w:sz w:val="21"/>
                <w:szCs w:val="21"/>
                <w:highlight w:val="none"/>
              </w:rPr>
              <w:t>单价</w:t>
            </w:r>
          </w:p>
          <w:p w14:paraId="4D8AC9C4">
            <w:pPr>
              <w:pStyle w:val="44"/>
              <w:jc w:val="center"/>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514FB4B3">
            <w:pPr>
              <w:pStyle w:val="44"/>
              <w:jc w:val="center"/>
              <w:rPr>
                <w:color w:val="auto"/>
                <w:sz w:val="21"/>
                <w:szCs w:val="21"/>
                <w:highlight w:val="none"/>
              </w:rPr>
            </w:pPr>
            <w:r>
              <w:rPr>
                <w:rFonts w:hint="eastAsia"/>
                <w:color w:val="auto"/>
                <w:sz w:val="21"/>
                <w:szCs w:val="21"/>
                <w:highlight w:val="none"/>
              </w:rPr>
              <w:t>总价</w:t>
            </w:r>
          </w:p>
          <w:p w14:paraId="4637FB3E">
            <w:pPr>
              <w:pStyle w:val="44"/>
              <w:jc w:val="center"/>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3D113D7A">
            <w:pPr>
              <w:pStyle w:val="44"/>
              <w:jc w:val="center"/>
              <w:rPr>
                <w:color w:val="auto"/>
                <w:sz w:val="21"/>
                <w:szCs w:val="21"/>
                <w:highlight w:val="none"/>
              </w:rPr>
            </w:pPr>
            <w:r>
              <w:rPr>
                <w:rFonts w:hint="eastAsia"/>
                <w:color w:val="auto"/>
                <w:sz w:val="21"/>
                <w:szCs w:val="21"/>
                <w:highlight w:val="none"/>
              </w:rPr>
              <w:t>属强制采购或优先采购</w:t>
            </w:r>
          </w:p>
        </w:tc>
      </w:tr>
      <w:tr w14:paraId="18D74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95B8E6D">
            <w:pPr>
              <w:pStyle w:val="44"/>
              <w:numPr>
                <w:ilvl w:val="0"/>
                <w:numId w:val="4"/>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1532E04E">
            <w:pPr>
              <w:pStyle w:val="44"/>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3CDFCC5">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1A4E845A">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4348699">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4CEBECC8">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782F642">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2EADA19A">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BC80F3F">
            <w:pPr>
              <w:pStyle w:val="44"/>
              <w:jc w:val="center"/>
              <w:rPr>
                <w:color w:val="auto"/>
                <w:sz w:val="21"/>
                <w:szCs w:val="21"/>
                <w:highlight w:val="none"/>
              </w:rPr>
            </w:pPr>
          </w:p>
        </w:tc>
      </w:tr>
      <w:tr w14:paraId="13A56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009443BF">
            <w:pPr>
              <w:pStyle w:val="44"/>
              <w:numPr>
                <w:ilvl w:val="0"/>
                <w:numId w:val="4"/>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FB1FB35">
            <w:pPr>
              <w:pStyle w:val="44"/>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219D569">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79AEC486">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1046AFD5">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419C65DA">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6B1B3EB9">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5894FDF6">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C379112">
            <w:pPr>
              <w:pStyle w:val="44"/>
              <w:jc w:val="center"/>
              <w:rPr>
                <w:color w:val="auto"/>
                <w:sz w:val="21"/>
                <w:szCs w:val="21"/>
                <w:highlight w:val="none"/>
              </w:rPr>
            </w:pPr>
          </w:p>
        </w:tc>
      </w:tr>
      <w:tr w14:paraId="1A338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314FA40F">
            <w:pPr>
              <w:pStyle w:val="44"/>
              <w:numPr>
                <w:ilvl w:val="0"/>
                <w:numId w:val="4"/>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087F5988">
            <w:pPr>
              <w:pStyle w:val="44"/>
              <w:jc w:val="center"/>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790E1A28">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5A0864AE">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4C9F1D0">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686AC29">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1343A306">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A6317B8">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0E24D072">
            <w:pPr>
              <w:pStyle w:val="44"/>
              <w:jc w:val="center"/>
              <w:rPr>
                <w:color w:val="auto"/>
                <w:sz w:val="21"/>
                <w:szCs w:val="21"/>
                <w:highlight w:val="none"/>
              </w:rPr>
            </w:pPr>
          </w:p>
        </w:tc>
      </w:tr>
    </w:tbl>
    <w:p w14:paraId="2831E0BE">
      <w:pPr>
        <w:spacing w:line="300" w:lineRule="auto"/>
        <w:rPr>
          <w:rFonts w:ascii="Arial" w:hAnsi="Arial" w:cs="Arial"/>
          <w:color w:val="auto"/>
          <w:szCs w:val="21"/>
          <w:highlight w:val="none"/>
        </w:rPr>
      </w:pPr>
    </w:p>
    <w:p w14:paraId="60D44E3F">
      <w:pP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27"/>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1D26B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57131EF">
            <w:pPr>
              <w:pStyle w:val="44"/>
              <w:jc w:val="center"/>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B75546E">
            <w:pPr>
              <w:pStyle w:val="44"/>
              <w:jc w:val="center"/>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48807FE9">
            <w:pPr>
              <w:pStyle w:val="44"/>
              <w:jc w:val="center"/>
              <w:rPr>
                <w:color w:val="auto"/>
                <w:sz w:val="21"/>
                <w:szCs w:val="21"/>
                <w:highlight w:val="none"/>
              </w:rPr>
            </w:pPr>
            <w:r>
              <w:rPr>
                <w:rFonts w:hint="eastAsia"/>
                <w:color w:val="auto"/>
                <w:sz w:val="21"/>
                <w:szCs w:val="21"/>
                <w:highlight w:val="none"/>
              </w:rPr>
              <w:t>制造商</w:t>
            </w:r>
          </w:p>
          <w:p w14:paraId="6871D586">
            <w:pPr>
              <w:pStyle w:val="44"/>
              <w:jc w:val="center"/>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63CB73BC">
            <w:pPr>
              <w:pStyle w:val="44"/>
              <w:jc w:val="center"/>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46FFC544">
            <w:pPr>
              <w:pStyle w:val="44"/>
              <w:jc w:val="center"/>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067CEFC8">
            <w:pPr>
              <w:pStyle w:val="44"/>
              <w:jc w:val="center"/>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37A87868">
            <w:pPr>
              <w:pStyle w:val="44"/>
              <w:jc w:val="center"/>
              <w:rPr>
                <w:color w:val="auto"/>
                <w:sz w:val="21"/>
                <w:szCs w:val="21"/>
                <w:highlight w:val="none"/>
              </w:rPr>
            </w:pPr>
            <w:r>
              <w:rPr>
                <w:rFonts w:hint="eastAsia"/>
                <w:color w:val="auto"/>
                <w:sz w:val="21"/>
                <w:szCs w:val="21"/>
                <w:highlight w:val="none"/>
              </w:rPr>
              <w:t>单价</w:t>
            </w:r>
          </w:p>
          <w:p w14:paraId="09FBCB92">
            <w:pPr>
              <w:pStyle w:val="44"/>
              <w:jc w:val="center"/>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0A825EE6">
            <w:pPr>
              <w:pStyle w:val="44"/>
              <w:jc w:val="center"/>
              <w:rPr>
                <w:color w:val="auto"/>
                <w:sz w:val="21"/>
                <w:szCs w:val="21"/>
                <w:highlight w:val="none"/>
              </w:rPr>
            </w:pPr>
            <w:r>
              <w:rPr>
                <w:rFonts w:hint="eastAsia"/>
                <w:color w:val="auto"/>
                <w:sz w:val="21"/>
                <w:szCs w:val="21"/>
                <w:highlight w:val="none"/>
              </w:rPr>
              <w:t>总价</w:t>
            </w:r>
          </w:p>
          <w:p w14:paraId="33CDE01B">
            <w:pPr>
              <w:pStyle w:val="44"/>
              <w:jc w:val="center"/>
              <w:rPr>
                <w:color w:val="auto"/>
                <w:sz w:val="21"/>
                <w:szCs w:val="21"/>
                <w:highlight w:val="none"/>
              </w:rPr>
            </w:pPr>
            <w:r>
              <w:rPr>
                <w:rFonts w:hint="eastAsia"/>
                <w:color w:val="auto"/>
                <w:sz w:val="21"/>
                <w:szCs w:val="21"/>
                <w:highlight w:val="none"/>
              </w:rPr>
              <w:t>（万元）</w:t>
            </w:r>
          </w:p>
        </w:tc>
      </w:tr>
      <w:tr w14:paraId="73043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6FF683B">
            <w:pPr>
              <w:pStyle w:val="44"/>
              <w:numPr>
                <w:ilvl w:val="0"/>
                <w:numId w:val="5"/>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2A116FE">
            <w:pPr>
              <w:pStyle w:val="44"/>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737EAFD8">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6148B80C">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46C9D21">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36E01E2C">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6EBB7355">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00014CA">
            <w:pPr>
              <w:pStyle w:val="44"/>
              <w:jc w:val="center"/>
              <w:rPr>
                <w:color w:val="auto"/>
                <w:sz w:val="21"/>
                <w:szCs w:val="21"/>
                <w:highlight w:val="none"/>
              </w:rPr>
            </w:pPr>
          </w:p>
        </w:tc>
      </w:tr>
      <w:tr w14:paraId="7D13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AE9564A">
            <w:pPr>
              <w:pStyle w:val="44"/>
              <w:numPr>
                <w:ilvl w:val="0"/>
                <w:numId w:val="5"/>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57E2EB56">
            <w:pPr>
              <w:pStyle w:val="44"/>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588C31A9">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90A4A93">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6DA7E15">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037ECDB">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23BD0E45">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5D0710D8">
            <w:pPr>
              <w:pStyle w:val="44"/>
              <w:jc w:val="center"/>
              <w:rPr>
                <w:color w:val="auto"/>
                <w:sz w:val="21"/>
                <w:szCs w:val="21"/>
                <w:highlight w:val="none"/>
              </w:rPr>
            </w:pPr>
          </w:p>
        </w:tc>
      </w:tr>
      <w:tr w14:paraId="7AC8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2631B4FC">
            <w:pPr>
              <w:pStyle w:val="44"/>
              <w:numPr>
                <w:ilvl w:val="0"/>
                <w:numId w:val="5"/>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7A83E45D">
            <w:pPr>
              <w:pStyle w:val="44"/>
              <w:jc w:val="center"/>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313CA41C">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553DA88">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DE0615D">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874A069">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065BE9E4">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32910C53">
            <w:pPr>
              <w:pStyle w:val="44"/>
              <w:jc w:val="center"/>
              <w:rPr>
                <w:color w:val="auto"/>
                <w:sz w:val="21"/>
                <w:szCs w:val="21"/>
                <w:highlight w:val="none"/>
              </w:rPr>
            </w:pPr>
          </w:p>
        </w:tc>
      </w:tr>
    </w:tbl>
    <w:p w14:paraId="141E07B3">
      <w:pPr>
        <w:spacing w:line="300" w:lineRule="auto"/>
        <w:rPr>
          <w:rFonts w:ascii="Arial" w:hAnsi="Arial" w:cs="Arial"/>
          <w:color w:val="auto"/>
          <w:szCs w:val="21"/>
          <w:highlight w:val="none"/>
        </w:rPr>
      </w:pPr>
    </w:p>
    <w:p w14:paraId="606E5A08">
      <w:pPr>
        <w:rPr>
          <w:rFonts w:ascii="Arial" w:hAnsi="Arial" w:cs="Arial"/>
          <w:b/>
          <w:i w:val="0"/>
          <w:iCs w:val="0"/>
          <w:color w:val="auto"/>
          <w:sz w:val="21"/>
          <w:szCs w:val="21"/>
          <w:highlight w:val="none"/>
        </w:rPr>
      </w:pPr>
      <w:r>
        <w:rPr>
          <w:rFonts w:hint="eastAsia" w:ascii="Arial" w:hAnsi="Arial" w:cs="Arial"/>
          <w:b/>
          <w:i w:val="0"/>
          <w:iCs w:val="0"/>
          <w:color w:val="auto"/>
          <w:sz w:val="21"/>
          <w:szCs w:val="21"/>
          <w:highlight w:val="none"/>
        </w:rPr>
        <w:t>特别说明：</w:t>
      </w:r>
      <w:r>
        <w:rPr>
          <w:rFonts w:hint="eastAsia" w:ascii="Arial" w:hAnsi="Arial" w:cs="Arial"/>
          <w:b/>
          <w:i w:val="0"/>
          <w:iCs w:val="0"/>
          <w:color w:val="auto"/>
          <w:sz w:val="21"/>
          <w:szCs w:val="21"/>
          <w:highlight w:val="none"/>
          <w:lang w:val="en-US" w:eastAsia="zh-CN"/>
        </w:rPr>
        <w:t>供应商</w:t>
      </w:r>
      <w:r>
        <w:rPr>
          <w:rFonts w:hint="eastAsia" w:ascii="Arial" w:hAnsi="Arial" w:cs="Arial"/>
          <w:b/>
          <w:i w:val="0"/>
          <w:iCs w:val="0"/>
          <w:color w:val="auto"/>
          <w:sz w:val="21"/>
          <w:szCs w:val="21"/>
          <w:highlight w:val="none"/>
        </w:rPr>
        <w:t>应将所投产品中节能、环保产品分别列入上表中，并按本</w:t>
      </w:r>
      <w:r>
        <w:rPr>
          <w:rFonts w:hint="eastAsia" w:ascii="Arial" w:hAnsi="Arial" w:cs="Arial"/>
          <w:b/>
          <w:i w:val="0"/>
          <w:iCs w:val="0"/>
          <w:color w:val="auto"/>
          <w:sz w:val="21"/>
          <w:szCs w:val="21"/>
          <w:highlight w:val="none"/>
          <w:lang w:val="en-US" w:eastAsia="zh-CN"/>
        </w:rPr>
        <w:t>竞争性磋商</w:t>
      </w:r>
      <w:r>
        <w:rPr>
          <w:rFonts w:hint="eastAsia" w:ascii="Arial" w:hAnsi="Arial" w:cs="Arial"/>
          <w:b/>
          <w:i w:val="0"/>
          <w:iCs w:val="0"/>
          <w:color w:val="auto"/>
          <w:sz w:val="21"/>
          <w:szCs w:val="21"/>
          <w:highlight w:val="none"/>
        </w:rPr>
        <w:t>文件</w:t>
      </w:r>
      <w:r>
        <w:rPr>
          <w:rFonts w:hint="eastAsia" w:ascii="Arial" w:hAnsi="Arial" w:cs="Arial"/>
          <w:b/>
          <w:i w:val="0"/>
          <w:iCs w:val="0"/>
          <w:color w:val="auto"/>
          <w:sz w:val="21"/>
          <w:szCs w:val="21"/>
          <w:highlight w:val="none"/>
          <w:lang w:val="en-US" w:eastAsia="zh-CN"/>
        </w:rPr>
        <w:t>“</w:t>
      </w:r>
      <w:r>
        <w:rPr>
          <w:rFonts w:hint="eastAsia" w:ascii="Arial" w:hAnsi="Arial" w:cs="Arial"/>
          <w:b/>
          <w:i w:val="0"/>
          <w:iCs w:val="0"/>
          <w:color w:val="auto"/>
          <w:sz w:val="21"/>
          <w:szCs w:val="21"/>
          <w:highlight w:val="none"/>
        </w:rPr>
        <w:t>第二章</w:t>
      </w:r>
      <w:r>
        <w:rPr>
          <w:rFonts w:hint="eastAsia" w:ascii="Arial" w:hAnsi="Arial" w:cs="Arial"/>
          <w:b/>
          <w:i w:val="0"/>
          <w:iCs w:val="0"/>
          <w:color w:val="auto"/>
          <w:sz w:val="21"/>
          <w:szCs w:val="21"/>
          <w:highlight w:val="none"/>
          <w:lang w:val="en-US" w:eastAsia="zh-CN"/>
        </w:rPr>
        <w:t>供应商须知”</w:t>
      </w:r>
      <w:r>
        <w:rPr>
          <w:rFonts w:hint="eastAsia" w:ascii="Arial" w:hAnsi="Arial" w:cs="Arial"/>
          <w:b/>
          <w:i w:val="0"/>
          <w:iCs w:val="0"/>
          <w:color w:val="auto"/>
          <w:sz w:val="21"/>
          <w:szCs w:val="21"/>
          <w:highlight w:val="none"/>
        </w:rPr>
        <w:t>提供相关证明材料，未填写本表或未提供有效认证证书</w:t>
      </w:r>
      <w:r>
        <w:rPr>
          <w:rFonts w:ascii="Arial" w:hAnsi="Arial" w:cs="Arial"/>
          <w:b/>
          <w:i w:val="0"/>
          <w:iCs w:val="0"/>
          <w:color w:val="auto"/>
          <w:sz w:val="21"/>
          <w:szCs w:val="21"/>
          <w:highlight w:val="none"/>
        </w:rPr>
        <w:t>的</w:t>
      </w:r>
      <w:r>
        <w:rPr>
          <w:rFonts w:hint="eastAsia" w:ascii="Arial" w:hAnsi="Arial" w:cs="Arial"/>
          <w:b/>
          <w:i w:val="0"/>
          <w:iCs w:val="0"/>
          <w:color w:val="auto"/>
          <w:sz w:val="21"/>
          <w:szCs w:val="21"/>
          <w:highlight w:val="none"/>
        </w:rPr>
        <w:t>不给予</w:t>
      </w:r>
      <w:r>
        <w:rPr>
          <w:rFonts w:ascii="Arial" w:hAnsi="Arial" w:cs="Arial"/>
          <w:b/>
          <w:i w:val="0"/>
          <w:iCs w:val="0"/>
          <w:color w:val="auto"/>
          <w:sz w:val="21"/>
          <w:szCs w:val="21"/>
          <w:highlight w:val="none"/>
        </w:rPr>
        <w:t>价格扣除</w:t>
      </w:r>
      <w:r>
        <w:rPr>
          <w:rFonts w:hint="eastAsia" w:ascii="Arial" w:hAnsi="Arial" w:cs="Arial"/>
          <w:b/>
          <w:i w:val="0"/>
          <w:iCs w:val="0"/>
          <w:color w:val="auto"/>
          <w:sz w:val="21"/>
          <w:szCs w:val="21"/>
          <w:highlight w:val="none"/>
        </w:rPr>
        <w:t>。</w:t>
      </w:r>
    </w:p>
    <w:p w14:paraId="675C9164">
      <w:pPr>
        <w:spacing w:line="300" w:lineRule="auto"/>
        <w:rPr>
          <w:rFonts w:ascii="Arial" w:hAnsi="Arial" w:cs="Arial"/>
          <w:i w:val="0"/>
          <w:iCs w:val="0"/>
          <w:color w:val="auto"/>
          <w:szCs w:val="21"/>
          <w:highlight w:val="none"/>
        </w:rPr>
      </w:pPr>
    </w:p>
    <w:p w14:paraId="402F965E">
      <w:pPr>
        <w:spacing w:line="300" w:lineRule="auto"/>
        <w:rPr>
          <w:rFonts w:ascii="Arial" w:hAnsi="Arial" w:cs="Arial"/>
          <w:i w:val="0"/>
          <w:iCs w:val="0"/>
          <w:color w:val="auto"/>
          <w:szCs w:val="21"/>
          <w:highlight w:val="none"/>
        </w:rPr>
      </w:pPr>
      <w:r>
        <w:rPr>
          <w:rFonts w:hint="eastAsia" w:ascii="Arial" w:hAnsi="Arial" w:cs="Arial"/>
          <w:i w:val="0"/>
          <w:iCs w:val="0"/>
          <w:color w:val="auto"/>
          <w:szCs w:val="21"/>
          <w:highlight w:val="none"/>
          <w:lang w:val="en-US" w:eastAsia="zh-CN"/>
        </w:rPr>
        <w:t>供应商</w:t>
      </w:r>
      <w:r>
        <w:rPr>
          <w:rFonts w:ascii="Arial" w:hAnsi="Arial" w:cs="Arial"/>
          <w:i w:val="0"/>
          <w:iCs w:val="0"/>
          <w:color w:val="auto"/>
          <w:szCs w:val="21"/>
          <w:highlight w:val="none"/>
        </w:rPr>
        <w:t>名称：</w:t>
      </w:r>
    </w:p>
    <w:p w14:paraId="3068A70D">
      <w:pPr>
        <w:rPr>
          <w:rFonts w:ascii="Arial" w:hAnsi="Arial" w:cs="Arial"/>
          <w:i w:val="0"/>
          <w:iCs w:val="0"/>
          <w:color w:val="auto"/>
          <w:szCs w:val="21"/>
          <w:highlight w:val="none"/>
        </w:rPr>
      </w:pPr>
      <w:r>
        <w:rPr>
          <w:rFonts w:ascii="Arial" w:hAnsi="Arial" w:cs="Arial"/>
          <w:i w:val="0"/>
          <w:iCs w:val="0"/>
          <w:color w:val="auto"/>
          <w:szCs w:val="21"/>
          <w:highlight w:val="none"/>
        </w:rPr>
        <w:t>日期：</w:t>
      </w:r>
    </w:p>
    <w:p w14:paraId="70617D68">
      <w:pPr>
        <w:rPr>
          <w:rFonts w:ascii="Arial" w:hAnsi="Arial" w:cs="Arial"/>
          <w:i w:val="0"/>
          <w:iCs w:val="0"/>
          <w:color w:val="auto"/>
          <w:szCs w:val="21"/>
          <w:highlight w:val="none"/>
        </w:rPr>
      </w:pPr>
      <w:r>
        <w:rPr>
          <w:rFonts w:ascii="Arial" w:hAnsi="Arial" w:cs="Arial"/>
          <w:i w:val="0"/>
          <w:iCs w:val="0"/>
          <w:color w:val="auto"/>
          <w:szCs w:val="21"/>
          <w:highlight w:val="none"/>
        </w:rPr>
        <w:br w:type="page"/>
      </w:r>
    </w:p>
    <w:p w14:paraId="711C0C58">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color w:val="auto"/>
          <w:kern w:val="2"/>
          <w:sz w:val="24"/>
          <w:szCs w:val="24"/>
          <w:highlight w:val="none"/>
          <w:lang w:val="en-US" w:eastAsia="zh-CN" w:bidi="ar-SA"/>
        </w:rPr>
      </w:pPr>
      <w:bookmarkStart w:id="1217" w:name="_Toc163492939"/>
      <w:bookmarkStart w:id="1218" w:name="_Toc17478"/>
      <w:r>
        <w:rPr>
          <w:rFonts w:hint="eastAsia" w:ascii="宋体" w:hAnsi="宋体" w:eastAsia="宋体" w:cstheme="minorBidi"/>
          <w:b/>
          <w:bCs/>
          <w:color w:val="auto"/>
          <w:kern w:val="2"/>
          <w:sz w:val="24"/>
          <w:szCs w:val="24"/>
          <w:highlight w:val="none"/>
          <w:lang w:val="en-US" w:eastAsia="zh-CN" w:bidi="ar-SA"/>
        </w:rPr>
        <w:t>（二）中小企业声明函</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color w:val="auto"/>
          <w:kern w:val="2"/>
          <w:sz w:val="24"/>
          <w:szCs w:val="24"/>
          <w:highlight w:val="none"/>
          <w:lang w:val="en-US" w:eastAsia="zh-CN" w:bidi="ar-SA"/>
        </w:rPr>
        <w:t>】</w:t>
      </w:r>
      <w:bookmarkEnd w:id="1217"/>
      <w:bookmarkEnd w:id="1218"/>
    </w:p>
    <w:p w14:paraId="17DF8322">
      <w:pPr>
        <w:pStyle w:val="37"/>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color w:val="auto"/>
          <w:sz w:val="32"/>
          <w:szCs w:val="32"/>
          <w:highlight w:val="none"/>
        </w:rPr>
      </w:pPr>
    </w:p>
    <w:p w14:paraId="53FBBEA6">
      <w:pPr>
        <w:spacing w:line="360" w:lineRule="auto"/>
        <w:jc w:val="center"/>
        <w:rPr>
          <w:rFonts w:ascii="宋体" w:hAnsi="宋体" w:cs="宋体"/>
          <w:b/>
          <w:i w:val="0"/>
          <w:iCs w:val="0"/>
          <w:color w:val="auto"/>
          <w:sz w:val="32"/>
          <w:szCs w:val="32"/>
          <w:highlight w:val="none"/>
        </w:rPr>
      </w:pPr>
      <w:r>
        <w:rPr>
          <w:rFonts w:hint="eastAsia"/>
          <w:b/>
          <w:bCs/>
          <w:color w:val="auto"/>
          <w:sz w:val="32"/>
          <w:szCs w:val="32"/>
          <w:highlight w:val="none"/>
        </w:rPr>
        <w:t>中小企业声明函</w:t>
      </w:r>
    </w:p>
    <w:p w14:paraId="220BFBEA">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i w:val="0"/>
          <w:iCs w:val="0"/>
          <w:color w:val="auto"/>
          <w:sz w:val="24"/>
          <w:highlight w:val="none"/>
          <w:u w:val="single"/>
        </w:rPr>
        <w:t>（</w:t>
      </w:r>
      <w:r>
        <w:rPr>
          <w:rFonts w:hint="eastAsia" w:cs="宋体"/>
          <w:i w:val="0"/>
          <w:iCs w:val="0"/>
          <w:color w:val="auto"/>
          <w:sz w:val="24"/>
          <w:highlight w:val="none"/>
          <w:u w:val="single"/>
          <w:lang w:val="en-US" w:eastAsia="zh-CN"/>
        </w:rPr>
        <w:t>单位名称</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的</w:t>
      </w:r>
      <w:r>
        <w:rPr>
          <w:rFonts w:hint="eastAsia" w:ascii="宋体" w:hAnsi="宋体" w:eastAsia="宋体" w:cs="宋体"/>
          <w:i w:val="0"/>
          <w:iCs w:val="0"/>
          <w:color w:val="auto"/>
          <w:sz w:val="24"/>
          <w:highlight w:val="none"/>
          <w:u w:val="single"/>
        </w:rPr>
        <w:t xml:space="preserve"> （项目名称） </w:t>
      </w:r>
      <w:r>
        <w:rPr>
          <w:rFonts w:hint="eastAsia" w:ascii="宋体" w:hAnsi="宋体" w:eastAsia="宋体" w:cs="宋体"/>
          <w:i w:val="0"/>
          <w:iCs w:val="0"/>
          <w:color w:val="auto"/>
          <w:sz w:val="24"/>
          <w:highlight w:val="none"/>
        </w:rPr>
        <w:t>采购活动，工程的施工单位全部为符合政策要求的中小企业。相关企业（含联合体中的中小企业、签订分包意向协议的中小企业）的具体情况如下：</w:t>
      </w:r>
    </w:p>
    <w:p w14:paraId="04EA303F">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1.</w:t>
      </w:r>
      <w:r>
        <w:rPr>
          <w:rFonts w:hint="eastAsia" w:ascii="宋体" w:hAnsi="宋体" w:eastAsia="宋体" w:cs="宋体"/>
          <w:i w:val="0"/>
          <w:iCs w:val="0"/>
          <w:color w:val="auto"/>
          <w:highlight w:val="none"/>
        </w:rPr>
        <w:t xml:space="preserve"> </w:t>
      </w:r>
      <w:r>
        <w:rPr>
          <w:rFonts w:hint="eastAsia" w:ascii="宋体" w:hAnsi="宋体" w:eastAsia="宋体" w:cs="宋体"/>
          <w:i w:val="0"/>
          <w:iCs w:val="0"/>
          <w:color w:val="auto"/>
          <w:sz w:val="24"/>
          <w:highlight w:val="none"/>
          <w:u w:val="single"/>
        </w:rPr>
        <w:t>（标的名称）</w:t>
      </w:r>
      <w:r>
        <w:rPr>
          <w:rFonts w:hint="eastAsia" w:ascii="宋体" w:hAnsi="宋体" w:eastAsia="宋体" w:cs="宋体"/>
          <w:i w:val="0"/>
          <w:iCs w:val="0"/>
          <w:color w:val="auto"/>
          <w:sz w:val="24"/>
          <w:highlight w:val="none"/>
        </w:rPr>
        <w:t xml:space="preserve">，属于 </w:t>
      </w:r>
      <w:r>
        <w:rPr>
          <w:rFonts w:hint="eastAsia" w:ascii="宋体" w:hAnsi="宋体" w:eastAsia="宋体" w:cs="宋体"/>
          <w:i w:val="0"/>
          <w:iCs w:val="0"/>
          <w:color w:val="auto"/>
          <w:sz w:val="24"/>
          <w:highlight w:val="none"/>
          <w:u w:val="single"/>
        </w:rPr>
        <w:t>（采购文件中明确的所属行业）</w:t>
      </w:r>
      <w:r>
        <w:rPr>
          <w:rFonts w:hint="eastAsia" w:ascii="宋体" w:hAnsi="宋体" w:eastAsia="宋体" w:cs="宋体"/>
          <w:i w:val="0"/>
          <w:iCs w:val="0"/>
          <w:color w:val="auto"/>
          <w:sz w:val="24"/>
          <w:highlight w:val="none"/>
        </w:rPr>
        <w:t xml:space="preserve"> ；承建企业为 </w:t>
      </w:r>
      <w:r>
        <w:rPr>
          <w:rFonts w:hint="eastAsia" w:ascii="宋体" w:hAnsi="宋体" w:eastAsia="宋体" w:cs="宋体"/>
          <w:i w:val="0"/>
          <w:iCs w:val="0"/>
          <w:color w:val="auto"/>
          <w:sz w:val="24"/>
          <w:highlight w:val="none"/>
          <w:u w:val="single"/>
        </w:rPr>
        <w:t>（企业名称）</w:t>
      </w:r>
      <w:r>
        <w:rPr>
          <w:rFonts w:hint="eastAsia" w:ascii="宋体" w:hAnsi="宋体" w:eastAsia="宋体" w:cs="宋体"/>
          <w:i w:val="0"/>
          <w:iCs w:val="0"/>
          <w:color w:val="auto"/>
          <w:sz w:val="24"/>
          <w:highlight w:val="none"/>
        </w:rPr>
        <w:t xml:space="preserve"> ，从业人员</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人，营业收入为</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万元，资产总额为</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万元</w:t>
      </w:r>
      <w:r>
        <w:rPr>
          <w:rFonts w:hint="eastAsia" w:cs="宋体"/>
          <w:i w:val="0"/>
          <w:iCs w:val="0"/>
          <w:color w:val="auto"/>
          <w:sz w:val="24"/>
          <w:highlight w:val="none"/>
          <w:lang w:eastAsia="zh-CN"/>
        </w:rPr>
        <w:t>，</w:t>
      </w:r>
      <w:r>
        <w:rPr>
          <w:rFonts w:hint="eastAsia" w:ascii="宋体" w:hAnsi="宋体" w:eastAsia="宋体" w:cs="宋体"/>
          <w:i w:val="0"/>
          <w:iCs w:val="0"/>
          <w:color w:val="auto"/>
          <w:sz w:val="24"/>
          <w:highlight w:val="none"/>
        </w:rPr>
        <w:t>属于</w:t>
      </w:r>
      <w:r>
        <w:rPr>
          <w:rFonts w:hint="eastAsia" w:ascii="宋体" w:hAnsi="宋体" w:eastAsia="宋体" w:cs="宋体"/>
          <w:i w:val="0"/>
          <w:iCs w:val="0"/>
          <w:color w:val="auto"/>
          <w:sz w:val="24"/>
          <w:highlight w:val="none"/>
          <w:u w:val="single"/>
        </w:rPr>
        <w:t xml:space="preserve"> （中型企业、小型企业、微型企业） </w:t>
      </w:r>
      <w:r>
        <w:rPr>
          <w:rFonts w:hint="eastAsia" w:ascii="宋体" w:hAnsi="宋体" w:eastAsia="宋体" w:cs="宋体"/>
          <w:i w:val="0"/>
          <w:iCs w:val="0"/>
          <w:color w:val="auto"/>
          <w:sz w:val="24"/>
          <w:highlight w:val="none"/>
        </w:rPr>
        <w:t>；</w:t>
      </w:r>
    </w:p>
    <w:p w14:paraId="4F02369D">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2.</w:t>
      </w:r>
      <w:r>
        <w:rPr>
          <w:rFonts w:hint="eastAsia" w:ascii="宋体" w:hAnsi="宋体" w:eastAsia="宋体" w:cs="宋体"/>
          <w:i w:val="0"/>
          <w:iCs w:val="0"/>
          <w:color w:val="auto"/>
          <w:highlight w:val="none"/>
        </w:rPr>
        <w:t xml:space="preserve"> </w:t>
      </w:r>
      <w:r>
        <w:rPr>
          <w:rFonts w:hint="eastAsia" w:ascii="宋体" w:hAnsi="宋体" w:eastAsia="宋体" w:cs="宋体"/>
          <w:i w:val="0"/>
          <w:iCs w:val="0"/>
          <w:color w:val="auto"/>
          <w:sz w:val="24"/>
          <w:highlight w:val="none"/>
          <w:u w:val="single"/>
        </w:rPr>
        <w:t>（标的名称）</w:t>
      </w:r>
      <w:r>
        <w:rPr>
          <w:rFonts w:hint="eastAsia" w:ascii="宋体" w:hAnsi="宋体" w:eastAsia="宋体" w:cs="宋体"/>
          <w:i w:val="0"/>
          <w:iCs w:val="0"/>
          <w:color w:val="auto"/>
          <w:sz w:val="24"/>
          <w:highlight w:val="none"/>
        </w:rPr>
        <w:t xml:space="preserve">，属于 </w:t>
      </w:r>
      <w:r>
        <w:rPr>
          <w:rFonts w:hint="eastAsia" w:ascii="宋体" w:hAnsi="宋体" w:eastAsia="宋体" w:cs="宋体"/>
          <w:i w:val="0"/>
          <w:iCs w:val="0"/>
          <w:color w:val="auto"/>
          <w:sz w:val="24"/>
          <w:highlight w:val="none"/>
          <w:u w:val="single"/>
        </w:rPr>
        <w:t>（采购文件中明确的所属行业）</w:t>
      </w:r>
      <w:r>
        <w:rPr>
          <w:rFonts w:hint="eastAsia" w:ascii="宋体" w:hAnsi="宋体" w:eastAsia="宋体" w:cs="宋体"/>
          <w:i w:val="0"/>
          <w:iCs w:val="0"/>
          <w:color w:val="auto"/>
          <w:sz w:val="24"/>
          <w:highlight w:val="none"/>
        </w:rPr>
        <w:t xml:space="preserve"> ；承建企业为 </w:t>
      </w:r>
      <w:r>
        <w:rPr>
          <w:rFonts w:hint="eastAsia" w:ascii="宋体" w:hAnsi="宋体" w:eastAsia="宋体" w:cs="宋体"/>
          <w:i w:val="0"/>
          <w:iCs w:val="0"/>
          <w:color w:val="auto"/>
          <w:sz w:val="24"/>
          <w:highlight w:val="none"/>
          <w:u w:val="single"/>
        </w:rPr>
        <w:t>（企业名称）</w:t>
      </w:r>
      <w:r>
        <w:rPr>
          <w:rFonts w:hint="eastAsia" w:ascii="宋体" w:hAnsi="宋体" w:eastAsia="宋体" w:cs="宋体"/>
          <w:i w:val="0"/>
          <w:iCs w:val="0"/>
          <w:color w:val="auto"/>
          <w:sz w:val="24"/>
          <w:highlight w:val="none"/>
        </w:rPr>
        <w:t xml:space="preserve"> ，从业人员</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人，营业收入为</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万元，资产总额为</w:t>
      </w:r>
      <w:r>
        <w:rPr>
          <w:rFonts w:hint="eastAsia" w:ascii="宋体" w:hAnsi="宋体" w:eastAsia="宋体" w:cs="宋体"/>
          <w:i w:val="0"/>
          <w:iCs w:val="0"/>
          <w:color w:val="auto"/>
          <w:sz w:val="24"/>
          <w:highlight w:val="none"/>
          <w:u w:val="single"/>
        </w:rPr>
        <w:t xml:space="preserve">  </w:t>
      </w:r>
      <w:r>
        <w:rPr>
          <w:rFonts w:hint="eastAsia" w:cs="宋体"/>
          <w:i w:val="0"/>
          <w:iCs w:val="0"/>
          <w:color w:val="auto"/>
          <w:sz w:val="24"/>
          <w:highlight w:val="none"/>
          <w:u w:val="single"/>
          <w:lang w:val="en-US" w:eastAsia="zh-CN"/>
        </w:rPr>
        <w:t xml:space="preserve">   </w:t>
      </w:r>
      <w:r>
        <w:rPr>
          <w:rFonts w:hint="eastAsia" w:ascii="宋体" w:hAnsi="宋体" w:eastAsia="宋体" w:cs="宋体"/>
          <w:i w:val="0"/>
          <w:iCs w:val="0"/>
          <w:color w:val="auto"/>
          <w:sz w:val="24"/>
          <w:highlight w:val="none"/>
          <w:u w:val="single"/>
        </w:rPr>
        <w:t xml:space="preserve"> </w:t>
      </w:r>
      <w:r>
        <w:rPr>
          <w:rFonts w:hint="eastAsia" w:ascii="宋体" w:hAnsi="宋体" w:eastAsia="宋体" w:cs="宋体"/>
          <w:i w:val="0"/>
          <w:iCs w:val="0"/>
          <w:color w:val="auto"/>
          <w:sz w:val="24"/>
          <w:highlight w:val="none"/>
        </w:rPr>
        <w:t>万元</w:t>
      </w:r>
      <w:r>
        <w:rPr>
          <w:rFonts w:hint="eastAsia" w:cs="宋体"/>
          <w:i w:val="0"/>
          <w:iCs w:val="0"/>
          <w:color w:val="auto"/>
          <w:sz w:val="24"/>
          <w:highlight w:val="none"/>
          <w:lang w:eastAsia="zh-CN"/>
        </w:rPr>
        <w:t>，</w:t>
      </w:r>
      <w:r>
        <w:rPr>
          <w:rFonts w:hint="eastAsia" w:ascii="宋体" w:hAnsi="宋体" w:eastAsia="宋体" w:cs="宋体"/>
          <w:i w:val="0"/>
          <w:iCs w:val="0"/>
          <w:color w:val="auto"/>
          <w:sz w:val="24"/>
          <w:highlight w:val="none"/>
        </w:rPr>
        <w:t>属于</w:t>
      </w:r>
      <w:r>
        <w:rPr>
          <w:rFonts w:hint="eastAsia" w:ascii="宋体" w:hAnsi="宋体" w:eastAsia="宋体" w:cs="宋体"/>
          <w:i w:val="0"/>
          <w:iCs w:val="0"/>
          <w:color w:val="auto"/>
          <w:sz w:val="24"/>
          <w:highlight w:val="none"/>
          <w:u w:val="single"/>
        </w:rPr>
        <w:t xml:space="preserve"> （中型企业、小型企业、微型企业） </w:t>
      </w:r>
      <w:r>
        <w:rPr>
          <w:rFonts w:hint="eastAsia" w:ascii="宋体" w:hAnsi="宋体" w:eastAsia="宋体" w:cs="宋体"/>
          <w:i w:val="0"/>
          <w:iCs w:val="0"/>
          <w:color w:val="auto"/>
          <w:sz w:val="24"/>
          <w:highlight w:val="none"/>
        </w:rPr>
        <w:t>；</w:t>
      </w:r>
    </w:p>
    <w:p w14:paraId="58DDA894">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w:t>
      </w:r>
    </w:p>
    <w:p w14:paraId="68292050">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以上企业，不属于大企业的分支机构，不存在控股股东为大企业的情形，也不存在与大企业的负责人为同一人的情形。</w:t>
      </w:r>
    </w:p>
    <w:p w14:paraId="6474980D">
      <w:pPr>
        <w:spacing w:line="360" w:lineRule="auto"/>
        <w:ind w:firstLine="480" w:firstLineChars="200"/>
        <w:jc w:val="left"/>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本企业对上述声明内容的真实性负责。如有虚假，将依法承担相应责任。</w:t>
      </w:r>
    </w:p>
    <w:p w14:paraId="6F144CE6">
      <w:pPr>
        <w:spacing w:line="360" w:lineRule="auto"/>
        <w:ind w:firstLine="480" w:firstLineChars="200"/>
        <w:rPr>
          <w:rFonts w:hint="eastAsia" w:ascii="宋体" w:hAnsi="宋体" w:eastAsia="宋体" w:cs="宋体"/>
          <w:i w:val="0"/>
          <w:iCs w:val="0"/>
          <w:color w:val="auto"/>
          <w:sz w:val="24"/>
          <w:highlight w:val="none"/>
        </w:rPr>
      </w:pPr>
    </w:p>
    <w:p w14:paraId="2A781C2A">
      <w:pPr>
        <w:snapToGrid w:val="0"/>
        <w:spacing w:line="360" w:lineRule="auto"/>
        <w:ind w:firstLine="5160" w:firstLineChars="2150"/>
        <w:rPr>
          <w:rFonts w:hint="eastAsia" w:ascii="宋体" w:hAnsi="宋体" w:eastAsia="宋体" w:cs="宋体"/>
          <w:i w:val="0"/>
          <w:iCs w:val="0"/>
          <w:color w:val="auto"/>
          <w:kern w:val="0"/>
          <w:sz w:val="24"/>
          <w:highlight w:val="none"/>
        </w:rPr>
      </w:pPr>
      <w:r>
        <w:rPr>
          <w:rFonts w:hint="eastAsia" w:ascii="宋体" w:hAnsi="宋体" w:eastAsia="宋体" w:cs="宋体"/>
          <w:i w:val="0"/>
          <w:iCs w:val="0"/>
          <w:color w:val="auto"/>
          <w:kern w:val="0"/>
          <w:sz w:val="24"/>
          <w:highlight w:val="none"/>
          <w:lang w:val="zh-CN"/>
        </w:rPr>
        <w:t>供应商名称(</w:t>
      </w:r>
      <w:r>
        <w:rPr>
          <w:rFonts w:hint="eastAsia" w:cs="宋体"/>
          <w:i w:val="0"/>
          <w:iCs w:val="0"/>
          <w:color w:val="auto"/>
          <w:kern w:val="0"/>
          <w:sz w:val="24"/>
          <w:highlight w:val="none"/>
          <w:lang w:val="en-US" w:eastAsia="zh-CN"/>
        </w:rPr>
        <w:t>公章</w:t>
      </w:r>
      <w:r>
        <w:rPr>
          <w:rFonts w:hint="eastAsia" w:ascii="宋体" w:hAnsi="宋体" w:eastAsia="宋体" w:cs="宋体"/>
          <w:i w:val="0"/>
          <w:iCs w:val="0"/>
          <w:color w:val="auto"/>
          <w:kern w:val="0"/>
          <w:sz w:val="24"/>
          <w:highlight w:val="none"/>
          <w:lang w:val="zh-CN"/>
        </w:rPr>
        <w:t>)：</w:t>
      </w:r>
    </w:p>
    <w:p w14:paraId="6457F571">
      <w:pPr>
        <w:snapToGrid w:val="0"/>
        <w:spacing w:line="360" w:lineRule="auto"/>
        <w:rPr>
          <w:rFonts w:hint="eastAsia" w:ascii="宋体" w:hAnsi="宋体" w:eastAsia="宋体" w:cs="宋体"/>
          <w:i w:val="0"/>
          <w:iCs w:val="0"/>
          <w:color w:val="auto"/>
          <w:kern w:val="0"/>
          <w:sz w:val="24"/>
          <w:highlight w:val="none"/>
          <w:lang w:val="zh-CN"/>
        </w:rPr>
      </w:pPr>
      <w:r>
        <w:rPr>
          <w:rFonts w:hint="eastAsia" w:ascii="宋体" w:hAnsi="宋体" w:eastAsia="宋体" w:cs="宋体"/>
          <w:i w:val="0"/>
          <w:iCs w:val="0"/>
          <w:color w:val="auto"/>
          <w:kern w:val="0"/>
          <w:sz w:val="24"/>
          <w:highlight w:val="none"/>
          <w:lang w:val="zh-CN"/>
        </w:rPr>
        <w:t xml:space="preserve">                                           日期</w:t>
      </w:r>
      <w:r>
        <w:rPr>
          <w:rFonts w:hint="eastAsia" w:ascii="宋体" w:hAnsi="宋体" w:eastAsia="宋体" w:cs="宋体"/>
          <w:i w:val="0"/>
          <w:iCs w:val="0"/>
          <w:color w:val="auto"/>
          <w:kern w:val="0"/>
          <w:sz w:val="24"/>
          <w:highlight w:val="none"/>
        </w:rPr>
        <w:t xml:space="preserve">：  年  </w:t>
      </w:r>
      <w:r>
        <w:rPr>
          <w:rFonts w:hint="eastAsia" w:ascii="宋体" w:hAnsi="宋体" w:eastAsia="宋体" w:cs="宋体"/>
          <w:i w:val="0"/>
          <w:iCs w:val="0"/>
          <w:color w:val="auto"/>
          <w:kern w:val="0"/>
          <w:sz w:val="24"/>
          <w:highlight w:val="none"/>
          <w:lang w:val="zh-CN"/>
        </w:rPr>
        <w:t>月</w:t>
      </w:r>
      <w:r>
        <w:rPr>
          <w:rFonts w:hint="eastAsia" w:ascii="宋体" w:hAnsi="宋体" w:eastAsia="宋体" w:cs="宋体"/>
          <w:i w:val="0"/>
          <w:iCs w:val="0"/>
          <w:color w:val="auto"/>
          <w:kern w:val="0"/>
          <w:sz w:val="24"/>
          <w:highlight w:val="none"/>
        </w:rPr>
        <w:t xml:space="preserve">   </w:t>
      </w:r>
      <w:r>
        <w:rPr>
          <w:rFonts w:hint="eastAsia" w:ascii="宋体" w:hAnsi="宋体" w:eastAsia="宋体" w:cs="宋体"/>
          <w:i w:val="0"/>
          <w:iCs w:val="0"/>
          <w:color w:val="auto"/>
          <w:kern w:val="0"/>
          <w:sz w:val="24"/>
          <w:highlight w:val="none"/>
          <w:lang w:val="zh-CN"/>
        </w:rPr>
        <w:t>日</w:t>
      </w:r>
    </w:p>
    <w:p w14:paraId="459B85C0">
      <w:pPr>
        <w:snapToGrid w:val="0"/>
        <w:spacing w:line="360" w:lineRule="auto"/>
        <w:ind w:firstLine="420" w:firstLineChars="200"/>
        <w:rPr>
          <w:rFonts w:hint="eastAsia" w:ascii="宋体" w:hAnsi="宋体" w:eastAsia="宋体" w:cs="宋体"/>
          <w:i w:val="0"/>
          <w:iCs w:val="0"/>
          <w:color w:val="auto"/>
          <w:sz w:val="21"/>
          <w:szCs w:val="21"/>
          <w:highlight w:val="none"/>
        </w:rPr>
      </w:pPr>
    </w:p>
    <w:p w14:paraId="748B4DD4">
      <w:pPr>
        <w:rPr>
          <w:rFonts w:hint="default" w:cs="宋体"/>
          <w:b/>
          <w:bCs/>
          <w:i w:val="0"/>
          <w:iCs w:val="0"/>
          <w:color w:val="auto"/>
          <w:spacing w:val="6"/>
          <w:sz w:val="21"/>
          <w:szCs w:val="21"/>
          <w:highlight w:val="none"/>
          <w:lang w:val="en-US" w:eastAsia="zh-CN"/>
        </w:rPr>
      </w:pPr>
      <w:r>
        <w:rPr>
          <w:rFonts w:hint="eastAsia" w:cs="宋体"/>
          <w:b/>
          <w:bCs/>
          <w:i w:val="0"/>
          <w:iCs w:val="0"/>
          <w:color w:val="auto"/>
          <w:spacing w:val="6"/>
          <w:sz w:val="21"/>
          <w:szCs w:val="21"/>
          <w:highlight w:val="none"/>
        </w:rPr>
        <w:t>说明：</w:t>
      </w:r>
      <w:r>
        <w:rPr>
          <w:rFonts w:hint="eastAsia" w:cs="宋体"/>
          <w:b/>
          <w:bCs/>
          <w:i w:val="0"/>
          <w:iCs w:val="0"/>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645259F9">
      <w:pPr>
        <w:ind w:firstLine="446" w:firstLineChars="200"/>
        <w:rPr>
          <w:rFonts w:hint="eastAsia" w:cs="宋体"/>
          <w:i w:val="0"/>
          <w:iCs w:val="0"/>
          <w:color w:val="auto"/>
          <w:spacing w:val="6"/>
          <w:sz w:val="21"/>
          <w:szCs w:val="21"/>
          <w:highlight w:val="none"/>
        </w:rPr>
      </w:pPr>
      <w:r>
        <w:rPr>
          <w:rFonts w:hint="eastAsia" w:cs="宋体"/>
          <w:b/>
          <w:bCs/>
          <w:i w:val="0"/>
          <w:iCs w:val="0"/>
          <w:color w:val="auto"/>
          <w:spacing w:val="6"/>
          <w:sz w:val="21"/>
          <w:szCs w:val="21"/>
          <w:highlight w:val="none"/>
          <w:lang w:val="en-US" w:eastAsia="zh-CN"/>
        </w:rPr>
        <w:t>2.</w:t>
      </w:r>
      <w:r>
        <w:rPr>
          <w:rFonts w:hint="eastAsia" w:cs="宋体"/>
          <w:i w:val="0"/>
          <w:iCs w:val="0"/>
          <w:color w:val="auto"/>
          <w:spacing w:val="6"/>
          <w:sz w:val="21"/>
          <w:szCs w:val="21"/>
          <w:highlight w:val="none"/>
        </w:rPr>
        <w:t>从业人员、营业收入、资产总额填报上一年度数据，无上一年度数据的新成立企业可不填报。</w:t>
      </w:r>
    </w:p>
    <w:p w14:paraId="012BEE83">
      <w:pPr>
        <w:snapToGrid w:val="0"/>
        <w:spacing w:line="360" w:lineRule="auto"/>
        <w:ind w:firstLine="420" w:firstLineChars="200"/>
        <w:rPr>
          <w:rFonts w:hint="eastAsia" w:ascii="宋体" w:hAnsi="宋体" w:eastAsia="宋体" w:cs="宋体"/>
          <w:i w:val="0"/>
          <w:iCs w:val="0"/>
          <w:color w:val="auto"/>
          <w:sz w:val="21"/>
          <w:szCs w:val="21"/>
          <w:highlight w:val="none"/>
        </w:rPr>
      </w:pPr>
    </w:p>
    <w:p w14:paraId="600935B0">
      <w:pPr>
        <w:rPr>
          <w:rFonts w:cs="宋体"/>
          <w:i w:val="0"/>
          <w:iCs w:val="0"/>
          <w:color w:val="auto"/>
          <w:spacing w:val="6"/>
          <w:sz w:val="21"/>
          <w:szCs w:val="21"/>
          <w:highlight w:val="none"/>
        </w:rPr>
      </w:pPr>
    </w:p>
    <w:p w14:paraId="149F21C9">
      <w:pPr>
        <w:rPr>
          <w:rFonts w:cs="宋体"/>
          <w:i w:val="0"/>
          <w:iCs w:val="0"/>
          <w:color w:val="auto"/>
          <w:spacing w:val="6"/>
          <w:sz w:val="21"/>
          <w:szCs w:val="21"/>
          <w:highlight w:val="none"/>
        </w:rPr>
      </w:pPr>
    </w:p>
    <w:p w14:paraId="60EFE5EE">
      <w:pPr>
        <w:rPr>
          <w:rFonts w:cs="宋体"/>
          <w:i w:val="0"/>
          <w:iCs w:val="0"/>
          <w:color w:val="auto"/>
          <w:spacing w:val="6"/>
          <w:sz w:val="21"/>
          <w:szCs w:val="21"/>
          <w:highlight w:val="none"/>
        </w:rPr>
      </w:pPr>
    </w:p>
    <w:p w14:paraId="7006C7B7">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0A0B18BB">
      <w:pPr>
        <w:keepNext w:val="0"/>
        <w:keepLines w:val="0"/>
        <w:widowControl/>
        <w:suppressLineNumbers w:val="0"/>
        <w:ind w:firstLine="562" w:firstLineChars="200"/>
        <w:jc w:val="left"/>
        <w:rPr>
          <w:rStyle w:val="30"/>
          <w:rFonts w:hint="eastAsia" w:ascii="宋体" w:hAnsi="宋体" w:eastAsia="宋体" w:cs="宋体"/>
          <w:color w:val="auto"/>
          <w:kern w:val="0"/>
          <w:sz w:val="28"/>
          <w:szCs w:val="28"/>
          <w:highlight w:val="none"/>
          <w:lang w:val="en-US" w:eastAsia="zh-CN" w:bidi="ar"/>
        </w:rPr>
      </w:pPr>
    </w:p>
    <w:p w14:paraId="2C71B7D1">
      <w:pPr>
        <w:keepNext w:val="0"/>
        <w:keepLines w:val="0"/>
        <w:widowControl/>
        <w:suppressLineNumbers w:val="0"/>
        <w:ind w:firstLine="482" w:firstLineChars="200"/>
        <w:jc w:val="left"/>
        <w:rPr>
          <w:rStyle w:val="30"/>
          <w:rFonts w:hint="eastAsia" w:ascii="宋体" w:hAnsi="宋体" w:eastAsia="宋体" w:cs="宋体"/>
          <w:i w:val="0"/>
          <w:iCs w:val="0"/>
          <w:color w:val="auto"/>
          <w:kern w:val="0"/>
          <w:sz w:val="28"/>
          <w:szCs w:val="28"/>
          <w:highlight w:val="none"/>
          <w:lang w:val="en-US" w:eastAsia="zh-CN" w:bidi="ar"/>
        </w:rPr>
      </w:pPr>
      <w:r>
        <w:rPr>
          <w:rStyle w:val="30"/>
          <w:rFonts w:hint="eastAsia" w:ascii="宋体" w:hAnsi="宋体" w:eastAsia="宋体" w:cs="宋体"/>
          <w:color w:val="auto"/>
          <w:kern w:val="0"/>
          <w:sz w:val="24"/>
          <w:szCs w:val="24"/>
          <w:highlight w:val="none"/>
          <w:lang w:val="en-US" w:eastAsia="zh-CN" w:bidi="ar"/>
        </w:rPr>
        <w:t>（一）关于</w:t>
      </w:r>
      <w:r>
        <w:rPr>
          <w:rStyle w:val="30"/>
          <w:rFonts w:hint="eastAsia" w:cs="宋体"/>
          <w:color w:val="auto"/>
          <w:kern w:val="0"/>
          <w:sz w:val="24"/>
          <w:szCs w:val="24"/>
          <w:highlight w:val="none"/>
          <w:lang w:val="en-US" w:eastAsia="zh-CN" w:bidi="ar"/>
        </w:rPr>
        <w:t>“</w:t>
      </w:r>
      <w:r>
        <w:rPr>
          <w:rStyle w:val="30"/>
          <w:rFonts w:hint="eastAsia" w:ascii="宋体" w:hAnsi="宋体" w:eastAsia="宋体" w:cs="宋体"/>
          <w:color w:val="auto"/>
          <w:kern w:val="0"/>
          <w:sz w:val="24"/>
          <w:szCs w:val="24"/>
          <w:highlight w:val="none"/>
          <w:lang w:val="en-US" w:eastAsia="zh-CN" w:bidi="ar"/>
        </w:rPr>
        <w:t>中小企业声明函</w:t>
      </w:r>
      <w:r>
        <w:rPr>
          <w:rStyle w:val="30"/>
          <w:rFonts w:hint="eastAsia" w:cs="宋体"/>
          <w:color w:val="auto"/>
          <w:kern w:val="0"/>
          <w:sz w:val="24"/>
          <w:szCs w:val="24"/>
          <w:highlight w:val="none"/>
          <w:lang w:val="en-US" w:eastAsia="zh-CN" w:bidi="ar"/>
        </w:rPr>
        <w:t>”</w:t>
      </w:r>
      <w:r>
        <w:rPr>
          <w:rStyle w:val="30"/>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widowControl/>
        <w:suppressLineNumbers w:val="0"/>
        <w:ind w:firstLine="482" w:firstLineChars="200"/>
        <w:jc w:val="left"/>
        <w:rPr>
          <w:rStyle w:val="30"/>
          <w:rFonts w:hint="eastAsia" w:ascii="宋体" w:hAnsi="宋体" w:eastAsia="宋体" w:cs="宋体"/>
          <w:color w:val="auto"/>
          <w:kern w:val="0"/>
          <w:sz w:val="24"/>
          <w:szCs w:val="24"/>
          <w:highlight w:val="none"/>
          <w:lang w:val="en-US" w:eastAsia="zh-CN" w:bidi="ar"/>
        </w:rPr>
      </w:pPr>
      <w:r>
        <w:rPr>
          <w:rStyle w:val="30"/>
          <w:rFonts w:hint="eastAsia" w:ascii="宋体" w:hAnsi="宋体" w:eastAsia="宋体" w:cs="宋体"/>
          <w:color w:val="auto"/>
          <w:kern w:val="0"/>
          <w:sz w:val="24"/>
          <w:szCs w:val="24"/>
          <w:highlight w:val="none"/>
          <w:lang w:val="en-US" w:eastAsia="zh-CN" w:bidi="ar"/>
        </w:rPr>
        <w:t>（二）关于“中小企业声明函”的提交要求</w:t>
      </w:r>
    </w:p>
    <w:p w14:paraId="5F29A0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1.投标（响应）供应商对</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75B198BB">
      <w:pPr>
        <w:ind w:firstLine="480" w:firstLineChars="200"/>
        <w:rPr>
          <w:rFonts w:cs="宋体"/>
          <w:i w:val="0"/>
          <w:iCs w:val="0"/>
          <w:color w:val="auto"/>
          <w:spacing w:val="6"/>
          <w:sz w:val="21"/>
          <w:szCs w:val="21"/>
          <w:highlight w:val="none"/>
        </w:rPr>
      </w:pPr>
      <w:r>
        <w:rPr>
          <w:rFonts w:hint="eastAsia" w:ascii="宋体" w:hAnsi="宋体" w:eastAsia="宋体" w:cs="宋体"/>
          <w:i w:val="0"/>
          <w:iCs w:val="0"/>
          <w:color w:val="auto"/>
          <w:kern w:val="0"/>
          <w:sz w:val="24"/>
          <w:szCs w:val="28"/>
          <w:highlight w:val="none"/>
          <w:lang w:val="en-US" w:eastAsia="zh-CN" w:bidi="ar"/>
        </w:rPr>
        <w:t>3.如供应商提供的</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704D8A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i w:val="0"/>
          <w:iCs w:val="0"/>
          <w:color w:val="auto"/>
          <w:highlight w:val="none"/>
          <w:lang w:val="en-US" w:eastAsia="zh-CN"/>
        </w:rPr>
      </w:pPr>
    </w:p>
    <w:p w14:paraId="511B2BB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243BB2FE">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7FFC0F7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0"/>
          <w:rFonts w:hint="eastAsia" w:ascii="宋体" w:hAnsi="宋体" w:eastAsia="宋体" w:cs="宋体"/>
          <w:b w:val="0"/>
          <w:color w:val="auto"/>
          <w:sz w:val="24"/>
          <w:szCs w:val="24"/>
          <w:highlight w:val="none"/>
        </w:rPr>
      </w:pPr>
      <w:r>
        <w:rPr>
          <w:rStyle w:val="30"/>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0"/>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i w:val="0"/>
          <w:iCs w:val="0"/>
          <w:color w:val="auto"/>
          <w:sz w:val="24"/>
          <w:szCs w:val="24"/>
          <w:highlight w:val="none"/>
        </w:rPr>
      </w:pPr>
      <w:r>
        <w:rPr>
          <w:rStyle w:val="30"/>
          <w:rFonts w:hint="eastAsia" w:ascii="宋体" w:hAnsi="宋体" w:eastAsia="宋体" w:cs="宋体"/>
          <w:b w:val="0"/>
          <w:i w:val="0"/>
          <w:iCs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Style w:val="30"/>
          <w:rFonts w:hint="eastAsia" w:ascii="宋体" w:hAnsi="宋体" w:eastAsia="宋体" w:cs="宋体"/>
          <w:b/>
          <w:bCs w:val="0"/>
          <w:i w:val="0"/>
          <w:iCs w:val="0"/>
          <w:color w:val="auto"/>
          <w:sz w:val="30"/>
          <w:szCs w:val="30"/>
          <w:highlight w:val="none"/>
        </w:rPr>
      </w:pPr>
      <w:r>
        <w:rPr>
          <w:rStyle w:val="30"/>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line="400" w:lineRule="exact"/>
        <w:textAlignment w:val="auto"/>
        <w:rPr>
          <w:rFonts w:cs="宋体"/>
          <w:i w:val="0"/>
          <w:iCs w:val="0"/>
          <w:color w:val="auto"/>
          <w:spacing w:val="6"/>
          <w:sz w:val="21"/>
          <w:szCs w:val="21"/>
          <w:highlight w:val="none"/>
        </w:rPr>
      </w:pPr>
      <w:r>
        <w:rPr>
          <w:rStyle w:val="30"/>
          <w:rFonts w:hint="eastAsia" w:ascii="宋体" w:hAnsi="宋体" w:eastAsia="宋体" w:cs="宋体"/>
          <w:b w:val="0"/>
          <w:bCs w:val="0"/>
          <w:i w:val="0"/>
          <w:iCs w:val="0"/>
          <w:color w:val="auto"/>
          <w:sz w:val="24"/>
          <w:szCs w:val="24"/>
          <w:highlight w:val="none"/>
        </w:rPr>
        <w:t>十、本规定自发布之日起执行，原国家经贸委、原国家计委、财政部和国家统计局2003年颁布的《中小企业标准暂行规定》同时废止。</w:t>
      </w:r>
    </w:p>
    <w:p w14:paraId="5BCE9D64">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p w14:paraId="5FA7D1D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bookmarkStart w:id="1219" w:name="_Toc163492940"/>
      <w:r>
        <w:rPr>
          <w:rFonts w:hint="eastAsia"/>
          <w:b/>
          <w:bCs/>
          <w:color w:val="auto"/>
          <w:highlight w:val="none"/>
          <w:lang w:val="en-US" w:eastAsia="zh-CN"/>
        </w:rPr>
        <w:t>附件3：</w:t>
      </w:r>
    </w:p>
    <w:p w14:paraId="1AF7C83B">
      <w:pPr>
        <w:rPr>
          <w:rFonts w:hint="eastAsia" w:cs="宋体"/>
          <w:color w:val="auto"/>
          <w:spacing w:val="6"/>
          <w:sz w:val="21"/>
          <w:szCs w:val="21"/>
          <w:highlight w:val="none"/>
        </w:rPr>
      </w:pPr>
    </w:p>
    <w:p w14:paraId="134F6EBF">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0E9786C6">
      <w:pPr>
        <w:jc w:val="center"/>
        <w:rPr>
          <w:rStyle w:val="30"/>
          <w:rFonts w:hint="eastAsia" w:ascii="宋体" w:hAnsi="宋体" w:eastAsia="宋体" w:cs="宋体"/>
          <w:b w:val="0"/>
          <w:i w:val="0"/>
          <w:iCs w:val="0"/>
          <w:color w:val="auto"/>
          <w:sz w:val="24"/>
          <w:szCs w:val="24"/>
          <w:highlight w:val="none"/>
        </w:rPr>
      </w:pPr>
      <w:r>
        <w:rPr>
          <w:rStyle w:val="30"/>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i w:val="0"/>
          <w:i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line="460" w:lineRule="exact"/>
        <w:textAlignment w:val="auto"/>
        <w:rPr>
          <w:rStyle w:val="30"/>
          <w:rFonts w:hint="eastAsia" w:ascii="宋体" w:hAnsi="宋体" w:eastAsia="宋体" w:cs="宋体"/>
          <w:b w:val="0"/>
          <w:bCs w:val="0"/>
          <w:i w:val="0"/>
          <w:iCs w:val="0"/>
          <w:color w:val="auto"/>
          <w:sz w:val="24"/>
          <w:szCs w:val="24"/>
          <w:highlight w:val="none"/>
        </w:rPr>
      </w:pPr>
      <w:r>
        <w:rPr>
          <w:rFonts w:hint="eastAsia" w:cs="宋体"/>
          <w:i w:val="0"/>
          <w:iCs w:val="0"/>
          <w:color w:val="auto"/>
          <w:spacing w:val="6"/>
          <w:sz w:val="24"/>
          <w:szCs w:val="24"/>
          <w:highlight w:val="none"/>
        </w:rPr>
        <w:t>                                      </w:t>
      </w:r>
      <w:r>
        <w:rPr>
          <w:rStyle w:val="30"/>
          <w:rFonts w:hint="eastAsia" w:ascii="宋体" w:hAnsi="宋体" w:eastAsia="宋体" w:cs="宋体"/>
          <w:b w:val="0"/>
          <w:bCs w:val="0"/>
          <w:i w:val="0"/>
          <w:iCs w:val="0"/>
          <w:color w:val="auto"/>
          <w:sz w:val="24"/>
          <w:szCs w:val="24"/>
          <w:highlight w:val="none"/>
        </w:rPr>
        <w:t>       </w:t>
      </w:r>
      <w:r>
        <w:rPr>
          <w:rStyle w:val="30"/>
          <w:rFonts w:hint="eastAsia" w:cs="宋体"/>
          <w:b w:val="0"/>
          <w:bCs w:val="0"/>
          <w:i w:val="0"/>
          <w:iCs w:val="0"/>
          <w:color w:val="auto"/>
          <w:sz w:val="24"/>
          <w:szCs w:val="24"/>
          <w:highlight w:val="none"/>
          <w:lang w:val="en-US" w:eastAsia="zh-CN"/>
        </w:rPr>
        <w:t xml:space="preserve">                            </w:t>
      </w:r>
      <w:r>
        <w:rPr>
          <w:rStyle w:val="30"/>
          <w:rFonts w:hint="eastAsia" w:ascii="宋体" w:hAnsi="宋体" w:eastAsia="宋体" w:cs="宋体"/>
          <w:b w:val="0"/>
          <w:bCs w:val="0"/>
          <w:i w:val="0"/>
          <w:i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中华人民共和国国家统计局</w:t>
      </w:r>
    </w:p>
    <w:p w14:paraId="35EB1163">
      <w:pPr>
        <w:keepNext w:val="0"/>
        <w:keepLines w:val="0"/>
        <w:pageBreakBefore w:val="0"/>
        <w:widowControl w:val="0"/>
        <w:kinsoku/>
        <w:wordWrap/>
        <w:overflowPunct/>
        <w:topLinePunct w:val="0"/>
        <w:autoSpaceDE/>
        <w:autoSpaceDN/>
        <w:bidi w:val="0"/>
        <w:adjustRightInd/>
        <w:snapToGrid/>
        <w:spacing w:line="460" w:lineRule="exact"/>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                                                     </w:t>
      </w:r>
      <w:r>
        <w:rPr>
          <w:rStyle w:val="30"/>
          <w:rFonts w:hint="eastAsia" w:cs="宋体"/>
          <w:b w:val="0"/>
          <w:bCs w:val="0"/>
          <w:i w:val="0"/>
          <w:iCs w:val="0"/>
          <w:color w:val="auto"/>
          <w:sz w:val="24"/>
          <w:szCs w:val="24"/>
          <w:highlight w:val="none"/>
          <w:lang w:val="en-US" w:eastAsia="zh-CN"/>
        </w:rPr>
        <w:t xml:space="preserve">     </w:t>
      </w:r>
      <w:r>
        <w:rPr>
          <w:rStyle w:val="30"/>
          <w:rFonts w:hint="eastAsia" w:ascii="宋体" w:hAnsi="宋体" w:eastAsia="宋体" w:cs="宋体"/>
          <w:b w:val="0"/>
          <w:bCs w:val="0"/>
          <w:i w:val="0"/>
          <w:iCs w:val="0"/>
          <w:color w:val="auto"/>
          <w:sz w:val="24"/>
          <w:szCs w:val="24"/>
          <w:highlight w:val="none"/>
        </w:rPr>
        <w:t> 2015年9月28日</w:t>
      </w:r>
    </w:p>
    <w:p w14:paraId="2D875BF0">
      <w:pPr>
        <w:rPr>
          <w:rFonts w:hint="eastAsia" w:cs="宋体"/>
          <w:i w:val="0"/>
          <w:iCs w:val="0"/>
          <w:color w:val="auto"/>
          <w:spacing w:val="6"/>
          <w:sz w:val="21"/>
          <w:szCs w:val="21"/>
          <w:highlight w:val="none"/>
        </w:rPr>
      </w:pPr>
    </w:p>
    <w:p w14:paraId="3D3E2F07">
      <w:pPr>
        <w:rPr>
          <w:rFonts w:hint="eastAsia" w:cs="宋体"/>
          <w:i w:val="0"/>
          <w:iCs w:val="0"/>
          <w:color w:val="auto"/>
          <w:spacing w:val="6"/>
          <w:sz w:val="21"/>
          <w:szCs w:val="21"/>
          <w:highlight w:val="none"/>
          <w:lang w:val="en-US" w:eastAsia="zh-CN"/>
        </w:rPr>
      </w:pPr>
    </w:p>
    <w:p w14:paraId="7D55D2C4">
      <w:pPr>
        <w:rPr>
          <w:rFonts w:hint="eastAsia" w:cs="宋体"/>
          <w:i w:val="0"/>
          <w:iCs w:val="0"/>
          <w:color w:val="auto"/>
          <w:spacing w:val="6"/>
          <w:sz w:val="21"/>
          <w:szCs w:val="21"/>
          <w:highlight w:val="none"/>
          <w:lang w:val="en-US" w:eastAsia="zh-CN"/>
        </w:rPr>
      </w:pPr>
    </w:p>
    <w:p w14:paraId="535B7B3C">
      <w:pPr>
        <w:rPr>
          <w:rFonts w:hint="eastAsia" w:cs="宋体"/>
          <w:i w:val="0"/>
          <w:iCs w:val="0"/>
          <w:color w:val="auto"/>
          <w:spacing w:val="6"/>
          <w:sz w:val="21"/>
          <w:szCs w:val="21"/>
          <w:highlight w:val="none"/>
          <w:lang w:val="en-US" w:eastAsia="zh-CN"/>
        </w:rPr>
      </w:pPr>
    </w:p>
    <w:p w14:paraId="0003DA46">
      <w:pPr>
        <w:rPr>
          <w:rFonts w:hint="eastAsia" w:cs="宋体"/>
          <w:i w:val="0"/>
          <w:iCs w:val="0"/>
          <w:color w:val="auto"/>
          <w:spacing w:val="6"/>
          <w:sz w:val="21"/>
          <w:szCs w:val="21"/>
          <w:highlight w:val="none"/>
          <w:lang w:val="en-US" w:eastAsia="zh-CN"/>
        </w:rPr>
      </w:pPr>
    </w:p>
    <w:p w14:paraId="2EB5298D">
      <w:pPr>
        <w:rPr>
          <w:rFonts w:hint="eastAsia" w:cs="宋体"/>
          <w:i w:val="0"/>
          <w:iCs w:val="0"/>
          <w:color w:val="auto"/>
          <w:spacing w:val="6"/>
          <w:sz w:val="21"/>
          <w:szCs w:val="21"/>
          <w:highlight w:val="none"/>
          <w:lang w:val="en-US" w:eastAsia="zh-CN"/>
        </w:rPr>
      </w:pPr>
    </w:p>
    <w:p w14:paraId="04253368">
      <w:pPr>
        <w:rPr>
          <w:rFonts w:hint="eastAsia" w:cs="宋体"/>
          <w:color w:val="auto"/>
          <w:spacing w:val="6"/>
          <w:sz w:val="21"/>
          <w:szCs w:val="21"/>
          <w:highlight w:val="none"/>
          <w:lang w:val="en-US" w:eastAsia="zh-CN"/>
        </w:rPr>
      </w:pPr>
    </w:p>
    <w:p w14:paraId="0C202F82">
      <w:pPr>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w:t>
      </w:r>
      <w:r>
        <w:rPr>
          <w:rFonts w:hint="eastAsia" w:cs="宋体"/>
          <w:color w:val="auto"/>
          <w:spacing w:val="6"/>
          <w:sz w:val="21"/>
          <w:szCs w:val="21"/>
          <w:highlight w:val="none"/>
        </w:rPr>
        <w:t>              </w:t>
      </w:r>
    </w:p>
    <w:p w14:paraId="6F014A68">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color w:val="auto"/>
          <w:sz w:val="28"/>
          <w:szCs w:val="28"/>
          <w:highlight w:val="none"/>
        </w:rPr>
        <w:t>金融业企业划型标准规定</w:t>
      </w:r>
    </w:p>
    <w:p w14:paraId="35BCA7B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65CF45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二、适用范围。本规定适用于从事《国民经济行业分类》（GB/T4754-2011）中J门类（金融业）活动的企业。</w:t>
      </w:r>
    </w:p>
    <w:p w14:paraId="777FDD5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292D97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3BF8380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五、指标标准值。依据指标标准值，将各类金融业企业划分为大、中、小、微四个规模类型，中型企业标准上限及以上的为大型企业。</w:t>
      </w:r>
    </w:p>
    <w:p w14:paraId="742577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6C9C1B6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192CC4C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2B49DF9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D837DC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66F6F9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2D1B4E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0E5BB8B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lang w:eastAsia="zh-CN"/>
        </w:rPr>
      </w:pPr>
      <w:r>
        <w:rPr>
          <w:rStyle w:val="30"/>
          <w:rFonts w:hint="eastAsia" w:ascii="宋体" w:hAnsi="宋体" w:eastAsia="宋体" w:cs="宋体"/>
          <w:b w:val="0"/>
          <w:bCs w:val="0"/>
          <w:i w:val="0"/>
          <w:i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0"/>
          <w:rFonts w:hint="eastAsia" w:cs="宋体"/>
          <w:b w:val="0"/>
          <w:bCs w:val="0"/>
          <w:i w:val="0"/>
          <w:iCs w:val="0"/>
          <w:color w:val="auto"/>
          <w:sz w:val="24"/>
          <w:szCs w:val="24"/>
          <w:highlight w:val="none"/>
          <w:lang w:eastAsia="zh-CN"/>
        </w:rPr>
        <w:t>。</w:t>
      </w:r>
    </w:p>
    <w:p w14:paraId="32994D2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0"/>
          <w:rFonts w:hint="eastAsia" w:cs="宋体"/>
          <w:b w:val="0"/>
          <w:bCs w:val="0"/>
          <w:i w:val="0"/>
          <w:iCs w:val="0"/>
          <w:color w:val="auto"/>
          <w:sz w:val="24"/>
          <w:szCs w:val="24"/>
          <w:highlight w:val="none"/>
          <w:lang w:eastAsia="zh-CN"/>
        </w:rPr>
        <w:t>，</w:t>
      </w:r>
      <w:r>
        <w:rPr>
          <w:rStyle w:val="30"/>
          <w:rFonts w:hint="eastAsia" w:ascii="宋体" w:hAnsi="宋体" w:eastAsia="宋体" w:cs="宋体"/>
          <w:b w:val="0"/>
          <w:bCs w:val="0"/>
          <w:i w:val="0"/>
          <w:iCs w:val="0"/>
          <w:color w:val="auto"/>
          <w:sz w:val="24"/>
          <w:szCs w:val="24"/>
          <w:highlight w:val="none"/>
        </w:rPr>
        <w:t>方便政府部门和社会各界查询使用。</w:t>
      </w:r>
    </w:p>
    <w:p w14:paraId="034C48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七、标准值的评估和调整。金融业企业划型标准工作组每五年对划型标准值受经济发展与通货膨胀等因素的影响程度进行评估和调整。</w:t>
      </w:r>
    </w:p>
    <w:p w14:paraId="01F56FF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lang w:eastAsia="zh-CN"/>
        </w:rPr>
      </w:pPr>
      <w:r>
        <w:rPr>
          <w:rStyle w:val="30"/>
          <w:rFonts w:hint="eastAsia" w:ascii="宋体" w:hAnsi="宋体" w:eastAsia="宋体" w:cs="宋体"/>
          <w:b w:val="0"/>
          <w:bCs w:val="0"/>
          <w:i w:val="0"/>
          <w:i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0"/>
          <w:rFonts w:hint="eastAsia" w:cs="宋体"/>
          <w:b w:val="0"/>
          <w:bCs w:val="0"/>
          <w:i w:val="0"/>
          <w:iCs w:val="0"/>
          <w:color w:val="auto"/>
          <w:sz w:val="24"/>
          <w:szCs w:val="24"/>
          <w:highlight w:val="none"/>
          <w:lang w:eastAsia="zh-CN"/>
        </w:rPr>
        <w:t>。</w:t>
      </w:r>
    </w:p>
    <w:p w14:paraId="62B89F5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lang w:eastAsia="zh-CN"/>
        </w:rPr>
      </w:pPr>
      <w:r>
        <w:rPr>
          <w:rStyle w:val="30"/>
          <w:rFonts w:hint="eastAsia" w:ascii="宋体" w:hAnsi="宋体" w:eastAsia="宋体" w:cs="宋体"/>
          <w:b w:val="0"/>
          <w:bCs w:val="0"/>
          <w:i w:val="0"/>
          <w:iCs w:val="0"/>
          <w:color w:val="auto"/>
          <w:sz w:val="24"/>
          <w:szCs w:val="24"/>
          <w:highlight w:val="none"/>
        </w:rPr>
        <w:t>九、融资担保公司参照本规定中“除贷款公司、小额贷款公司、典当行以外的其他金融机构”标准划型</w:t>
      </w:r>
      <w:r>
        <w:rPr>
          <w:rStyle w:val="30"/>
          <w:rFonts w:hint="eastAsia" w:cs="宋体"/>
          <w:b w:val="0"/>
          <w:bCs w:val="0"/>
          <w:i w:val="0"/>
          <w:iCs w:val="0"/>
          <w:color w:val="auto"/>
          <w:sz w:val="24"/>
          <w:szCs w:val="24"/>
          <w:highlight w:val="none"/>
          <w:lang w:eastAsia="zh-CN"/>
        </w:rPr>
        <w:t>。</w:t>
      </w:r>
    </w:p>
    <w:p w14:paraId="5562FAB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十、本规定由人民银行会同银监会、证监会、保监会和统计局负责解释。</w:t>
      </w:r>
    </w:p>
    <w:p w14:paraId="0CD76B7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十一、本规定自发布之日起实施,</w:t>
      </w:r>
    </w:p>
    <w:p w14:paraId="5DAE7F9E">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p>
    <w:p w14:paraId="13D9865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i w:val="0"/>
          <w:iCs w:val="0"/>
          <w:color w:val="auto"/>
          <w:sz w:val="24"/>
          <w:szCs w:val="24"/>
          <w:highlight w:val="none"/>
        </w:rPr>
      </w:pPr>
      <w:r>
        <w:rPr>
          <w:rStyle w:val="30"/>
          <w:rFonts w:hint="eastAsia" w:ascii="宋体" w:hAnsi="宋体" w:eastAsia="宋体" w:cs="宋体"/>
          <w:b w:val="0"/>
          <w:bCs w:val="0"/>
          <w:i w:val="0"/>
          <w:iCs w:val="0"/>
          <w:color w:val="auto"/>
          <w:sz w:val="24"/>
          <w:szCs w:val="24"/>
          <w:highlight w:val="none"/>
        </w:rPr>
        <w:t>附:金融业企业划型标准</w:t>
      </w:r>
    </w:p>
    <w:p w14:paraId="4CB94869">
      <w:pPr>
        <w:rPr>
          <w:rFonts w:cs="宋体"/>
          <w:i w:val="0"/>
          <w:iCs w:val="0"/>
          <w:color w:val="auto"/>
          <w:spacing w:val="6"/>
          <w:sz w:val="21"/>
          <w:szCs w:val="21"/>
          <w:highlight w:val="none"/>
        </w:rPr>
      </w:pPr>
    </w:p>
    <w:p w14:paraId="018058A8">
      <w:pPr>
        <w:rPr>
          <w:rFonts w:hint="eastAsia" w:cs="宋体"/>
          <w:i w:val="0"/>
          <w:iCs w:val="0"/>
          <w:color w:val="auto"/>
          <w:spacing w:val="6"/>
          <w:sz w:val="24"/>
          <w:szCs w:val="24"/>
          <w:highlight w:val="none"/>
          <w:lang w:val="en-US" w:eastAsia="zh-CN"/>
        </w:rPr>
      </w:pPr>
    </w:p>
    <w:p w14:paraId="5023B69E">
      <w:pPr>
        <w:rPr>
          <w:rFonts w:hint="eastAsia" w:cs="宋体"/>
          <w:i w:val="0"/>
          <w:iCs w:val="0"/>
          <w:color w:val="auto"/>
          <w:spacing w:val="6"/>
          <w:sz w:val="24"/>
          <w:szCs w:val="24"/>
          <w:highlight w:val="none"/>
          <w:lang w:val="en-US" w:eastAsia="zh-CN"/>
        </w:rPr>
      </w:pPr>
    </w:p>
    <w:p w14:paraId="5F7D4B83">
      <w:pPr>
        <w:rPr>
          <w:rFonts w:hint="eastAsia" w:cs="宋体"/>
          <w:i w:val="0"/>
          <w:iCs w:val="0"/>
          <w:color w:val="auto"/>
          <w:spacing w:val="6"/>
          <w:sz w:val="24"/>
          <w:szCs w:val="24"/>
          <w:highlight w:val="none"/>
          <w:lang w:val="en-US" w:eastAsia="zh-CN"/>
        </w:rPr>
      </w:pPr>
    </w:p>
    <w:p w14:paraId="20B74F82">
      <w:pPr>
        <w:rPr>
          <w:rFonts w:hint="eastAsia" w:cs="宋体"/>
          <w:i w:val="0"/>
          <w:iCs w:val="0"/>
          <w:color w:val="auto"/>
          <w:spacing w:val="6"/>
          <w:sz w:val="24"/>
          <w:szCs w:val="24"/>
          <w:highlight w:val="none"/>
          <w:lang w:val="en-US" w:eastAsia="zh-CN"/>
        </w:rPr>
      </w:pPr>
    </w:p>
    <w:p w14:paraId="5D736742">
      <w:pPr>
        <w:rPr>
          <w:rFonts w:hint="eastAsia" w:cs="宋体"/>
          <w:color w:val="auto"/>
          <w:spacing w:val="6"/>
          <w:sz w:val="24"/>
          <w:szCs w:val="24"/>
          <w:highlight w:val="none"/>
          <w:lang w:val="en-US" w:eastAsia="zh-CN"/>
        </w:rPr>
      </w:pPr>
    </w:p>
    <w:p w14:paraId="226ECDE6">
      <w:pPr>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74D37D23">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color w:val="auto"/>
          <w:sz w:val="28"/>
          <w:szCs w:val="28"/>
          <w:highlight w:val="none"/>
        </w:rPr>
        <w:t>金融业企业划型标准</w:t>
      </w:r>
    </w:p>
    <w:tbl>
      <w:tblPr>
        <w:tblStyle w:val="28"/>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25F9841A">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行业</w:t>
            </w:r>
          </w:p>
        </w:tc>
        <w:tc>
          <w:tcPr>
            <w:tcW w:w="1817" w:type="dxa"/>
            <w:vAlign w:val="center"/>
          </w:tcPr>
          <w:p w14:paraId="3B4008BC">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类别</w:t>
            </w:r>
          </w:p>
        </w:tc>
        <w:tc>
          <w:tcPr>
            <w:tcW w:w="1143" w:type="dxa"/>
            <w:vAlign w:val="center"/>
          </w:tcPr>
          <w:p w14:paraId="199F0882">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类型</w:t>
            </w:r>
          </w:p>
        </w:tc>
        <w:tc>
          <w:tcPr>
            <w:tcW w:w="3251" w:type="dxa"/>
            <w:vAlign w:val="center"/>
          </w:tcPr>
          <w:p w14:paraId="715E5C3B">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货币金融服务</w:t>
            </w:r>
          </w:p>
        </w:tc>
        <w:tc>
          <w:tcPr>
            <w:tcW w:w="1168" w:type="dxa"/>
            <w:vMerge w:val="restart"/>
            <w:vAlign w:val="center"/>
          </w:tcPr>
          <w:p w14:paraId="4350DE89">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货币银行服务</w:t>
            </w:r>
          </w:p>
        </w:tc>
        <w:tc>
          <w:tcPr>
            <w:tcW w:w="1817" w:type="dxa"/>
            <w:vMerge w:val="restart"/>
            <w:vAlign w:val="center"/>
          </w:tcPr>
          <w:p w14:paraId="6D5CDA82">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银行业存款类金融机构</w:t>
            </w:r>
          </w:p>
        </w:tc>
        <w:tc>
          <w:tcPr>
            <w:tcW w:w="1143" w:type="dxa"/>
            <w:vAlign w:val="center"/>
          </w:tcPr>
          <w:p w14:paraId="18DA8CED">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vAlign w:val="center"/>
          </w:tcPr>
          <w:p w14:paraId="6553EDDF">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5CFC2B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92AD96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146F4352">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0C95576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147E3A4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43C1290">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0A8569B9">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29C9E0F4">
            <w:pPr>
              <w:spacing w:line="240" w:lineRule="auto"/>
              <w:jc w:val="center"/>
              <w:rPr>
                <w:rFonts w:hint="eastAsia" w:ascii="宋体" w:hAnsi="宋体" w:eastAsia="宋体" w:cs="宋体"/>
                <w:i w:val="0"/>
                <w:iCs w:val="0"/>
                <w:color w:val="auto"/>
                <w:spacing w:val="6"/>
                <w:sz w:val="21"/>
                <w:szCs w:val="21"/>
                <w:highlight w:val="none"/>
                <w:vertAlign w:val="baseline"/>
                <w:lang w:val="en-US"/>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56574B6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非货币银行服务</w:t>
            </w:r>
          </w:p>
        </w:tc>
        <w:tc>
          <w:tcPr>
            <w:tcW w:w="1817" w:type="dxa"/>
            <w:vMerge w:val="restart"/>
            <w:vAlign w:val="center"/>
          </w:tcPr>
          <w:p w14:paraId="7DD2F497">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288F5BE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1EF9025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CC015F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699B1D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56E78EC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17EDCC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DEB5E2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4E9D4A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00D701CA">
            <w:pPr>
              <w:spacing w:line="240" w:lineRule="auto"/>
              <w:jc w:val="center"/>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95688A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restart"/>
            <w:vAlign w:val="center"/>
          </w:tcPr>
          <w:p w14:paraId="2420EBEF">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07BBC2E">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078270C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0CBA769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EA1A43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220FC05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93061F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241FB1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6076913A">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03E9BD7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资本市场服务</w:t>
            </w:r>
          </w:p>
        </w:tc>
        <w:tc>
          <w:tcPr>
            <w:tcW w:w="1817" w:type="dxa"/>
            <w:vMerge w:val="restart"/>
            <w:vAlign w:val="center"/>
          </w:tcPr>
          <w:p w14:paraId="6E78CF8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444928A">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9421CA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54B5A7F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1A9C4DF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ADD78C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60F7AF9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43D0131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保险业</w:t>
            </w:r>
          </w:p>
        </w:tc>
        <w:tc>
          <w:tcPr>
            <w:tcW w:w="1817" w:type="dxa"/>
            <w:vMerge w:val="restart"/>
            <w:vAlign w:val="center"/>
          </w:tcPr>
          <w:p w14:paraId="73A1B699">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1B9BB4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8C8613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2ACF5A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361981C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F195A7E">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1A95E01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5DD1435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19F4DBB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其他金融业</w:t>
            </w:r>
          </w:p>
        </w:tc>
        <w:tc>
          <w:tcPr>
            <w:tcW w:w="1168" w:type="dxa"/>
            <w:vMerge w:val="restart"/>
            <w:vAlign w:val="center"/>
          </w:tcPr>
          <w:p w14:paraId="741CF03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金融信托与管理服务</w:t>
            </w:r>
          </w:p>
        </w:tc>
        <w:tc>
          <w:tcPr>
            <w:tcW w:w="1817" w:type="dxa"/>
            <w:vMerge w:val="restart"/>
            <w:vAlign w:val="center"/>
          </w:tcPr>
          <w:p w14:paraId="70836B6C">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C96EEDA">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343FC2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EB960A0">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6D76C17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0E689FD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41AB74F">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15F254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60C098A">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33182E4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65B75359">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控股公司服务</w:t>
            </w:r>
          </w:p>
        </w:tc>
        <w:tc>
          <w:tcPr>
            <w:tcW w:w="1817" w:type="dxa"/>
            <w:vMerge w:val="restart"/>
            <w:vAlign w:val="center"/>
          </w:tcPr>
          <w:p w14:paraId="5AA3A788">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2863D8FC">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774A559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58174A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43D84EB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34D1F5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DB4D28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2B6EDD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472A904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1FC344B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10B14656">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其他未包括的金融业</w:t>
            </w:r>
          </w:p>
        </w:tc>
        <w:tc>
          <w:tcPr>
            <w:tcW w:w="1817" w:type="dxa"/>
            <w:vMerge w:val="restart"/>
            <w:vAlign w:val="center"/>
          </w:tcPr>
          <w:p w14:paraId="3E665F4F">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6033F5D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2F2E72F9">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179DE2D0">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E62333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12916BB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08010151">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71A393FF">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668714F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1913FA3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bl>
    <w:p w14:paraId="4F673937">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bookmarkEnd w:id="1219"/>
    <w:p w14:paraId="14DDE05C">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1220" w:name="_Toc6137"/>
      <w:r>
        <w:rPr>
          <w:rFonts w:hint="eastAsia" w:ascii="宋体" w:hAnsi="宋体" w:eastAsia="宋体" w:cstheme="minorBidi"/>
          <w:b/>
          <w:bCs/>
          <w:color w:val="auto"/>
          <w:kern w:val="2"/>
          <w:sz w:val="24"/>
          <w:szCs w:val="24"/>
          <w:highlight w:val="none"/>
          <w:lang w:val="en-US" w:eastAsia="zh-CN" w:bidi="ar-SA"/>
        </w:rPr>
        <w:t>（三）监狱企业证明文件</w:t>
      </w:r>
      <w:r>
        <w:rPr>
          <w:rFonts w:hint="eastAsia" w:ascii="宋体" w:hAnsi="宋体" w:eastAsia="宋体" w:cstheme="minorBidi"/>
          <w:b w:val="0"/>
          <w:bCs w:val="0"/>
          <w:color w:val="auto"/>
          <w:kern w:val="2"/>
          <w:sz w:val="24"/>
          <w:szCs w:val="24"/>
          <w:highlight w:val="none"/>
          <w:lang w:val="en-US" w:eastAsia="zh-CN" w:bidi="ar-SA"/>
        </w:rPr>
        <w:t>【如适用】</w:t>
      </w:r>
      <w:bookmarkEnd w:id="1220"/>
    </w:p>
    <w:p w14:paraId="28DED716">
      <w:pPr>
        <w:rPr>
          <w:rFonts w:cs="仿宋_GB2312"/>
          <w:b/>
          <w:color w:val="auto"/>
          <w:sz w:val="28"/>
          <w:szCs w:val="28"/>
          <w:highlight w:val="none"/>
        </w:rPr>
      </w:pPr>
    </w:p>
    <w:p w14:paraId="23D1BFCD">
      <w:pPr>
        <w:adjustRightInd w:val="0"/>
        <w:snapToGrid w:val="0"/>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i w:val="0"/>
          <w:iCs w:val="0"/>
          <w:color w:val="auto"/>
          <w:sz w:val="24"/>
          <w:szCs w:val="24"/>
          <w:highlight w:val="none"/>
          <w:lang w:val="en-US" w:eastAsia="zh-CN"/>
        </w:rPr>
        <w:t>如下</w:t>
      </w:r>
      <w:r>
        <w:rPr>
          <w:rFonts w:hint="eastAsia" w:ascii="宋体" w:hAnsi="宋体" w:eastAsia="宋体" w:cs="宋体"/>
          <w:i w:val="0"/>
          <w:iCs w:val="0"/>
          <w:color w:val="auto"/>
          <w:sz w:val="24"/>
          <w:szCs w:val="24"/>
          <w:highlight w:val="none"/>
        </w:rPr>
        <w:t>】。</w:t>
      </w:r>
    </w:p>
    <w:p w14:paraId="75238DB1">
      <w:pPr>
        <w:pStyle w:val="15"/>
        <w:spacing w:line="360" w:lineRule="auto"/>
        <w:jc w:val="center"/>
        <w:rPr>
          <w:rFonts w:hint="eastAsia" w:ascii="宋体" w:hAnsi="宋体" w:eastAsia="宋体" w:cs="宋体"/>
          <w:b/>
          <w:bCs w:val="0"/>
          <w:i w:val="0"/>
          <w:iCs w:val="0"/>
          <w:color w:val="auto"/>
          <w:sz w:val="32"/>
          <w:szCs w:val="32"/>
          <w:highlight w:val="none"/>
        </w:rPr>
      </w:pPr>
    </w:p>
    <w:p w14:paraId="3EAA5E2A">
      <w:pPr>
        <w:pStyle w:val="15"/>
        <w:spacing w:line="360" w:lineRule="auto"/>
        <w:jc w:val="center"/>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监狱企业证明函</w:t>
      </w:r>
    </w:p>
    <w:p w14:paraId="73EFA9C1">
      <w:pPr>
        <w:spacing w:line="360" w:lineRule="auto"/>
        <w:rPr>
          <w:rFonts w:hint="eastAsia" w:ascii="仿宋_GB2312" w:hAnsi="仿宋_GB2312" w:eastAsia="仿宋_GB2312" w:cs="仿宋_GB2312"/>
          <w:i w:val="0"/>
          <w:iCs w:val="0"/>
          <w:color w:val="auto"/>
          <w:sz w:val="32"/>
          <w:szCs w:val="32"/>
          <w:highlight w:val="none"/>
        </w:rPr>
      </w:pPr>
    </w:p>
    <w:p w14:paraId="7E6FDB37">
      <w:pPr>
        <w:ind w:firstLine="504" w:firstLineChars="200"/>
        <w:rPr>
          <w:rFonts w:hint="eastAsia" w:cs="宋体"/>
          <w:i w:val="0"/>
          <w:iCs w:val="0"/>
          <w:color w:val="auto"/>
          <w:spacing w:val="6"/>
          <w:szCs w:val="24"/>
          <w:highlight w:val="none"/>
        </w:rPr>
      </w:pPr>
      <w:r>
        <w:rPr>
          <w:rFonts w:hint="eastAsia" w:cs="宋体"/>
          <w:i w:val="0"/>
          <w:iCs w:val="0"/>
          <w:color w:val="auto"/>
          <w:spacing w:val="6"/>
          <w:szCs w:val="24"/>
          <w:highlight w:val="none"/>
        </w:rPr>
        <w:t>本公司郑重声明，根据财政部、司法部《关于政府采购支持监狱企业发展有关问题的通知》（财库【2014】68号）的规定，本公司为监狱企业。</w:t>
      </w:r>
    </w:p>
    <w:p w14:paraId="3C2CE4C6">
      <w:pPr>
        <w:spacing w:line="360" w:lineRule="auto"/>
        <w:rPr>
          <w:rFonts w:hint="eastAsia" w:ascii="宋体" w:hAnsi="宋体" w:eastAsia="宋体" w:cs="宋体"/>
          <w:i w:val="0"/>
          <w:iCs w:val="0"/>
          <w:color w:val="auto"/>
          <w:sz w:val="24"/>
          <w:szCs w:val="24"/>
          <w:highlight w:val="none"/>
        </w:rPr>
      </w:pPr>
    </w:p>
    <w:p w14:paraId="25406F97">
      <w:pPr>
        <w:ind w:firstLine="4440" w:firstLineChars="1850"/>
        <w:rPr>
          <w:rFonts w:hint="eastAsia" w:ascii="宋体" w:hAnsi="宋体" w:eastAsia="宋体" w:cs="宋体"/>
          <w:i w:val="0"/>
          <w:iCs w:val="0"/>
          <w:color w:val="auto"/>
          <w:sz w:val="24"/>
          <w:szCs w:val="24"/>
          <w:highlight w:val="none"/>
        </w:rPr>
      </w:pPr>
    </w:p>
    <w:p w14:paraId="44FF352C">
      <w:pPr>
        <w:ind w:firstLine="4440" w:firstLineChars="1850"/>
        <w:rPr>
          <w:rFonts w:hint="eastAsia" w:ascii="宋体" w:hAnsi="宋体" w:eastAsia="宋体" w:cs="宋体"/>
          <w:i w:val="0"/>
          <w:iCs w:val="0"/>
          <w:color w:val="auto"/>
          <w:sz w:val="24"/>
          <w:szCs w:val="24"/>
          <w:highlight w:val="none"/>
        </w:rPr>
      </w:pPr>
    </w:p>
    <w:p w14:paraId="0841D36F">
      <w:pPr>
        <w:ind w:right="1008" w:firstLine="4284" w:firstLineChars="1700"/>
        <w:rPr>
          <w:rFonts w:hint="eastAsia" w:ascii="宋体" w:hAnsi="宋体" w:eastAsia="宋体" w:cs="宋体"/>
          <w:i w:val="0"/>
          <w:iCs w:val="0"/>
          <w:color w:val="auto"/>
          <w:spacing w:val="6"/>
          <w:sz w:val="24"/>
          <w:szCs w:val="24"/>
          <w:highlight w:val="none"/>
        </w:rPr>
      </w:pPr>
      <w:r>
        <w:rPr>
          <w:rFonts w:hint="eastAsia" w:cs="宋体"/>
          <w:i w:val="0"/>
          <w:iCs w:val="0"/>
          <w:color w:val="auto"/>
          <w:spacing w:val="6"/>
          <w:sz w:val="24"/>
          <w:szCs w:val="24"/>
          <w:highlight w:val="none"/>
          <w:lang w:val="en-US" w:eastAsia="zh-CN"/>
        </w:rPr>
        <w:t>供应商</w:t>
      </w:r>
      <w:r>
        <w:rPr>
          <w:rFonts w:hint="eastAsia" w:ascii="宋体" w:hAnsi="宋体" w:eastAsia="宋体" w:cs="宋体"/>
          <w:i w:val="0"/>
          <w:iCs w:val="0"/>
          <w:color w:val="auto"/>
          <w:spacing w:val="6"/>
          <w:sz w:val="24"/>
          <w:szCs w:val="24"/>
          <w:highlight w:val="none"/>
        </w:rPr>
        <w:t>名称</w:t>
      </w:r>
      <w:r>
        <w:rPr>
          <w:rFonts w:hint="eastAsia" w:ascii="宋体" w:hAnsi="宋体" w:eastAsia="宋体" w:cs="宋体"/>
          <w:i w:val="0"/>
          <w:iCs w:val="0"/>
          <w:color w:val="auto"/>
          <w:spacing w:val="6"/>
          <w:sz w:val="24"/>
          <w:szCs w:val="24"/>
          <w:highlight w:val="none"/>
          <w:lang w:eastAsia="zh-CN"/>
        </w:rPr>
        <w:t>（</w:t>
      </w:r>
      <w:r>
        <w:rPr>
          <w:rFonts w:hint="eastAsia" w:cs="宋体"/>
          <w:i w:val="0"/>
          <w:iCs w:val="0"/>
          <w:color w:val="auto"/>
          <w:spacing w:val="6"/>
          <w:sz w:val="24"/>
          <w:szCs w:val="24"/>
          <w:highlight w:val="none"/>
          <w:lang w:val="en-US" w:eastAsia="zh-CN"/>
        </w:rPr>
        <w:t>公章</w:t>
      </w:r>
      <w:r>
        <w:rPr>
          <w:rFonts w:hint="eastAsia" w:ascii="宋体" w:hAnsi="宋体" w:eastAsia="宋体" w:cs="宋体"/>
          <w:i w:val="0"/>
          <w:iCs w:val="0"/>
          <w:color w:val="auto"/>
          <w:spacing w:val="6"/>
          <w:sz w:val="24"/>
          <w:szCs w:val="24"/>
          <w:highlight w:val="none"/>
          <w:lang w:eastAsia="zh-CN"/>
        </w:rPr>
        <w:t>）</w:t>
      </w:r>
      <w:r>
        <w:rPr>
          <w:rFonts w:hint="eastAsia" w:ascii="宋体" w:hAnsi="宋体" w:eastAsia="宋体" w:cs="宋体"/>
          <w:i w:val="0"/>
          <w:iCs w:val="0"/>
          <w:color w:val="auto"/>
          <w:spacing w:val="6"/>
          <w:sz w:val="24"/>
          <w:szCs w:val="24"/>
          <w:highlight w:val="none"/>
        </w:rPr>
        <w:t>：</w:t>
      </w:r>
    </w:p>
    <w:p w14:paraId="3678CEA7">
      <w:pPr>
        <w:ind w:right="1008" w:firstLine="4284" w:firstLineChars="1700"/>
        <w:rPr>
          <w:rFonts w:hint="eastAsia" w:ascii="宋体" w:hAnsi="宋体" w:eastAsia="宋体" w:cs="宋体"/>
          <w:i w:val="0"/>
          <w:iCs w:val="0"/>
          <w:color w:val="auto"/>
          <w:spacing w:val="6"/>
          <w:sz w:val="24"/>
          <w:szCs w:val="24"/>
          <w:highlight w:val="none"/>
          <w:lang w:val="en-US" w:eastAsia="zh-CN"/>
        </w:rPr>
      </w:pPr>
      <w:r>
        <w:rPr>
          <w:rFonts w:hint="eastAsia" w:ascii="宋体" w:hAnsi="宋体" w:eastAsia="宋体" w:cs="宋体"/>
          <w:i w:val="0"/>
          <w:iCs w:val="0"/>
          <w:color w:val="auto"/>
          <w:spacing w:val="6"/>
          <w:sz w:val="24"/>
          <w:szCs w:val="24"/>
          <w:highlight w:val="none"/>
        </w:rPr>
        <w:t>日期：</w:t>
      </w:r>
      <w:r>
        <w:rPr>
          <w:rFonts w:hint="eastAsia" w:ascii="宋体" w:hAnsi="宋体" w:eastAsia="宋体" w:cs="宋体"/>
          <w:i w:val="0"/>
          <w:iCs w:val="0"/>
          <w:color w:val="auto"/>
          <w:spacing w:val="6"/>
          <w:sz w:val="24"/>
          <w:szCs w:val="24"/>
          <w:highlight w:val="none"/>
          <w:lang w:val="en-US" w:eastAsia="zh-CN"/>
        </w:rPr>
        <w:t xml:space="preserve">   年  月  日</w:t>
      </w:r>
    </w:p>
    <w:p w14:paraId="75D11779">
      <w:pPr>
        <w:spacing w:line="360" w:lineRule="auto"/>
        <w:ind w:firstLine="240" w:firstLineChars="100"/>
        <w:rPr>
          <w:rFonts w:hint="eastAsia" w:ascii="宋体" w:hAnsi="宋体" w:eastAsia="宋体" w:cs="宋体"/>
          <w:i w:val="0"/>
          <w:iCs w:val="0"/>
          <w:color w:val="auto"/>
          <w:sz w:val="24"/>
          <w:szCs w:val="24"/>
          <w:highlight w:val="none"/>
        </w:rPr>
      </w:pPr>
    </w:p>
    <w:p w14:paraId="7B8735C9">
      <w:pPr>
        <w:spacing w:line="360" w:lineRule="auto"/>
        <w:ind w:firstLine="240" w:firstLineChars="100"/>
        <w:rPr>
          <w:rFonts w:hint="eastAsia" w:ascii="宋体" w:hAnsi="宋体" w:eastAsia="宋体" w:cs="宋体"/>
          <w:i w:val="0"/>
          <w:iCs w:val="0"/>
          <w:color w:val="auto"/>
          <w:sz w:val="24"/>
          <w:szCs w:val="24"/>
          <w:highlight w:val="none"/>
        </w:rPr>
      </w:pPr>
    </w:p>
    <w:p w14:paraId="32722C7E">
      <w:pPr>
        <w:spacing w:line="360" w:lineRule="auto"/>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省级以上监狱管理局、戒毒管理局</w:t>
      </w:r>
    </w:p>
    <w:p w14:paraId="20204BC0">
      <w:pPr>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（含新疆生产建设兵团）（盖章）：  </w:t>
      </w:r>
    </w:p>
    <w:p w14:paraId="4A414B41">
      <w:pPr>
        <w:ind w:firstLine="4320" w:firstLineChars="18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日期：</w:t>
      </w:r>
      <w:r>
        <w:rPr>
          <w:rFonts w:hint="eastAsia" w:ascii="宋体" w:hAnsi="宋体" w:eastAsia="宋体" w:cs="宋体"/>
          <w:i w:val="0"/>
          <w:iCs w:val="0"/>
          <w:color w:val="auto"/>
          <w:spacing w:val="6"/>
          <w:sz w:val="24"/>
          <w:szCs w:val="24"/>
          <w:highlight w:val="none"/>
          <w:lang w:val="en-US" w:eastAsia="zh-CN"/>
        </w:rPr>
        <w:t xml:space="preserve">   年  月  日</w:t>
      </w:r>
    </w:p>
    <w:p w14:paraId="028B0253">
      <w:pPr>
        <w:spacing w:line="360" w:lineRule="auto"/>
        <w:ind w:firstLine="240" w:firstLineChars="100"/>
        <w:rPr>
          <w:rFonts w:hint="eastAsia" w:ascii="宋体" w:hAnsi="宋体" w:eastAsia="宋体" w:cs="宋体"/>
          <w:i w:val="0"/>
          <w:iCs w:val="0"/>
          <w:color w:val="auto"/>
          <w:sz w:val="24"/>
          <w:szCs w:val="24"/>
          <w:highlight w:val="none"/>
        </w:rPr>
      </w:pPr>
    </w:p>
    <w:p w14:paraId="4A20867A">
      <w:pPr>
        <w:spacing w:line="360" w:lineRule="auto"/>
        <w:ind w:firstLine="4000" w:firstLineChars="1250"/>
        <w:rPr>
          <w:rFonts w:hint="eastAsia" w:ascii="仿宋_GB2312" w:hAnsi="仿宋_GB2312" w:eastAsia="仿宋_GB2312" w:cs="仿宋_GB2312"/>
          <w:i w:val="0"/>
          <w:iCs w:val="0"/>
          <w:color w:val="auto"/>
          <w:sz w:val="32"/>
          <w:szCs w:val="32"/>
          <w:highlight w:val="none"/>
        </w:rPr>
      </w:pPr>
    </w:p>
    <w:p w14:paraId="206A9633">
      <w:pPr>
        <w:spacing w:line="360" w:lineRule="auto"/>
        <w:rPr>
          <w:rFonts w:hint="eastAsia" w:ascii="仿宋_GB2312" w:hAnsi="仿宋_GB2312" w:eastAsia="仿宋_GB2312" w:cs="仿宋_GB2312"/>
          <w:i w:val="0"/>
          <w:iCs w:val="0"/>
          <w:color w:val="auto"/>
          <w:sz w:val="32"/>
          <w:szCs w:val="32"/>
          <w:highlight w:val="none"/>
        </w:rPr>
      </w:pPr>
    </w:p>
    <w:p w14:paraId="283F77FC">
      <w:pPr>
        <w:widowControl/>
        <w:spacing w:before="100" w:beforeAutospacing="1" w:after="100" w:afterAutospacing="1"/>
        <w:rPr>
          <w:rFonts w:ascii="Arial" w:hAnsi="Arial" w:cs="Arial"/>
          <w:i w:val="0"/>
          <w:iCs w:val="0"/>
          <w:color w:val="auto"/>
          <w:sz w:val="21"/>
          <w:szCs w:val="21"/>
          <w:highlight w:val="none"/>
        </w:rPr>
      </w:pPr>
    </w:p>
    <w:p w14:paraId="3ACDD48E">
      <w:pPr>
        <w:widowControl/>
        <w:spacing w:before="100" w:beforeAutospacing="1" w:after="100" w:afterAutospacing="1"/>
        <w:rPr>
          <w:rFonts w:ascii="Arial" w:hAnsi="Arial" w:cs="Arial"/>
          <w:i w:val="0"/>
          <w:iCs w:val="0"/>
          <w:color w:val="auto"/>
          <w:sz w:val="21"/>
          <w:szCs w:val="21"/>
          <w:highlight w:val="none"/>
        </w:rPr>
      </w:pPr>
    </w:p>
    <w:p w14:paraId="5F39FD55">
      <w:pPr>
        <w:rPr>
          <w:rFonts w:hint="eastAsia"/>
          <w:lang w:val="en-US" w:eastAsia="zh-CN"/>
        </w:rPr>
      </w:pPr>
      <w:bookmarkStart w:id="1221" w:name="_Toc163492941"/>
      <w:bookmarkStart w:id="1222" w:name="_Toc18574"/>
    </w:p>
    <w:p w14:paraId="69ACD5D5">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r>
        <w:rPr>
          <w:rFonts w:hint="eastAsia" w:ascii="宋体" w:hAnsi="宋体" w:eastAsia="宋体" w:cstheme="minorBidi"/>
          <w:b/>
          <w:bCs/>
          <w:color w:val="auto"/>
          <w:kern w:val="2"/>
          <w:sz w:val="24"/>
          <w:szCs w:val="24"/>
          <w:highlight w:val="none"/>
          <w:lang w:val="en-US" w:eastAsia="zh-CN" w:bidi="ar-SA"/>
        </w:rPr>
        <w:t>（四）残疾人福利性单位声明函</w:t>
      </w:r>
      <w:r>
        <w:rPr>
          <w:rFonts w:hint="eastAsia" w:ascii="宋体" w:hAnsi="宋体" w:eastAsia="宋体" w:cstheme="minorBidi"/>
          <w:b w:val="0"/>
          <w:bCs w:val="0"/>
          <w:color w:val="auto"/>
          <w:kern w:val="2"/>
          <w:sz w:val="24"/>
          <w:szCs w:val="24"/>
          <w:highlight w:val="none"/>
          <w:lang w:val="en-US" w:eastAsia="zh-CN" w:bidi="ar-SA"/>
        </w:rPr>
        <w:t>【如适用】</w:t>
      </w:r>
      <w:bookmarkEnd w:id="1221"/>
      <w:bookmarkEnd w:id="1222"/>
    </w:p>
    <w:p w14:paraId="57F303A4">
      <w:pPr>
        <w:pStyle w:val="37"/>
        <w:numPr>
          <w:ilvl w:val="0"/>
          <w:numId w:val="0"/>
        </w:numPr>
        <w:ind w:left="420" w:leftChars="0" w:hanging="420" w:firstLineChars="0"/>
        <w:jc w:val="center"/>
        <w:rPr>
          <w:rFonts w:hint="eastAsia"/>
          <w:b/>
          <w:bCs/>
          <w:color w:val="auto"/>
          <w:sz w:val="32"/>
          <w:szCs w:val="32"/>
          <w:highlight w:val="none"/>
        </w:rPr>
      </w:pPr>
    </w:p>
    <w:p w14:paraId="6582780B">
      <w:pPr>
        <w:pStyle w:val="37"/>
        <w:numPr>
          <w:ilvl w:val="0"/>
          <w:numId w:val="0"/>
        </w:numPr>
        <w:ind w:left="420" w:leftChars="0" w:hanging="420" w:firstLineChars="0"/>
        <w:jc w:val="center"/>
        <w:rPr>
          <w:b/>
          <w:bCs/>
          <w:i w:val="0"/>
          <w:iCs w:val="0"/>
          <w:color w:val="auto"/>
          <w:sz w:val="32"/>
          <w:szCs w:val="32"/>
          <w:highlight w:val="none"/>
        </w:rPr>
      </w:pPr>
      <w:r>
        <w:rPr>
          <w:rFonts w:hint="eastAsia"/>
          <w:b/>
          <w:bCs/>
          <w:color w:val="auto"/>
          <w:sz w:val="32"/>
          <w:szCs w:val="32"/>
          <w:highlight w:val="none"/>
        </w:rPr>
        <w:t>残疾人福利性单位声明函</w:t>
      </w:r>
    </w:p>
    <w:p w14:paraId="28D13EE8">
      <w:pPr>
        <w:wordWrap w:val="0"/>
        <w:ind w:firstLine="480" w:firstLineChars="200"/>
        <w:rPr>
          <w:rFonts w:hint="eastAsia"/>
          <w:i w:val="0"/>
          <w:iCs w:val="0"/>
          <w:color w:val="auto"/>
          <w:szCs w:val="24"/>
          <w:highlight w:val="none"/>
        </w:rPr>
      </w:pPr>
    </w:p>
    <w:p w14:paraId="2B2B6A0A">
      <w:pPr>
        <w:wordWrap w:val="0"/>
        <w:ind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工程</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承建</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承建单位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承建单位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wordWrap w:val="0"/>
        <w:ind w:firstLine="480" w:firstLineChars="200"/>
        <w:rPr>
          <w:i w:val="0"/>
          <w:iCs w:val="0"/>
          <w:color w:val="auto"/>
          <w:szCs w:val="24"/>
          <w:highlight w:val="none"/>
        </w:rPr>
      </w:pPr>
      <w:r>
        <w:rPr>
          <w:rFonts w:hint="eastAsia"/>
          <w:i w:val="0"/>
          <w:iCs w:val="0"/>
          <w:color w:val="auto"/>
          <w:szCs w:val="24"/>
          <w:highlight w:val="none"/>
        </w:rPr>
        <w:t>……</w:t>
      </w:r>
    </w:p>
    <w:p w14:paraId="7B8F3287">
      <w:pPr>
        <w:wordWrap w:val="0"/>
        <w:ind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18EB7223">
      <w:pPr>
        <w:wordWrap w:val="0"/>
        <w:ind w:left="1087" w:leftChars="200" w:hanging="607" w:hangingChars="253"/>
        <w:rPr>
          <w:i w:val="0"/>
          <w:iCs w:val="0"/>
          <w:color w:val="auto"/>
          <w:szCs w:val="24"/>
          <w:highlight w:val="none"/>
        </w:rPr>
      </w:pPr>
      <w:r>
        <w:rPr>
          <w:rFonts w:hint="eastAsia"/>
          <w:i w:val="0"/>
          <w:iCs w:val="0"/>
          <w:color w:val="auto"/>
          <w:szCs w:val="24"/>
          <w:highlight w:val="none"/>
        </w:rPr>
        <w:t>本企业对上述声明内容的真实性负责。如有虚假，将依法承担相应责任。</w:t>
      </w:r>
    </w:p>
    <w:p w14:paraId="44C7A080">
      <w:pPr>
        <w:wordWrap w:val="0"/>
        <w:ind w:left="1091" w:hanging="1091" w:hangingChars="453"/>
        <w:rPr>
          <w:b/>
          <w:bCs/>
          <w:i w:val="0"/>
          <w:iCs w:val="0"/>
          <w:color w:val="auto"/>
          <w:szCs w:val="24"/>
          <w:highlight w:val="none"/>
        </w:rPr>
      </w:pPr>
    </w:p>
    <w:p w14:paraId="43523196">
      <w:pPr>
        <w:wordWrap w:val="0"/>
        <w:ind w:left="1091" w:hanging="1091" w:hangingChars="453"/>
        <w:rPr>
          <w:bCs/>
          <w:i w:val="0"/>
          <w:iCs w:val="0"/>
          <w:color w:val="auto"/>
          <w:szCs w:val="24"/>
          <w:highlight w:val="none"/>
        </w:rPr>
      </w:pPr>
      <w:r>
        <w:rPr>
          <w:rFonts w:hint="eastAsia"/>
          <w:b/>
          <w:bCs/>
          <w:i w:val="0"/>
          <w:iCs w:val="0"/>
          <w:color w:val="auto"/>
          <w:szCs w:val="24"/>
          <w:highlight w:val="none"/>
        </w:rPr>
        <w:t>说明：</w:t>
      </w:r>
      <w:r>
        <w:rPr>
          <w:rFonts w:hint="eastAsia"/>
          <w:bCs/>
          <w:i w:val="0"/>
          <w:iCs w:val="0"/>
          <w:color w:val="auto"/>
          <w:szCs w:val="24"/>
          <w:highlight w:val="none"/>
        </w:rPr>
        <w:t>1、</w:t>
      </w:r>
      <w:r>
        <w:rPr>
          <w:rFonts w:hint="eastAsia"/>
          <w:bCs/>
          <w:i w:val="0"/>
          <w:iCs w:val="0"/>
          <w:color w:val="auto"/>
          <w:szCs w:val="21"/>
          <w:highlight w:val="none"/>
          <w:lang w:val="en-US" w:eastAsia="zh-CN"/>
        </w:rPr>
        <w:t>工程</w:t>
      </w:r>
      <w:r>
        <w:rPr>
          <w:rFonts w:hint="eastAsia"/>
          <w:bCs/>
          <w:i w:val="0"/>
          <w:iCs w:val="0"/>
          <w:color w:val="auto"/>
          <w:szCs w:val="21"/>
          <w:highlight w:val="none"/>
          <w:lang w:val="zh-CN"/>
        </w:rPr>
        <w:t>应当全部由符合政策要求的残疾人福利性单位</w:t>
      </w:r>
      <w:r>
        <w:rPr>
          <w:rFonts w:hint="eastAsia"/>
          <w:bCs/>
          <w:i w:val="0"/>
          <w:iCs w:val="0"/>
          <w:color w:val="auto"/>
          <w:szCs w:val="21"/>
          <w:highlight w:val="none"/>
          <w:lang w:val="en-US" w:eastAsia="zh-CN"/>
        </w:rPr>
        <w:t>承建</w:t>
      </w:r>
      <w:r>
        <w:rPr>
          <w:rFonts w:hint="eastAsia"/>
          <w:bCs/>
          <w:i w:val="0"/>
          <w:iCs w:val="0"/>
          <w:color w:val="auto"/>
          <w:szCs w:val="21"/>
          <w:highlight w:val="none"/>
          <w:lang w:val="zh-CN"/>
        </w:rPr>
        <w:t>；应当严格按上述格式及内容进行填写（应当明确每个</w:t>
      </w:r>
      <w:r>
        <w:rPr>
          <w:rFonts w:hint="eastAsia"/>
          <w:bCs/>
          <w:i w:val="0"/>
          <w:iCs w:val="0"/>
          <w:color w:val="auto"/>
          <w:szCs w:val="21"/>
          <w:highlight w:val="none"/>
          <w:lang w:val="en-US" w:eastAsia="zh-CN"/>
        </w:rPr>
        <w:t>包</w:t>
      </w:r>
      <w:r>
        <w:rPr>
          <w:rFonts w:hint="eastAsia"/>
          <w:bCs/>
          <w:i w:val="0"/>
          <w:iCs w:val="0"/>
          <w:color w:val="auto"/>
          <w:szCs w:val="21"/>
          <w:highlight w:val="none"/>
          <w:lang w:val="zh-CN"/>
        </w:rPr>
        <w:t>的的</w:t>
      </w:r>
      <w:r>
        <w:rPr>
          <w:rFonts w:hint="eastAsia"/>
          <w:bCs/>
          <w:i w:val="0"/>
          <w:iCs w:val="0"/>
          <w:color w:val="auto"/>
          <w:szCs w:val="21"/>
          <w:highlight w:val="none"/>
          <w:lang w:val="en-US" w:eastAsia="zh-CN"/>
        </w:rPr>
        <w:t>实施单位</w:t>
      </w:r>
      <w:r>
        <w:rPr>
          <w:rFonts w:hint="eastAsia"/>
          <w:bCs/>
          <w:i w:val="0"/>
          <w:iCs w:val="0"/>
          <w:color w:val="auto"/>
          <w:szCs w:val="21"/>
          <w:highlight w:val="none"/>
          <w:lang w:val="zh-CN"/>
        </w:rPr>
        <w:t>及相关数据），否则导致的后果由</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自行承担；</w:t>
      </w:r>
    </w:p>
    <w:p w14:paraId="2288B711">
      <w:pPr>
        <w:wordWrap w:val="0"/>
        <w:ind w:left="1087" w:hanging="1087" w:hangingChars="453"/>
        <w:rPr>
          <w:rFonts w:cs="Courier New"/>
          <w:i w:val="0"/>
          <w:iCs w:val="0"/>
          <w:color w:val="auto"/>
          <w:szCs w:val="21"/>
          <w:highlight w:val="none"/>
        </w:rPr>
      </w:pPr>
      <w:r>
        <w:rPr>
          <w:rFonts w:hint="eastAsia"/>
          <w:bCs/>
          <w:i w:val="0"/>
          <w:iCs w:val="0"/>
          <w:color w:val="auto"/>
          <w:szCs w:val="21"/>
          <w:highlight w:val="none"/>
          <w:lang w:val="zh-CN"/>
        </w:rPr>
        <w:t xml:space="preserve">      2、</w:t>
      </w:r>
      <w:r>
        <w:rPr>
          <w:rFonts w:hint="eastAsia" w:cs="Courier New"/>
          <w:i w:val="0"/>
          <w:iCs w:val="0"/>
          <w:color w:val="auto"/>
          <w:szCs w:val="21"/>
          <w:highlight w:val="none"/>
        </w:rPr>
        <w:t>以联合体形式参加的，应</w:t>
      </w:r>
      <w:r>
        <w:rPr>
          <w:rFonts w:hint="eastAsia"/>
          <w:bCs/>
          <w:i w:val="0"/>
          <w:iCs w:val="0"/>
          <w:color w:val="auto"/>
          <w:szCs w:val="21"/>
          <w:highlight w:val="none"/>
          <w:lang w:val="zh-CN"/>
        </w:rPr>
        <w:t>当</w:t>
      </w:r>
      <w:r>
        <w:rPr>
          <w:rFonts w:hint="eastAsia" w:cs="Courier New"/>
          <w:i w:val="0"/>
          <w:iCs w:val="0"/>
          <w:color w:val="auto"/>
          <w:szCs w:val="21"/>
          <w:highlight w:val="none"/>
        </w:rPr>
        <w:t>由联合体各方盖章。</w:t>
      </w:r>
    </w:p>
    <w:p w14:paraId="71983F83">
      <w:pPr>
        <w:wordWrap w:val="0"/>
        <w:spacing w:before="100" w:beforeAutospacing="1" w:after="100" w:afterAutospacing="1"/>
        <w:ind w:firstLine="3316" w:firstLineChars="1382"/>
        <w:rPr>
          <w:bCs/>
          <w:i w:val="0"/>
          <w:iCs w:val="0"/>
          <w:color w:val="auto"/>
          <w:szCs w:val="21"/>
          <w:highlight w:val="none"/>
          <w:lang w:val="zh-CN"/>
        </w:rPr>
      </w:pPr>
      <w:r>
        <w:rPr>
          <w:rFonts w:hint="eastAsia"/>
          <w:bCs/>
          <w:i w:val="0"/>
          <w:iCs w:val="0"/>
          <w:color w:val="auto"/>
          <w:szCs w:val="21"/>
          <w:highlight w:val="none"/>
          <w:lang w:val="en-US" w:eastAsia="zh-CN"/>
        </w:rPr>
        <w:t>供应商名称（公章）</w:t>
      </w:r>
      <w:r>
        <w:rPr>
          <w:rFonts w:hint="eastAsia"/>
          <w:bCs/>
          <w:i w:val="0"/>
          <w:iCs w:val="0"/>
          <w:color w:val="auto"/>
          <w:szCs w:val="21"/>
          <w:highlight w:val="none"/>
          <w:lang w:val="zh-CN"/>
        </w:rPr>
        <w:t>：</w:t>
      </w:r>
      <w:r>
        <w:rPr>
          <w:rFonts w:hint="eastAsia"/>
          <w:bCs/>
          <w:i w:val="0"/>
          <w:iCs w:val="0"/>
          <w:color w:val="auto"/>
          <w:szCs w:val="21"/>
          <w:highlight w:val="none"/>
          <w:u w:val="single"/>
          <w:lang w:val="zh-CN"/>
        </w:rPr>
        <w:t xml:space="preserve">                </w:t>
      </w:r>
    </w:p>
    <w:p w14:paraId="3A972AC9">
      <w:pPr>
        <w:wordWrap w:val="0"/>
        <w:spacing w:before="100" w:beforeAutospacing="1" w:after="100" w:afterAutospacing="1"/>
        <w:ind w:firstLine="3316" w:firstLineChars="1382"/>
        <w:rPr>
          <w:i w:val="0"/>
          <w:iCs w:val="0"/>
          <w:color w:val="auto"/>
          <w:highlight w:val="none"/>
        </w:rPr>
      </w:pPr>
      <w:r>
        <w:rPr>
          <w:rFonts w:hint="eastAsia"/>
          <w:i w:val="0"/>
          <w:iCs w:val="0"/>
          <w:color w:val="auto"/>
          <w:szCs w:val="24"/>
          <w:highlight w:val="none"/>
        </w:rPr>
        <w:t>日</w:t>
      </w:r>
      <w:r>
        <w:rPr>
          <w:i w:val="0"/>
          <w:iCs w:val="0"/>
          <w:color w:val="auto"/>
          <w:szCs w:val="24"/>
          <w:highlight w:val="none"/>
        </w:rPr>
        <w:t xml:space="preserve">  </w:t>
      </w:r>
      <w:r>
        <w:rPr>
          <w:rFonts w:hint="eastAsia"/>
          <w:i w:val="0"/>
          <w:iCs w:val="0"/>
          <w:color w:val="auto"/>
          <w:szCs w:val="24"/>
          <w:highlight w:val="none"/>
        </w:rPr>
        <w:t>期：</w:t>
      </w:r>
      <w:r>
        <w:rPr>
          <w:bCs/>
          <w:i w:val="0"/>
          <w:iCs w:val="0"/>
          <w:color w:val="auto"/>
          <w:szCs w:val="24"/>
          <w:highlight w:val="none"/>
          <w:u w:val="single"/>
        </w:rPr>
        <w:t xml:space="preserve">             </w:t>
      </w:r>
      <w:r>
        <w:rPr>
          <w:rFonts w:hint="eastAsia"/>
          <w:bCs/>
          <w:i w:val="0"/>
          <w:iCs w:val="0"/>
          <w:color w:val="auto"/>
          <w:szCs w:val="24"/>
          <w:highlight w:val="none"/>
          <w:u w:val="single"/>
          <w:lang w:val="en-US" w:eastAsia="zh-CN"/>
        </w:rPr>
        <w:t xml:space="preserve">  </w:t>
      </w:r>
      <w:r>
        <w:rPr>
          <w:bCs/>
          <w:i w:val="0"/>
          <w:iCs w:val="0"/>
          <w:color w:val="auto"/>
          <w:szCs w:val="24"/>
          <w:highlight w:val="none"/>
          <w:u w:val="single"/>
        </w:rPr>
        <w:t xml:space="preserve">            </w:t>
      </w:r>
    </w:p>
    <w:p w14:paraId="6F5F8DCA">
      <w:pPr>
        <w:ind w:left="4620" w:firstLine="281" w:firstLineChars="100"/>
        <w:rPr>
          <w:rFonts w:cs="仿宋_GB2312"/>
          <w:b/>
          <w:i w:val="0"/>
          <w:iCs w:val="0"/>
          <w:color w:val="auto"/>
          <w:sz w:val="28"/>
          <w:szCs w:val="28"/>
          <w:highlight w:val="none"/>
        </w:rPr>
      </w:pPr>
    </w:p>
    <w:p w14:paraId="7BDD1A80">
      <w:pPr>
        <w:rPr>
          <w:i w:val="0"/>
          <w:iCs w:val="0"/>
          <w:color w:val="auto"/>
          <w:highlight w:val="none"/>
        </w:rPr>
      </w:pPr>
      <w:r>
        <w:rPr>
          <w:i w:val="0"/>
          <w:iCs w:val="0"/>
          <w:color w:val="auto"/>
          <w:highlight w:val="none"/>
        </w:rPr>
        <w:br w:type="page"/>
      </w:r>
    </w:p>
    <w:p w14:paraId="1468967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color w:val="auto"/>
          <w:kern w:val="2"/>
          <w:sz w:val="28"/>
          <w:szCs w:val="28"/>
          <w:highlight w:val="none"/>
          <w:lang w:val="en-US" w:eastAsia="zh-CN" w:bidi="ar-SA"/>
        </w:rPr>
      </w:pPr>
      <w:bookmarkStart w:id="1223" w:name="_Toc24243"/>
      <w:r>
        <w:rPr>
          <w:rFonts w:hint="eastAsia" w:cstheme="majorBidi"/>
          <w:b/>
          <w:bCs/>
          <w:color w:val="auto"/>
          <w:kern w:val="2"/>
          <w:sz w:val="28"/>
          <w:szCs w:val="28"/>
          <w:highlight w:val="none"/>
          <w:lang w:val="en-US" w:eastAsia="zh-CN" w:bidi="ar-SA"/>
        </w:rPr>
        <w:t>五、不参与围标串标承诺书</w:t>
      </w:r>
      <w:bookmarkEnd w:id="1223"/>
    </w:p>
    <w:p w14:paraId="415F309A">
      <w:pPr>
        <w:pStyle w:val="3"/>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593E065F">
      <w:pPr>
        <w:jc w:val="center"/>
        <w:rPr>
          <w:rFonts w:hint="eastAsia"/>
          <w:i w:val="0"/>
          <w:iCs w:val="0"/>
          <w:color w:val="auto"/>
          <w:highlight w:val="none"/>
          <w:lang w:val="en-US" w:eastAsia="zh-CN"/>
        </w:rPr>
      </w:pPr>
      <w:r>
        <w:rPr>
          <w:rFonts w:hint="eastAsia" w:cstheme="majorBidi"/>
          <w:b/>
          <w:bCs/>
          <w:color w:val="auto"/>
          <w:kern w:val="2"/>
          <w:sz w:val="32"/>
          <w:szCs w:val="32"/>
          <w:highlight w:val="none"/>
          <w:lang w:val="en-US" w:eastAsia="zh-CN" w:bidi="ar-SA"/>
        </w:rPr>
        <w:t>不参与围标串标承诺书</w:t>
      </w:r>
    </w:p>
    <w:p w14:paraId="785BACB9">
      <w:pPr>
        <w:rPr>
          <w:rFonts w:hint="eastAsia"/>
          <w:i w:val="0"/>
          <w:iCs w:val="0"/>
          <w:color w:val="auto"/>
          <w:highlight w:val="none"/>
          <w:lang w:val="en-US" w:eastAsia="zh-CN"/>
        </w:rPr>
      </w:pPr>
      <w:r>
        <w:rPr>
          <w:rFonts w:hint="eastAsia"/>
          <w:i w:val="0"/>
          <w:iCs w:val="0"/>
          <w:color w:val="auto"/>
          <w:highlight w:val="none"/>
          <w:lang w:val="en-US" w:eastAsia="zh-CN"/>
        </w:rPr>
        <w:t>  </w:t>
      </w:r>
    </w:p>
    <w:p w14:paraId="65B53D8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i w:val="0"/>
          <w:iCs w:val="0"/>
          <w:color w:val="auto"/>
          <w:highlight w:val="none"/>
          <w:lang w:val="en-US" w:eastAsia="zh-CN"/>
        </w:rPr>
      </w:pPr>
      <w:r>
        <w:rPr>
          <w:rFonts w:hint="eastAsia"/>
          <w:i w:val="0"/>
          <w:iCs w:val="0"/>
          <w:color w:val="auto"/>
          <w:highlight w:val="none"/>
          <w:lang w:val="en-US" w:eastAsia="zh-CN"/>
        </w:rPr>
        <w:t>本人作为经授权的供应商代表,清楚知晓我单位参与本项目竞争性磋商活动,对以下事项作出承诺：</w:t>
      </w:r>
    </w:p>
    <w:p w14:paraId="4248D56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i w:val="0"/>
          <w:iCs w:val="0"/>
          <w:color w:val="auto"/>
          <w:highlight w:val="none"/>
          <w:lang w:val="en-US" w:eastAsia="zh-CN"/>
        </w:rPr>
      </w:pPr>
    </w:p>
    <w:p w14:paraId="291F851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i w:val="0"/>
          <w:iCs w:val="0"/>
          <w:color w:val="auto"/>
          <w:highlight w:val="none"/>
          <w:lang w:val="en-US" w:eastAsia="zh-CN"/>
        </w:rPr>
      </w:pPr>
      <w:r>
        <w:rPr>
          <w:rFonts w:hint="eastAsia"/>
          <w:i w:val="0"/>
          <w:iCs w:val="0"/>
          <w:color w:val="auto"/>
          <w:highlight w:val="none"/>
          <w:lang w:val="en-US" w:eastAsia="zh-CN"/>
        </w:rPr>
        <w:t>一、我单位和我本人遵循公开透明、公平竞争、公正和诚实信用的原则,依法依规参与本项目竞标。</w:t>
      </w:r>
    </w:p>
    <w:p w14:paraId="0E49D41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i w:val="0"/>
          <w:iCs w:val="0"/>
          <w:color w:val="auto"/>
          <w:highlight w:val="none"/>
          <w:lang w:val="en-US" w:eastAsia="zh-CN"/>
        </w:rPr>
      </w:pPr>
      <w:r>
        <w:rPr>
          <w:rFonts w:hint="eastAsia"/>
          <w:i w:val="0"/>
          <w:iCs w:val="0"/>
          <w:color w:val="auto"/>
          <w:highlight w:val="none"/>
          <w:lang w:val="en-US" w:eastAsia="zh-CN"/>
        </w:rPr>
        <w:t>二、我单位和我本人在本项目政府采购竞争性磋商活动中,未参与围标串标。</w:t>
      </w:r>
    </w:p>
    <w:p w14:paraId="5F1653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i w:val="0"/>
          <w:iCs w:val="0"/>
          <w:color w:val="auto"/>
          <w:highlight w:val="none"/>
          <w:lang w:val="en-US" w:eastAsia="zh-CN"/>
        </w:rPr>
      </w:pPr>
      <w:r>
        <w:rPr>
          <w:rFonts w:hint="eastAsia"/>
          <w:i w:val="0"/>
          <w:iCs w:val="0"/>
          <w:color w:val="auto"/>
          <w:highlight w:val="none"/>
          <w:lang w:val="en-US" w:eastAsia="zh-CN"/>
        </w:rPr>
        <w:t>三、我单位如被查实在本项目政府采购竞争性磋商活动中存在围标串标的，递交响应文件行为作为实施串通投标违法行为的关键环节,由我单位及法定代表人承担相应的法律责任，接受相应行政处罚和失信惩戒。</w:t>
      </w:r>
    </w:p>
    <w:p w14:paraId="4C8BE6CD">
      <w:pPr>
        <w:pStyle w:val="11"/>
        <w:rPr>
          <w:rFonts w:hint="eastAsia"/>
          <w:i w:val="0"/>
          <w:iCs w:val="0"/>
          <w:color w:val="auto"/>
          <w:highlight w:val="none"/>
          <w:lang w:val="en-US" w:eastAsia="zh-CN"/>
        </w:rPr>
      </w:pPr>
    </w:p>
    <w:p w14:paraId="47BB786F">
      <w:pPr>
        <w:spacing w:line="560" w:lineRule="exact"/>
        <w:rPr>
          <w:rFonts w:hint="eastAsia" w:ascii="宋体" w:hAnsi="宋体" w:eastAsia="宋体" w:cs="宋体"/>
          <w:i w:val="0"/>
          <w:iCs w:val="0"/>
          <w:color w:val="auto"/>
          <w:kern w:val="0"/>
          <w:sz w:val="24"/>
          <w:szCs w:val="24"/>
          <w:highlight w:val="none"/>
        </w:rPr>
      </w:pPr>
    </w:p>
    <w:p w14:paraId="02A7C720">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w:t>
      </w:r>
      <w:r>
        <w:rPr>
          <w:rFonts w:hint="eastAsia" w:cs="宋体"/>
          <w:i w:val="0"/>
          <w:iCs w:val="0"/>
          <w:color w:val="auto"/>
          <w:kern w:val="0"/>
          <w:sz w:val="24"/>
          <w:szCs w:val="24"/>
          <w:highlight w:val="none"/>
          <w:lang w:val="en-US" w:eastAsia="zh-CN"/>
        </w:rPr>
        <w:t>名称</w:t>
      </w:r>
      <w:r>
        <w:rPr>
          <w:rFonts w:hint="eastAsia" w:ascii="宋体" w:hAnsi="宋体" w:eastAsia="宋体" w:cs="宋体"/>
          <w:i w:val="0"/>
          <w:iCs w:val="0"/>
          <w:color w:val="auto"/>
          <w:kern w:val="0"/>
          <w:sz w:val="24"/>
          <w:szCs w:val="24"/>
          <w:highlight w:val="none"/>
          <w:lang w:eastAsia="zh-CN"/>
        </w:rPr>
        <w:t>（</w:t>
      </w:r>
      <w:r>
        <w:rPr>
          <w:rFonts w:hint="eastAsia" w:cs="宋体"/>
          <w:i w:val="0"/>
          <w:iCs w:val="0"/>
          <w:color w:val="auto"/>
          <w:kern w:val="0"/>
          <w:sz w:val="24"/>
          <w:szCs w:val="24"/>
          <w:highlight w:val="none"/>
          <w:lang w:eastAsia="zh-CN"/>
        </w:rPr>
        <w:t>公</w:t>
      </w:r>
      <w:r>
        <w:rPr>
          <w:rFonts w:hint="eastAsia" w:ascii="宋体" w:hAnsi="宋体" w:eastAsia="宋体" w:cs="宋体"/>
          <w:i w:val="0"/>
          <w:iCs w:val="0"/>
          <w:color w:val="auto"/>
          <w:kern w:val="0"/>
          <w:sz w:val="24"/>
          <w:szCs w:val="24"/>
          <w:highlight w:val="none"/>
          <w:lang w:eastAsia="zh-CN"/>
        </w:rPr>
        <w:t>章）</w:t>
      </w:r>
      <w:r>
        <w:rPr>
          <w:rFonts w:hint="eastAsia" w:ascii="宋体" w:hAnsi="宋体" w:eastAsia="宋体" w:cs="宋体"/>
          <w:i w:val="0"/>
          <w:iCs w:val="0"/>
          <w:color w:val="auto"/>
          <w:kern w:val="0"/>
          <w:sz w:val="24"/>
          <w:szCs w:val="24"/>
          <w:highlight w:val="none"/>
        </w:rPr>
        <w:t>：</w:t>
      </w:r>
    </w:p>
    <w:p w14:paraId="0B0B73CE">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法定代表人、负责人、本人、或授权代表</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签字或印章</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kern w:val="0"/>
          <w:sz w:val="24"/>
          <w:szCs w:val="24"/>
          <w:highlight w:val="none"/>
        </w:rPr>
        <w:t>：</w:t>
      </w:r>
    </w:p>
    <w:p w14:paraId="65EDCBCE">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日期： 年 月 日</w:t>
      </w:r>
    </w:p>
    <w:p w14:paraId="5E08753D">
      <w:pPr>
        <w:spacing w:line="560" w:lineRule="exact"/>
        <w:rPr>
          <w:rFonts w:hint="eastAsia" w:ascii="宋体" w:hAnsi="宋体" w:eastAsia="宋体" w:cs="宋体"/>
          <w:i w:val="0"/>
          <w:iCs w:val="0"/>
          <w:color w:val="auto"/>
          <w:kern w:val="0"/>
          <w:sz w:val="24"/>
          <w:szCs w:val="24"/>
          <w:highlight w:val="none"/>
        </w:rPr>
      </w:pPr>
    </w:p>
    <w:p w14:paraId="13DA43E0">
      <w:pPr>
        <w:widowControl/>
        <w:spacing w:line="560" w:lineRule="exact"/>
        <w:ind w:firstLine="630"/>
        <w:jc w:val="left"/>
        <w:rPr>
          <w:rFonts w:hint="eastAsia" w:ascii="宋体" w:hAnsi="宋体" w:eastAsia="宋体" w:cs="宋体"/>
          <w:i w:val="0"/>
          <w:iCs w:val="0"/>
          <w:color w:val="auto"/>
          <w:kern w:val="0"/>
          <w:sz w:val="24"/>
          <w:szCs w:val="24"/>
          <w:highlight w:val="none"/>
        </w:rPr>
      </w:pPr>
    </w:p>
    <w:p w14:paraId="7CD72A88">
      <w:pPr>
        <w:pStyle w:val="11"/>
        <w:rPr>
          <w:rFonts w:hint="eastAsia"/>
          <w:i w:val="0"/>
          <w:iCs w:val="0"/>
          <w:color w:val="auto"/>
          <w:highlight w:val="none"/>
          <w:lang w:val="en-US" w:eastAsia="zh-CN"/>
        </w:rPr>
      </w:pPr>
    </w:p>
    <w:p w14:paraId="6FC519D1">
      <w:pPr>
        <w:pStyle w:val="11"/>
        <w:rPr>
          <w:rFonts w:hint="eastAsia"/>
          <w:i w:val="0"/>
          <w:iCs w:val="0"/>
          <w:color w:val="auto"/>
          <w:highlight w:val="none"/>
          <w:lang w:val="en-US" w:eastAsia="zh-CN"/>
        </w:rPr>
      </w:pPr>
    </w:p>
    <w:p w14:paraId="7500053D">
      <w:pPr>
        <w:pStyle w:val="11"/>
        <w:rPr>
          <w:rFonts w:hint="eastAsia"/>
          <w:i w:val="0"/>
          <w:iCs w:val="0"/>
          <w:color w:val="auto"/>
          <w:highlight w:val="none"/>
          <w:lang w:val="en-US" w:eastAsia="zh-CN"/>
        </w:rPr>
      </w:pPr>
    </w:p>
    <w:p w14:paraId="5BF64493">
      <w:pPr>
        <w:pStyle w:val="11"/>
        <w:rPr>
          <w:rFonts w:hint="eastAsia"/>
          <w:i w:val="0"/>
          <w:iCs w:val="0"/>
          <w:color w:val="auto"/>
          <w:highlight w:val="none"/>
          <w:lang w:val="en-US" w:eastAsia="zh-CN"/>
        </w:rPr>
      </w:pPr>
    </w:p>
    <w:p w14:paraId="5CA01A8B">
      <w:pPr>
        <w:pStyle w:val="11"/>
        <w:rPr>
          <w:rFonts w:hint="eastAsia"/>
          <w:i w:val="0"/>
          <w:iCs w:val="0"/>
          <w:color w:val="auto"/>
          <w:highlight w:val="none"/>
          <w:lang w:val="en-US" w:eastAsia="zh-CN"/>
        </w:rPr>
      </w:pPr>
    </w:p>
    <w:p w14:paraId="029F743D">
      <w:pPr>
        <w:pStyle w:val="11"/>
        <w:rPr>
          <w:rFonts w:hint="eastAsia"/>
          <w:i w:val="0"/>
          <w:iCs w:val="0"/>
          <w:color w:val="auto"/>
          <w:highlight w:val="none"/>
          <w:lang w:val="en-US" w:eastAsia="zh-CN"/>
        </w:rPr>
      </w:pPr>
    </w:p>
    <w:p w14:paraId="2A0D0C53">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32"/>
          <w:szCs w:val="32"/>
          <w:highlight w:val="none"/>
          <w:lang w:val="zh-CN" w:eastAsia="zh-CN" w:bidi="ar-SA"/>
        </w:rPr>
      </w:pPr>
      <w:bookmarkStart w:id="1224" w:name="_Toc25539"/>
      <w:r>
        <w:rPr>
          <w:rFonts w:hint="eastAsia" w:cstheme="majorBidi"/>
          <w:b/>
          <w:bCs/>
          <w:color w:val="auto"/>
          <w:kern w:val="2"/>
          <w:sz w:val="28"/>
          <w:szCs w:val="28"/>
          <w:highlight w:val="none"/>
          <w:lang w:val="en-US" w:eastAsia="zh-CN" w:bidi="ar-SA"/>
        </w:rPr>
        <w:t>六</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其他资格证明文件</w:t>
      </w:r>
      <w:bookmarkEnd w:id="1224"/>
    </w:p>
    <w:p w14:paraId="0C24F0AE">
      <w:pPr>
        <w:pStyle w:val="33"/>
        <w:rPr>
          <w:rFonts w:hint="eastAsia"/>
          <w:i w:val="0"/>
          <w:iCs w:val="0"/>
          <w:color w:val="auto"/>
          <w:highlight w:val="none"/>
        </w:rPr>
      </w:pPr>
      <w:r>
        <w:rPr>
          <w:rFonts w:hint="eastAsia" w:cs="Courier New"/>
          <w:i w:val="0"/>
          <w:iCs w:val="0"/>
          <w:color w:val="auto"/>
          <w:szCs w:val="24"/>
          <w:highlight w:val="none"/>
          <w:lang w:val="en-US" w:eastAsia="zh-CN"/>
        </w:rPr>
        <w:t>供应商</w:t>
      </w:r>
      <w:r>
        <w:rPr>
          <w:rFonts w:hint="eastAsia" w:cs="Courier New"/>
          <w:i w:val="0"/>
          <w:iCs w:val="0"/>
          <w:color w:val="auto"/>
          <w:szCs w:val="24"/>
          <w:highlight w:val="none"/>
        </w:rPr>
        <w:t>认为需提供的其它相关资格证明材料</w:t>
      </w:r>
    </w:p>
    <w:p w14:paraId="7C2C3E83">
      <w:pPr>
        <w:pStyle w:val="33"/>
        <w:rPr>
          <w:rFonts w:hint="eastAsia"/>
          <w:i w:val="0"/>
          <w:iCs w:val="0"/>
          <w:color w:val="auto"/>
          <w:highlight w:val="none"/>
        </w:rPr>
      </w:pPr>
    </w:p>
    <w:p w14:paraId="58A36194">
      <w:pPr>
        <w:pStyle w:val="33"/>
        <w:rPr>
          <w:rFonts w:hint="eastAsia"/>
          <w:i w:val="0"/>
          <w:iCs w:val="0"/>
          <w:color w:val="auto"/>
          <w:highlight w:val="none"/>
        </w:rPr>
      </w:pPr>
    </w:p>
    <w:p w14:paraId="3553B395">
      <w:pPr>
        <w:pStyle w:val="33"/>
        <w:rPr>
          <w:rFonts w:hint="eastAsia"/>
          <w:i w:val="0"/>
          <w:iCs w:val="0"/>
          <w:color w:val="auto"/>
          <w:highlight w:val="none"/>
        </w:rPr>
      </w:pPr>
    </w:p>
    <w:p w14:paraId="49D404FC">
      <w:pPr>
        <w:pStyle w:val="33"/>
        <w:rPr>
          <w:rFonts w:hint="eastAsia"/>
          <w:i w:val="0"/>
          <w:iCs w:val="0"/>
          <w:color w:val="auto"/>
          <w:highlight w:val="none"/>
        </w:rPr>
      </w:pPr>
    </w:p>
    <w:p w14:paraId="4B98E4B6">
      <w:pPr>
        <w:pStyle w:val="33"/>
        <w:rPr>
          <w:rFonts w:hint="eastAsia"/>
          <w:i w:val="0"/>
          <w:iCs w:val="0"/>
          <w:color w:val="auto"/>
          <w:highlight w:val="none"/>
        </w:rPr>
      </w:pPr>
    </w:p>
    <w:p w14:paraId="737FEDD3">
      <w:pPr>
        <w:pStyle w:val="33"/>
        <w:rPr>
          <w:rFonts w:hint="eastAsia"/>
          <w:i w:val="0"/>
          <w:iCs w:val="0"/>
          <w:color w:val="auto"/>
          <w:highlight w:val="none"/>
        </w:rPr>
      </w:pPr>
    </w:p>
    <w:p w14:paraId="1C876135">
      <w:pPr>
        <w:pStyle w:val="33"/>
        <w:rPr>
          <w:rFonts w:hint="eastAsia"/>
          <w:i w:val="0"/>
          <w:iCs w:val="0"/>
          <w:color w:val="auto"/>
          <w:highlight w:val="none"/>
        </w:rPr>
      </w:pPr>
    </w:p>
    <w:p w14:paraId="7E85C842">
      <w:pPr>
        <w:pStyle w:val="33"/>
        <w:rPr>
          <w:rFonts w:hint="eastAsia"/>
          <w:i w:val="0"/>
          <w:iCs w:val="0"/>
          <w:color w:val="auto"/>
          <w:highlight w:val="none"/>
        </w:rPr>
      </w:pPr>
    </w:p>
    <w:p w14:paraId="4CBE3B0D">
      <w:pPr>
        <w:pStyle w:val="33"/>
        <w:rPr>
          <w:rFonts w:hint="eastAsia"/>
          <w:i w:val="0"/>
          <w:iCs w:val="0"/>
          <w:color w:val="auto"/>
          <w:highlight w:val="none"/>
        </w:rPr>
      </w:pPr>
    </w:p>
    <w:p w14:paraId="2E6E451F">
      <w:pPr>
        <w:pStyle w:val="33"/>
        <w:rPr>
          <w:rFonts w:hint="eastAsia"/>
          <w:i w:val="0"/>
          <w:iCs w:val="0"/>
          <w:color w:val="auto"/>
          <w:highlight w:val="none"/>
        </w:rPr>
      </w:pPr>
    </w:p>
    <w:p w14:paraId="38DC2C55">
      <w:pPr>
        <w:pStyle w:val="33"/>
        <w:rPr>
          <w:rFonts w:hint="eastAsia"/>
          <w:i w:val="0"/>
          <w:iCs w:val="0"/>
          <w:color w:val="auto"/>
          <w:highlight w:val="none"/>
        </w:rPr>
      </w:pPr>
    </w:p>
    <w:p w14:paraId="04DAFD3C">
      <w:pPr>
        <w:pStyle w:val="33"/>
        <w:rPr>
          <w:rFonts w:hint="eastAsia"/>
          <w:i w:val="0"/>
          <w:iCs w:val="0"/>
          <w:color w:val="auto"/>
          <w:highlight w:val="none"/>
        </w:rPr>
      </w:pPr>
    </w:p>
    <w:p w14:paraId="51E24CDC">
      <w:pPr>
        <w:pStyle w:val="33"/>
        <w:rPr>
          <w:rFonts w:hint="eastAsia"/>
          <w:i w:val="0"/>
          <w:iCs w:val="0"/>
          <w:color w:val="auto"/>
          <w:highlight w:val="none"/>
        </w:rPr>
      </w:pPr>
    </w:p>
    <w:p w14:paraId="1AC1942E">
      <w:pPr>
        <w:pStyle w:val="33"/>
        <w:rPr>
          <w:rFonts w:hint="eastAsia"/>
          <w:i w:val="0"/>
          <w:iCs w:val="0"/>
          <w:color w:val="auto"/>
          <w:highlight w:val="none"/>
        </w:rPr>
      </w:pPr>
    </w:p>
    <w:p w14:paraId="4722E259">
      <w:pPr>
        <w:pStyle w:val="33"/>
        <w:rPr>
          <w:rFonts w:hint="eastAsia"/>
          <w:i w:val="0"/>
          <w:iCs w:val="0"/>
          <w:color w:val="auto"/>
          <w:highlight w:val="none"/>
        </w:rPr>
      </w:pPr>
    </w:p>
    <w:p w14:paraId="07033BD3">
      <w:pPr>
        <w:pStyle w:val="33"/>
        <w:rPr>
          <w:rFonts w:hint="eastAsia"/>
          <w:i w:val="0"/>
          <w:iCs w:val="0"/>
          <w:color w:val="auto"/>
          <w:highlight w:val="none"/>
        </w:rPr>
      </w:pPr>
    </w:p>
    <w:p w14:paraId="6E1D094D">
      <w:pPr>
        <w:pStyle w:val="33"/>
        <w:rPr>
          <w:rFonts w:hint="eastAsia"/>
          <w:i w:val="0"/>
          <w:iCs w:val="0"/>
          <w:color w:val="auto"/>
          <w:highlight w:val="none"/>
        </w:rPr>
      </w:pPr>
    </w:p>
    <w:p w14:paraId="23B0DB54">
      <w:pPr>
        <w:pStyle w:val="33"/>
        <w:rPr>
          <w:rFonts w:hint="eastAsia"/>
          <w:i w:val="0"/>
          <w:iCs w:val="0"/>
          <w:color w:val="auto"/>
          <w:highlight w:val="none"/>
        </w:rPr>
      </w:pPr>
    </w:p>
    <w:p w14:paraId="07159DF6">
      <w:pPr>
        <w:pStyle w:val="33"/>
        <w:rPr>
          <w:rFonts w:hint="eastAsia"/>
          <w:i w:val="0"/>
          <w:iCs w:val="0"/>
          <w:color w:val="auto"/>
          <w:highlight w:val="none"/>
        </w:rPr>
      </w:pPr>
    </w:p>
    <w:p w14:paraId="44B3A5AA">
      <w:pPr>
        <w:pStyle w:val="33"/>
        <w:rPr>
          <w:rFonts w:hint="eastAsia"/>
          <w:i w:val="0"/>
          <w:iCs w:val="0"/>
          <w:color w:val="auto"/>
          <w:highlight w:val="none"/>
        </w:rPr>
      </w:pPr>
    </w:p>
    <w:p w14:paraId="05BB178A">
      <w:pPr>
        <w:pStyle w:val="33"/>
        <w:rPr>
          <w:rFonts w:hint="eastAsia"/>
          <w:i w:val="0"/>
          <w:iCs w:val="0"/>
          <w:color w:val="auto"/>
          <w:highlight w:val="none"/>
        </w:rPr>
      </w:pPr>
    </w:p>
    <w:p w14:paraId="0E7980AB">
      <w:pPr>
        <w:pStyle w:val="33"/>
        <w:rPr>
          <w:rFonts w:hint="eastAsia"/>
          <w:i w:val="0"/>
          <w:iCs w:val="0"/>
          <w:color w:val="auto"/>
          <w:highlight w:val="none"/>
        </w:rPr>
      </w:pPr>
    </w:p>
    <w:p w14:paraId="5A09B930">
      <w:pPr>
        <w:pStyle w:val="33"/>
        <w:rPr>
          <w:rFonts w:hint="eastAsia"/>
          <w:i w:val="0"/>
          <w:iCs w:val="0"/>
          <w:color w:val="auto"/>
          <w:highlight w:val="none"/>
        </w:rPr>
      </w:pPr>
    </w:p>
    <w:p w14:paraId="3FB1F62E">
      <w:pPr>
        <w:pStyle w:val="33"/>
        <w:rPr>
          <w:rFonts w:hint="eastAsia"/>
          <w:i w:val="0"/>
          <w:iCs w:val="0"/>
          <w:color w:val="auto"/>
          <w:highlight w:val="none"/>
        </w:rPr>
      </w:pPr>
    </w:p>
    <w:p w14:paraId="674D4B47">
      <w:pPr>
        <w:pStyle w:val="33"/>
        <w:rPr>
          <w:rFonts w:hint="eastAsia"/>
          <w:i w:val="0"/>
          <w:iCs w:val="0"/>
          <w:color w:val="auto"/>
          <w:highlight w:val="none"/>
        </w:rPr>
      </w:pPr>
    </w:p>
    <w:p w14:paraId="04384634">
      <w:pPr>
        <w:pStyle w:val="5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1047D3EE">
      <w:pPr>
        <w:pStyle w:val="5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color w:val="auto"/>
          <w:highlight w:val="none"/>
          <w:lang w:val="en-US" w:eastAsia="zh-CN"/>
        </w:rPr>
      </w:pPr>
    </w:p>
    <w:p w14:paraId="7FC23E9A">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579E32CA">
      <w:pPr>
        <w:autoSpaceDE w:val="0"/>
        <w:autoSpaceDN w:val="0"/>
        <w:adjustRightInd w:val="0"/>
        <w:rPr>
          <w:color w:val="auto"/>
          <w:sz w:val="21"/>
          <w:szCs w:val="24"/>
          <w:highlight w:val="none"/>
        </w:rPr>
      </w:pPr>
    </w:p>
    <w:p w14:paraId="2CC27B4B">
      <w:pPr>
        <w:autoSpaceDE w:val="0"/>
        <w:autoSpaceDN w:val="0"/>
        <w:adjustRightInd w:val="0"/>
        <w:rPr>
          <w:color w:val="auto"/>
          <w:sz w:val="21"/>
          <w:szCs w:val="24"/>
          <w:highlight w:val="none"/>
        </w:rPr>
      </w:pPr>
    </w:p>
    <w:p w14:paraId="63CA31F9">
      <w:pPr>
        <w:autoSpaceDE w:val="0"/>
        <w:autoSpaceDN w:val="0"/>
        <w:adjustRightInd w:val="0"/>
        <w:jc w:val="center"/>
        <w:rPr>
          <w:color w:val="auto"/>
          <w:sz w:val="21"/>
          <w:szCs w:val="24"/>
          <w:highlight w:val="none"/>
        </w:rPr>
      </w:pPr>
    </w:p>
    <w:p w14:paraId="0F2A8793">
      <w:pPr>
        <w:pStyle w:val="3"/>
        <w:bidi w:val="0"/>
        <w:jc w:val="center"/>
        <w:rPr>
          <w:sz w:val="84"/>
          <w:szCs w:val="84"/>
        </w:rPr>
      </w:pPr>
      <w:bookmarkStart w:id="1225" w:name="_Toc138"/>
      <w:r>
        <w:rPr>
          <w:rFonts w:hint="eastAsia"/>
          <w:sz w:val="84"/>
          <w:szCs w:val="84"/>
          <w:lang w:val="en-US" w:eastAsia="zh-CN"/>
        </w:rPr>
        <w:t>响 应</w:t>
      </w:r>
      <w:r>
        <w:rPr>
          <w:rFonts w:hint="eastAsia"/>
          <w:sz w:val="84"/>
          <w:szCs w:val="84"/>
        </w:rPr>
        <w:t xml:space="preserve"> 文 件</w:t>
      </w:r>
      <w:bookmarkEnd w:id="1225"/>
    </w:p>
    <w:p w14:paraId="383861DE">
      <w:pPr>
        <w:pStyle w:val="3"/>
        <w:bidi w:val="0"/>
        <w:jc w:val="center"/>
        <w:rPr>
          <w:rFonts w:hint="eastAsia"/>
          <w:sz w:val="56"/>
          <w:szCs w:val="56"/>
          <w:lang w:val="en-US" w:eastAsia="zh-CN"/>
        </w:rPr>
      </w:pPr>
      <w:bookmarkStart w:id="1226" w:name="_Toc24322"/>
      <w:r>
        <w:rPr>
          <w:rFonts w:hint="eastAsia"/>
          <w:sz w:val="56"/>
          <w:szCs w:val="56"/>
          <w:lang w:val="en-US" w:eastAsia="zh-CN"/>
        </w:rPr>
        <w:t>报价文件</w:t>
      </w:r>
      <w:bookmarkEnd w:id="1226"/>
    </w:p>
    <w:p w14:paraId="213DD66C">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798A956E">
      <w:pPr>
        <w:pStyle w:val="3"/>
        <w:rPr>
          <w:color w:val="auto"/>
          <w:sz w:val="21"/>
          <w:szCs w:val="21"/>
          <w:highlight w:val="none"/>
        </w:rPr>
      </w:pPr>
    </w:p>
    <w:p w14:paraId="24B6A268">
      <w:pPr>
        <w:rPr>
          <w:color w:val="auto"/>
          <w:sz w:val="21"/>
          <w:szCs w:val="21"/>
          <w:highlight w:val="none"/>
        </w:rPr>
      </w:pPr>
    </w:p>
    <w:p w14:paraId="3DC104B3">
      <w:pPr>
        <w:rPr>
          <w:color w:val="auto"/>
          <w:highlight w:val="none"/>
        </w:rPr>
      </w:pPr>
    </w:p>
    <w:p w14:paraId="74A7A117">
      <w:pPr>
        <w:autoSpaceDE w:val="0"/>
        <w:autoSpaceDN w:val="0"/>
        <w:adjustRightInd w:val="0"/>
        <w:rPr>
          <w:color w:val="auto"/>
          <w:sz w:val="21"/>
          <w:szCs w:val="21"/>
          <w:highlight w:val="none"/>
        </w:rPr>
      </w:pPr>
    </w:p>
    <w:p w14:paraId="6EE89269">
      <w:pPr>
        <w:autoSpaceDE w:val="0"/>
        <w:autoSpaceDN w:val="0"/>
        <w:adjustRightInd w:val="0"/>
        <w:rPr>
          <w:color w:val="auto"/>
          <w:sz w:val="21"/>
          <w:szCs w:val="21"/>
          <w:highlight w:val="none"/>
        </w:rPr>
      </w:pPr>
    </w:p>
    <w:p w14:paraId="6F475132">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ind w:left="840" w:firstLine="420"/>
        <w:rPr>
          <w:b/>
          <w:bCs/>
          <w:color w:val="auto"/>
          <w:sz w:val="28"/>
          <w:szCs w:val="28"/>
          <w:highlight w:val="none"/>
        </w:rPr>
      </w:pPr>
    </w:p>
    <w:p w14:paraId="17D47AB2">
      <w:pPr>
        <w:ind w:left="840" w:firstLine="420"/>
        <w:rPr>
          <w:b/>
          <w:bCs/>
          <w:color w:val="auto"/>
          <w:sz w:val="28"/>
          <w:szCs w:val="28"/>
          <w:highlight w:val="none"/>
        </w:rPr>
      </w:pPr>
    </w:p>
    <w:p w14:paraId="0C84FB8A">
      <w:pPr>
        <w:jc w:val="center"/>
        <w:rPr>
          <w:rFonts w:ascii="黑体" w:hAnsi="黑体" w:eastAsia="黑体"/>
          <w:i w:val="0"/>
          <w:iCs w:val="0"/>
          <w:color w:val="auto"/>
          <w:sz w:val="32"/>
          <w:szCs w:val="32"/>
          <w:highlight w:val="none"/>
        </w:rPr>
      </w:pPr>
      <w:r>
        <w:rPr>
          <w:rFonts w:hint="eastAsia" w:ascii="宋体" w:hAnsi="宋体" w:eastAsia="宋体" w:cs="宋体"/>
          <w:color w:val="auto"/>
          <w:sz w:val="32"/>
          <w:szCs w:val="32"/>
          <w:highlight w:val="none"/>
        </w:rPr>
        <w:t>年   月    日</w:t>
      </w:r>
    </w:p>
    <w:p w14:paraId="2B025C97">
      <w:pPr>
        <w:rPr>
          <w:i w:val="0"/>
          <w:iCs w:val="0"/>
          <w:color w:val="auto"/>
          <w:highlight w:val="none"/>
          <w:lang w:val="zh-CN"/>
        </w:rPr>
      </w:pPr>
      <w:r>
        <w:rPr>
          <w:i w:val="0"/>
          <w:iCs w:val="0"/>
          <w:color w:val="auto"/>
          <w:highlight w:val="none"/>
          <w:lang w:val="zh-CN"/>
        </w:rPr>
        <w:br w:type="page"/>
      </w:r>
    </w:p>
    <w:p w14:paraId="730DA0B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1227" w:name="_Toc15140"/>
      <w:r>
        <w:rPr>
          <w:rFonts w:hint="eastAsia" w:cstheme="majorBidi"/>
          <w:b/>
          <w:bCs/>
          <w:i w:val="0"/>
          <w:iCs w:val="0"/>
          <w:color w:val="auto"/>
          <w:kern w:val="2"/>
          <w:sz w:val="32"/>
          <w:szCs w:val="32"/>
          <w:highlight w:val="none"/>
          <w:lang w:val="en-US" w:eastAsia="zh-CN" w:bidi="ar-SA"/>
        </w:rPr>
        <w:t>一、报价一览表</w:t>
      </w:r>
      <w:bookmarkEnd w:id="1227"/>
    </w:p>
    <w:p w14:paraId="29B57BB7">
      <w:pPr>
        <w:snapToGrid w:val="0"/>
        <w:spacing w:line="360" w:lineRule="auto"/>
        <w:jc w:val="left"/>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项目名称：</w:t>
      </w:r>
      <w:r>
        <w:rPr>
          <w:rFonts w:hint="eastAsia" w:ascii="宋体" w:hAnsi="宋体" w:eastAsia="宋体" w:cs="宋体"/>
          <w:b w:val="0"/>
          <w:bCs/>
          <w:i w:val="0"/>
          <w:iCs w:val="0"/>
          <w:color w:val="auto"/>
          <w:kern w:val="2"/>
          <w:sz w:val="24"/>
          <w:szCs w:val="24"/>
          <w:highlight w:val="none"/>
          <w:u w:val="single"/>
        </w:rPr>
        <w:t xml:space="preserve"> </w:t>
      </w:r>
      <w:r>
        <w:rPr>
          <w:rFonts w:hint="eastAsia" w:ascii="宋体" w:hAnsi="宋体" w:eastAsia="宋体" w:cs="宋体"/>
          <w:b w:val="0"/>
          <w:bCs/>
          <w:i w:val="0"/>
          <w:iCs w:val="0"/>
          <w:color w:val="auto"/>
          <w:kern w:val="2"/>
          <w:sz w:val="24"/>
          <w:szCs w:val="24"/>
          <w:highlight w:val="none"/>
          <w:u w:val="single"/>
          <w:lang w:val="en-US" w:eastAsia="zh-CN"/>
        </w:rPr>
        <w:t xml:space="preserve">                    </w:t>
      </w:r>
      <w:r>
        <w:rPr>
          <w:rFonts w:hint="eastAsia" w:ascii="宋体" w:hAnsi="宋体" w:eastAsia="宋体" w:cs="宋体"/>
          <w:b w:val="0"/>
          <w:bCs/>
          <w:i w:val="0"/>
          <w:iCs w:val="0"/>
          <w:color w:val="auto"/>
          <w:kern w:val="2"/>
          <w:sz w:val="24"/>
          <w:szCs w:val="24"/>
          <w:highlight w:val="none"/>
          <w:u w:val="single"/>
        </w:rPr>
        <w:t xml:space="preserve">    </w:t>
      </w:r>
    </w:p>
    <w:p w14:paraId="4FA16203">
      <w:pPr>
        <w:snapToGrid w:val="0"/>
        <w:spacing w:after="156" w:afterLines="50" w:line="360" w:lineRule="auto"/>
        <w:jc w:val="left"/>
        <w:rPr>
          <w:rFonts w:hint="eastAsia" w:ascii="宋体" w:hAnsi="宋体" w:eastAsia="宋体" w:cs="宋体"/>
          <w:b w:val="0"/>
          <w:bCs/>
          <w:i w:val="0"/>
          <w:iCs w:val="0"/>
          <w:color w:val="auto"/>
          <w:kern w:val="2"/>
          <w:sz w:val="24"/>
          <w:szCs w:val="24"/>
          <w:highlight w:val="none"/>
          <w:u w:val="single"/>
        </w:rPr>
      </w:pPr>
      <w:r>
        <w:rPr>
          <w:rFonts w:hint="eastAsia" w:ascii="宋体" w:hAnsi="宋体" w:eastAsia="宋体" w:cs="宋体"/>
          <w:b w:val="0"/>
          <w:bCs/>
          <w:i w:val="0"/>
          <w:iCs w:val="0"/>
          <w:color w:val="auto"/>
          <w:kern w:val="2"/>
          <w:sz w:val="24"/>
          <w:szCs w:val="24"/>
          <w:highlight w:val="none"/>
        </w:rPr>
        <w:t>项目编号：</w:t>
      </w:r>
      <w:r>
        <w:rPr>
          <w:rFonts w:hint="eastAsia" w:ascii="宋体" w:hAnsi="宋体" w:eastAsia="宋体" w:cs="宋体"/>
          <w:b w:val="0"/>
          <w:bCs/>
          <w:i w:val="0"/>
          <w:iCs w:val="0"/>
          <w:color w:val="auto"/>
          <w:kern w:val="2"/>
          <w:sz w:val="24"/>
          <w:szCs w:val="24"/>
          <w:highlight w:val="none"/>
          <w:u w:val="single"/>
        </w:rPr>
        <w:t xml:space="preserve"> </w:t>
      </w:r>
      <w:r>
        <w:rPr>
          <w:rFonts w:hint="eastAsia" w:ascii="宋体" w:hAnsi="宋体" w:eastAsia="宋体" w:cs="宋体"/>
          <w:b w:val="0"/>
          <w:bCs/>
          <w:i w:val="0"/>
          <w:iCs w:val="0"/>
          <w:color w:val="auto"/>
          <w:kern w:val="2"/>
          <w:sz w:val="24"/>
          <w:szCs w:val="24"/>
          <w:highlight w:val="none"/>
          <w:u w:val="single"/>
          <w:lang w:val="en-US" w:eastAsia="zh-CN"/>
        </w:rPr>
        <w:t xml:space="preserve">                    </w:t>
      </w:r>
      <w:r>
        <w:rPr>
          <w:rFonts w:hint="eastAsia" w:ascii="宋体" w:hAnsi="宋体" w:eastAsia="宋体" w:cs="宋体"/>
          <w:b w:val="0"/>
          <w:bCs/>
          <w:i w:val="0"/>
          <w:iCs w:val="0"/>
          <w:color w:val="auto"/>
          <w:kern w:val="2"/>
          <w:sz w:val="24"/>
          <w:szCs w:val="24"/>
          <w:highlight w:val="none"/>
          <w:u w:val="single"/>
        </w:rPr>
        <w:t xml:space="preserve">    </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0"/>
        <w:gridCol w:w="6062"/>
      </w:tblGrid>
      <w:tr w14:paraId="366A9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2F78EDC1">
            <w:pPr>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供应商名称</w:t>
            </w:r>
          </w:p>
        </w:tc>
        <w:tc>
          <w:tcPr>
            <w:tcW w:w="3556" w:type="pct"/>
            <w:tcBorders>
              <w:left w:val="single" w:color="auto" w:sz="4" w:space="0"/>
            </w:tcBorders>
            <w:vAlign w:val="center"/>
          </w:tcPr>
          <w:p w14:paraId="37CB85C6">
            <w:pPr>
              <w:spacing w:line="240" w:lineRule="auto"/>
              <w:jc w:val="both"/>
              <w:rPr>
                <w:rFonts w:hint="eastAsia" w:ascii="宋体" w:hAnsi="宋体" w:eastAsia="宋体" w:cs="宋体"/>
                <w:b w:val="0"/>
                <w:bCs/>
                <w:i w:val="0"/>
                <w:iCs w:val="0"/>
                <w:color w:val="auto"/>
                <w:kern w:val="2"/>
                <w:sz w:val="24"/>
                <w:szCs w:val="24"/>
                <w:highlight w:val="none"/>
              </w:rPr>
            </w:pPr>
          </w:p>
        </w:tc>
      </w:tr>
      <w:tr w14:paraId="24EB6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2FEDE8CF">
            <w:pPr>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磋商范围</w:t>
            </w:r>
          </w:p>
        </w:tc>
        <w:tc>
          <w:tcPr>
            <w:tcW w:w="3556" w:type="pct"/>
            <w:tcBorders>
              <w:left w:val="single" w:color="auto" w:sz="4" w:space="0"/>
            </w:tcBorders>
            <w:vAlign w:val="center"/>
          </w:tcPr>
          <w:p w14:paraId="78670A18">
            <w:pPr>
              <w:widowControl/>
              <w:spacing w:line="240" w:lineRule="auto"/>
              <w:jc w:val="both"/>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全部 / 第</w:t>
            </w:r>
            <w:r>
              <w:rPr>
                <w:rFonts w:hint="eastAsia" w:ascii="宋体" w:hAnsi="宋体" w:eastAsia="宋体" w:cs="宋体"/>
                <w:b w:val="0"/>
                <w:bCs/>
                <w:i w:val="0"/>
                <w:iCs w:val="0"/>
                <w:color w:val="auto"/>
                <w:kern w:val="2"/>
                <w:sz w:val="24"/>
                <w:szCs w:val="24"/>
                <w:highlight w:val="none"/>
                <w:u w:val="single"/>
              </w:rPr>
              <w:t xml:space="preserve">   </w:t>
            </w:r>
            <w:r>
              <w:rPr>
                <w:rFonts w:hint="eastAsia" w:ascii="宋体" w:hAnsi="宋体" w:eastAsia="宋体" w:cs="宋体"/>
                <w:b w:val="0"/>
                <w:bCs/>
                <w:i w:val="0"/>
                <w:iCs w:val="0"/>
                <w:color w:val="auto"/>
                <w:kern w:val="2"/>
                <w:sz w:val="24"/>
                <w:szCs w:val="24"/>
                <w:highlight w:val="none"/>
              </w:rPr>
              <w:t>包</w:t>
            </w:r>
          </w:p>
        </w:tc>
      </w:tr>
      <w:tr w14:paraId="6038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216E7E9E">
            <w:pPr>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报价</w:t>
            </w:r>
          </w:p>
          <w:p w14:paraId="5F388EDB">
            <w:pPr>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（详见备注说明）</w:t>
            </w:r>
          </w:p>
        </w:tc>
        <w:tc>
          <w:tcPr>
            <w:tcW w:w="3556" w:type="pct"/>
            <w:vAlign w:val="center"/>
          </w:tcPr>
          <w:p w14:paraId="2F2F150D">
            <w:pPr>
              <w:snapToGrid w:val="0"/>
              <w:spacing w:line="240" w:lineRule="auto"/>
              <w:jc w:val="both"/>
              <w:rPr>
                <w:rFonts w:hint="eastAsia" w:ascii="宋体" w:hAnsi="宋体" w:eastAsia="宋体" w:cs="宋体"/>
                <w:b w:val="0"/>
                <w:bCs/>
                <w:i w:val="0"/>
                <w:iCs w:val="0"/>
                <w:color w:val="auto"/>
                <w:kern w:val="2"/>
                <w:sz w:val="24"/>
                <w:szCs w:val="24"/>
                <w:highlight w:val="none"/>
              </w:rPr>
            </w:pPr>
          </w:p>
          <w:p w14:paraId="3D4F3E9E">
            <w:pPr>
              <w:snapToGrid w:val="0"/>
              <w:spacing w:line="240" w:lineRule="auto"/>
              <w:jc w:val="both"/>
              <w:rPr>
                <w:rFonts w:hint="eastAsia" w:ascii="宋体" w:hAnsi="宋体" w:eastAsia="宋体" w:cs="宋体"/>
                <w:b w:val="0"/>
                <w:bCs/>
                <w:i w:val="0"/>
                <w:iCs w:val="0"/>
                <w:color w:val="auto"/>
                <w:sz w:val="24"/>
                <w:szCs w:val="24"/>
                <w:highlight w:val="none"/>
                <w:u w:val="single"/>
              </w:rPr>
            </w:pPr>
            <w:r>
              <w:rPr>
                <w:rFonts w:hint="eastAsia" w:ascii="宋体" w:hAnsi="宋体" w:eastAsia="宋体" w:cs="宋体"/>
                <w:b w:val="0"/>
                <w:bCs/>
                <w:i w:val="0"/>
                <w:iCs w:val="0"/>
                <w:color w:val="auto"/>
                <w:sz w:val="24"/>
                <w:szCs w:val="24"/>
                <w:highlight w:val="none"/>
              </w:rPr>
              <w:t>大写：</w:t>
            </w:r>
            <w:r>
              <w:rPr>
                <w:rFonts w:hint="eastAsia" w:ascii="宋体" w:hAnsi="宋体" w:eastAsia="宋体" w:cs="宋体"/>
                <w:b w:val="0"/>
                <w:bCs/>
                <w:i w:val="0"/>
                <w:iCs w:val="0"/>
                <w:color w:val="auto"/>
                <w:sz w:val="24"/>
                <w:szCs w:val="24"/>
                <w:highlight w:val="none"/>
                <w:u w:val="single"/>
              </w:rPr>
              <w:t xml:space="preserve">                     </w:t>
            </w:r>
          </w:p>
          <w:p w14:paraId="0CAE42C2">
            <w:pPr>
              <w:spacing w:line="240" w:lineRule="auto"/>
              <w:ind w:right="-670"/>
              <w:jc w:val="both"/>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小写：</w:t>
            </w:r>
            <w:r>
              <w:rPr>
                <w:rFonts w:hint="eastAsia" w:ascii="宋体" w:hAnsi="宋体" w:eastAsia="宋体" w:cs="宋体"/>
                <w:b w:val="0"/>
                <w:bCs/>
                <w:i w:val="0"/>
                <w:iCs w:val="0"/>
                <w:color w:val="auto"/>
                <w:sz w:val="24"/>
                <w:szCs w:val="24"/>
                <w:highlight w:val="none"/>
                <w:u w:val="single"/>
              </w:rPr>
              <w:t xml:space="preserve">                     </w:t>
            </w:r>
          </w:p>
          <w:p w14:paraId="3A1569B3">
            <w:pPr>
              <w:snapToGrid w:val="0"/>
              <w:spacing w:line="240" w:lineRule="auto"/>
              <w:jc w:val="both"/>
              <w:rPr>
                <w:rFonts w:hint="eastAsia" w:ascii="宋体" w:hAnsi="宋体" w:eastAsia="宋体" w:cs="宋体"/>
                <w:b w:val="0"/>
                <w:bCs/>
                <w:i w:val="0"/>
                <w:iCs w:val="0"/>
                <w:color w:val="auto"/>
                <w:kern w:val="2"/>
                <w:sz w:val="24"/>
                <w:szCs w:val="24"/>
                <w:highlight w:val="none"/>
              </w:rPr>
            </w:pPr>
          </w:p>
        </w:tc>
      </w:tr>
      <w:tr w14:paraId="37D4B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179A7373">
            <w:pPr>
              <w:snapToGrid w:val="0"/>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质量标准</w:t>
            </w:r>
          </w:p>
        </w:tc>
        <w:tc>
          <w:tcPr>
            <w:tcW w:w="3556" w:type="pct"/>
            <w:vAlign w:val="center"/>
          </w:tcPr>
          <w:p w14:paraId="1E5D469E">
            <w:pPr>
              <w:snapToGrid w:val="0"/>
              <w:spacing w:line="240" w:lineRule="auto"/>
              <w:jc w:val="both"/>
              <w:rPr>
                <w:rFonts w:hint="eastAsia" w:ascii="宋体" w:hAnsi="宋体" w:eastAsia="宋体" w:cs="宋体"/>
                <w:b w:val="0"/>
                <w:bCs/>
                <w:i w:val="0"/>
                <w:iCs w:val="0"/>
                <w:color w:val="auto"/>
                <w:kern w:val="2"/>
                <w:sz w:val="24"/>
                <w:szCs w:val="24"/>
                <w:highlight w:val="none"/>
              </w:rPr>
            </w:pPr>
          </w:p>
        </w:tc>
      </w:tr>
      <w:tr w14:paraId="22223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4E204255">
            <w:pPr>
              <w:snapToGrid w:val="0"/>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工    期</w:t>
            </w:r>
          </w:p>
        </w:tc>
        <w:tc>
          <w:tcPr>
            <w:tcW w:w="3556" w:type="pct"/>
            <w:vAlign w:val="center"/>
          </w:tcPr>
          <w:p w14:paraId="78146B7E">
            <w:pPr>
              <w:snapToGrid w:val="0"/>
              <w:spacing w:line="240" w:lineRule="auto"/>
              <w:jc w:val="both"/>
              <w:rPr>
                <w:rFonts w:hint="eastAsia" w:ascii="宋体" w:hAnsi="宋体" w:eastAsia="宋体" w:cs="宋体"/>
                <w:b w:val="0"/>
                <w:bCs/>
                <w:i w:val="0"/>
                <w:iCs w:val="0"/>
                <w:color w:val="auto"/>
                <w:kern w:val="2"/>
                <w:sz w:val="24"/>
                <w:szCs w:val="24"/>
                <w:highlight w:val="none"/>
              </w:rPr>
            </w:pPr>
          </w:p>
        </w:tc>
      </w:tr>
      <w:tr w14:paraId="08059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jc w:val="center"/>
        </w:trPr>
        <w:tc>
          <w:tcPr>
            <w:tcW w:w="1443" w:type="pct"/>
            <w:vAlign w:val="center"/>
          </w:tcPr>
          <w:p w14:paraId="71B51A75">
            <w:pPr>
              <w:spacing w:line="240" w:lineRule="auto"/>
              <w:jc w:val="center"/>
              <w:rPr>
                <w:rFonts w:hint="eastAsia" w:ascii="宋体" w:hAnsi="宋体" w:eastAsia="宋体" w:cs="宋体"/>
                <w:b w:val="0"/>
                <w:bCs/>
                <w:i w:val="0"/>
                <w:iCs w:val="0"/>
                <w:color w:val="auto"/>
                <w:kern w:val="2"/>
                <w:sz w:val="24"/>
                <w:szCs w:val="24"/>
                <w:highlight w:val="none"/>
              </w:rPr>
            </w:pPr>
            <w:r>
              <w:rPr>
                <w:rFonts w:hint="eastAsia" w:ascii="宋体" w:hAnsi="宋体" w:eastAsia="宋体" w:cs="宋体"/>
                <w:b w:val="0"/>
                <w:bCs/>
                <w:i w:val="0"/>
                <w:iCs w:val="0"/>
                <w:color w:val="auto"/>
                <w:kern w:val="2"/>
                <w:sz w:val="24"/>
                <w:szCs w:val="24"/>
                <w:highlight w:val="none"/>
              </w:rPr>
              <w:t>备注</w:t>
            </w:r>
          </w:p>
        </w:tc>
        <w:tc>
          <w:tcPr>
            <w:tcW w:w="3556" w:type="pct"/>
            <w:vAlign w:val="center"/>
          </w:tcPr>
          <w:p w14:paraId="73BFA4FB">
            <w:pPr>
              <w:spacing w:line="240" w:lineRule="auto"/>
              <w:jc w:val="both"/>
              <w:rPr>
                <w:rFonts w:hint="eastAsia" w:ascii="宋体" w:hAnsi="宋体" w:eastAsia="宋体" w:cs="宋体"/>
                <w:b w:val="0"/>
                <w:bCs/>
                <w:i w:val="0"/>
                <w:iCs w:val="0"/>
                <w:color w:val="auto"/>
                <w:kern w:val="2"/>
                <w:sz w:val="24"/>
                <w:szCs w:val="24"/>
                <w:highlight w:val="none"/>
              </w:rPr>
            </w:pPr>
          </w:p>
        </w:tc>
      </w:tr>
    </w:tbl>
    <w:p w14:paraId="40B6EF5A">
      <w:pPr>
        <w:spacing w:line="440" w:lineRule="exact"/>
        <w:rPr>
          <w:rFonts w:cs="@仿宋_GB2312"/>
          <w:i w:val="0"/>
          <w:iCs w:val="0"/>
          <w:color w:val="auto"/>
          <w:kern w:val="2"/>
          <w:sz w:val="24"/>
          <w:szCs w:val="24"/>
          <w:highlight w:val="none"/>
          <w:u w:val="single"/>
        </w:rPr>
      </w:pPr>
      <w:r>
        <w:rPr>
          <w:rFonts w:hint="eastAsia" w:cs="@仿宋_GB2312"/>
          <w:i w:val="0"/>
          <w:iCs w:val="0"/>
          <w:color w:val="auto"/>
          <w:kern w:val="2"/>
          <w:sz w:val="24"/>
          <w:szCs w:val="24"/>
          <w:highlight w:val="none"/>
        </w:rPr>
        <w:t>供应商</w:t>
      </w:r>
      <w:r>
        <w:rPr>
          <w:rFonts w:ascii="Arial" w:hAnsi="Arial" w:cs="Arial"/>
          <w:i w:val="0"/>
          <w:iCs w:val="0"/>
          <w:color w:val="auto"/>
          <w:szCs w:val="21"/>
          <w:highlight w:val="none"/>
        </w:rPr>
        <w:t>名称</w:t>
      </w:r>
      <w:r>
        <w:rPr>
          <w:rFonts w:hint="eastAsia" w:ascii="宋体" w:hAnsi="宋体" w:eastAsia="宋体" w:cs="宋体"/>
          <w:i w:val="0"/>
          <w:iCs w:val="0"/>
          <w:color w:val="auto"/>
          <w:kern w:val="0"/>
          <w:sz w:val="24"/>
          <w:szCs w:val="24"/>
          <w:highlight w:val="none"/>
          <w:lang w:eastAsia="zh-CN"/>
        </w:rPr>
        <w:t>（</w:t>
      </w:r>
      <w:r>
        <w:rPr>
          <w:rFonts w:hint="eastAsia" w:cs="宋体"/>
          <w:i w:val="0"/>
          <w:iCs w:val="0"/>
          <w:color w:val="auto"/>
          <w:kern w:val="0"/>
          <w:sz w:val="24"/>
          <w:szCs w:val="24"/>
          <w:highlight w:val="none"/>
          <w:lang w:eastAsia="zh-CN"/>
        </w:rPr>
        <w:t>公</w:t>
      </w:r>
      <w:r>
        <w:rPr>
          <w:rFonts w:hint="eastAsia" w:ascii="宋体" w:hAnsi="宋体" w:eastAsia="宋体" w:cs="宋体"/>
          <w:i w:val="0"/>
          <w:iCs w:val="0"/>
          <w:color w:val="auto"/>
          <w:kern w:val="0"/>
          <w:sz w:val="24"/>
          <w:szCs w:val="24"/>
          <w:highlight w:val="none"/>
          <w:lang w:eastAsia="zh-CN"/>
        </w:rPr>
        <w:t>章）</w:t>
      </w:r>
      <w:r>
        <w:rPr>
          <w:rFonts w:hint="eastAsia" w:cs="@仿宋_GB2312"/>
          <w:i w:val="0"/>
          <w:iCs w:val="0"/>
          <w:color w:val="auto"/>
          <w:kern w:val="2"/>
          <w:sz w:val="24"/>
          <w:szCs w:val="24"/>
          <w:highlight w:val="none"/>
        </w:rPr>
        <w:t>：</w:t>
      </w:r>
      <w:r>
        <w:rPr>
          <w:rFonts w:hint="eastAsia" w:cs="@仿宋_GB2312"/>
          <w:i w:val="0"/>
          <w:iCs w:val="0"/>
          <w:color w:val="auto"/>
          <w:kern w:val="2"/>
          <w:sz w:val="24"/>
          <w:szCs w:val="24"/>
          <w:highlight w:val="none"/>
          <w:u w:val="single"/>
        </w:rPr>
        <w:t xml:space="preserve">     </w:t>
      </w:r>
      <w:r>
        <w:rPr>
          <w:rFonts w:cs="@仿宋_GB2312"/>
          <w:i w:val="0"/>
          <w:iCs w:val="0"/>
          <w:color w:val="auto"/>
          <w:kern w:val="2"/>
          <w:sz w:val="24"/>
          <w:szCs w:val="24"/>
          <w:highlight w:val="none"/>
          <w:u w:val="single"/>
        </w:rPr>
        <w:t xml:space="preserve">    </w:t>
      </w:r>
      <w:r>
        <w:rPr>
          <w:rFonts w:hint="eastAsia" w:cs="@仿宋_GB2312"/>
          <w:i w:val="0"/>
          <w:iCs w:val="0"/>
          <w:color w:val="auto"/>
          <w:kern w:val="2"/>
          <w:sz w:val="24"/>
          <w:szCs w:val="24"/>
          <w:highlight w:val="none"/>
          <w:u w:val="single"/>
        </w:rPr>
        <w:t xml:space="preserve">    </w:t>
      </w:r>
    </w:p>
    <w:p w14:paraId="3D468598">
      <w:pPr>
        <w:spacing w:line="440" w:lineRule="exact"/>
        <w:rPr>
          <w:rFonts w:cs="@仿宋_GB2312"/>
          <w:i w:val="0"/>
          <w:iCs w:val="0"/>
          <w:color w:val="auto"/>
          <w:kern w:val="2"/>
          <w:sz w:val="24"/>
          <w:szCs w:val="24"/>
          <w:highlight w:val="none"/>
          <w:u w:val="single"/>
        </w:rPr>
      </w:pPr>
      <w:r>
        <w:rPr>
          <w:rFonts w:hint="eastAsia" w:cs="@仿宋_GB2312"/>
          <w:i w:val="0"/>
          <w:iCs w:val="0"/>
          <w:color w:val="auto"/>
          <w:kern w:val="2"/>
          <w:sz w:val="24"/>
          <w:szCs w:val="24"/>
          <w:highlight w:val="none"/>
        </w:rPr>
        <w:t xml:space="preserve">日     </w:t>
      </w:r>
      <w:r>
        <w:rPr>
          <w:rFonts w:cs="@仿宋_GB2312"/>
          <w:i w:val="0"/>
          <w:iCs w:val="0"/>
          <w:color w:val="auto"/>
          <w:kern w:val="2"/>
          <w:sz w:val="24"/>
          <w:szCs w:val="24"/>
          <w:highlight w:val="none"/>
        </w:rPr>
        <w:t xml:space="preserve">    </w:t>
      </w:r>
      <w:r>
        <w:rPr>
          <w:rFonts w:hint="eastAsia" w:cs="@仿宋_GB2312"/>
          <w:i w:val="0"/>
          <w:iCs w:val="0"/>
          <w:color w:val="auto"/>
          <w:kern w:val="2"/>
          <w:sz w:val="24"/>
          <w:szCs w:val="24"/>
          <w:highlight w:val="none"/>
        </w:rPr>
        <w:t xml:space="preserve"> 期：</w:t>
      </w:r>
      <w:r>
        <w:rPr>
          <w:rFonts w:hint="eastAsia" w:cs="@仿宋_GB2312"/>
          <w:i w:val="0"/>
          <w:iCs w:val="0"/>
          <w:color w:val="auto"/>
          <w:kern w:val="2"/>
          <w:sz w:val="24"/>
          <w:szCs w:val="24"/>
          <w:highlight w:val="none"/>
          <w:u w:val="single"/>
        </w:rPr>
        <w:t xml:space="preserve">       </w:t>
      </w:r>
      <w:r>
        <w:rPr>
          <w:rFonts w:hint="eastAsia" w:cs="@仿宋_GB2312"/>
          <w:i w:val="0"/>
          <w:iCs w:val="0"/>
          <w:color w:val="auto"/>
          <w:kern w:val="2"/>
          <w:sz w:val="24"/>
          <w:szCs w:val="24"/>
          <w:highlight w:val="none"/>
          <w:u w:val="single"/>
          <w:lang w:val="en-US" w:eastAsia="zh-CN"/>
        </w:rPr>
        <w:t xml:space="preserve">    </w:t>
      </w:r>
      <w:r>
        <w:rPr>
          <w:rFonts w:hint="eastAsia" w:cs="@仿宋_GB2312"/>
          <w:i w:val="0"/>
          <w:iCs w:val="0"/>
          <w:color w:val="auto"/>
          <w:kern w:val="2"/>
          <w:sz w:val="24"/>
          <w:szCs w:val="24"/>
          <w:highlight w:val="none"/>
          <w:u w:val="single"/>
        </w:rPr>
        <w:t xml:space="preserve">      </w:t>
      </w:r>
    </w:p>
    <w:p w14:paraId="2461B1D2">
      <w:pPr>
        <w:adjustRightInd w:val="0"/>
        <w:snapToGrid w:val="0"/>
        <w:spacing w:line="360" w:lineRule="auto"/>
        <w:rPr>
          <w:rFonts w:hint="eastAsia" w:ascii="宋体" w:hAnsi="宋体" w:eastAsia="宋体" w:cs="宋体"/>
          <w:b w:val="0"/>
          <w:bCs w:val="0"/>
          <w:i w:val="0"/>
          <w:iCs w:val="0"/>
          <w:color w:val="auto"/>
          <w:kern w:val="2"/>
          <w:sz w:val="24"/>
          <w:szCs w:val="24"/>
          <w:highlight w:val="none"/>
        </w:rPr>
      </w:pPr>
    </w:p>
    <w:p w14:paraId="442950C1">
      <w:pPr>
        <w:adjustRightInd w:val="0"/>
        <w:snapToGrid w:val="0"/>
        <w:spacing w:line="360" w:lineRule="auto"/>
        <w:rPr>
          <w:rFonts w:hint="eastAsia" w:ascii="宋体" w:hAnsi="宋体" w:eastAsia="宋体" w:cs="宋体"/>
          <w:b w:val="0"/>
          <w:bCs w:val="0"/>
          <w:i w:val="0"/>
          <w:iCs w:val="0"/>
          <w:color w:val="auto"/>
          <w:kern w:val="2"/>
          <w:sz w:val="24"/>
          <w:szCs w:val="24"/>
          <w:highlight w:val="none"/>
        </w:rPr>
      </w:pPr>
    </w:p>
    <w:p w14:paraId="385FAD34">
      <w:pPr>
        <w:adjustRightInd w:val="0"/>
        <w:snapToGrid w:val="0"/>
        <w:spacing w:line="360" w:lineRule="auto"/>
        <w:rPr>
          <w:rFonts w:hint="eastAsia" w:ascii="宋体" w:hAnsi="宋体" w:eastAsia="宋体" w:cs="宋体"/>
          <w:b w:val="0"/>
          <w:bCs w:val="0"/>
          <w:i w:val="0"/>
          <w:iCs w:val="0"/>
          <w:color w:val="auto"/>
          <w:kern w:val="2"/>
          <w:sz w:val="21"/>
          <w:szCs w:val="21"/>
          <w:highlight w:val="none"/>
        </w:rPr>
      </w:pPr>
      <w:r>
        <w:rPr>
          <w:rFonts w:hint="eastAsia" w:ascii="宋体" w:hAnsi="宋体" w:eastAsia="宋体" w:cs="宋体"/>
          <w:b/>
          <w:bCs/>
          <w:i w:val="0"/>
          <w:iCs w:val="0"/>
          <w:color w:val="auto"/>
          <w:kern w:val="2"/>
          <w:sz w:val="21"/>
          <w:szCs w:val="21"/>
          <w:highlight w:val="none"/>
        </w:rPr>
        <w:t>注：</w:t>
      </w:r>
    </w:p>
    <w:p w14:paraId="7AC2D20F">
      <w:pPr>
        <w:adjustRightInd w:val="0"/>
        <w:snapToGrid w:val="0"/>
        <w:spacing w:line="360" w:lineRule="auto"/>
        <w:ind w:firstLine="420" w:firstLineChars="200"/>
        <w:rPr>
          <w:rFonts w:hint="eastAsia" w:ascii="宋体" w:hAnsi="宋体" w:eastAsia="宋体" w:cs="宋体"/>
          <w:b w:val="0"/>
          <w:bCs w:val="0"/>
          <w:i w:val="0"/>
          <w:iCs w:val="0"/>
          <w:color w:val="auto"/>
          <w:kern w:val="2"/>
          <w:sz w:val="21"/>
          <w:szCs w:val="21"/>
          <w:highlight w:val="none"/>
        </w:rPr>
      </w:pPr>
      <w:r>
        <w:rPr>
          <w:rFonts w:hint="eastAsia" w:ascii="宋体" w:hAnsi="宋体" w:eastAsia="宋体" w:cs="宋体"/>
          <w:b w:val="0"/>
          <w:bCs w:val="0"/>
          <w:i w:val="0"/>
          <w:iCs w:val="0"/>
          <w:color w:val="auto"/>
          <w:kern w:val="2"/>
          <w:sz w:val="21"/>
          <w:szCs w:val="21"/>
          <w:highlight w:val="none"/>
        </w:rPr>
        <w:t>1.本表内容根据磋商文件要求包括了磋商文件要求提供的全部内容的所有费用。</w:t>
      </w:r>
    </w:p>
    <w:p w14:paraId="25395212">
      <w:pPr>
        <w:adjustRightInd w:val="0"/>
        <w:snapToGrid w:val="0"/>
        <w:spacing w:line="360" w:lineRule="auto"/>
        <w:ind w:firstLine="420" w:firstLineChars="200"/>
        <w:rPr>
          <w:rFonts w:hint="eastAsia" w:ascii="宋体" w:hAnsi="宋体" w:eastAsia="宋体" w:cs="宋体"/>
          <w:b w:val="0"/>
          <w:bCs w:val="0"/>
          <w:i w:val="0"/>
          <w:iCs w:val="0"/>
          <w:color w:val="auto"/>
          <w:kern w:val="2"/>
          <w:sz w:val="21"/>
          <w:szCs w:val="21"/>
          <w:highlight w:val="none"/>
        </w:rPr>
      </w:pPr>
      <w:r>
        <w:rPr>
          <w:rFonts w:hint="eastAsia" w:ascii="宋体" w:hAnsi="宋体" w:eastAsia="宋体" w:cs="宋体"/>
          <w:b w:val="0"/>
          <w:bCs w:val="0"/>
          <w:i w:val="0"/>
          <w:iCs w:val="0"/>
          <w:color w:val="auto"/>
          <w:kern w:val="2"/>
          <w:sz w:val="21"/>
          <w:szCs w:val="21"/>
          <w:highlight w:val="none"/>
        </w:rPr>
        <w:t>2.特殊事项在备注中注明。</w:t>
      </w:r>
    </w:p>
    <w:p w14:paraId="59454300">
      <w:pPr>
        <w:adjustRightInd w:val="0"/>
        <w:snapToGrid w:val="0"/>
        <w:spacing w:line="360" w:lineRule="auto"/>
        <w:ind w:firstLine="420" w:firstLineChars="200"/>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3</w:t>
      </w:r>
      <w:r>
        <w:rPr>
          <w:rFonts w:hint="eastAsia" w:ascii="宋体" w:hAnsi="宋体" w:eastAsia="宋体" w:cs="宋体"/>
          <w:b w:val="0"/>
          <w:bCs w:val="0"/>
          <w:i w:val="0"/>
          <w:iCs w:val="0"/>
          <w:color w:val="auto"/>
          <w:sz w:val="21"/>
          <w:szCs w:val="21"/>
          <w:highlight w:val="none"/>
        </w:rPr>
        <w:t>.表中大写与小写不一致的，以大写为准。</w:t>
      </w:r>
    </w:p>
    <w:p w14:paraId="4CFFB9C9">
      <w:pPr>
        <w:spacing w:line="300" w:lineRule="auto"/>
        <w:rPr>
          <w:rFonts w:hint="eastAsia" w:ascii="宋体" w:hAnsi="宋体" w:eastAsia="宋体" w:cs="宋体"/>
          <w:b w:val="0"/>
          <w:bCs w:val="0"/>
          <w:i w:val="0"/>
          <w:iCs w:val="0"/>
          <w:color w:val="auto"/>
          <w:szCs w:val="24"/>
          <w:highlight w:val="none"/>
        </w:rPr>
      </w:pPr>
    </w:p>
    <w:p w14:paraId="27C73E89">
      <w:pPr>
        <w:rPr>
          <w:rFonts w:hint="eastAsia"/>
          <w:b w:val="0"/>
          <w:bCs/>
          <w:i w:val="0"/>
          <w:iCs w:val="0"/>
          <w:color w:val="auto"/>
          <w:szCs w:val="21"/>
          <w:highlight w:val="none"/>
          <w:lang w:val="zh-CN"/>
        </w:rPr>
      </w:pPr>
    </w:p>
    <w:p w14:paraId="3FFB47A9">
      <w:pPr>
        <w:rPr>
          <w:rFonts w:hint="eastAsia"/>
          <w:lang w:val="en-US" w:eastAsia="zh-CN"/>
        </w:rPr>
      </w:pPr>
      <w:bookmarkStart w:id="1228" w:name="_Toc15952"/>
    </w:p>
    <w:p w14:paraId="7B2B178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r>
        <w:rPr>
          <w:rFonts w:hint="eastAsia" w:cstheme="majorBidi"/>
          <w:b/>
          <w:bCs/>
          <w:i w:val="0"/>
          <w:iCs w:val="0"/>
          <w:color w:val="auto"/>
          <w:kern w:val="2"/>
          <w:sz w:val="32"/>
          <w:szCs w:val="32"/>
          <w:highlight w:val="none"/>
          <w:lang w:val="en-US" w:eastAsia="zh-CN" w:bidi="ar-SA"/>
        </w:rPr>
        <w:t>二、已标价工程量清单</w:t>
      </w:r>
      <w:bookmarkEnd w:id="1228"/>
    </w:p>
    <w:p w14:paraId="4565E76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b w:val="0"/>
          <w:bCs/>
          <w:i w:val="0"/>
          <w:iCs w:val="0"/>
          <w:color w:val="auto"/>
          <w:szCs w:val="21"/>
          <w:highlight w:val="none"/>
          <w:lang w:val="zh-CN"/>
        </w:rPr>
      </w:pPr>
      <w:r>
        <w:rPr>
          <w:rFonts w:hint="eastAsia" w:ascii="宋体" w:hAnsi="宋体" w:cs="宋体"/>
          <w:i w:val="0"/>
          <w:iCs w:val="0"/>
          <w:color w:val="auto"/>
          <w:szCs w:val="21"/>
          <w:highlight w:val="none"/>
        </w:rPr>
        <w:t>已标价工程量清单</w:t>
      </w:r>
    </w:p>
    <w:p w14:paraId="10F0B41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b w:val="0"/>
          <w:bCs/>
          <w:i w:val="0"/>
          <w:iCs w:val="0"/>
          <w:color w:val="auto"/>
          <w:szCs w:val="21"/>
          <w:highlight w:val="none"/>
          <w:lang w:val="zh-CN"/>
        </w:rPr>
      </w:pPr>
      <w:r>
        <w:rPr>
          <w:rFonts w:hint="eastAsia"/>
          <w:b w:val="0"/>
          <w:bCs/>
          <w:i w:val="0"/>
          <w:iCs w:val="0"/>
          <w:color w:val="auto"/>
          <w:szCs w:val="21"/>
          <w:highlight w:val="none"/>
          <w:lang w:val="zh-CN"/>
        </w:rPr>
        <w:t>（格式详见工程量清单）</w:t>
      </w:r>
    </w:p>
    <w:p w14:paraId="2F1CDA67">
      <w:pPr>
        <w:rPr>
          <w:rFonts w:hint="eastAsia"/>
          <w:b w:val="0"/>
          <w:bCs/>
          <w:i w:val="0"/>
          <w:iCs w:val="0"/>
          <w:color w:val="auto"/>
          <w:szCs w:val="21"/>
          <w:highlight w:val="none"/>
          <w:lang w:val="zh-CN"/>
        </w:rPr>
      </w:pPr>
      <w:r>
        <w:rPr>
          <w:rFonts w:hint="eastAsia"/>
          <w:b w:val="0"/>
          <w:bCs/>
          <w:i w:val="0"/>
          <w:iCs w:val="0"/>
          <w:color w:val="auto"/>
          <w:szCs w:val="21"/>
          <w:highlight w:val="none"/>
          <w:lang w:val="zh-CN"/>
        </w:rPr>
        <w:br w:type="page"/>
      </w:r>
    </w:p>
    <w:p w14:paraId="3FEA1E8F">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138CF572">
      <w:pPr>
        <w:autoSpaceDE w:val="0"/>
        <w:autoSpaceDN w:val="0"/>
        <w:adjustRightInd w:val="0"/>
        <w:rPr>
          <w:color w:val="auto"/>
          <w:sz w:val="21"/>
          <w:szCs w:val="24"/>
          <w:highlight w:val="none"/>
        </w:rPr>
      </w:pPr>
    </w:p>
    <w:p w14:paraId="01DE1B7A">
      <w:pPr>
        <w:autoSpaceDE w:val="0"/>
        <w:autoSpaceDN w:val="0"/>
        <w:adjustRightInd w:val="0"/>
        <w:rPr>
          <w:color w:val="auto"/>
          <w:sz w:val="21"/>
          <w:szCs w:val="24"/>
          <w:highlight w:val="none"/>
        </w:rPr>
      </w:pPr>
    </w:p>
    <w:p w14:paraId="42EEFC45">
      <w:pPr>
        <w:autoSpaceDE w:val="0"/>
        <w:autoSpaceDN w:val="0"/>
        <w:adjustRightInd w:val="0"/>
        <w:jc w:val="center"/>
        <w:rPr>
          <w:color w:val="auto"/>
          <w:sz w:val="21"/>
          <w:szCs w:val="24"/>
          <w:highlight w:val="none"/>
        </w:rPr>
      </w:pPr>
    </w:p>
    <w:p w14:paraId="2985381A">
      <w:pPr>
        <w:pStyle w:val="3"/>
        <w:bidi w:val="0"/>
        <w:jc w:val="center"/>
        <w:rPr>
          <w:sz w:val="84"/>
          <w:szCs w:val="84"/>
        </w:rPr>
      </w:pPr>
      <w:bookmarkStart w:id="1229" w:name="_Toc13188"/>
      <w:r>
        <w:rPr>
          <w:rFonts w:hint="eastAsia"/>
          <w:sz w:val="84"/>
          <w:szCs w:val="84"/>
          <w:lang w:val="en-US" w:eastAsia="zh-CN"/>
        </w:rPr>
        <w:t>响 应</w:t>
      </w:r>
      <w:r>
        <w:rPr>
          <w:rFonts w:hint="eastAsia"/>
          <w:sz w:val="84"/>
          <w:szCs w:val="84"/>
        </w:rPr>
        <w:t xml:space="preserve"> 文 件</w:t>
      </w:r>
      <w:bookmarkEnd w:id="1229"/>
    </w:p>
    <w:p w14:paraId="6117C88A">
      <w:pPr>
        <w:pStyle w:val="3"/>
        <w:bidi w:val="0"/>
        <w:jc w:val="center"/>
        <w:rPr>
          <w:rFonts w:hint="eastAsia"/>
          <w:sz w:val="56"/>
          <w:szCs w:val="56"/>
          <w:lang w:val="en-US" w:eastAsia="zh-CN"/>
        </w:rPr>
      </w:pPr>
      <w:bookmarkStart w:id="1230" w:name="_Toc18288"/>
      <w:r>
        <w:rPr>
          <w:rFonts w:hint="eastAsia"/>
          <w:sz w:val="56"/>
          <w:szCs w:val="56"/>
          <w:lang w:val="en-US" w:eastAsia="zh-CN"/>
        </w:rPr>
        <w:t>商务技术文件</w:t>
      </w:r>
      <w:bookmarkEnd w:id="1230"/>
    </w:p>
    <w:p w14:paraId="48FD7799">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E248DF9">
      <w:pPr>
        <w:pStyle w:val="3"/>
        <w:rPr>
          <w:color w:val="auto"/>
          <w:sz w:val="21"/>
          <w:szCs w:val="21"/>
          <w:highlight w:val="none"/>
        </w:rPr>
      </w:pPr>
    </w:p>
    <w:p w14:paraId="207E2924">
      <w:pPr>
        <w:rPr>
          <w:color w:val="auto"/>
          <w:sz w:val="21"/>
          <w:szCs w:val="21"/>
          <w:highlight w:val="none"/>
        </w:rPr>
      </w:pPr>
    </w:p>
    <w:p w14:paraId="15C28DB8">
      <w:pPr>
        <w:rPr>
          <w:color w:val="auto"/>
          <w:highlight w:val="none"/>
        </w:rPr>
      </w:pPr>
    </w:p>
    <w:p w14:paraId="3C33BDD9">
      <w:pPr>
        <w:autoSpaceDE w:val="0"/>
        <w:autoSpaceDN w:val="0"/>
        <w:adjustRightInd w:val="0"/>
        <w:rPr>
          <w:color w:val="auto"/>
          <w:sz w:val="21"/>
          <w:szCs w:val="21"/>
          <w:highlight w:val="none"/>
        </w:rPr>
      </w:pPr>
    </w:p>
    <w:p w14:paraId="2F863FAA">
      <w:pPr>
        <w:autoSpaceDE w:val="0"/>
        <w:autoSpaceDN w:val="0"/>
        <w:adjustRightInd w:val="0"/>
        <w:rPr>
          <w:color w:val="auto"/>
          <w:sz w:val="21"/>
          <w:szCs w:val="21"/>
          <w:highlight w:val="none"/>
        </w:rPr>
      </w:pPr>
    </w:p>
    <w:p w14:paraId="0798FBB9">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4B1E4C1D">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C5E0224">
      <w:pPr>
        <w:jc w:val="center"/>
        <w:rPr>
          <w:rFonts w:ascii="黑体" w:hAnsi="黑体" w:eastAsia="黑体"/>
          <w:color w:val="auto"/>
          <w:sz w:val="32"/>
          <w:szCs w:val="32"/>
          <w:highlight w:val="none"/>
        </w:rPr>
      </w:pPr>
    </w:p>
    <w:p w14:paraId="23AF064E">
      <w:pPr>
        <w:jc w:val="center"/>
        <w:rPr>
          <w:rFonts w:ascii="黑体" w:hAnsi="黑体" w:eastAsia="黑体"/>
          <w:i w:val="0"/>
          <w:iCs w:val="0"/>
          <w:color w:val="auto"/>
          <w:sz w:val="32"/>
          <w:szCs w:val="32"/>
          <w:highlight w:val="none"/>
        </w:rPr>
      </w:pPr>
    </w:p>
    <w:p w14:paraId="5C2AEB63">
      <w:pPr>
        <w:rPr>
          <w:i w:val="0"/>
          <w:iCs w:val="0"/>
          <w:color w:val="auto"/>
          <w:highlight w:val="none"/>
          <w:lang w:val="zh-CN"/>
        </w:rPr>
      </w:pPr>
      <w:r>
        <w:rPr>
          <w:i w:val="0"/>
          <w:iCs w:val="0"/>
          <w:color w:val="auto"/>
          <w:highlight w:val="none"/>
          <w:lang w:val="zh-CN"/>
        </w:rPr>
        <w:br w:type="page"/>
      </w:r>
    </w:p>
    <w:p w14:paraId="374BEE88">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31" w:name="_Toc140132831"/>
      <w:bookmarkStart w:id="1232" w:name="_Toc155185921"/>
      <w:bookmarkStart w:id="1233" w:name="_Toc8710"/>
      <w:bookmarkStart w:id="1234" w:name="_Toc3577"/>
      <w:bookmarkStart w:id="1235" w:name="_Toc109900327"/>
      <w:bookmarkStart w:id="1236" w:name="_Toc109899489"/>
      <w:bookmarkStart w:id="1237" w:name="_Toc25402"/>
      <w:bookmarkStart w:id="1238" w:name="_Toc109899908"/>
      <w:r>
        <w:rPr>
          <w:rFonts w:hint="eastAsia" w:eastAsia="宋体" w:asciiTheme="majorHAnsi" w:hAnsiTheme="majorHAnsi" w:cstheme="majorBidi"/>
          <w:b/>
          <w:bCs/>
          <w:i w:val="0"/>
          <w:iCs w:val="0"/>
          <w:color w:val="auto"/>
          <w:kern w:val="2"/>
          <w:sz w:val="32"/>
          <w:szCs w:val="32"/>
          <w:highlight w:val="none"/>
          <w:lang w:val="en-US" w:eastAsia="zh-CN" w:bidi="ar-SA"/>
        </w:rPr>
        <w:t>一、</w:t>
      </w:r>
      <w:r>
        <w:rPr>
          <w:rFonts w:hint="eastAsia" w:cstheme="majorBidi"/>
          <w:b/>
          <w:bCs/>
          <w:i w:val="0"/>
          <w:iCs w:val="0"/>
          <w:color w:val="auto"/>
          <w:kern w:val="2"/>
          <w:sz w:val="32"/>
          <w:szCs w:val="32"/>
          <w:highlight w:val="none"/>
          <w:lang w:val="en-US" w:eastAsia="zh-CN" w:bidi="ar-SA"/>
        </w:rPr>
        <w:t>响应</w:t>
      </w:r>
      <w:r>
        <w:rPr>
          <w:rFonts w:hint="eastAsia" w:eastAsia="宋体" w:asciiTheme="majorHAnsi" w:hAnsiTheme="majorHAnsi" w:cstheme="majorBidi"/>
          <w:b/>
          <w:bCs/>
          <w:i w:val="0"/>
          <w:iCs w:val="0"/>
          <w:color w:val="auto"/>
          <w:kern w:val="2"/>
          <w:sz w:val="32"/>
          <w:szCs w:val="32"/>
          <w:highlight w:val="none"/>
          <w:lang w:val="en-US" w:eastAsia="zh-CN" w:bidi="ar-SA"/>
        </w:rPr>
        <w:t>函</w:t>
      </w:r>
      <w:bookmarkEnd w:id="1231"/>
      <w:bookmarkEnd w:id="1232"/>
      <w:bookmarkEnd w:id="1233"/>
      <w:bookmarkEnd w:id="1234"/>
      <w:bookmarkEnd w:id="1235"/>
      <w:bookmarkEnd w:id="1236"/>
      <w:bookmarkEnd w:id="1237"/>
      <w:bookmarkEnd w:id="1238"/>
    </w:p>
    <w:p w14:paraId="0ABD9EA3">
      <w:pPr>
        <w:rPr>
          <w:i w:val="0"/>
          <w:iCs w:val="0"/>
          <w:color w:val="auto"/>
          <w:highlight w:val="none"/>
        </w:rPr>
      </w:pPr>
      <w:r>
        <w:rPr>
          <w:rFonts w:hint="eastAsia"/>
          <w:i w:val="0"/>
          <w:iCs w:val="0"/>
          <w:color w:val="auto"/>
          <w:highlight w:val="none"/>
        </w:rPr>
        <w:t>致：（采购人）</w:t>
      </w:r>
    </w:p>
    <w:p w14:paraId="35C4266A">
      <w:pPr>
        <w:ind w:firstLine="480" w:firstLineChars="200"/>
        <w:rPr>
          <w:rFonts w:cs="仿宋_GB2312"/>
          <w:b/>
          <w:bCs/>
          <w:i w:val="0"/>
          <w:iCs w:val="0"/>
          <w:color w:val="auto"/>
          <w:szCs w:val="24"/>
          <w:highlight w:val="none"/>
        </w:rPr>
      </w:pPr>
      <w:r>
        <w:rPr>
          <w:rFonts w:hint="eastAsia" w:cs="仿宋_GB2312"/>
          <w:i w:val="0"/>
          <w:iCs w:val="0"/>
          <w:color w:val="auto"/>
          <w:szCs w:val="24"/>
          <w:highlight w:val="none"/>
        </w:rPr>
        <w:t>根据贵方</w:t>
      </w:r>
      <w:r>
        <w:rPr>
          <w:rFonts w:hint="eastAsia" w:cs="仿宋_GB2312"/>
          <w:i w:val="0"/>
          <w:iCs w:val="0"/>
          <w:color w:val="auto"/>
          <w:szCs w:val="24"/>
          <w:highlight w:val="none"/>
          <w:u w:val="single"/>
        </w:rPr>
        <w:t>（项目名称）（项目编号）</w:t>
      </w:r>
      <w:r>
        <w:rPr>
          <w:rFonts w:hint="eastAsia" w:cs="仿宋_GB2312"/>
          <w:i w:val="0"/>
          <w:iCs w:val="0"/>
          <w:color w:val="auto"/>
          <w:szCs w:val="24"/>
          <w:highlight w:val="none"/>
          <w:lang w:val="en-US" w:eastAsia="zh-CN"/>
        </w:rPr>
        <w:t>项目</w:t>
      </w:r>
      <w:r>
        <w:rPr>
          <w:rFonts w:hint="eastAsia" w:cs="仿宋_GB2312"/>
          <w:i w:val="0"/>
          <w:iCs w:val="0"/>
          <w:color w:val="auto"/>
          <w:szCs w:val="24"/>
          <w:highlight w:val="none"/>
        </w:rPr>
        <w:t>的</w:t>
      </w:r>
      <w:r>
        <w:rPr>
          <w:rFonts w:hint="eastAsia" w:cs="仿宋_GB2312"/>
          <w:i w:val="0"/>
          <w:iCs w:val="0"/>
          <w:color w:val="auto"/>
          <w:szCs w:val="24"/>
          <w:highlight w:val="none"/>
          <w:lang w:val="en-US" w:eastAsia="zh-CN"/>
        </w:rPr>
        <w:t>竞争性磋商公告</w:t>
      </w:r>
      <w:r>
        <w:rPr>
          <w:rFonts w:hint="eastAsia" w:cs="仿宋_GB2312"/>
          <w:i w:val="0"/>
          <w:iCs w:val="0"/>
          <w:color w:val="auto"/>
          <w:szCs w:val="24"/>
          <w:highlight w:val="none"/>
        </w:rPr>
        <w:t>，签字代表</w:t>
      </w:r>
      <w:r>
        <w:rPr>
          <w:rFonts w:hint="eastAsia" w:cs="仿宋_GB2312"/>
          <w:i w:val="0"/>
          <w:iCs w:val="0"/>
          <w:color w:val="auto"/>
          <w:szCs w:val="24"/>
          <w:highlight w:val="none"/>
          <w:u w:val="single"/>
        </w:rPr>
        <w:t>（姓名、职务）</w:t>
      </w:r>
      <w:r>
        <w:rPr>
          <w:rFonts w:hint="eastAsia" w:cs="仿宋_GB2312"/>
          <w:i w:val="0"/>
          <w:iCs w:val="0"/>
          <w:color w:val="auto"/>
          <w:szCs w:val="24"/>
          <w:highlight w:val="none"/>
        </w:rPr>
        <w:t>经正式授权并代表</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u w:val="single"/>
        </w:rPr>
        <w:t>（</w:t>
      </w:r>
      <w:r>
        <w:rPr>
          <w:rFonts w:hint="eastAsia" w:cs="仿宋_GB2312"/>
          <w:i w:val="0"/>
          <w:iCs w:val="0"/>
          <w:color w:val="auto"/>
          <w:szCs w:val="24"/>
          <w:highlight w:val="none"/>
          <w:u w:val="single"/>
          <w:lang w:val="en-US" w:eastAsia="zh-CN"/>
        </w:rPr>
        <w:t>供应商</w:t>
      </w:r>
      <w:r>
        <w:rPr>
          <w:rFonts w:hint="eastAsia" w:cs="仿宋_GB2312"/>
          <w:i w:val="0"/>
          <w:iCs w:val="0"/>
          <w:color w:val="auto"/>
          <w:szCs w:val="24"/>
          <w:highlight w:val="none"/>
          <w:u w:val="single"/>
        </w:rPr>
        <w:t>名称、地址）</w:t>
      </w:r>
      <w:r>
        <w:rPr>
          <w:rFonts w:hint="eastAsia" w:cs="仿宋_GB2312"/>
          <w:i w:val="0"/>
          <w:iCs w:val="0"/>
          <w:color w:val="auto"/>
          <w:szCs w:val="24"/>
          <w:highlight w:val="none"/>
        </w:rPr>
        <w:t>提交下述文件</w:t>
      </w:r>
      <w:r>
        <w:rPr>
          <w:rFonts w:hint="eastAsia" w:cs="仿宋_GB2312"/>
          <w:b/>
          <w:bCs/>
          <w:i w:val="0"/>
          <w:iCs w:val="0"/>
          <w:color w:val="auto"/>
          <w:szCs w:val="24"/>
          <w:highlight w:val="none"/>
        </w:rPr>
        <w:t>：</w:t>
      </w:r>
    </w:p>
    <w:p w14:paraId="31DE4B23">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1.资格证明文件；</w:t>
      </w:r>
    </w:p>
    <w:p w14:paraId="7E086E9D">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2.报价文件；</w:t>
      </w:r>
    </w:p>
    <w:p w14:paraId="7C008F28">
      <w:pPr>
        <w:numPr>
          <w:ilvl w:val="0"/>
          <w:numId w:val="0"/>
        </w:numPr>
        <w:spacing w:line="324" w:lineRule="auto"/>
        <w:ind w:firstLine="480" w:firstLineChars="200"/>
        <w:jc w:val="both"/>
        <w:rPr>
          <w:rFonts w:cs="Arial"/>
          <w:i w:val="0"/>
          <w:iCs w:val="0"/>
          <w:color w:val="auto"/>
          <w:szCs w:val="24"/>
          <w:highlight w:val="none"/>
        </w:rPr>
      </w:pPr>
      <w:r>
        <w:rPr>
          <w:rFonts w:hint="eastAsia" w:cs="Arial"/>
          <w:i w:val="0"/>
          <w:iCs w:val="0"/>
          <w:color w:val="auto"/>
          <w:szCs w:val="24"/>
          <w:highlight w:val="none"/>
          <w:lang w:val="en-US" w:eastAsia="zh-CN"/>
        </w:rPr>
        <w:t>3.商务技术文件</w:t>
      </w:r>
      <w:r>
        <w:rPr>
          <w:rFonts w:cs="Arial"/>
          <w:i w:val="0"/>
          <w:iCs w:val="0"/>
          <w:color w:val="auto"/>
          <w:szCs w:val="24"/>
          <w:highlight w:val="none"/>
        </w:rPr>
        <w:t>。</w:t>
      </w:r>
    </w:p>
    <w:p w14:paraId="2038C573">
      <w:pPr>
        <w:spacing w:line="324" w:lineRule="auto"/>
        <w:ind w:firstLine="480" w:firstLineChars="200"/>
        <w:rPr>
          <w:rFonts w:cs="Arial"/>
          <w:i w:val="0"/>
          <w:iCs w:val="0"/>
          <w:color w:val="auto"/>
          <w:szCs w:val="24"/>
          <w:highlight w:val="none"/>
        </w:rPr>
      </w:pPr>
      <w:r>
        <w:rPr>
          <w:rFonts w:cs="Arial"/>
          <w:i w:val="0"/>
          <w:iCs w:val="0"/>
          <w:color w:val="auto"/>
          <w:szCs w:val="24"/>
          <w:highlight w:val="none"/>
        </w:rPr>
        <w:t>根据此函，签字代表宣布同意如下：</w:t>
      </w:r>
    </w:p>
    <w:p w14:paraId="7021F257">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1.</w:t>
      </w:r>
      <w:r>
        <w:rPr>
          <w:rFonts w:cs="Arial"/>
          <w:i w:val="0"/>
          <w:iCs w:val="0"/>
          <w:color w:val="auto"/>
          <w:szCs w:val="24"/>
          <w:highlight w:val="none"/>
        </w:rPr>
        <w:t>所附</w:t>
      </w:r>
      <w:r>
        <w:rPr>
          <w:rFonts w:hint="eastAsia" w:cs="Arial"/>
          <w:i w:val="0"/>
          <w:iCs w:val="0"/>
          <w:color w:val="auto"/>
          <w:szCs w:val="24"/>
          <w:highlight w:val="none"/>
          <w:lang w:val="en-US" w:eastAsia="zh-CN"/>
        </w:rPr>
        <w:t>报价一览</w:t>
      </w:r>
      <w:r>
        <w:rPr>
          <w:rFonts w:cs="Arial"/>
          <w:i w:val="0"/>
          <w:iCs w:val="0"/>
          <w:color w:val="auto"/>
          <w:szCs w:val="24"/>
          <w:highlight w:val="none"/>
        </w:rPr>
        <w:t>表中规定的应提交和交付的</w:t>
      </w:r>
      <w:r>
        <w:rPr>
          <w:rFonts w:hint="eastAsia" w:cs="Arial"/>
          <w:i w:val="0"/>
          <w:iCs w:val="0"/>
          <w:color w:val="auto"/>
          <w:szCs w:val="24"/>
          <w:highlight w:val="none"/>
          <w:lang w:val="en-US" w:eastAsia="zh-CN"/>
        </w:rPr>
        <w:t>工程及相关的</w:t>
      </w:r>
      <w:r>
        <w:rPr>
          <w:rFonts w:hint="eastAsia" w:cs="Arial"/>
          <w:i w:val="0"/>
          <w:iCs w:val="0"/>
          <w:color w:val="auto"/>
          <w:szCs w:val="24"/>
          <w:highlight w:val="none"/>
        </w:rPr>
        <w:t>货物</w:t>
      </w:r>
      <w:r>
        <w:rPr>
          <w:rFonts w:cs="Arial"/>
          <w:i w:val="0"/>
          <w:iCs w:val="0"/>
          <w:color w:val="auto"/>
          <w:szCs w:val="24"/>
          <w:highlight w:val="none"/>
        </w:rPr>
        <w:t>和服务</w:t>
      </w:r>
      <w:r>
        <w:rPr>
          <w:rFonts w:hint="eastAsia" w:cs="Arial"/>
          <w:i w:val="0"/>
          <w:iCs w:val="0"/>
          <w:color w:val="auto"/>
          <w:szCs w:val="24"/>
          <w:highlight w:val="none"/>
        </w:rPr>
        <w:t>（如有）</w:t>
      </w:r>
      <w:r>
        <w:rPr>
          <w:rFonts w:cs="Arial"/>
          <w:i w:val="0"/>
          <w:iCs w:val="0"/>
          <w:color w:val="auto"/>
          <w:szCs w:val="24"/>
          <w:highlight w:val="none"/>
        </w:rPr>
        <w:t>的</w:t>
      </w:r>
      <w:r>
        <w:rPr>
          <w:rFonts w:hint="eastAsia" w:cs="Arial"/>
          <w:i w:val="0"/>
          <w:iCs w:val="0"/>
          <w:color w:val="auto"/>
          <w:szCs w:val="24"/>
          <w:highlight w:val="none"/>
        </w:rPr>
        <w:t>报价</w:t>
      </w:r>
      <w:r>
        <w:rPr>
          <w:rFonts w:cs="Arial"/>
          <w:i w:val="0"/>
          <w:iCs w:val="0"/>
          <w:color w:val="auto"/>
          <w:szCs w:val="24"/>
          <w:highlight w:val="none"/>
        </w:rPr>
        <w:t>为</w:t>
      </w:r>
      <w:r>
        <w:rPr>
          <w:rFonts w:hint="eastAsia" w:cs="Arial"/>
          <w:i w:val="0"/>
          <w:iCs w:val="0"/>
          <w:color w:val="auto"/>
          <w:szCs w:val="24"/>
          <w:highlight w:val="none"/>
        </w:rPr>
        <w:t xml:space="preserve"> </w:t>
      </w:r>
      <w:r>
        <w:rPr>
          <w:rFonts w:hint="eastAsia" w:cs="Arial"/>
          <w:i w:val="0"/>
          <w:iCs w:val="0"/>
          <w:color w:val="auto"/>
          <w:szCs w:val="24"/>
          <w:highlight w:val="none"/>
          <w:u w:val="single"/>
        </w:rPr>
        <w:t xml:space="preserve">                  </w:t>
      </w:r>
      <w:r>
        <w:rPr>
          <w:rFonts w:cs="Arial"/>
          <w:i w:val="0"/>
          <w:iCs w:val="0"/>
          <w:color w:val="auto"/>
          <w:szCs w:val="24"/>
          <w:highlight w:val="none"/>
        </w:rPr>
        <w:t>。</w:t>
      </w:r>
    </w:p>
    <w:p w14:paraId="3FF1B405">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2.</w:t>
      </w:r>
      <w:r>
        <w:rPr>
          <w:rFonts w:hint="eastAsia" w:cs="Arial"/>
          <w:i w:val="0"/>
          <w:iCs w:val="0"/>
          <w:color w:val="auto"/>
          <w:szCs w:val="24"/>
          <w:highlight w:val="none"/>
        </w:rPr>
        <w:t>我方</w:t>
      </w:r>
      <w:r>
        <w:rPr>
          <w:rFonts w:cs="Arial"/>
          <w:i w:val="0"/>
          <w:iCs w:val="0"/>
          <w:color w:val="auto"/>
          <w:szCs w:val="24"/>
          <w:highlight w:val="none"/>
        </w:rPr>
        <w:t>将按</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文件的规定履行合同责任和义务。</w:t>
      </w:r>
    </w:p>
    <w:p w14:paraId="464D767C">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3.</w:t>
      </w:r>
      <w:r>
        <w:rPr>
          <w:rFonts w:hint="eastAsia" w:cs="Arial"/>
          <w:i w:val="0"/>
          <w:iCs w:val="0"/>
          <w:color w:val="auto"/>
          <w:szCs w:val="24"/>
          <w:highlight w:val="none"/>
        </w:rPr>
        <w:t>我方</w:t>
      </w:r>
      <w:r>
        <w:rPr>
          <w:rFonts w:cs="Arial"/>
          <w:i w:val="0"/>
          <w:iCs w:val="0"/>
          <w:color w:val="auto"/>
          <w:szCs w:val="24"/>
          <w:highlight w:val="none"/>
        </w:rPr>
        <w:t>已详细审查全部</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文件，包括第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70CAE828">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响应有效期为自提交响应文件的截止之日起</w:t>
      </w:r>
      <w:r>
        <w:rPr>
          <w:rFonts w:hint="eastAsia" w:cs="Arial"/>
          <w:i w:val="0"/>
          <w:iCs w:val="0"/>
          <w:color w:val="auto"/>
          <w:szCs w:val="24"/>
          <w:highlight w:val="none"/>
          <w:u w:val="single"/>
        </w:rPr>
        <w:t xml:space="preserve"> （由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填写）</w:t>
      </w:r>
      <w:r>
        <w:rPr>
          <w:rFonts w:cs="Arial"/>
          <w:i w:val="0"/>
          <w:iCs w:val="0"/>
          <w:color w:val="auto"/>
          <w:szCs w:val="24"/>
          <w:highlight w:val="none"/>
        </w:rPr>
        <w:t>个日历天。</w:t>
      </w:r>
    </w:p>
    <w:p w14:paraId="52EDF2A7">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竞争性磋商</w:t>
      </w:r>
      <w:r>
        <w:rPr>
          <w:rFonts w:hint="eastAsia" w:cs="Arial"/>
          <w:i w:val="0"/>
          <w:iCs w:val="0"/>
          <w:color w:val="auto"/>
          <w:szCs w:val="24"/>
          <w:highlight w:val="none"/>
        </w:rPr>
        <w:t>文件</w:t>
      </w:r>
      <w:r>
        <w:rPr>
          <w:rFonts w:cs="Arial"/>
          <w:i w:val="0"/>
          <w:iCs w:val="0"/>
          <w:color w:val="auto"/>
          <w:szCs w:val="24"/>
          <w:highlight w:val="none"/>
        </w:rPr>
        <w:t>要求的与其</w:t>
      </w:r>
      <w:r>
        <w:rPr>
          <w:rFonts w:hint="eastAsia" w:cs="Arial"/>
          <w:i w:val="0"/>
          <w:iCs w:val="0"/>
          <w:color w:val="auto"/>
          <w:szCs w:val="24"/>
          <w:highlight w:val="none"/>
          <w:lang w:val="en-US" w:eastAsia="zh-CN"/>
        </w:rPr>
        <w:t>磋商响应</w:t>
      </w:r>
      <w:r>
        <w:rPr>
          <w:rFonts w:cs="Arial"/>
          <w:i w:val="0"/>
          <w:iCs w:val="0"/>
          <w:color w:val="auto"/>
          <w:szCs w:val="24"/>
          <w:highlight w:val="none"/>
        </w:rPr>
        <w:t>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w:t>
      </w:r>
      <w:r>
        <w:rPr>
          <w:rFonts w:hint="eastAsia" w:cs="Arial"/>
          <w:i w:val="0"/>
          <w:iCs w:val="0"/>
          <w:color w:val="auto"/>
          <w:szCs w:val="24"/>
          <w:highlight w:val="none"/>
          <w:lang w:val="en-US" w:eastAsia="zh-CN"/>
        </w:rPr>
        <w:t>响应</w:t>
      </w:r>
      <w:r>
        <w:rPr>
          <w:rFonts w:cs="Arial"/>
          <w:i w:val="0"/>
          <w:iCs w:val="0"/>
          <w:color w:val="auto"/>
          <w:szCs w:val="24"/>
          <w:highlight w:val="none"/>
        </w:rPr>
        <w:t>。</w:t>
      </w:r>
    </w:p>
    <w:p w14:paraId="3CF5A66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w:t>
      </w:r>
      <w:r>
        <w:rPr>
          <w:rFonts w:hint="eastAsia" w:cs="Arial"/>
          <w:i w:val="0"/>
          <w:iCs w:val="0"/>
          <w:color w:val="auto"/>
          <w:szCs w:val="24"/>
          <w:highlight w:val="none"/>
          <w:lang w:val="en-US" w:eastAsia="zh-CN"/>
        </w:rPr>
        <w:t>成交</w:t>
      </w:r>
      <w:r>
        <w:rPr>
          <w:rFonts w:hint="eastAsia" w:cs="Arial"/>
          <w:i w:val="0"/>
          <w:iCs w:val="0"/>
          <w:color w:val="auto"/>
          <w:szCs w:val="24"/>
          <w:highlight w:val="none"/>
        </w:rPr>
        <w:t>人支付采购代理服务费，我方同意按</w:t>
      </w:r>
      <w:r>
        <w:rPr>
          <w:rFonts w:hint="eastAsia" w:cs="Arial"/>
          <w:i w:val="0"/>
          <w:iCs w:val="0"/>
          <w:color w:val="auto"/>
          <w:szCs w:val="24"/>
          <w:highlight w:val="none"/>
          <w:lang w:val="en-US" w:eastAsia="zh-CN"/>
        </w:rPr>
        <w:t>供应商</w:t>
      </w:r>
      <w:r>
        <w:rPr>
          <w:rFonts w:hint="eastAsia" w:cs="Arial"/>
          <w:i w:val="0"/>
          <w:iCs w:val="0"/>
          <w:color w:val="auto"/>
          <w:szCs w:val="24"/>
          <w:highlight w:val="none"/>
        </w:rPr>
        <w:t>须知前附表中规定向采购代理机构支付采购代理服务费。</w:t>
      </w:r>
    </w:p>
    <w:p w14:paraId="6A150207">
      <w:pPr>
        <w:numPr>
          <w:ilvl w:val="0"/>
          <w:numId w:val="0"/>
        </w:numPr>
        <w:snapToGrid w:val="0"/>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40AFB77A">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409D2F71">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0B2F52C6">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3BE8BBB8">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1103F8A2">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73BE978C">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4FC84088">
      <w:pPr>
        <w:spacing w:line="324" w:lineRule="auto"/>
        <w:ind w:firstLine="480" w:firstLineChars="200"/>
        <w:rPr>
          <w:i w:val="0"/>
          <w:iCs w:val="0"/>
          <w:color w:val="auto"/>
          <w:szCs w:val="24"/>
          <w:highlight w:val="none"/>
        </w:rPr>
      </w:pPr>
      <w:r>
        <w:rPr>
          <w:rFonts w:hint="eastAsia"/>
          <w:i w:val="0"/>
          <w:iCs w:val="0"/>
          <w:color w:val="auto"/>
          <w:szCs w:val="24"/>
          <w:highlight w:val="none"/>
        </w:rPr>
        <w:t>（备注：以上</w:t>
      </w:r>
      <w:r>
        <w:rPr>
          <w:i w:val="0"/>
          <w:iCs w:val="0"/>
          <w:color w:val="auto"/>
          <w:szCs w:val="24"/>
          <w:highlight w:val="none"/>
        </w:rPr>
        <w:t>3</w:t>
      </w:r>
      <w:r>
        <w:rPr>
          <w:rFonts w:hint="eastAsia"/>
          <w:i w:val="0"/>
          <w:iCs w:val="0"/>
          <w:color w:val="auto"/>
          <w:szCs w:val="24"/>
          <w:highlight w:val="none"/>
        </w:rPr>
        <w:t>项声明，必须如实选择，选中项用</w:t>
      </w:r>
      <w:r>
        <w:rPr>
          <w:rFonts w:hint="eastAsia"/>
          <w:i w:val="0"/>
          <w:iCs w:val="0"/>
          <w:color w:val="auto"/>
          <w:szCs w:val="24"/>
          <w:highlight w:val="none"/>
          <w:lang w:eastAsia="zh-CN"/>
        </w:rPr>
        <w:t>☑</w:t>
      </w:r>
      <w:r>
        <w:rPr>
          <w:rFonts w:hint="eastAsia"/>
          <w:i w:val="0"/>
          <w:iCs w:val="0"/>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4）我方在本</w:t>
      </w:r>
      <w:r>
        <w:rPr>
          <w:rFonts w:hint="eastAsia"/>
          <w:i w:val="0"/>
          <w:iCs w:val="0"/>
          <w:color w:val="auto"/>
          <w:szCs w:val="24"/>
          <w:highlight w:val="none"/>
          <w:lang w:val="en-US" w:eastAsia="zh-CN"/>
        </w:rPr>
        <w:t>响应</w:t>
      </w:r>
      <w:r>
        <w:rPr>
          <w:rFonts w:hint="eastAsia"/>
          <w:i w:val="0"/>
          <w:iCs w:val="0"/>
          <w:color w:val="auto"/>
          <w:szCs w:val="24"/>
          <w:highlight w:val="none"/>
        </w:rPr>
        <w:t>文件中所提供的全部资料均真实有效，我方承诺对其真实性负责并承担相应后果。</w:t>
      </w:r>
    </w:p>
    <w:p w14:paraId="5FB2607B">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5）我方承诺本《</w:t>
      </w:r>
      <w:r>
        <w:rPr>
          <w:rFonts w:hint="eastAsia"/>
          <w:i w:val="0"/>
          <w:iCs w:val="0"/>
          <w:color w:val="auto"/>
          <w:szCs w:val="24"/>
          <w:highlight w:val="none"/>
          <w:lang w:val="en-US" w:eastAsia="zh-CN"/>
        </w:rPr>
        <w:t>响应</w:t>
      </w:r>
      <w:r>
        <w:rPr>
          <w:rFonts w:hint="eastAsia"/>
          <w:i w:val="0"/>
          <w:iCs w:val="0"/>
          <w:color w:val="auto"/>
          <w:szCs w:val="24"/>
          <w:highlight w:val="none"/>
        </w:rPr>
        <w:t>函》的签章对本</w:t>
      </w:r>
      <w:r>
        <w:rPr>
          <w:rFonts w:hint="eastAsia"/>
          <w:i w:val="0"/>
          <w:iCs w:val="0"/>
          <w:color w:val="auto"/>
          <w:szCs w:val="24"/>
          <w:highlight w:val="none"/>
          <w:lang w:val="en-US" w:eastAsia="zh-CN"/>
        </w:rPr>
        <w:t>响应</w:t>
      </w:r>
      <w:r>
        <w:rPr>
          <w:rFonts w:hint="eastAsia"/>
          <w:i w:val="0"/>
          <w:iCs w:val="0"/>
          <w:color w:val="auto"/>
          <w:szCs w:val="24"/>
          <w:highlight w:val="none"/>
        </w:rPr>
        <w:t>文件全部内容具有约束力并承担法律责任。</w:t>
      </w:r>
    </w:p>
    <w:p w14:paraId="2A195747">
      <w:pPr>
        <w:spacing w:line="300" w:lineRule="auto"/>
        <w:rPr>
          <w:rFonts w:cs="Arial"/>
          <w:i w:val="0"/>
          <w:iCs w:val="0"/>
          <w:color w:val="auto"/>
          <w:szCs w:val="24"/>
          <w:highlight w:val="none"/>
        </w:rPr>
      </w:pPr>
    </w:p>
    <w:p w14:paraId="3F664789">
      <w:pPr>
        <w:spacing w:line="300" w:lineRule="auto"/>
        <w:rPr>
          <w:rFonts w:cs="Arial"/>
          <w:i w:val="0"/>
          <w:iCs w:val="0"/>
          <w:color w:val="auto"/>
          <w:szCs w:val="24"/>
          <w:highlight w:val="none"/>
        </w:rPr>
      </w:pPr>
    </w:p>
    <w:p w14:paraId="6C365FF0">
      <w:pPr>
        <w:spacing w:line="300" w:lineRule="auto"/>
        <w:rPr>
          <w:rFonts w:cs="Arial"/>
          <w:i w:val="0"/>
          <w:iCs w:val="0"/>
          <w:color w:val="auto"/>
          <w:szCs w:val="24"/>
          <w:highlight w:val="none"/>
        </w:rPr>
      </w:pPr>
    </w:p>
    <w:p w14:paraId="2DB608AC">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lang w:val="en-US" w:eastAsia="zh-CN"/>
        </w:rPr>
        <w:t>供    应    商</w:t>
      </w:r>
      <w:r>
        <w:rPr>
          <w:rFonts w:hint="eastAsia" w:cs="宋体"/>
          <w:i w:val="0"/>
          <w:iCs w:val="0"/>
          <w:color w:val="auto"/>
          <w:highlight w:val="none"/>
        </w:rPr>
        <w:t>：（公章）</w:t>
      </w:r>
    </w:p>
    <w:p w14:paraId="4CCC9D16">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通  讯  地  址：</w:t>
      </w:r>
    </w:p>
    <w:p w14:paraId="268281DA">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传       </w:t>
      </w:r>
      <w:r>
        <w:rPr>
          <w:rFonts w:cs="宋体"/>
          <w:i w:val="0"/>
          <w:iCs w:val="0"/>
          <w:color w:val="auto"/>
          <w:highlight w:val="none"/>
        </w:rPr>
        <w:t xml:space="preserve">   </w:t>
      </w:r>
      <w:r>
        <w:rPr>
          <w:rFonts w:hint="eastAsia" w:cs="宋体"/>
          <w:i w:val="0"/>
          <w:iCs w:val="0"/>
          <w:color w:val="auto"/>
          <w:highlight w:val="none"/>
        </w:rPr>
        <w:t>真：</w:t>
      </w:r>
    </w:p>
    <w:p w14:paraId="0A396883">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电          话：</w:t>
      </w:r>
    </w:p>
    <w:p w14:paraId="21203E4D">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授 </w:t>
      </w:r>
      <w:r>
        <w:rPr>
          <w:rFonts w:cs="宋体"/>
          <w:i w:val="0"/>
          <w:iCs w:val="0"/>
          <w:color w:val="auto"/>
          <w:highlight w:val="none"/>
        </w:rPr>
        <w:t xml:space="preserve"> </w:t>
      </w:r>
      <w:r>
        <w:rPr>
          <w:rFonts w:hint="eastAsia" w:cs="宋体"/>
          <w:i w:val="0"/>
          <w:iCs w:val="0"/>
          <w:color w:val="auto"/>
          <w:highlight w:val="none"/>
        </w:rPr>
        <w:t xml:space="preserve">权 </w:t>
      </w:r>
      <w:r>
        <w:rPr>
          <w:rFonts w:cs="宋体"/>
          <w:i w:val="0"/>
          <w:iCs w:val="0"/>
          <w:color w:val="auto"/>
          <w:highlight w:val="none"/>
        </w:rPr>
        <w:t xml:space="preserve"> </w:t>
      </w:r>
      <w:r>
        <w:rPr>
          <w:rFonts w:hint="eastAsia" w:cs="宋体"/>
          <w:i w:val="0"/>
          <w:iCs w:val="0"/>
          <w:color w:val="auto"/>
          <w:highlight w:val="none"/>
        </w:rPr>
        <w:t xml:space="preserve">代 </w:t>
      </w:r>
      <w:r>
        <w:rPr>
          <w:rFonts w:cs="宋体"/>
          <w:i w:val="0"/>
          <w:iCs w:val="0"/>
          <w:color w:val="auto"/>
          <w:highlight w:val="none"/>
        </w:rPr>
        <w:t xml:space="preserve"> </w:t>
      </w:r>
      <w:r>
        <w:rPr>
          <w:rFonts w:hint="eastAsia" w:cs="宋体"/>
          <w:i w:val="0"/>
          <w:iCs w:val="0"/>
          <w:color w:val="auto"/>
          <w:highlight w:val="none"/>
        </w:rPr>
        <w:t>表：</w:t>
      </w:r>
    </w:p>
    <w:p w14:paraId="63C92097">
      <w:pPr>
        <w:ind w:firstLine="480" w:firstLineChars="200"/>
        <w:rPr>
          <w:rFonts w:cs="Arial"/>
          <w:i w:val="0"/>
          <w:iCs w:val="0"/>
          <w:color w:val="auto"/>
          <w:szCs w:val="24"/>
          <w:highlight w:val="none"/>
        </w:rPr>
      </w:pPr>
      <w:r>
        <w:rPr>
          <w:rFonts w:hint="eastAsia" w:cs="宋体"/>
          <w:i w:val="0"/>
          <w:iCs w:val="0"/>
          <w:color w:val="auto"/>
          <w:highlight w:val="none"/>
        </w:rPr>
        <w:t xml:space="preserve">日     </w:t>
      </w:r>
      <w:r>
        <w:rPr>
          <w:rFonts w:cs="宋体"/>
          <w:i w:val="0"/>
          <w:iCs w:val="0"/>
          <w:color w:val="auto"/>
          <w:highlight w:val="none"/>
        </w:rPr>
        <w:t xml:space="preserve">  </w:t>
      </w:r>
      <w:r>
        <w:rPr>
          <w:rFonts w:hint="eastAsia" w:cs="宋体"/>
          <w:i w:val="0"/>
          <w:iCs w:val="0"/>
          <w:color w:val="auto"/>
          <w:highlight w:val="none"/>
        </w:rPr>
        <w:t xml:space="preserve">    期：</w:t>
      </w:r>
    </w:p>
    <w:p w14:paraId="6674502E">
      <w:pPr>
        <w:rPr>
          <w:rFonts w:cs="Arial"/>
          <w:i w:val="0"/>
          <w:iCs w:val="0"/>
          <w:color w:val="auto"/>
          <w:szCs w:val="24"/>
          <w:highlight w:val="none"/>
          <w:u w:val="single"/>
        </w:rPr>
      </w:pPr>
    </w:p>
    <w:p w14:paraId="478BFBB8">
      <w:pPr>
        <w:rPr>
          <w:rFonts w:cs="Arial"/>
          <w:i w:val="0"/>
          <w:iCs w:val="0"/>
          <w:color w:val="auto"/>
          <w:szCs w:val="24"/>
          <w:highlight w:val="none"/>
          <w:u w:val="single"/>
        </w:rPr>
      </w:pPr>
      <w:r>
        <w:rPr>
          <w:rFonts w:cs="Arial"/>
          <w:i w:val="0"/>
          <w:iCs w:val="0"/>
          <w:color w:val="auto"/>
          <w:szCs w:val="24"/>
          <w:highlight w:val="none"/>
          <w:u w:val="single"/>
        </w:rPr>
        <w:br w:type="page"/>
      </w:r>
    </w:p>
    <w:p w14:paraId="24B4BD65">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39" w:name="_Toc155185924"/>
      <w:bookmarkStart w:id="1240" w:name="_Toc15463"/>
      <w:r>
        <w:rPr>
          <w:rFonts w:hint="eastAsia" w:cstheme="majorBidi"/>
          <w:b/>
          <w:bCs/>
          <w:i w:val="0"/>
          <w:iCs w:val="0"/>
          <w:color w:val="auto"/>
          <w:kern w:val="2"/>
          <w:sz w:val="32"/>
          <w:szCs w:val="32"/>
          <w:highlight w:val="none"/>
          <w:lang w:val="en-US" w:eastAsia="zh-CN" w:bidi="ar-SA"/>
        </w:rPr>
        <w:t>二</w:t>
      </w:r>
      <w:r>
        <w:rPr>
          <w:rFonts w:hint="eastAsia" w:eastAsia="宋体" w:asciiTheme="majorHAnsi" w:hAnsiTheme="majorHAnsi" w:cstheme="majorBidi"/>
          <w:b/>
          <w:bCs/>
          <w:i w:val="0"/>
          <w:iCs w:val="0"/>
          <w:color w:val="auto"/>
          <w:kern w:val="2"/>
          <w:sz w:val="32"/>
          <w:szCs w:val="32"/>
          <w:highlight w:val="none"/>
          <w:lang w:val="en-US" w:eastAsia="zh-CN" w:bidi="ar-SA"/>
        </w:rPr>
        <w:t>、法定代表人（单位负责人）身份证明</w:t>
      </w:r>
      <w:bookmarkEnd w:id="1239"/>
      <w:bookmarkEnd w:id="1240"/>
    </w:p>
    <w:p w14:paraId="46CF1AA3">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致：（采购人或采购代理机构） </w:t>
      </w:r>
    </w:p>
    <w:p w14:paraId="3DE52D6F">
      <w:pPr>
        <w:spacing w:line="480" w:lineRule="auto"/>
        <w:ind w:firstLine="960" w:firstLineChars="4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兹证明， </w:t>
      </w:r>
    </w:p>
    <w:p w14:paraId="1D36B9E0">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姓名：____性别：____年龄：____职务：____ </w:t>
      </w:r>
    </w:p>
    <w:p w14:paraId="38746EB6">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系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lang w:val="en-US" w:eastAsia="zh-CN"/>
        </w:rPr>
        <w:t xml:space="preserve">（供应商名称）的法定代表人（单位负责人）。 </w:t>
      </w:r>
    </w:p>
    <w:p w14:paraId="3B002BC6">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附：法定代表人（单位负责人）身份证、护照等身份证明文件电子件： </w:t>
      </w:r>
    </w:p>
    <w:p w14:paraId="60A8C36F">
      <w:pPr>
        <w:spacing w:line="480" w:lineRule="auto"/>
        <w:ind w:firstLine="480" w:firstLineChars="200"/>
        <w:rPr>
          <w:rFonts w:cs="仿宋_GB2312"/>
          <w:i w:val="0"/>
          <w:iCs w:val="0"/>
          <w:color w:val="auto"/>
          <w:szCs w:val="24"/>
          <w:highlight w:val="none"/>
        </w:rPr>
      </w:pPr>
    </w:p>
    <w:p w14:paraId="473563CD">
      <w:pPr>
        <w:rPr>
          <w:rFonts w:cs="Arial"/>
          <w:i w:val="0"/>
          <w:iCs w:val="0"/>
          <w:color w:val="auto"/>
          <w:sz w:val="21"/>
          <w:szCs w:val="21"/>
          <w:highlight w:val="none"/>
        </w:rPr>
      </w:pPr>
    </w:p>
    <w:tbl>
      <w:tblPr>
        <w:tblStyle w:val="27"/>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4B7B7E19">
            <w:pPr>
              <w:rPr>
                <w:rFonts w:cs="Arial"/>
                <w:i w:val="0"/>
                <w:iCs w:val="0"/>
                <w:color w:val="auto"/>
                <w:highlight w:val="none"/>
              </w:rPr>
            </w:pPr>
          </w:p>
        </w:tc>
      </w:tr>
    </w:tbl>
    <w:p w14:paraId="76B5C725">
      <w:pPr>
        <w:ind w:firstLine="840" w:firstLineChars="350"/>
        <w:jc w:val="center"/>
        <w:rPr>
          <w:rFonts w:cs="Arial"/>
          <w:i w:val="0"/>
          <w:iCs w:val="0"/>
          <w:color w:val="auto"/>
          <w:highlight w:val="none"/>
        </w:rPr>
      </w:pPr>
    </w:p>
    <w:p w14:paraId="4AD74708">
      <w:pPr>
        <w:keepNext w:val="0"/>
        <w:keepLines w:val="0"/>
        <w:widowControl/>
        <w:suppressLineNumbers w:val="0"/>
        <w:jc w:val="left"/>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364A1245">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 </w:t>
      </w:r>
    </w:p>
    <w:p w14:paraId="10B3C29F">
      <w:pPr>
        <w:keepNext w:val="0"/>
        <w:keepLines w:val="0"/>
        <w:widowControl/>
        <w:suppressLineNumbers w:val="0"/>
        <w:jc w:val="left"/>
        <w:rPr>
          <w:rFonts w:hint="eastAsia" w:ascii="宋体" w:hAnsi="宋体" w:eastAsia="宋体" w:cs="宋体"/>
          <w:i w:val="0"/>
          <w:iCs w:val="0"/>
          <w:color w:val="auto"/>
          <w:kern w:val="0"/>
          <w:sz w:val="24"/>
          <w:szCs w:val="24"/>
          <w:highlight w:val="none"/>
          <w:lang w:val="en-US" w:eastAsia="zh-CN" w:bidi="ar"/>
        </w:rPr>
      </w:pPr>
    </w:p>
    <w:p w14:paraId="7239FE13">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日</w:t>
      </w:r>
    </w:p>
    <w:p w14:paraId="6948CD78">
      <w:pPr>
        <w:rPr>
          <w:b/>
          <w:i w:val="0"/>
          <w:iCs w:val="0"/>
          <w:color w:val="auto"/>
          <w:sz w:val="28"/>
          <w:szCs w:val="28"/>
          <w:highlight w:val="none"/>
        </w:rPr>
      </w:pPr>
    </w:p>
    <w:p w14:paraId="04FDD702">
      <w:pPr>
        <w:rPr>
          <w:b/>
          <w:i w:val="0"/>
          <w:iCs w:val="0"/>
          <w:color w:val="auto"/>
          <w:sz w:val="28"/>
          <w:szCs w:val="28"/>
          <w:highlight w:val="none"/>
        </w:rPr>
      </w:pPr>
      <w:r>
        <w:rPr>
          <w:b/>
          <w:i w:val="0"/>
          <w:iCs w:val="0"/>
          <w:color w:val="auto"/>
          <w:sz w:val="28"/>
          <w:szCs w:val="28"/>
          <w:highlight w:val="none"/>
        </w:rPr>
        <w:br w:type="page"/>
      </w:r>
    </w:p>
    <w:p w14:paraId="0EEE8A23">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41" w:name="_Toc26442"/>
      <w:bookmarkStart w:id="1242" w:name="_Toc155185925"/>
      <w:r>
        <w:rPr>
          <w:rFonts w:hint="eastAsia" w:cstheme="majorBidi"/>
          <w:b/>
          <w:bCs/>
          <w:i w:val="0"/>
          <w:iCs w:val="0"/>
          <w:color w:val="auto"/>
          <w:kern w:val="2"/>
          <w:sz w:val="32"/>
          <w:szCs w:val="32"/>
          <w:highlight w:val="none"/>
          <w:lang w:val="en-US" w:eastAsia="zh-CN" w:bidi="ar-SA"/>
        </w:rPr>
        <w:t>三</w:t>
      </w:r>
      <w:r>
        <w:rPr>
          <w:rFonts w:hint="eastAsia" w:eastAsia="宋体" w:asciiTheme="majorHAnsi" w:hAnsiTheme="majorHAnsi" w:cstheme="majorBidi"/>
          <w:b/>
          <w:bCs/>
          <w:i w:val="0"/>
          <w:iCs w:val="0"/>
          <w:color w:val="auto"/>
          <w:kern w:val="2"/>
          <w:sz w:val="32"/>
          <w:szCs w:val="32"/>
          <w:highlight w:val="none"/>
          <w:lang w:val="en-US" w:eastAsia="zh-CN" w:bidi="ar-SA"/>
        </w:rPr>
        <w:t>、授权委托书</w:t>
      </w:r>
      <w:bookmarkEnd w:id="1241"/>
      <w:bookmarkEnd w:id="1242"/>
    </w:p>
    <w:p w14:paraId="593F068D">
      <w:pPr>
        <w:ind w:firstLine="480" w:firstLineChars="200"/>
        <w:rPr>
          <w:rFonts w:cs="仿宋_GB2312"/>
          <w:i w:val="0"/>
          <w:iCs w:val="0"/>
          <w:color w:val="auto"/>
          <w:szCs w:val="24"/>
          <w:highlight w:val="none"/>
        </w:rPr>
      </w:pPr>
      <w:r>
        <w:rPr>
          <w:rFonts w:hint="eastAsia" w:cs="仿宋_GB2312"/>
          <w:i w:val="0"/>
          <w:iCs w:val="0"/>
          <w:color w:val="auto"/>
          <w:szCs w:val="24"/>
          <w:highlight w:val="none"/>
        </w:rPr>
        <w:t>本人</w:t>
      </w:r>
      <w:r>
        <w:rPr>
          <w:rFonts w:cs="仿宋_GB2312"/>
          <w:i w:val="0"/>
          <w:iCs w:val="0"/>
          <w:color w:val="auto"/>
          <w:szCs w:val="24"/>
          <w:highlight w:val="none"/>
          <w:u w:val="single"/>
        </w:rPr>
        <w:t xml:space="preserve">     </w:t>
      </w:r>
      <w:r>
        <w:rPr>
          <w:rFonts w:hint="eastAsia" w:cs="仿宋_GB2312"/>
          <w:i w:val="0"/>
          <w:iCs w:val="0"/>
          <w:color w:val="auto"/>
          <w:szCs w:val="24"/>
          <w:highlight w:val="none"/>
          <w:u w:val="none"/>
        </w:rPr>
        <w:t>（姓名）</w:t>
      </w:r>
      <w:r>
        <w:rPr>
          <w:rFonts w:hint="eastAsia" w:cs="仿宋_GB2312"/>
          <w:i w:val="0"/>
          <w:iCs w:val="0"/>
          <w:color w:val="auto"/>
          <w:szCs w:val="24"/>
          <w:highlight w:val="none"/>
        </w:rPr>
        <w:t>系</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none"/>
        </w:rPr>
        <w:t>（</w:t>
      </w:r>
      <w:r>
        <w:rPr>
          <w:rFonts w:hint="eastAsia" w:cs="仿宋_GB2312"/>
          <w:i w:val="0"/>
          <w:iCs w:val="0"/>
          <w:color w:val="auto"/>
          <w:szCs w:val="24"/>
          <w:highlight w:val="none"/>
          <w:u w:val="none"/>
          <w:lang w:val="en-US" w:eastAsia="zh-CN"/>
        </w:rPr>
        <w:t>供应商</w:t>
      </w:r>
      <w:r>
        <w:rPr>
          <w:rFonts w:hint="eastAsia" w:cs="仿宋_GB2312"/>
          <w:i w:val="0"/>
          <w:iCs w:val="0"/>
          <w:color w:val="auto"/>
          <w:szCs w:val="24"/>
          <w:highlight w:val="none"/>
          <w:u w:val="none"/>
        </w:rPr>
        <w:t>名称）</w:t>
      </w:r>
      <w:r>
        <w:rPr>
          <w:rFonts w:hint="eastAsia" w:cs="仿宋_GB2312"/>
          <w:i w:val="0"/>
          <w:iCs w:val="0"/>
          <w:color w:val="auto"/>
          <w:szCs w:val="24"/>
          <w:highlight w:val="none"/>
        </w:rPr>
        <w:t>的法定代表人</w:t>
      </w:r>
      <w:r>
        <w:rPr>
          <w:rFonts w:hint="eastAsia"/>
          <w:i w:val="0"/>
          <w:iCs w:val="0"/>
          <w:color w:val="auto"/>
          <w:highlight w:val="none"/>
        </w:rPr>
        <w:t>（</w:t>
      </w:r>
      <w:r>
        <w:rPr>
          <w:rFonts w:hint="eastAsia"/>
          <w:i w:val="0"/>
          <w:iCs w:val="0"/>
          <w:color w:val="auto"/>
          <w:highlight w:val="none"/>
          <w:lang w:val="en-US" w:eastAsia="zh-CN"/>
        </w:rPr>
        <w:t>单位</w:t>
      </w:r>
      <w:r>
        <w:rPr>
          <w:rFonts w:hint="eastAsia"/>
          <w:i w:val="0"/>
          <w:iCs w:val="0"/>
          <w:color w:val="auto"/>
          <w:highlight w:val="none"/>
        </w:rPr>
        <w:t>负责人）</w:t>
      </w:r>
      <w:r>
        <w:rPr>
          <w:rFonts w:hint="eastAsia" w:cs="仿宋_GB2312"/>
          <w:i w:val="0"/>
          <w:iCs w:val="0"/>
          <w:color w:val="auto"/>
          <w:szCs w:val="24"/>
          <w:highlight w:val="none"/>
        </w:rPr>
        <w:t>，现委托</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（姓名）为我方代理人。代理人根据授权，以我方名义签署、澄清</w:t>
      </w:r>
      <w:r>
        <w:rPr>
          <w:rFonts w:hint="eastAsia" w:cs="仿宋_GB2312"/>
          <w:i w:val="0"/>
          <w:iCs w:val="0"/>
          <w:color w:val="auto"/>
          <w:szCs w:val="24"/>
          <w:highlight w:val="none"/>
          <w:lang w:val="en-US" w:eastAsia="zh-CN"/>
        </w:rPr>
        <w:t>确认</w:t>
      </w:r>
      <w:r>
        <w:rPr>
          <w:rFonts w:hint="eastAsia" w:cs="仿宋_GB2312"/>
          <w:i w:val="0"/>
          <w:iCs w:val="0"/>
          <w:color w:val="auto"/>
          <w:szCs w:val="24"/>
          <w:highlight w:val="none"/>
        </w:rPr>
        <w:t>、说明、补正、递交、撤回、修改</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（项目名称）</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文件、签订合同和处理有关事宜，其法律后果由我方承担。</w:t>
      </w:r>
    </w:p>
    <w:p w14:paraId="56B80D1C">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rPr>
        <w:t>委托期限：</w:t>
      </w:r>
      <w:r>
        <w:rPr>
          <w:rFonts w:hint="eastAsia" w:cs="仿宋_GB2312"/>
          <w:i w:val="0"/>
          <w:iCs w:val="0"/>
          <w:color w:val="auto"/>
          <w:szCs w:val="24"/>
          <w:highlight w:val="none"/>
          <w:lang w:val="en-US" w:eastAsia="zh-CN"/>
        </w:rPr>
        <w:t>自本授权委托书签署之日起至响应文件有效期届满之日止。</w:t>
      </w:r>
    </w:p>
    <w:p w14:paraId="0A605ABE">
      <w:pPr>
        <w:ind w:firstLine="480" w:firstLineChars="200"/>
        <w:rPr>
          <w:rFonts w:cs="仿宋_GB2312"/>
          <w:i w:val="0"/>
          <w:iCs w:val="0"/>
          <w:color w:val="auto"/>
          <w:szCs w:val="24"/>
          <w:highlight w:val="none"/>
        </w:rPr>
      </w:pPr>
      <w:r>
        <w:rPr>
          <w:rFonts w:hint="eastAsia" w:cs="仿宋_GB2312"/>
          <w:i w:val="0"/>
          <w:iCs w:val="0"/>
          <w:color w:val="auto"/>
          <w:szCs w:val="24"/>
          <w:highlight w:val="none"/>
        </w:rPr>
        <w:t>代理人无转委托权。</w:t>
      </w:r>
    </w:p>
    <w:p w14:paraId="03C5EAD4">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rPr>
      </w:pPr>
    </w:p>
    <w:p w14:paraId="27333291">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委托代理人（签字或签章）：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r>
        <w:rPr>
          <w:rFonts w:hint="eastAsia" w:ascii="DejaVuSans" w:hAnsi="DejaVuSans" w:eastAsia="DejaVuSans" w:cs="DejaVuSans"/>
          <w:i w:val="0"/>
          <w:iCs w:val="0"/>
          <w:color w:val="auto"/>
          <w:kern w:val="0"/>
          <w:sz w:val="24"/>
          <w:szCs w:val="24"/>
          <w:highlight w:val="none"/>
          <w:lang w:val="en-US" w:eastAsia="zh-CN" w:bidi="ar"/>
        </w:rPr>
        <w:t xml:space="preserve">  联系电话：</w:t>
      </w:r>
      <w:r>
        <w:rPr>
          <w:rFonts w:hint="eastAsia" w:ascii="DejaVuSans" w:hAnsi="DejaVuSans" w:eastAsia="DejaVuSans" w:cs="DejaVuSans"/>
          <w:i w:val="0"/>
          <w:iCs w:val="0"/>
          <w:color w:val="auto"/>
          <w:kern w:val="0"/>
          <w:sz w:val="24"/>
          <w:szCs w:val="24"/>
          <w:highlight w:val="none"/>
          <w:u w:val="single"/>
          <w:lang w:val="en-US" w:eastAsia="zh-CN" w:bidi="ar"/>
        </w:rPr>
        <w:t xml:space="preserve">              </w:t>
      </w:r>
      <w:r>
        <w:rPr>
          <w:rFonts w:hint="default" w:ascii="DejaVuSans" w:hAnsi="DejaVuSans" w:eastAsia="DejaVuSans" w:cs="DejaVuSans"/>
          <w:i w:val="0"/>
          <w:iCs w:val="0"/>
          <w:color w:val="auto"/>
          <w:kern w:val="0"/>
          <w:sz w:val="24"/>
          <w:szCs w:val="24"/>
          <w:highlight w:val="none"/>
          <w:lang w:val="en-US" w:eastAsia="zh-CN" w:bidi="ar"/>
        </w:rPr>
        <w:t xml:space="preserve"> </w:t>
      </w:r>
    </w:p>
    <w:p w14:paraId="4FD66B47">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 xml:space="preserve">日 </w:t>
      </w:r>
    </w:p>
    <w:p w14:paraId="0D7E210D">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lang w:val="en-US" w:eastAsia="zh-CN"/>
        </w:rPr>
      </w:pPr>
    </w:p>
    <w:p w14:paraId="7CE346A7">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 xml:space="preserve">附：法定代表人及委托代理人身份证明文件电子件： </w:t>
      </w:r>
    </w:p>
    <w:tbl>
      <w:tblPr>
        <w:tblStyle w:val="27"/>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66EBC6FA">
            <w:pPr>
              <w:rPr>
                <w:rFonts w:cs="Arial"/>
                <w:i w:val="0"/>
                <w:iCs w:val="0"/>
                <w:color w:val="auto"/>
                <w:highlight w:val="none"/>
              </w:rPr>
            </w:pPr>
          </w:p>
        </w:tc>
      </w:tr>
    </w:tbl>
    <w:p w14:paraId="003FC2D7">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说明： </w:t>
      </w:r>
    </w:p>
    <w:p w14:paraId="6A6FAC65">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1.若供应商为事业单位或其他组织或分支机构，则法定代表人（单位负责人）处的签署人可为单位负责人。 </w:t>
      </w:r>
    </w:p>
    <w:p w14:paraId="7579C425">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2.</w:t>
      </w:r>
      <w:r>
        <w:rPr>
          <w:rFonts w:hint="eastAsia" w:cs="仿宋_GB2312"/>
          <w:i w:val="0"/>
          <w:iCs w:val="0"/>
          <w:color w:val="auto"/>
          <w:szCs w:val="24"/>
          <w:highlight w:val="none"/>
          <w:lang w:val="en-US" w:eastAsia="zh-CN"/>
        </w:rPr>
        <w:t xml:space="preserve">若响应文件中签字之处均为法定代表人（单位负责人）本人签署，则可不提供本《授权委托书》，但须提供《法定代表人（单位负责人）身份证明》。 </w:t>
      </w:r>
    </w:p>
    <w:p w14:paraId="7D81952A">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3.</w:t>
      </w:r>
      <w:r>
        <w:rPr>
          <w:rFonts w:hint="eastAsia" w:cs="仿宋_GB2312"/>
          <w:i w:val="0"/>
          <w:iCs w:val="0"/>
          <w:color w:val="auto"/>
          <w:szCs w:val="24"/>
          <w:highlight w:val="none"/>
          <w:lang w:val="en-US" w:eastAsia="zh-CN"/>
        </w:rPr>
        <w:t xml:space="preserve">供应商为自然人的情形，可不提供本《授权委托书》。 </w:t>
      </w:r>
    </w:p>
    <w:p w14:paraId="16E91B57">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4.</w:t>
      </w:r>
      <w:r>
        <w:rPr>
          <w:rFonts w:hint="eastAsia" w:cs="仿宋_GB2312"/>
          <w:i w:val="0"/>
          <w:iCs w:val="0"/>
          <w:color w:val="auto"/>
          <w:szCs w:val="24"/>
          <w:highlight w:val="none"/>
          <w:lang w:val="en-US" w:eastAsia="zh-CN"/>
        </w:rPr>
        <w:t>供应商应随本《授权委托书》同时提供法定代表人（单位负责人）及委托代理人的有效的身份证、护照等身份证明文件电子件。提供身份证的，应同时提供身份证</w:t>
      </w:r>
      <w:r>
        <w:rPr>
          <w:rFonts w:hint="eastAsia" w:cs="仿宋_GB2312"/>
          <w:b/>
          <w:bCs/>
          <w:i w:val="0"/>
          <w:iCs w:val="0"/>
          <w:color w:val="auto"/>
          <w:szCs w:val="24"/>
          <w:highlight w:val="none"/>
          <w:lang w:val="en-US" w:eastAsia="zh-CN"/>
        </w:rPr>
        <w:t>双面</w:t>
      </w:r>
      <w:r>
        <w:rPr>
          <w:rFonts w:hint="eastAsia" w:cs="仿宋_GB2312"/>
          <w:i w:val="0"/>
          <w:iCs w:val="0"/>
          <w:color w:val="auto"/>
          <w:szCs w:val="24"/>
          <w:highlight w:val="none"/>
          <w:lang w:val="en-US" w:eastAsia="zh-CN"/>
        </w:rPr>
        <w:t>电子件。</w:t>
      </w:r>
    </w:p>
    <w:p w14:paraId="0B2EBA16">
      <w:pPr>
        <w:rPr>
          <w:i w:val="0"/>
          <w:iCs w:val="0"/>
          <w:color w:val="auto"/>
          <w:highlight w:val="none"/>
        </w:rPr>
      </w:pPr>
      <w:r>
        <w:rPr>
          <w:i w:val="0"/>
          <w:iCs w:val="0"/>
          <w:color w:val="auto"/>
          <w:highlight w:val="none"/>
        </w:rPr>
        <w:br w:type="page"/>
      </w:r>
    </w:p>
    <w:p w14:paraId="117D25C9">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43" w:name="_Toc155185934"/>
      <w:bookmarkStart w:id="1244" w:name="_Toc163492928"/>
      <w:bookmarkStart w:id="1245" w:name="_Toc20288"/>
      <w:r>
        <w:rPr>
          <w:rFonts w:hint="eastAsia" w:cstheme="majorBidi"/>
          <w:b/>
          <w:bCs/>
          <w:i w:val="0"/>
          <w:iCs w:val="0"/>
          <w:color w:val="auto"/>
          <w:kern w:val="2"/>
          <w:sz w:val="32"/>
          <w:szCs w:val="32"/>
          <w:highlight w:val="none"/>
          <w:lang w:val="en-US" w:eastAsia="zh-CN" w:bidi="ar-SA"/>
        </w:rPr>
        <w:t>四</w:t>
      </w:r>
      <w:r>
        <w:rPr>
          <w:rFonts w:hint="eastAsia" w:eastAsia="宋体" w:asciiTheme="majorHAnsi" w:hAnsiTheme="majorHAnsi" w:cstheme="majorBidi"/>
          <w:b/>
          <w:bCs/>
          <w:i w:val="0"/>
          <w:iCs w:val="0"/>
          <w:color w:val="auto"/>
          <w:kern w:val="2"/>
          <w:sz w:val="32"/>
          <w:szCs w:val="32"/>
          <w:highlight w:val="none"/>
          <w:lang w:val="en-US" w:eastAsia="zh-CN" w:bidi="ar-SA"/>
        </w:rPr>
        <w:t>、</w:t>
      </w:r>
      <w:bookmarkEnd w:id="1243"/>
      <w:bookmarkEnd w:id="1244"/>
      <w:r>
        <w:rPr>
          <w:rFonts w:hint="eastAsia" w:eastAsia="宋体" w:asciiTheme="majorHAnsi" w:hAnsiTheme="majorHAnsi" w:cstheme="majorBidi"/>
          <w:b/>
          <w:bCs/>
          <w:i w:val="0"/>
          <w:iCs w:val="0"/>
          <w:color w:val="auto"/>
          <w:kern w:val="2"/>
          <w:sz w:val="32"/>
          <w:szCs w:val="32"/>
          <w:highlight w:val="none"/>
          <w:lang w:val="zh-CN" w:eastAsia="zh-CN" w:bidi="ar-SA"/>
        </w:rPr>
        <w:t>政府采购供应商廉洁自律承诺书</w:t>
      </w:r>
      <w:bookmarkEnd w:id="1245"/>
    </w:p>
    <w:p w14:paraId="2AB445CF">
      <w:pPr>
        <w:pStyle w:val="11"/>
        <w:rPr>
          <w:i w:val="0"/>
          <w:iCs w:val="0"/>
          <w:color w:val="auto"/>
          <w:highlight w:val="none"/>
        </w:rPr>
      </w:pPr>
    </w:p>
    <w:p w14:paraId="2CE177B4">
      <w:pPr>
        <w:snapToGrid w:val="0"/>
        <w:spacing w:line="360" w:lineRule="auto"/>
        <w:rPr>
          <w:rFonts w:ascii="宋体" w:hAnsi="宋体" w:cs="宋体"/>
          <w:i w:val="0"/>
          <w:iCs w:val="0"/>
          <w:color w:val="auto"/>
          <w:kern w:val="0"/>
          <w:sz w:val="24"/>
          <w:szCs w:val="24"/>
          <w:highlight w:val="none"/>
        </w:rPr>
      </w:pPr>
      <w:r>
        <w:rPr>
          <w:rFonts w:hint="eastAsia" w:ascii="宋体" w:hAnsi="宋体" w:cs="宋体"/>
          <w:i w:val="0"/>
          <w:iCs w:val="0"/>
          <w:color w:val="auto"/>
          <w:sz w:val="24"/>
          <w:szCs w:val="24"/>
          <w:highlight w:val="none"/>
        </w:rPr>
        <w:t>（采购人）、（采购代理机构）</w:t>
      </w:r>
      <w:r>
        <w:rPr>
          <w:rFonts w:hint="eastAsia" w:ascii="宋体" w:hAnsi="宋体" w:cs="宋体"/>
          <w:i w:val="0"/>
          <w:iCs w:val="0"/>
          <w:color w:val="auto"/>
          <w:kern w:val="0"/>
          <w:sz w:val="24"/>
          <w:szCs w:val="24"/>
          <w:highlight w:val="none"/>
          <w:lang w:val="zh-CN"/>
        </w:rPr>
        <w:t>：</w:t>
      </w:r>
    </w:p>
    <w:p w14:paraId="2139BFB4">
      <w:pPr>
        <w:autoSpaceDE w:val="0"/>
        <w:autoSpaceDN w:val="0"/>
        <w:spacing w:line="360" w:lineRule="auto"/>
        <w:ind w:left="2" w:leftChars="1" w:firstLine="480" w:firstLineChars="200"/>
        <w:jc w:val="left"/>
        <w:rPr>
          <w:rFonts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我单位响应你</w:t>
      </w:r>
      <w:r>
        <w:rPr>
          <w:rFonts w:hint="eastAsia" w:ascii="宋体" w:hAnsi="宋体" w:cs="宋体"/>
          <w:i w:val="0"/>
          <w:iCs w:val="0"/>
          <w:color w:val="auto"/>
          <w:sz w:val="24"/>
          <w:szCs w:val="24"/>
          <w:highlight w:val="none"/>
        </w:rPr>
        <w:t>单位</w:t>
      </w:r>
      <w:r>
        <w:rPr>
          <w:rFonts w:hint="eastAsia" w:ascii="宋体" w:hAnsi="宋体" w:cs="宋体"/>
          <w:i w:val="0"/>
          <w:iCs w:val="0"/>
          <w:color w:val="auto"/>
          <w:kern w:val="0"/>
          <w:sz w:val="24"/>
          <w:szCs w:val="24"/>
          <w:highlight w:val="none"/>
          <w:lang w:val="zh-CN"/>
        </w:rPr>
        <w:t>项目</w:t>
      </w:r>
      <w:r>
        <w:rPr>
          <w:rFonts w:hint="eastAsia" w:cs="宋体"/>
          <w:i w:val="0"/>
          <w:iCs w:val="0"/>
          <w:color w:val="auto"/>
          <w:kern w:val="0"/>
          <w:sz w:val="24"/>
          <w:szCs w:val="24"/>
          <w:highlight w:val="none"/>
          <w:lang w:val="en-US" w:eastAsia="zh-CN"/>
        </w:rPr>
        <w:t>竞争性磋商</w:t>
      </w:r>
      <w:r>
        <w:rPr>
          <w:rFonts w:hint="eastAsia" w:ascii="宋体" w:hAnsi="宋体" w:cs="宋体"/>
          <w:i w:val="0"/>
          <w:iCs w:val="0"/>
          <w:color w:val="auto"/>
          <w:kern w:val="0"/>
          <w:sz w:val="24"/>
          <w:szCs w:val="24"/>
          <w:highlight w:val="none"/>
          <w:lang w:val="zh-CN"/>
        </w:rPr>
        <w:t>要求参加</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。在这次</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过程中和</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后，我们将严格遵守国家法律法规要求，并郑重承诺：</w:t>
      </w:r>
    </w:p>
    <w:p w14:paraId="2B87D13C">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一、不向项目有关人员及部门赠送礼金礼物、有价证券、回扣以及中介费、介绍费、咨询费等好处费； </w:t>
      </w:r>
    </w:p>
    <w:p w14:paraId="063D62B4">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二、不为项目有关人员及部门报销应由你方单位或个人支付的费用； </w:t>
      </w:r>
    </w:p>
    <w:p w14:paraId="5ADDE615">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三、不向项目有关人员及部门提供有可能影响公正的宴请和健身娱乐等活动；</w:t>
      </w:r>
    </w:p>
    <w:p w14:paraId="6B70337F">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四、不为项目有关人员及部门出国（境）、旅游等提供方便；</w:t>
      </w:r>
    </w:p>
    <w:p w14:paraId="6421E616">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五、不为项目有关人员个人装修住房、婚丧嫁娶、配偶子女工作安排等提供好处；</w:t>
      </w:r>
    </w:p>
    <w:p w14:paraId="663761CE">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5C8FD2B8">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如违反上述承诺，你单位有权立即取消我单位</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或在建项目的建设资格，有权拒绝我单位在一定时期内进入你单位进行项目建设或其他经营活动，并通报</w:t>
      </w:r>
      <w:r>
        <w:rPr>
          <w:rFonts w:hint="eastAsia" w:cs="宋体"/>
          <w:i w:val="0"/>
          <w:iCs w:val="0"/>
          <w:color w:val="auto"/>
          <w:kern w:val="0"/>
          <w:sz w:val="24"/>
          <w:szCs w:val="24"/>
          <w:highlight w:val="none"/>
          <w:lang w:val="en-US" w:eastAsia="zh-CN"/>
        </w:rPr>
        <w:t>巴州财政局</w:t>
      </w:r>
      <w:r>
        <w:rPr>
          <w:rFonts w:hint="eastAsia" w:ascii="宋体" w:hAnsi="宋体" w:cs="宋体"/>
          <w:i w:val="0"/>
          <w:iCs w:val="0"/>
          <w:color w:val="auto"/>
          <w:kern w:val="0"/>
          <w:sz w:val="24"/>
          <w:szCs w:val="24"/>
          <w:highlight w:val="none"/>
          <w:lang w:val="zh-CN"/>
        </w:rPr>
        <w:t>。由此引起的相应损失均由我单位承担。</w:t>
      </w:r>
    </w:p>
    <w:p w14:paraId="5E22ECB4">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0914ACDE">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02E01AF0">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3EA46769">
      <w:pPr>
        <w:autoSpaceDE w:val="0"/>
        <w:autoSpaceDN w:val="0"/>
        <w:spacing w:line="360" w:lineRule="auto"/>
        <w:ind w:left="2" w:leftChars="1" w:right="1120" w:firstLine="4560" w:firstLineChars="1900"/>
        <w:jc w:val="left"/>
        <w:rPr>
          <w:rFonts w:ascii="宋体" w:hAnsi="宋体" w:cs="宋体"/>
          <w:i w:val="0"/>
          <w:iCs w:val="0"/>
          <w:color w:val="auto"/>
          <w:kern w:val="0"/>
          <w:sz w:val="24"/>
          <w:szCs w:val="24"/>
          <w:highlight w:val="none"/>
          <w:lang w:val="zh-CN"/>
        </w:rPr>
      </w:pPr>
      <w:r>
        <w:rPr>
          <w:rFonts w:hint="eastAsia" w:cs="宋体"/>
          <w:i w:val="0"/>
          <w:iCs w:val="0"/>
          <w:color w:val="auto"/>
          <w:kern w:val="0"/>
          <w:sz w:val="24"/>
          <w:szCs w:val="24"/>
          <w:highlight w:val="none"/>
          <w:lang w:val="en-US" w:eastAsia="zh-CN"/>
        </w:rPr>
        <w:t>供应商</w:t>
      </w:r>
      <w:r>
        <w:rPr>
          <w:rFonts w:hint="eastAsia" w:ascii="宋体" w:hAnsi="宋体" w:cs="宋体"/>
          <w:i w:val="0"/>
          <w:iCs w:val="0"/>
          <w:color w:val="auto"/>
          <w:kern w:val="0"/>
          <w:sz w:val="24"/>
          <w:szCs w:val="24"/>
          <w:highlight w:val="none"/>
          <w:lang w:val="zh-CN"/>
        </w:rPr>
        <w:t>名称（</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 xml:space="preserve">）：                                                                                                                                                                                                               </w:t>
      </w:r>
    </w:p>
    <w:p w14:paraId="0FD8A2DC">
      <w:pPr>
        <w:ind w:firstLine="4560" w:firstLineChars="1900"/>
        <w:rPr>
          <w:rFonts w:hint="eastAsia" w:eastAsia="宋体" w:asciiTheme="majorHAnsi" w:hAnsiTheme="majorHAnsi" w:cstheme="majorBidi"/>
          <w:b/>
          <w:bCs/>
          <w:i w:val="0"/>
          <w:i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5AA40BF9">
      <w:pPr>
        <w:rPr>
          <w:rFonts w:hint="eastAsia" w:eastAsia="宋体" w:asciiTheme="majorHAnsi" w:hAnsiTheme="majorHAnsi" w:cstheme="majorBidi"/>
          <w:b/>
          <w:bCs/>
          <w:i w:val="0"/>
          <w:iCs w:val="0"/>
          <w:color w:val="auto"/>
          <w:kern w:val="2"/>
          <w:sz w:val="24"/>
          <w:szCs w:val="24"/>
          <w:highlight w:val="none"/>
          <w:lang w:val="en-US" w:eastAsia="zh-CN" w:bidi="ar-SA"/>
        </w:rPr>
      </w:pPr>
    </w:p>
    <w:p w14:paraId="2917743B">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2CC927CA">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18FDCDE0">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380411C5">
      <w:pPr>
        <w:pStyle w:val="3"/>
        <w:bidi w:val="0"/>
        <w:jc w:val="center"/>
        <w:rPr>
          <w:rFonts w:hint="eastAsia"/>
          <w:lang w:val="en-US" w:eastAsia="zh-CN"/>
        </w:rPr>
      </w:pPr>
      <w:bookmarkStart w:id="1246" w:name="_Toc6515"/>
      <w:r>
        <w:rPr>
          <w:rFonts w:hint="eastAsia"/>
          <w:lang w:val="en-US" w:eastAsia="zh-CN"/>
        </w:rPr>
        <w:t>五、实质性响应一览表</w:t>
      </w:r>
      <w:r>
        <w:rPr>
          <w:rFonts w:hint="eastAsia"/>
          <w:lang w:val="zh-CN" w:eastAsia="zh-CN"/>
        </w:rPr>
        <w:t>【</w:t>
      </w:r>
      <w:r>
        <w:rPr>
          <w:rFonts w:hint="eastAsia"/>
          <w:lang w:val="en-US" w:eastAsia="zh-CN"/>
        </w:rPr>
        <w:t>本表须与第四章的一致】</w:t>
      </w:r>
      <w:bookmarkEnd w:id="1246"/>
    </w:p>
    <w:p w14:paraId="48C7EA86">
      <w:pPr>
        <w:keepNext w:val="0"/>
        <w:keepLines w:val="0"/>
        <w:pageBreakBefore w:val="0"/>
        <w:widowControl w:val="0"/>
        <w:shd w:val="clear" w:color="auto" w:fill="FFFFFF"/>
        <w:tabs>
          <w:tab w:val="left" w:pos="3045"/>
        </w:tabs>
        <w:kinsoku/>
        <w:wordWrap/>
        <w:overflowPunct/>
        <w:topLinePunct w:val="0"/>
        <w:autoSpaceDE w:val="0"/>
        <w:autoSpaceDN w:val="0"/>
        <w:bidi w:val="0"/>
        <w:adjustRightInd w:val="0"/>
        <w:snapToGrid w:val="0"/>
        <w:spacing w:before="157" w:beforeLines="50" w:after="80" w:line="360" w:lineRule="exact"/>
        <w:jc w:val="center"/>
        <w:textAlignment w:val="auto"/>
        <w:rPr>
          <w:rFonts w:hint="eastAsia" w:ascii="宋体" w:hAnsi="宋体" w:cs="宋体"/>
          <w:b w:val="0"/>
          <w:bCs/>
          <w:color w:val="auto"/>
          <w:sz w:val="24"/>
          <w:highlight w:val="none"/>
        </w:rPr>
      </w:pPr>
      <w:r>
        <w:rPr>
          <w:rFonts w:hint="eastAsia" w:ascii="宋体" w:hAnsi="宋体" w:cs="宋体"/>
          <w:b w:val="0"/>
          <w:bCs/>
          <w:color w:val="auto"/>
          <w:sz w:val="24"/>
          <w:highlight w:val="none"/>
        </w:rPr>
        <w:t>（供应商须对本附表所有内容逐条响应且无负偏离，否则</w:t>
      </w:r>
      <w:r>
        <w:rPr>
          <w:rFonts w:hint="eastAsia" w:cs="宋体"/>
          <w:b w:val="0"/>
          <w:bCs/>
          <w:color w:val="auto"/>
          <w:sz w:val="24"/>
          <w:highlight w:val="none"/>
          <w:lang w:val="en-US" w:eastAsia="zh-CN"/>
        </w:rPr>
        <w:t>其</w:t>
      </w:r>
      <w:r>
        <w:rPr>
          <w:rFonts w:hint="eastAsia" w:cs="宋体"/>
          <w:b/>
          <w:color w:val="auto"/>
          <w:sz w:val="24"/>
          <w:highlight w:val="none"/>
          <w:lang w:val="en-US" w:eastAsia="zh-CN"/>
        </w:rPr>
        <w:t>响应</w:t>
      </w:r>
      <w:r>
        <w:rPr>
          <w:rFonts w:hint="eastAsia" w:ascii="宋体" w:hAnsi="宋体" w:cs="宋体"/>
          <w:b/>
          <w:color w:val="auto"/>
          <w:sz w:val="24"/>
          <w:highlight w:val="none"/>
        </w:rPr>
        <w:t>无效</w:t>
      </w:r>
      <w:r>
        <w:rPr>
          <w:rFonts w:hint="eastAsia" w:ascii="宋体" w:hAnsi="宋体" w:cs="宋体"/>
          <w:b w:val="0"/>
          <w:bCs/>
          <w:color w:val="auto"/>
          <w:sz w:val="24"/>
          <w:highlight w:val="none"/>
        </w:rPr>
        <w:t>）</w:t>
      </w:r>
    </w:p>
    <w:p w14:paraId="23C37A41">
      <w:pPr>
        <w:pStyle w:val="21"/>
        <w:rPr>
          <w:rFonts w:hint="eastAsia" w:ascii="宋体" w:hAnsi="宋体" w:cs="宋体"/>
          <w:b w:val="0"/>
          <w:bCs/>
          <w:color w:val="auto"/>
          <w:sz w:val="24"/>
          <w:highlight w:val="none"/>
        </w:rPr>
      </w:pPr>
    </w:p>
    <w:tbl>
      <w:tblPr>
        <w:tblStyle w:val="27"/>
        <w:tblW w:w="5590" w:type="pct"/>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1"/>
        <w:gridCol w:w="1957"/>
        <w:gridCol w:w="732"/>
      </w:tblGrid>
      <w:tr w14:paraId="5636C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353" w:type="pct"/>
            <w:vMerge w:val="restart"/>
            <w:noWrap w:val="0"/>
            <w:vAlign w:val="center"/>
          </w:tcPr>
          <w:p w14:paraId="70DEA68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序号</w:t>
            </w:r>
          </w:p>
        </w:tc>
        <w:tc>
          <w:tcPr>
            <w:tcW w:w="3235" w:type="pct"/>
            <w:gridSpan w:val="2"/>
            <w:noWrap w:val="0"/>
            <w:vAlign w:val="center"/>
          </w:tcPr>
          <w:p w14:paraId="7BD88E5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lang w:eastAsia="zh-CN"/>
              </w:rPr>
              <w:t>磋商</w:t>
            </w:r>
            <w:r>
              <w:rPr>
                <w:rFonts w:hint="eastAsia" w:ascii="宋体" w:hAnsi="宋体" w:cs="宋体"/>
                <w:i w:val="0"/>
                <w:iCs w:val="0"/>
                <w:color w:val="auto"/>
                <w:sz w:val="24"/>
                <w:highlight w:val="none"/>
              </w:rPr>
              <w:t>文件要求的实质性响应内容</w:t>
            </w:r>
          </w:p>
        </w:tc>
        <w:tc>
          <w:tcPr>
            <w:tcW w:w="1026" w:type="pct"/>
            <w:vMerge w:val="restart"/>
            <w:noWrap w:val="0"/>
            <w:vAlign w:val="center"/>
          </w:tcPr>
          <w:p w14:paraId="2598EDF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cs="宋体"/>
                <w:i w:val="0"/>
                <w:iCs w:val="0"/>
                <w:color w:val="auto"/>
                <w:sz w:val="24"/>
                <w:highlight w:val="none"/>
                <w:lang w:eastAsia="zh-CN"/>
              </w:rPr>
              <w:t>响应</w:t>
            </w:r>
            <w:r>
              <w:rPr>
                <w:rFonts w:hint="eastAsia" w:ascii="宋体" w:hAnsi="宋体" w:cs="宋体"/>
                <w:i w:val="0"/>
                <w:iCs w:val="0"/>
                <w:color w:val="auto"/>
                <w:sz w:val="24"/>
                <w:highlight w:val="none"/>
              </w:rPr>
              <w:t>文件具体</w:t>
            </w:r>
            <w:r>
              <w:rPr>
                <w:rFonts w:hint="eastAsia" w:cs="宋体"/>
                <w:i w:val="0"/>
                <w:iCs w:val="0"/>
                <w:color w:val="auto"/>
                <w:sz w:val="24"/>
                <w:highlight w:val="none"/>
                <w:lang w:val="en-US" w:eastAsia="zh-CN"/>
              </w:rPr>
              <w:t>的</w:t>
            </w:r>
            <w:r>
              <w:rPr>
                <w:rFonts w:hint="eastAsia" w:ascii="宋体" w:hAnsi="宋体" w:cs="宋体"/>
                <w:i w:val="0"/>
                <w:iCs w:val="0"/>
                <w:color w:val="auto"/>
                <w:sz w:val="24"/>
                <w:highlight w:val="none"/>
              </w:rPr>
              <w:t>响应内容</w:t>
            </w:r>
          </w:p>
        </w:tc>
        <w:tc>
          <w:tcPr>
            <w:tcW w:w="384" w:type="pct"/>
            <w:vMerge w:val="restart"/>
            <w:noWrap w:val="0"/>
            <w:vAlign w:val="center"/>
          </w:tcPr>
          <w:p w14:paraId="0E80A1FB">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备注</w:t>
            </w:r>
          </w:p>
        </w:tc>
      </w:tr>
      <w:tr w14:paraId="22BA3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353" w:type="pct"/>
            <w:vMerge w:val="continue"/>
            <w:noWrap w:val="0"/>
            <w:vAlign w:val="center"/>
          </w:tcPr>
          <w:p w14:paraId="788F1149">
            <w:pPr>
              <w:keepNext w:val="0"/>
              <w:keepLines w:val="0"/>
              <w:pageBreakBefore w:val="0"/>
              <w:widowControl w:val="0"/>
              <w:kinsoku/>
              <w:wordWrap/>
              <w:overflowPunct/>
              <w:topLinePunct w:val="0"/>
              <w:bidi w:val="0"/>
              <w:adjustRightInd/>
              <w:snapToGrid/>
              <w:spacing w:line="360" w:lineRule="exact"/>
              <w:jc w:val="center"/>
              <w:textAlignment w:val="auto"/>
              <w:rPr>
                <w:i w:val="0"/>
                <w:iCs w:val="0"/>
                <w:color w:val="auto"/>
                <w:highlight w:val="none"/>
              </w:rPr>
            </w:pPr>
          </w:p>
        </w:tc>
        <w:tc>
          <w:tcPr>
            <w:tcW w:w="1309" w:type="pct"/>
            <w:noWrap w:val="0"/>
            <w:vAlign w:val="center"/>
          </w:tcPr>
          <w:p w14:paraId="5B941D59">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实质性要求</w:t>
            </w:r>
          </w:p>
        </w:tc>
        <w:tc>
          <w:tcPr>
            <w:tcW w:w="1926" w:type="pct"/>
            <w:noWrap w:val="0"/>
            <w:vAlign w:val="center"/>
          </w:tcPr>
          <w:p w14:paraId="1887A7EA">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磋商文件中的规定</w:t>
            </w:r>
          </w:p>
        </w:tc>
        <w:tc>
          <w:tcPr>
            <w:tcW w:w="1026" w:type="pct"/>
            <w:vMerge w:val="continue"/>
            <w:noWrap w:val="0"/>
            <w:vAlign w:val="center"/>
          </w:tcPr>
          <w:p w14:paraId="5FF6F46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c>
          <w:tcPr>
            <w:tcW w:w="384" w:type="pct"/>
            <w:vMerge w:val="continue"/>
            <w:noWrap w:val="0"/>
            <w:vAlign w:val="center"/>
          </w:tcPr>
          <w:p w14:paraId="231BB2B8">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r>
      <w:tr w14:paraId="19EB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30499CF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1</w:t>
            </w:r>
          </w:p>
        </w:tc>
        <w:tc>
          <w:tcPr>
            <w:tcW w:w="1309" w:type="pct"/>
            <w:noWrap w:val="0"/>
            <w:vAlign w:val="center"/>
          </w:tcPr>
          <w:p w14:paraId="1710CDD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1926" w:type="pct"/>
            <w:noWrap w:val="0"/>
            <w:vAlign w:val="center"/>
          </w:tcPr>
          <w:p w14:paraId="63B0DE90">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cs="宋体"/>
                <w:i w:val="0"/>
                <w:iCs w:val="0"/>
                <w:color w:val="auto"/>
                <w:sz w:val="24"/>
                <w:highlight w:val="none"/>
              </w:rPr>
            </w:pPr>
          </w:p>
        </w:tc>
        <w:tc>
          <w:tcPr>
            <w:tcW w:w="1026" w:type="pct"/>
            <w:noWrap w:val="0"/>
            <w:vAlign w:val="center"/>
          </w:tcPr>
          <w:p w14:paraId="0B1E2FB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259753B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78B0F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4CBD69A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2</w:t>
            </w:r>
          </w:p>
        </w:tc>
        <w:tc>
          <w:tcPr>
            <w:tcW w:w="1309" w:type="pct"/>
            <w:noWrap w:val="0"/>
            <w:vAlign w:val="center"/>
          </w:tcPr>
          <w:p w14:paraId="07A7760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1926" w:type="pct"/>
            <w:noWrap w:val="0"/>
            <w:vAlign w:val="center"/>
          </w:tcPr>
          <w:p w14:paraId="5649ACF6">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i w:val="0"/>
                <w:iCs w:val="0"/>
                <w:color w:val="auto"/>
                <w:sz w:val="24"/>
                <w:highlight w:val="none"/>
                <w:lang w:eastAsia="zh-CN"/>
              </w:rPr>
            </w:pPr>
          </w:p>
        </w:tc>
        <w:tc>
          <w:tcPr>
            <w:tcW w:w="1026" w:type="pct"/>
            <w:noWrap w:val="0"/>
            <w:vAlign w:val="center"/>
          </w:tcPr>
          <w:p w14:paraId="4746B94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06627A9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2970E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3B9948B9">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3</w:t>
            </w:r>
          </w:p>
        </w:tc>
        <w:tc>
          <w:tcPr>
            <w:tcW w:w="1309" w:type="pct"/>
            <w:noWrap w:val="0"/>
            <w:vAlign w:val="center"/>
          </w:tcPr>
          <w:p w14:paraId="3EA4601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1926" w:type="pct"/>
            <w:noWrap w:val="0"/>
            <w:vAlign w:val="center"/>
          </w:tcPr>
          <w:p w14:paraId="62EC5B93">
            <w:pPr>
              <w:pStyle w:val="61"/>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仿宋_GB2312" w:hAnsi="宋体" w:eastAsia="宋体"/>
                <w:i w:val="0"/>
                <w:iCs w:val="0"/>
                <w:color w:val="auto"/>
                <w:kern w:val="0"/>
                <w:sz w:val="31"/>
                <w:szCs w:val="20"/>
                <w:highlight w:val="none"/>
                <w:lang w:val="en-US" w:eastAsia="zh-CN" w:bidi="ar-SA"/>
              </w:rPr>
            </w:pPr>
          </w:p>
        </w:tc>
        <w:tc>
          <w:tcPr>
            <w:tcW w:w="1026" w:type="pct"/>
            <w:noWrap w:val="0"/>
            <w:vAlign w:val="center"/>
          </w:tcPr>
          <w:p w14:paraId="0A9F8338">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08E089DB">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0C6FC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08F70755">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4</w:t>
            </w:r>
          </w:p>
        </w:tc>
        <w:tc>
          <w:tcPr>
            <w:tcW w:w="1309" w:type="pct"/>
            <w:noWrap w:val="0"/>
            <w:vAlign w:val="center"/>
          </w:tcPr>
          <w:p w14:paraId="695BCC8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1926" w:type="pct"/>
            <w:noWrap w:val="0"/>
            <w:vAlign w:val="center"/>
          </w:tcPr>
          <w:p w14:paraId="7AA3A6EB">
            <w:pPr>
              <w:keepNext w:val="0"/>
              <w:keepLines w:val="0"/>
              <w:pageBreakBefore w:val="0"/>
              <w:widowControl w:val="0"/>
              <w:kinsoku/>
              <w:wordWrap/>
              <w:overflowPunct/>
              <w:topLinePunct w:val="0"/>
              <w:bidi w:val="0"/>
              <w:adjustRightInd/>
              <w:snapToGrid/>
              <w:spacing w:line="360" w:lineRule="exact"/>
              <w:textAlignment w:val="auto"/>
              <w:rPr>
                <w:rFonts w:hint="default" w:ascii="宋体" w:hAnsi="宋体" w:cs="宋体"/>
                <w:i w:val="0"/>
                <w:iCs w:val="0"/>
                <w:color w:val="auto"/>
                <w:kern w:val="2"/>
                <w:sz w:val="24"/>
                <w:szCs w:val="24"/>
                <w:highlight w:val="none"/>
                <w:lang w:val="en-US" w:eastAsia="zh-CN" w:bidi="ar-SA"/>
              </w:rPr>
            </w:pPr>
          </w:p>
        </w:tc>
        <w:tc>
          <w:tcPr>
            <w:tcW w:w="1026" w:type="pct"/>
            <w:noWrap w:val="0"/>
            <w:vAlign w:val="center"/>
          </w:tcPr>
          <w:p w14:paraId="0F24775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7E09989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BAED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01C20FB8">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5</w:t>
            </w:r>
          </w:p>
        </w:tc>
        <w:tc>
          <w:tcPr>
            <w:tcW w:w="1309" w:type="pct"/>
            <w:noWrap w:val="0"/>
            <w:vAlign w:val="center"/>
          </w:tcPr>
          <w:p w14:paraId="6450B6FD">
            <w:pPr>
              <w:pStyle w:val="61"/>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宋体" w:eastAsia="宋体" w:cs="宋体"/>
                <w:i w:val="0"/>
                <w:iCs w:val="0"/>
                <w:color w:val="auto"/>
                <w:sz w:val="24"/>
                <w:szCs w:val="24"/>
                <w:highlight w:val="none"/>
                <w:lang w:val="en-US" w:eastAsia="zh-CN"/>
              </w:rPr>
            </w:pPr>
          </w:p>
        </w:tc>
        <w:tc>
          <w:tcPr>
            <w:tcW w:w="1926" w:type="pct"/>
            <w:noWrap w:val="0"/>
            <w:vAlign w:val="center"/>
          </w:tcPr>
          <w:p w14:paraId="76FAB450">
            <w:pPr>
              <w:keepNext w:val="0"/>
              <w:keepLines w:val="0"/>
              <w:pageBreakBefore w:val="0"/>
              <w:widowControl w:val="0"/>
              <w:shd w:val="clear" w:color="auto" w:fill="FFFFFF"/>
              <w:kinsoku/>
              <w:wordWrap/>
              <w:overflowPunct/>
              <w:topLinePunct w:val="0"/>
              <w:autoSpaceDE/>
              <w:autoSpaceDN/>
              <w:bidi w:val="0"/>
              <w:adjustRightInd/>
              <w:snapToGrid/>
              <w:spacing w:line="400" w:lineRule="atLeast"/>
              <w:textAlignment w:val="auto"/>
              <w:rPr>
                <w:rFonts w:hint="eastAsia" w:ascii="宋体" w:hAnsi="宋体" w:eastAsia="宋体" w:cs="宋体"/>
                <w:i w:val="0"/>
                <w:iCs w:val="0"/>
                <w:color w:val="auto"/>
                <w:sz w:val="24"/>
                <w:highlight w:val="none"/>
                <w:lang w:val="en-US" w:eastAsia="zh-CN"/>
              </w:rPr>
            </w:pPr>
          </w:p>
        </w:tc>
        <w:tc>
          <w:tcPr>
            <w:tcW w:w="1026" w:type="pct"/>
            <w:noWrap w:val="0"/>
            <w:vAlign w:val="center"/>
          </w:tcPr>
          <w:p w14:paraId="07DA94E9">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07E6D39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27D30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4F43B457">
            <w:pPr>
              <w:keepNext w:val="0"/>
              <w:keepLines w:val="0"/>
              <w:pageBreakBefore w:val="0"/>
              <w:widowControl w:val="0"/>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6</w:t>
            </w:r>
          </w:p>
        </w:tc>
        <w:tc>
          <w:tcPr>
            <w:tcW w:w="1309" w:type="pct"/>
            <w:noWrap w:val="0"/>
            <w:vAlign w:val="center"/>
          </w:tcPr>
          <w:p w14:paraId="369ABCB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1926" w:type="pct"/>
            <w:noWrap w:val="0"/>
            <w:vAlign w:val="center"/>
          </w:tcPr>
          <w:p w14:paraId="3A38EA74">
            <w:pPr>
              <w:keepNext w:val="0"/>
              <w:keepLines w:val="0"/>
              <w:pageBreakBefore w:val="0"/>
              <w:widowControl w:val="0"/>
              <w:shd w:val="clear" w:color="auto" w:fill="FFFFFF"/>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026" w:type="pct"/>
            <w:noWrap w:val="0"/>
            <w:vAlign w:val="center"/>
          </w:tcPr>
          <w:p w14:paraId="24EE6A9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1ABD1D6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01639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6E2F1659">
            <w:pPr>
              <w:keepNext w:val="0"/>
              <w:keepLines w:val="0"/>
              <w:pageBreakBefore w:val="0"/>
              <w:widowControl w:val="0"/>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7</w:t>
            </w:r>
          </w:p>
        </w:tc>
        <w:tc>
          <w:tcPr>
            <w:tcW w:w="1309" w:type="pct"/>
            <w:noWrap w:val="0"/>
            <w:vAlign w:val="center"/>
          </w:tcPr>
          <w:p w14:paraId="317CE50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1926" w:type="pct"/>
            <w:noWrap w:val="0"/>
            <w:vAlign w:val="center"/>
          </w:tcPr>
          <w:p w14:paraId="678C199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026" w:type="pct"/>
            <w:noWrap w:val="0"/>
            <w:vAlign w:val="center"/>
          </w:tcPr>
          <w:p w14:paraId="63C11E7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168EE7B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50134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65574B3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val="en-US" w:eastAsia="zh-CN"/>
              </w:rPr>
            </w:pPr>
          </w:p>
        </w:tc>
        <w:tc>
          <w:tcPr>
            <w:tcW w:w="1309" w:type="pct"/>
            <w:shd w:val="clear" w:color="auto" w:fill="auto"/>
            <w:noWrap w:val="0"/>
            <w:vAlign w:val="center"/>
          </w:tcPr>
          <w:p w14:paraId="4892F810">
            <w:pPr>
              <w:pStyle w:val="44"/>
              <w:rPr>
                <w:rFonts w:hint="eastAsia" w:ascii="宋体" w:hAnsi="宋体" w:eastAsia="宋体" w:cstheme="minorBidi"/>
                <w:i w:val="0"/>
                <w:iCs w:val="0"/>
                <w:color w:val="auto"/>
                <w:kern w:val="2"/>
                <w:sz w:val="24"/>
                <w:szCs w:val="22"/>
                <w:highlight w:val="none"/>
                <w:lang w:val="zh-CN" w:eastAsia="zh-CN" w:bidi="ar-SA"/>
              </w:rPr>
            </w:pPr>
            <w:r>
              <w:rPr>
                <w:rFonts w:hint="default" w:ascii="Arial" w:hAnsi="Arial" w:cs="Arial"/>
                <w:i w:val="0"/>
                <w:iCs w:val="0"/>
                <w:color w:val="auto"/>
                <w:highlight w:val="none"/>
                <w:lang w:val="zh-CN"/>
              </w:rPr>
              <w:t>……</w:t>
            </w:r>
          </w:p>
        </w:tc>
        <w:tc>
          <w:tcPr>
            <w:tcW w:w="1926" w:type="pct"/>
            <w:noWrap w:val="0"/>
            <w:vAlign w:val="center"/>
          </w:tcPr>
          <w:p w14:paraId="6EE4960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lang w:eastAsia="zh-CN"/>
              </w:rPr>
            </w:pPr>
          </w:p>
        </w:tc>
        <w:tc>
          <w:tcPr>
            <w:tcW w:w="1026" w:type="pct"/>
            <w:noWrap w:val="0"/>
            <w:vAlign w:val="center"/>
          </w:tcPr>
          <w:p w14:paraId="5A390DA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84" w:type="pct"/>
            <w:noWrap w:val="0"/>
            <w:vAlign w:val="center"/>
          </w:tcPr>
          <w:p w14:paraId="639F595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bl>
    <w:p w14:paraId="4758525D">
      <w:pPr>
        <w:rPr>
          <w:rFonts w:hint="eastAsia" w:cstheme="majorBidi"/>
          <w:b/>
          <w:bCs/>
          <w:i w:val="0"/>
          <w:iCs w:val="0"/>
          <w:color w:val="auto"/>
          <w:kern w:val="2"/>
          <w:sz w:val="32"/>
          <w:szCs w:val="32"/>
          <w:highlight w:val="none"/>
          <w:lang w:val="en-US" w:eastAsia="zh-CN" w:bidi="ar-SA"/>
        </w:rPr>
      </w:pPr>
    </w:p>
    <w:p w14:paraId="2AF49F95">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3A7F3E88">
      <w:pPr>
        <w:rPr>
          <w:rFonts w:hint="eastAsia"/>
          <w:i w:val="0"/>
          <w:iCs w:val="0"/>
          <w:color w:val="auto"/>
          <w:highlight w:val="none"/>
          <w:lang w:val="en-US" w:eastAsia="zh-CN"/>
        </w:rPr>
      </w:pPr>
    </w:p>
    <w:p w14:paraId="626EF50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47" w:name="_Toc16585"/>
      <w:r>
        <w:rPr>
          <w:rFonts w:hint="eastAsia" w:cstheme="majorBidi"/>
          <w:b/>
          <w:bCs/>
          <w:i w:val="0"/>
          <w:iCs w:val="0"/>
          <w:color w:val="auto"/>
          <w:kern w:val="2"/>
          <w:sz w:val="32"/>
          <w:szCs w:val="32"/>
          <w:highlight w:val="none"/>
          <w:lang w:val="en-US" w:eastAsia="zh-CN" w:bidi="ar-SA"/>
        </w:rPr>
        <w:t>六</w:t>
      </w:r>
      <w:r>
        <w:rPr>
          <w:rFonts w:hint="eastAsia" w:eastAsia="宋体" w:asciiTheme="majorHAnsi" w:hAnsiTheme="majorHAnsi" w:cstheme="majorBidi"/>
          <w:b/>
          <w:bCs/>
          <w:i w:val="0"/>
          <w:iCs w:val="0"/>
          <w:color w:val="auto"/>
          <w:kern w:val="2"/>
          <w:sz w:val="32"/>
          <w:szCs w:val="32"/>
          <w:highlight w:val="none"/>
          <w:lang w:val="en-US" w:eastAsia="zh-CN" w:bidi="ar-SA"/>
        </w:rPr>
        <w:t>、商务响应偏离表</w:t>
      </w:r>
      <w:bookmarkEnd w:id="1247"/>
    </w:p>
    <w:p w14:paraId="21AF32D6">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0424C095">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i w:val="0"/>
          <w:iCs w:val="0"/>
          <w:color w:val="auto"/>
          <w:szCs w:val="24"/>
          <w:highlight w:val="none"/>
        </w:rPr>
        <w:t xml:space="preserve">：        </w:t>
      </w:r>
    </w:p>
    <w:tbl>
      <w:tblPr>
        <w:tblStyle w:val="27"/>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16BE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1A4BE3A9">
            <w:pPr>
              <w:pStyle w:val="44"/>
              <w:jc w:val="center"/>
              <w:rPr>
                <w:i w:val="0"/>
                <w:iCs w:val="0"/>
                <w:color w:val="auto"/>
                <w:highlight w:val="none"/>
              </w:rPr>
            </w:pPr>
            <w:r>
              <w:rPr>
                <w:rFonts w:hint="eastAsia"/>
                <w:i w:val="0"/>
                <w:iCs w:val="0"/>
                <w:color w:val="auto"/>
                <w:highlight w:val="none"/>
              </w:rPr>
              <w:t>序号</w:t>
            </w:r>
          </w:p>
        </w:tc>
        <w:tc>
          <w:tcPr>
            <w:tcW w:w="1395" w:type="pct"/>
            <w:vAlign w:val="center"/>
          </w:tcPr>
          <w:p w14:paraId="7CB83CD6">
            <w:pPr>
              <w:pStyle w:val="44"/>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文件的商务条款</w:t>
            </w:r>
          </w:p>
        </w:tc>
        <w:tc>
          <w:tcPr>
            <w:tcW w:w="1002" w:type="pct"/>
            <w:vAlign w:val="center"/>
          </w:tcPr>
          <w:p w14:paraId="55A47B57">
            <w:pPr>
              <w:pStyle w:val="44"/>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文件的响应内容</w:t>
            </w:r>
          </w:p>
        </w:tc>
        <w:tc>
          <w:tcPr>
            <w:tcW w:w="1090" w:type="pct"/>
            <w:vAlign w:val="center"/>
          </w:tcPr>
          <w:p w14:paraId="2572E859">
            <w:pPr>
              <w:pStyle w:val="44"/>
              <w:jc w:val="center"/>
              <w:rPr>
                <w:i w:val="0"/>
                <w:iCs w:val="0"/>
                <w:color w:val="auto"/>
                <w:highlight w:val="none"/>
              </w:rPr>
            </w:pPr>
            <w:r>
              <w:rPr>
                <w:rFonts w:hint="eastAsia"/>
                <w:i w:val="0"/>
                <w:iCs w:val="0"/>
                <w:color w:val="auto"/>
                <w:highlight w:val="none"/>
              </w:rPr>
              <w:t>响应情况</w:t>
            </w:r>
          </w:p>
        </w:tc>
        <w:tc>
          <w:tcPr>
            <w:tcW w:w="1090" w:type="pct"/>
            <w:vAlign w:val="center"/>
          </w:tcPr>
          <w:p w14:paraId="7884F206">
            <w:pPr>
              <w:pStyle w:val="44"/>
              <w:jc w:val="center"/>
              <w:rPr>
                <w:i w:val="0"/>
                <w:iCs w:val="0"/>
                <w:color w:val="auto"/>
                <w:highlight w:val="none"/>
              </w:rPr>
            </w:pPr>
            <w:r>
              <w:rPr>
                <w:rFonts w:hint="eastAsia"/>
                <w:i w:val="0"/>
                <w:iCs w:val="0"/>
                <w:color w:val="auto"/>
                <w:highlight w:val="none"/>
              </w:rPr>
              <w:t>说明及索引</w:t>
            </w:r>
          </w:p>
        </w:tc>
      </w:tr>
      <w:tr w14:paraId="07285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56411A">
            <w:pPr>
              <w:pStyle w:val="44"/>
              <w:jc w:val="center"/>
              <w:rPr>
                <w:i w:val="0"/>
                <w:iCs w:val="0"/>
                <w:color w:val="auto"/>
                <w:highlight w:val="none"/>
              </w:rPr>
            </w:pPr>
            <w:r>
              <w:rPr>
                <w:rFonts w:hint="eastAsia"/>
                <w:i w:val="0"/>
                <w:iCs w:val="0"/>
                <w:color w:val="auto"/>
                <w:highlight w:val="none"/>
              </w:rPr>
              <w:t>1</w:t>
            </w:r>
          </w:p>
        </w:tc>
        <w:tc>
          <w:tcPr>
            <w:tcW w:w="1395" w:type="pct"/>
            <w:vAlign w:val="center"/>
          </w:tcPr>
          <w:p w14:paraId="34566CA0">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02" w:type="pct"/>
            <w:vAlign w:val="center"/>
          </w:tcPr>
          <w:p w14:paraId="1C6482B4">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90" w:type="pct"/>
            <w:vAlign w:val="center"/>
          </w:tcPr>
          <w:p w14:paraId="1BBD0417">
            <w:pPr>
              <w:pStyle w:val="44"/>
              <w:jc w:val="center"/>
              <w:rPr>
                <w:i w:val="0"/>
                <w:iCs w:val="0"/>
                <w:color w:val="auto"/>
                <w:highlight w:val="none"/>
              </w:rPr>
            </w:pPr>
            <w:r>
              <w:rPr>
                <w:rFonts w:hint="eastAsia"/>
                <w:i w:val="0"/>
                <w:iCs w:val="0"/>
                <w:color w:val="auto"/>
                <w:highlight w:val="none"/>
              </w:rPr>
              <w:t>响应</w:t>
            </w:r>
            <w:r>
              <w:rPr>
                <w:i w:val="0"/>
                <w:iCs w:val="0"/>
                <w:color w:val="auto"/>
                <w:highlight w:val="none"/>
              </w:rPr>
              <w:t>/偏离</w:t>
            </w:r>
          </w:p>
        </w:tc>
        <w:tc>
          <w:tcPr>
            <w:tcW w:w="1090" w:type="pct"/>
            <w:vAlign w:val="center"/>
          </w:tcPr>
          <w:p w14:paraId="1A90E39C">
            <w:pPr>
              <w:pStyle w:val="44"/>
              <w:jc w:val="center"/>
              <w:rPr>
                <w:i w:val="0"/>
                <w:iCs w:val="0"/>
                <w:color w:val="auto"/>
                <w:highlight w:val="none"/>
              </w:rPr>
            </w:pPr>
          </w:p>
        </w:tc>
      </w:tr>
      <w:tr w14:paraId="7C832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5821036">
            <w:pPr>
              <w:pStyle w:val="44"/>
              <w:jc w:val="center"/>
              <w:rPr>
                <w:i w:val="0"/>
                <w:iCs w:val="0"/>
                <w:color w:val="auto"/>
                <w:highlight w:val="none"/>
              </w:rPr>
            </w:pPr>
            <w:r>
              <w:rPr>
                <w:rFonts w:hint="eastAsia"/>
                <w:i w:val="0"/>
                <w:iCs w:val="0"/>
                <w:color w:val="auto"/>
                <w:highlight w:val="none"/>
              </w:rPr>
              <w:t>2</w:t>
            </w:r>
          </w:p>
        </w:tc>
        <w:tc>
          <w:tcPr>
            <w:tcW w:w="1395" w:type="pct"/>
            <w:vAlign w:val="center"/>
          </w:tcPr>
          <w:p w14:paraId="2A717A55">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02" w:type="pct"/>
            <w:vAlign w:val="center"/>
          </w:tcPr>
          <w:p w14:paraId="20EC7575">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90" w:type="pct"/>
            <w:vAlign w:val="center"/>
          </w:tcPr>
          <w:p w14:paraId="5923E58D">
            <w:pPr>
              <w:pStyle w:val="44"/>
              <w:jc w:val="center"/>
              <w:rPr>
                <w:i w:val="0"/>
                <w:iCs w:val="0"/>
                <w:color w:val="auto"/>
                <w:highlight w:val="none"/>
              </w:rPr>
            </w:pPr>
          </w:p>
        </w:tc>
        <w:tc>
          <w:tcPr>
            <w:tcW w:w="1090" w:type="pct"/>
            <w:vAlign w:val="center"/>
          </w:tcPr>
          <w:p w14:paraId="59C2C317">
            <w:pPr>
              <w:pStyle w:val="44"/>
              <w:jc w:val="center"/>
              <w:rPr>
                <w:i w:val="0"/>
                <w:iCs w:val="0"/>
                <w:color w:val="auto"/>
                <w:highlight w:val="none"/>
              </w:rPr>
            </w:pPr>
          </w:p>
        </w:tc>
      </w:tr>
      <w:tr w14:paraId="6435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563CA4">
            <w:pPr>
              <w:pStyle w:val="44"/>
              <w:jc w:val="center"/>
              <w:rPr>
                <w:i w:val="0"/>
                <w:iCs w:val="0"/>
                <w:color w:val="auto"/>
                <w:highlight w:val="none"/>
              </w:rPr>
            </w:pPr>
            <w:r>
              <w:rPr>
                <w:rFonts w:hint="eastAsia"/>
                <w:i w:val="0"/>
                <w:iCs w:val="0"/>
                <w:color w:val="auto"/>
                <w:highlight w:val="none"/>
              </w:rPr>
              <w:t>3</w:t>
            </w:r>
          </w:p>
        </w:tc>
        <w:tc>
          <w:tcPr>
            <w:tcW w:w="1395" w:type="pct"/>
            <w:vAlign w:val="center"/>
          </w:tcPr>
          <w:p w14:paraId="595245DB">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02" w:type="pct"/>
            <w:vAlign w:val="center"/>
          </w:tcPr>
          <w:p w14:paraId="0A16B4B6">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090" w:type="pct"/>
            <w:vAlign w:val="center"/>
          </w:tcPr>
          <w:p w14:paraId="58535F72">
            <w:pPr>
              <w:pStyle w:val="44"/>
              <w:jc w:val="center"/>
              <w:rPr>
                <w:i w:val="0"/>
                <w:iCs w:val="0"/>
                <w:color w:val="auto"/>
                <w:highlight w:val="none"/>
              </w:rPr>
            </w:pPr>
          </w:p>
        </w:tc>
        <w:tc>
          <w:tcPr>
            <w:tcW w:w="1090" w:type="pct"/>
            <w:vAlign w:val="center"/>
          </w:tcPr>
          <w:p w14:paraId="50AB520B">
            <w:pPr>
              <w:pStyle w:val="44"/>
              <w:jc w:val="center"/>
              <w:rPr>
                <w:i w:val="0"/>
                <w:iCs w:val="0"/>
                <w:color w:val="auto"/>
                <w:highlight w:val="none"/>
              </w:rPr>
            </w:pPr>
          </w:p>
        </w:tc>
      </w:tr>
      <w:tr w14:paraId="669EA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4127D5E">
            <w:pPr>
              <w:pStyle w:val="44"/>
              <w:jc w:val="center"/>
              <w:rPr>
                <w:i w:val="0"/>
                <w:iCs w:val="0"/>
                <w:color w:val="auto"/>
                <w:highlight w:val="none"/>
              </w:rPr>
            </w:pPr>
          </w:p>
        </w:tc>
        <w:tc>
          <w:tcPr>
            <w:tcW w:w="1395" w:type="pct"/>
            <w:vAlign w:val="center"/>
          </w:tcPr>
          <w:p w14:paraId="14968038">
            <w:pPr>
              <w:pStyle w:val="44"/>
              <w:jc w:val="center"/>
              <w:rPr>
                <w:i w:val="0"/>
                <w:iCs w:val="0"/>
                <w:color w:val="auto"/>
                <w:highlight w:val="none"/>
              </w:rPr>
            </w:pPr>
          </w:p>
        </w:tc>
        <w:tc>
          <w:tcPr>
            <w:tcW w:w="1002" w:type="pct"/>
            <w:vAlign w:val="center"/>
          </w:tcPr>
          <w:p w14:paraId="10A6B59E">
            <w:pPr>
              <w:pStyle w:val="44"/>
              <w:jc w:val="center"/>
              <w:rPr>
                <w:i w:val="0"/>
                <w:iCs w:val="0"/>
                <w:color w:val="auto"/>
                <w:highlight w:val="none"/>
              </w:rPr>
            </w:pPr>
          </w:p>
        </w:tc>
        <w:tc>
          <w:tcPr>
            <w:tcW w:w="1090" w:type="pct"/>
            <w:vAlign w:val="center"/>
          </w:tcPr>
          <w:p w14:paraId="61702DF6">
            <w:pPr>
              <w:pStyle w:val="44"/>
              <w:jc w:val="center"/>
              <w:rPr>
                <w:i w:val="0"/>
                <w:iCs w:val="0"/>
                <w:color w:val="auto"/>
                <w:highlight w:val="none"/>
              </w:rPr>
            </w:pPr>
          </w:p>
        </w:tc>
        <w:tc>
          <w:tcPr>
            <w:tcW w:w="1090" w:type="pct"/>
            <w:vAlign w:val="center"/>
          </w:tcPr>
          <w:p w14:paraId="0CC18FC2">
            <w:pPr>
              <w:pStyle w:val="44"/>
              <w:jc w:val="center"/>
              <w:rPr>
                <w:i w:val="0"/>
                <w:iCs w:val="0"/>
                <w:color w:val="auto"/>
                <w:highlight w:val="none"/>
              </w:rPr>
            </w:pPr>
          </w:p>
        </w:tc>
      </w:tr>
      <w:tr w14:paraId="57F34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561F269">
            <w:pPr>
              <w:pStyle w:val="44"/>
              <w:jc w:val="center"/>
              <w:rPr>
                <w:i w:val="0"/>
                <w:iCs w:val="0"/>
                <w:color w:val="auto"/>
                <w:highlight w:val="none"/>
              </w:rPr>
            </w:pPr>
          </w:p>
        </w:tc>
        <w:tc>
          <w:tcPr>
            <w:tcW w:w="1395" w:type="pct"/>
            <w:vAlign w:val="center"/>
          </w:tcPr>
          <w:p w14:paraId="5DDD9937">
            <w:pPr>
              <w:pStyle w:val="44"/>
              <w:jc w:val="center"/>
              <w:rPr>
                <w:i w:val="0"/>
                <w:iCs w:val="0"/>
                <w:color w:val="auto"/>
                <w:highlight w:val="none"/>
              </w:rPr>
            </w:pPr>
          </w:p>
        </w:tc>
        <w:tc>
          <w:tcPr>
            <w:tcW w:w="1002" w:type="pct"/>
            <w:vAlign w:val="center"/>
          </w:tcPr>
          <w:p w14:paraId="0B29A018">
            <w:pPr>
              <w:pStyle w:val="44"/>
              <w:jc w:val="center"/>
              <w:rPr>
                <w:i w:val="0"/>
                <w:iCs w:val="0"/>
                <w:color w:val="auto"/>
                <w:highlight w:val="none"/>
              </w:rPr>
            </w:pPr>
          </w:p>
        </w:tc>
        <w:tc>
          <w:tcPr>
            <w:tcW w:w="1090" w:type="pct"/>
            <w:vAlign w:val="center"/>
          </w:tcPr>
          <w:p w14:paraId="1FA693DE">
            <w:pPr>
              <w:pStyle w:val="44"/>
              <w:jc w:val="center"/>
              <w:rPr>
                <w:i w:val="0"/>
                <w:iCs w:val="0"/>
                <w:color w:val="auto"/>
                <w:highlight w:val="none"/>
              </w:rPr>
            </w:pPr>
          </w:p>
        </w:tc>
        <w:tc>
          <w:tcPr>
            <w:tcW w:w="1090" w:type="pct"/>
            <w:vAlign w:val="center"/>
          </w:tcPr>
          <w:p w14:paraId="3D633AB6">
            <w:pPr>
              <w:pStyle w:val="44"/>
              <w:jc w:val="center"/>
              <w:rPr>
                <w:i w:val="0"/>
                <w:iCs w:val="0"/>
                <w:color w:val="auto"/>
                <w:highlight w:val="none"/>
              </w:rPr>
            </w:pPr>
          </w:p>
        </w:tc>
      </w:tr>
      <w:tr w14:paraId="12449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59A5171A">
            <w:pPr>
              <w:pStyle w:val="44"/>
              <w:jc w:val="center"/>
              <w:rPr>
                <w:i w:val="0"/>
                <w:iCs w:val="0"/>
                <w:color w:val="auto"/>
                <w:highlight w:val="none"/>
              </w:rPr>
            </w:pPr>
          </w:p>
        </w:tc>
        <w:tc>
          <w:tcPr>
            <w:tcW w:w="1395" w:type="pct"/>
            <w:vAlign w:val="center"/>
          </w:tcPr>
          <w:p w14:paraId="014A297F">
            <w:pPr>
              <w:pStyle w:val="44"/>
              <w:jc w:val="center"/>
              <w:rPr>
                <w:i w:val="0"/>
                <w:iCs w:val="0"/>
                <w:color w:val="auto"/>
                <w:highlight w:val="none"/>
              </w:rPr>
            </w:pPr>
          </w:p>
        </w:tc>
        <w:tc>
          <w:tcPr>
            <w:tcW w:w="1002" w:type="pct"/>
            <w:vAlign w:val="center"/>
          </w:tcPr>
          <w:p w14:paraId="51467013">
            <w:pPr>
              <w:pStyle w:val="44"/>
              <w:jc w:val="center"/>
              <w:rPr>
                <w:i w:val="0"/>
                <w:iCs w:val="0"/>
                <w:color w:val="auto"/>
                <w:highlight w:val="none"/>
              </w:rPr>
            </w:pPr>
          </w:p>
        </w:tc>
        <w:tc>
          <w:tcPr>
            <w:tcW w:w="1090" w:type="pct"/>
            <w:vAlign w:val="center"/>
          </w:tcPr>
          <w:p w14:paraId="011E40CA">
            <w:pPr>
              <w:pStyle w:val="44"/>
              <w:jc w:val="center"/>
              <w:rPr>
                <w:i w:val="0"/>
                <w:iCs w:val="0"/>
                <w:color w:val="auto"/>
                <w:highlight w:val="none"/>
              </w:rPr>
            </w:pPr>
          </w:p>
        </w:tc>
        <w:tc>
          <w:tcPr>
            <w:tcW w:w="1090" w:type="pct"/>
            <w:vAlign w:val="center"/>
          </w:tcPr>
          <w:p w14:paraId="7062C313">
            <w:pPr>
              <w:pStyle w:val="44"/>
              <w:jc w:val="center"/>
              <w:rPr>
                <w:i w:val="0"/>
                <w:iCs w:val="0"/>
                <w:color w:val="auto"/>
                <w:highlight w:val="none"/>
              </w:rPr>
            </w:pPr>
          </w:p>
        </w:tc>
      </w:tr>
      <w:tr w14:paraId="7994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0B6F410">
            <w:pPr>
              <w:pStyle w:val="44"/>
              <w:jc w:val="center"/>
              <w:rPr>
                <w:i w:val="0"/>
                <w:iCs w:val="0"/>
                <w:color w:val="auto"/>
                <w:highlight w:val="none"/>
              </w:rPr>
            </w:pPr>
          </w:p>
        </w:tc>
        <w:tc>
          <w:tcPr>
            <w:tcW w:w="1395" w:type="pct"/>
            <w:vAlign w:val="center"/>
          </w:tcPr>
          <w:p w14:paraId="010A1BB0">
            <w:pPr>
              <w:pStyle w:val="44"/>
              <w:jc w:val="center"/>
              <w:rPr>
                <w:i w:val="0"/>
                <w:iCs w:val="0"/>
                <w:color w:val="auto"/>
                <w:highlight w:val="none"/>
              </w:rPr>
            </w:pPr>
          </w:p>
        </w:tc>
        <w:tc>
          <w:tcPr>
            <w:tcW w:w="1002" w:type="pct"/>
            <w:vAlign w:val="center"/>
          </w:tcPr>
          <w:p w14:paraId="1EE22C75">
            <w:pPr>
              <w:pStyle w:val="44"/>
              <w:jc w:val="center"/>
              <w:rPr>
                <w:i w:val="0"/>
                <w:iCs w:val="0"/>
                <w:color w:val="auto"/>
                <w:highlight w:val="none"/>
              </w:rPr>
            </w:pPr>
          </w:p>
        </w:tc>
        <w:tc>
          <w:tcPr>
            <w:tcW w:w="1090" w:type="pct"/>
            <w:vAlign w:val="center"/>
          </w:tcPr>
          <w:p w14:paraId="3C86F2CC">
            <w:pPr>
              <w:pStyle w:val="44"/>
              <w:jc w:val="center"/>
              <w:rPr>
                <w:i w:val="0"/>
                <w:iCs w:val="0"/>
                <w:color w:val="auto"/>
                <w:highlight w:val="none"/>
              </w:rPr>
            </w:pPr>
          </w:p>
        </w:tc>
        <w:tc>
          <w:tcPr>
            <w:tcW w:w="1090" w:type="pct"/>
            <w:vAlign w:val="center"/>
          </w:tcPr>
          <w:p w14:paraId="515EA04E">
            <w:pPr>
              <w:pStyle w:val="44"/>
              <w:jc w:val="center"/>
              <w:rPr>
                <w:i w:val="0"/>
                <w:iCs w:val="0"/>
                <w:color w:val="auto"/>
                <w:highlight w:val="none"/>
              </w:rPr>
            </w:pPr>
          </w:p>
        </w:tc>
      </w:tr>
      <w:tr w14:paraId="2D75C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7EFA1E0">
            <w:pPr>
              <w:pStyle w:val="44"/>
              <w:jc w:val="center"/>
              <w:rPr>
                <w:i w:val="0"/>
                <w:iCs w:val="0"/>
                <w:color w:val="auto"/>
                <w:highlight w:val="none"/>
              </w:rPr>
            </w:pPr>
          </w:p>
        </w:tc>
        <w:tc>
          <w:tcPr>
            <w:tcW w:w="1395" w:type="pct"/>
            <w:vAlign w:val="center"/>
          </w:tcPr>
          <w:p w14:paraId="1C7A6406">
            <w:pPr>
              <w:pStyle w:val="44"/>
              <w:jc w:val="center"/>
              <w:rPr>
                <w:i w:val="0"/>
                <w:iCs w:val="0"/>
                <w:color w:val="auto"/>
                <w:highlight w:val="none"/>
              </w:rPr>
            </w:pPr>
          </w:p>
        </w:tc>
        <w:tc>
          <w:tcPr>
            <w:tcW w:w="1002" w:type="pct"/>
            <w:vAlign w:val="center"/>
          </w:tcPr>
          <w:p w14:paraId="7F774DAF">
            <w:pPr>
              <w:pStyle w:val="44"/>
              <w:jc w:val="center"/>
              <w:rPr>
                <w:i w:val="0"/>
                <w:iCs w:val="0"/>
                <w:color w:val="auto"/>
                <w:highlight w:val="none"/>
              </w:rPr>
            </w:pPr>
          </w:p>
        </w:tc>
        <w:tc>
          <w:tcPr>
            <w:tcW w:w="1090" w:type="pct"/>
            <w:vAlign w:val="center"/>
          </w:tcPr>
          <w:p w14:paraId="66A55C54">
            <w:pPr>
              <w:pStyle w:val="44"/>
              <w:jc w:val="center"/>
              <w:rPr>
                <w:i w:val="0"/>
                <w:iCs w:val="0"/>
                <w:color w:val="auto"/>
                <w:highlight w:val="none"/>
              </w:rPr>
            </w:pPr>
          </w:p>
        </w:tc>
        <w:tc>
          <w:tcPr>
            <w:tcW w:w="1090" w:type="pct"/>
            <w:vAlign w:val="center"/>
          </w:tcPr>
          <w:p w14:paraId="6FC3A7DB">
            <w:pPr>
              <w:pStyle w:val="44"/>
              <w:jc w:val="center"/>
              <w:rPr>
                <w:i w:val="0"/>
                <w:iCs w:val="0"/>
                <w:color w:val="auto"/>
                <w:highlight w:val="none"/>
              </w:rPr>
            </w:pPr>
          </w:p>
        </w:tc>
      </w:tr>
      <w:tr w14:paraId="2B937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D84A230">
            <w:pPr>
              <w:pStyle w:val="44"/>
              <w:jc w:val="center"/>
              <w:rPr>
                <w:i w:val="0"/>
                <w:iCs w:val="0"/>
                <w:color w:val="auto"/>
                <w:highlight w:val="none"/>
              </w:rPr>
            </w:pPr>
          </w:p>
        </w:tc>
        <w:tc>
          <w:tcPr>
            <w:tcW w:w="1395" w:type="pct"/>
            <w:vAlign w:val="center"/>
          </w:tcPr>
          <w:p w14:paraId="5A1690B5">
            <w:pPr>
              <w:pStyle w:val="44"/>
              <w:jc w:val="center"/>
              <w:rPr>
                <w:i w:val="0"/>
                <w:iCs w:val="0"/>
                <w:color w:val="auto"/>
                <w:highlight w:val="none"/>
              </w:rPr>
            </w:pPr>
          </w:p>
        </w:tc>
        <w:tc>
          <w:tcPr>
            <w:tcW w:w="1002" w:type="pct"/>
            <w:vAlign w:val="center"/>
          </w:tcPr>
          <w:p w14:paraId="735418C2">
            <w:pPr>
              <w:pStyle w:val="44"/>
              <w:jc w:val="center"/>
              <w:rPr>
                <w:i w:val="0"/>
                <w:iCs w:val="0"/>
                <w:color w:val="auto"/>
                <w:highlight w:val="none"/>
              </w:rPr>
            </w:pPr>
          </w:p>
        </w:tc>
        <w:tc>
          <w:tcPr>
            <w:tcW w:w="1090" w:type="pct"/>
            <w:vAlign w:val="center"/>
          </w:tcPr>
          <w:p w14:paraId="13F6671D">
            <w:pPr>
              <w:pStyle w:val="44"/>
              <w:jc w:val="center"/>
              <w:rPr>
                <w:i w:val="0"/>
                <w:iCs w:val="0"/>
                <w:color w:val="auto"/>
                <w:highlight w:val="none"/>
              </w:rPr>
            </w:pPr>
          </w:p>
        </w:tc>
        <w:tc>
          <w:tcPr>
            <w:tcW w:w="1090" w:type="pct"/>
            <w:vAlign w:val="center"/>
          </w:tcPr>
          <w:p w14:paraId="3DC0B3BB">
            <w:pPr>
              <w:pStyle w:val="44"/>
              <w:jc w:val="center"/>
              <w:rPr>
                <w:i w:val="0"/>
                <w:iCs w:val="0"/>
                <w:color w:val="auto"/>
                <w:highlight w:val="none"/>
              </w:rPr>
            </w:pPr>
          </w:p>
        </w:tc>
      </w:tr>
      <w:tr w14:paraId="23E0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109CF1">
            <w:pPr>
              <w:pStyle w:val="44"/>
              <w:jc w:val="center"/>
              <w:rPr>
                <w:i w:val="0"/>
                <w:iCs w:val="0"/>
                <w:color w:val="auto"/>
                <w:highlight w:val="none"/>
              </w:rPr>
            </w:pPr>
          </w:p>
        </w:tc>
        <w:tc>
          <w:tcPr>
            <w:tcW w:w="1395" w:type="pct"/>
            <w:vAlign w:val="center"/>
          </w:tcPr>
          <w:p w14:paraId="4E1F25E0">
            <w:pPr>
              <w:pStyle w:val="44"/>
              <w:jc w:val="center"/>
              <w:rPr>
                <w:i w:val="0"/>
                <w:iCs w:val="0"/>
                <w:color w:val="auto"/>
                <w:highlight w:val="none"/>
              </w:rPr>
            </w:pPr>
          </w:p>
        </w:tc>
        <w:tc>
          <w:tcPr>
            <w:tcW w:w="1002" w:type="pct"/>
            <w:vAlign w:val="center"/>
          </w:tcPr>
          <w:p w14:paraId="4F1707F4">
            <w:pPr>
              <w:pStyle w:val="44"/>
              <w:jc w:val="center"/>
              <w:rPr>
                <w:i w:val="0"/>
                <w:iCs w:val="0"/>
                <w:color w:val="auto"/>
                <w:highlight w:val="none"/>
              </w:rPr>
            </w:pPr>
          </w:p>
        </w:tc>
        <w:tc>
          <w:tcPr>
            <w:tcW w:w="1090" w:type="pct"/>
            <w:vAlign w:val="center"/>
          </w:tcPr>
          <w:p w14:paraId="59E61A3B">
            <w:pPr>
              <w:pStyle w:val="44"/>
              <w:jc w:val="center"/>
              <w:rPr>
                <w:i w:val="0"/>
                <w:iCs w:val="0"/>
                <w:color w:val="auto"/>
                <w:highlight w:val="none"/>
              </w:rPr>
            </w:pPr>
          </w:p>
        </w:tc>
        <w:tc>
          <w:tcPr>
            <w:tcW w:w="1090" w:type="pct"/>
            <w:vAlign w:val="center"/>
          </w:tcPr>
          <w:p w14:paraId="33E07ECA">
            <w:pPr>
              <w:pStyle w:val="44"/>
              <w:jc w:val="center"/>
              <w:rPr>
                <w:i w:val="0"/>
                <w:iCs w:val="0"/>
                <w:color w:val="auto"/>
                <w:highlight w:val="none"/>
              </w:rPr>
            </w:pPr>
          </w:p>
        </w:tc>
      </w:tr>
      <w:tr w14:paraId="6B929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1CB3DA8">
            <w:pPr>
              <w:pStyle w:val="44"/>
              <w:jc w:val="center"/>
              <w:rPr>
                <w:i w:val="0"/>
                <w:iCs w:val="0"/>
                <w:color w:val="auto"/>
                <w:highlight w:val="none"/>
              </w:rPr>
            </w:pPr>
          </w:p>
        </w:tc>
        <w:tc>
          <w:tcPr>
            <w:tcW w:w="1395" w:type="pct"/>
            <w:vAlign w:val="center"/>
          </w:tcPr>
          <w:p w14:paraId="494F1780">
            <w:pPr>
              <w:pStyle w:val="44"/>
              <w:jc w:val="center"/>
              <w:rPr>
                <w:i w:val="0"/>
                <w:iCs w:val="0"/>
                <w:color w:val="auto"/>
                <w:highlight w:val="none"/>
              </w:rPr>
            </w:pPr>
          </w:p>
        </w:tc>
        <w:tc>
          <w:tcPr>
            <w:tcW w:w="1002" w:type="pct"/>
            <w:vAlign w:val="center"/>
          </w:tcPr>
          <w:p w14:paraId="02E24AFD">
            <w:pPr>
              <w:pStyle w:val="44"/>
              <w:jc w:val="center"/>
              <w:rPr>
                <w:i w:val="0"/>
                <w:iCs w:val="0"/>
                <w:color w:val="auto"/>
                <w:highlight w:val="none"/>
              </w:rPr>
            </w:pPr>
          </w:p>
        </w:tc>
        <w:tc>
          <w:tcPr>
            <w:tcW w:w="1090" w:type="pct"/>
            <w:vAlign w:val="center"/>
          </w:tcPr>
          <w:p w14:paraId="15C952B3">
            <w:pPr>
              <w:pStyle w:val="44"/>
              <w:jc w:val="center"/>
              <w:rPr>
                <w:i w:val="0"/>
                <w:iCs w:val="0"/>
                <w:color w:val="auto"/>
                <w:highlight w:val="none"/>
              </w:rPr>
            </w:pPr>
          </w:p>
        </w:tc>
        <w:tc>
          <w:tcPr>
            <w:tcW w:w="1090" w:type="pct"/>
            <w:vAlign w:val="center"/>
          </w:tcPr>
          <w:p w14:paraId="042480C5">
            <w:pPr>
              <w:pStyle w:val="44"/>
              <w:jc w:val="center"/>
              <w:rPr>
                <w:i w:val="0"/>
                <w:iCs w:val="0"/>
                <w:color w:val="auto"/>
                <w:highlight w:val="none"/>
              </w:rPr>
            </w:pPr>
          </w:p>
        </w:tc>
      </w:tr>
      <w:tr w14:paraId="13BE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3D8B34">
            <w:pPr>
              <w:pStyle w:val="44"/>
              <w:jc w:val="center"/>
              <w:rPr>
                <w:i w:val="0"/>
                <w:iCs w:val="0"/>
                <w:color w:val="auto"/>
                <w:highlight w:val="none"/>
              </w:rPr>
            </w:pPr>
          </w:p>
        </w:tc>
        <w:tc>
          <w:tcPr>
            <w:tcW w:w="1395" w:type="pct"/>
            <w:vAlign w:val="center"/>
          </w:tcPr>
          <w:p w14:paraId="3FA50495">
            <w:pPr>
              <w:pStyle w:val="44"/>
              <w:jc w:val="center"/>
              <w:rPr>
                <w:i w:val="0"/>
                <w:iCs w:val="0"/>
                <w:color w:val="auto"/>
                <w:highlight w:val="none"/>
              </w:rPr>
            </w:pPr>
          </w:p>
        </w:tc>
        <w:tc>
          <w:tcPr>
            <w:tcW w:w="1002" w:type="pct"/>
            <w:vAlign w:val="center"/>
          </w:tcPr>
          <w:p w14:paraId="65521973">
            <w:pPr>
              <w:pStyle w:val="44"/>
              <w:jc w:val="center"/>
              <w:rPr>
                <w:i w:val="0"/>
                <w:iCs w:val="0"/>
                <w:color w:val="auto"/>
                <w:highlight w:val="none"/>
              </w:rPr>
            </w:pPr>
          </w:p>
        </w:tc>
        <w:tc>
          <w:tcPr>
            <w:tcW w:w="1090" w:type="pct"/>
            <w:vAlign w:val="center"/>
          </w:tcPr>
          <w:p w14:paraId="505486BC">
            <w:pPr>
              <w:pStyle w:val="44"/>
              <w:jc w:val="center"/>
              <w:rPr>
                <w:i w:val="0"/>
                <w:iCs w:val="0"/>
                <w:color w:val="auto"/>
                <w:highlight w:val="none"/>
              </w:rPr>
            </w:pPr>
          </w:p>
        </w:tc>
        <w:tc>
          <w:tcPr>
            <w:tcW w:w="1090" w:type="pct"/>
            <w:vAlign w:val="center"/>
          </w:tcPr>
          <w:p w14:paraId="40E41834">
            <w:pPr>
              <w:pStyle w:val="44"/>
              <w:jc w:val="center"/>
              <w:rPr>
                <w:i w:val="0"/>
                <w:iCs w:val="0"/>
                <w:color w:val="auto"/>
                <w:highlight w:val="none"/>
              </w:rPr>
            </w:pPr>
          </w:p>
        </w:tc>
      </w:tr>
      <w:tr w14:paraId="322EB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E27F183">
            <w:pPr>
              <w:pStyle w:val="44"/>
              <w:jc w:val="center"/>
              <w:rPr>
                <w:i w:val="0"/>
                <w:iCs w:val="0"/>
                <w:color w:val="auto"/>
                <w:highlight w:val="none"/>
              </w:rPr>
            </w:pPr>
          </w:p>
        </w:tc>
        <w:tc>
          <w:tcPr>
            <w:tcW w:w="1395" w:type="pct"/>
            <w:vAlign w:val="center"/>
          </w:tcPr>
          <w:p w14:paraId="199507E1">
            <w:pPr>
              <w:pStyle w:val="44"/>
              <w:jc w:val="center"/>
              <w:rPr>
                <w:i w:val="0"/>
                <w:iCs w:val="0"/>
                <w:color w:val="auto"/>
                <w:highlight w:val="none"/>
              </w:rPr>
            </w:pPr>
          </w:p>
        </w:tc>
        <w:tc>
          <w:tcPr>
            <w:tcW w:w="1002" w:type="pct"/>
            <w:vAlign w:val="center"/>
          </w:tcPr>
          <w:p w14:paraId="6691FD82">
            <w:pPr>
              <w:pStyle w:val="44"/>
              <w:jc w:val="center"/>
              <w:rPr>
                <w:i w:val="0"/>
                <w:iCs w:val="0"/>
                <w:color w:val="auto"/>
                <w:highlight w:val="none"/>
              </w:rPr>
            </w:pPr>
          </w:p>
        </w:tc>
        <w:tc>
          <w:tcPr>
            <w:tcW w:w="1090" w:type="pct"/>
            <w:vAlign w:val="center"/>
          </w:tcPr>
          <w:p w14:paraId="6E35002B">
            <w:pPr>
              <w:pStyle w:val="44"/>
              <w:jc w:val="center"/>
              <w:rPr>
                <w:i w:val="0"/>
                <w:iCs w:val="0"/>
                <w:color w:val="auto"/>
                <w:highlight w:val="none"/>
              </w:rPr>
            </w:pPr>
          </w:p>
        </w:tc>
        <w:tc>
          <w:tcPr>
            <w:tcW w:w="1090" w:type="pct"/>
            <w:vAlign w:val="center"/>
          </w:tcPr>
          <w:p w14:paraId="69818ED1">
            <w:pPr>
              <w:pStyle w:val="44"/>
              <w:jc w:val="center"/>
              <w:rPr>
                <w:i w:val="0"/>
                <w:iCs w:val="0"/>
                <w:color w:val="auto"/>
                <w:highlight w:val="none"/>
              </w:rPr>
            </w:pPr>
          </w:p>
        </w:tc>
      </w:tr>
      <w:tr w14:paraId="79F3B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71E185D4">
            <w:pPr>
              <w:pStyle w:val="44"/>
              <w:jc w:val="center"/>
              <w:rPr>
                <w:i w:val="0"/>
                <w:iCs w:val="0"/>
                <w:color w:val="auto"/>
                <w:highlight w:val="none"/>
              </w:rPr>
            </w:pPr>
            <w:r>
              <w:rPr>
                <w:rFonts w:hint="eastAsia"/>
                <w:i w:val="0"/>
                <w:iCs w:val="0"/>
                <w:color w:val="auto"/>
                <w:highlight w:val="none"/>
              </w:rPr>
              <w:t>……</w:t>
            </w:r>
          </w:p>
        </w:tc>
        <w:tc>
          <w:tcPr>
            <w:tcW w:w="1395" w:type="pct"/>
            <w:vAlign w:val="center"/>
          </w:tcPr>
          <w:p w14:paraId="6324A49D">
            <w:pPr>
              <w:pStyle w:val="44"/>
              <w:jc w:val="center"/>
              <w:rPr>
                <w:i w:val="0"/>
                <w:iCs w:val="0"/>
                <w:color w:val="auto"/>
                <w:highlight w:val="none"/>
              </w:rPr>
            </w:pPr>
            <w:r>
              <w:rPr>
                <w:rFonts w:hint="eastAsia"/>
                <w:i w:val="0"/>
                <w:iCs w:val="0"/>
                <w:color w:val="auto"/>
                <w:highlight w:val="none"/>
              </w:rPr>
              <w:t>…………</w:t>
            </w:r>
          </w:p>
        </w:tc>
        <w:tc>
          <w:tcPr>
            <w:tcW w:w="1002" w:type="pct"/>
            <w:vAlign w:val="center"/>
          </w:tcPr>
          <w:p w14:paraId="0EE83785">
            <w:pPr>
              <w:pStyle w:val="44"/>
              <w:jc w:val="center"/>
              <w:rPr>
                <w:i w:val="0"/>
                <w:iCs w:val="0"/>
                <w:color w:val="auto"/>
                <w:highlight w:val="none"/>
              </w:rPr>
            </w:pPr>
            <w:r>
              <w:rPr>
                <w:rFonts w:hint="eastAsia"/>
                <w:i w:val="0"/>
                <w:iCs w:val="0"/>
                <w:color w:val="auto"/>
                <w:highlight w:val="none"/>
              </w:rPr>
              <w:t>…………</w:t>
            </w:r>
          </w:p>
        </w:tc>
        <w:tc>
          <w:tcPr>
            <w:tcW w:w="1090" w:type="pct"/>
            <w:vAlign w:val="center"/>
          </w:tcPr>
          <w:p w14:paraId="7A24BB2D">
            <w:pPr>
              <w:pStyle w:val="44"/>
              <w:jc w:val="center"/>
              <w:rPr>
                <w:i w:val="0"/>
                <w:iCs w:val="0"/>
                <w:color w:val="auto"/>
                <w:highlight w:val="none"/>
              </w:rPr>
            </w:pPr>
            <w:r>
              <w:rPr>
                <w:rFonts w:hint="eastAsia"/>
                <w:i w:val="0"/>
                <w:iCs w:val="0"/>
                <w:color w:val="auto"/>
                <w:highlight w:val="none"/>
              </w:rPr>
              <w:t>……</w:t>
            </w:r>
          </w:p>
        </w:tc>
        <w:tc>
          <w:tcPr>
            <w:tcW w:w="1090" w:type="pct"/>
            <w:vAlign w:val="center"/>
          </w:tcPr>
          <w:p w14:paraId="7CC08218">
            <w:pPr>
              <w:pStyle w:val="44"/>
              <w:jc w:val="center"/>
              <w:rPr>
                <w:i w:val="0"/>
                <w:iCs w:val="0"/>
                <w:color w:val="auto"/>
                <w:highlight w:val="none"/>
              </w:rPr>
            </w:pPr>
          </w:p>
        </w:tc>
      </w:tr>
    </w:tbl>
    <w:p w14:paraId="51EF5BE9">
      <w:pPr>
        <w:ind w:firstLine="480" w:firstLineChars="200"/>
        <w:rPr>
          <w:rFonts w:hint="eastAsia" w:cs="仿宋_GB2312"/>
          <w:i w:val="0"/>
          <w:iCs w:val="0"/>
          <w:color w:val="auto"/>
          <w:szCs w:val="24"/>
          <w:highlight w:val="none"/>
        </w:rPr>
      </w:pPr>
    </w:p>
    <w:p w14:paraId="79243E57">
      <w:pPr>
        <w:ind w:firstLine="420" w:firstLineChars="200"/>
        <w:rPr>
          <w:rFonts w:hint="eastAsia" w:ascii="宋体" w:hAnsi="宋体" w:eastAsia="宋体" w:cs="宋体"/>
          <w:i w:val="0"/>
          <w:iCs w:val="0"/>
          <w:color w:val="auto"/>
          <w:szCs w:val="24"/>
          <w:highlight w:val="none"/>
        </w:rPr>
      </w:pPr>
      <w:r>
        <w:rPr>
          <w:rFonts w:hint="eastAsia" w:ascii="宋体" w:hAnsi="宋体" w:eastAsia="宋体" w:cs="宋体"/>
          <w:i w:val="0"/>
          <w:iCs w:val="0"/>
          <w:color w:val="auto"/>
          <w:sz w:val="21"/>
          <w:szCs w:val="21"/>
          <w:highlight w:val="none"/>
        </w:rPr>
        <w:t>注：</w:t>
      </w: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rPr>
        <w:t>应按照</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z w:val="21"/>
          <w:szCs w:val="21"/>
          <w:highlight w:val="none"/>
        </w:rPr>
        <w:t>文件</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 xml:space="preserve">第三章 </w:t>
      </w:r>
      <w:r>
        <w:rPr>
          <w:rFonts w:hint="eastAsia" w:ascii="宋体" w:hAnsi="宋体" w:eastAsia="宋体" w:cs="宋体"/>
          <w:i w:val="0"/>
          <w:iCs w:val="0"/>
          <w:color w:val="auto"/>
          <w:sz w:val="21"/>
          <w:szCs w:val="21"/>
          <w:highlight w:val="none"/>
          <w:lang w:val="en-US" w:eastAsia="zh-CN"/>
        </w:rPr>
        <w:t>项目</w:t>
      </w:r>
      <w:r>
        <w:rPr>
          <w:rFonts w:hint="eastAsia" w:ascii="宋体" w:hAnsi="宋体" w:eastAsia="宋体" w:cs="宋体"/>
          <w:i w:val="0"/>
          <w:iCs w:val="0"/>
          <w:color w:val="auto"/>
          <w:sz w:val="21"/>
          <w:szCs w:val="21"/>
          <w:highlight w:val="none"/>
        </w:rPr>
        <w:t>采购需求</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中的商务要求</w:t>
      </w:r>
      <w:r>
        <w:rPr>
          <w:rFonts w:hint="eastAsia" w:ascii="宋体" w:hAnsi="宋体" w:eastAsia="宋体" w:cs="宋体"/>
          <w:i w:val="0"/>
          <w:iCs w:val="0"/>
          <w:color w:val="auto"/>
          <w:sz w:val="21"/>
          <w:szCs w:val="21"/>
          <w:highlight w:val="none"/>
        </w:rPr>
        <w:t>填写</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“响应/偏离”应据实填写“响应”、“正偏离”或“负偏离”</w:t>
      </w:r>
      <w:r>
        <w:rPr>
          <w:rFonts w:hint="eastAsia" w:ascii="宋体" w:hAnsi="宋体" w:eastAsia="宋体" w:cs="宋体"/>
          <w:i w:val="0"/>
          <w:iCs w:val="0"/>
          <w:color w:val="auto"/>
          <w:sz w:val="21"/>
          <w:szCs w:val="21"/>
          <w:highlight w:val="none"/>
        </w:rPr>
        <w:t>。</w:t>
      </w:r>
    </w:p>
    <w:p w14:paraId="1A3EAC71">
      <w:pPr>
        <w:rPr>
          <w:rFonts w:cs="仿宋_GB2312"/>
          <w:i w:val="0"/>
          <w:iCs w:val="0"/>
          <w:color w:val="auto"/>
          <w:szCs w:val="24"/>
          <w:highlight w:val="none"/>
        </w:rPr>
      </w:pPr>
    </w:p>
    <w:p w14:paraId="5CB06622">
      <w:pPr>
        <w:ind w:firstLine="480" w:firstLineChars="200"/>
        <w:rPr>
          <w:rFonts w:cs="仿宋_GB2312"/>
          <w:i w:val="0"/>
          <w:iCs w:val="0"/>
          <w:color w:val="auto"/>
          <w:szCs w:val="24"/>
          <w:highlight w:val="none"/>
        </w:rPr>
      </w:pPr>
    </w:p>
    <w:p w14:paraId="2E8083B6">
      <w:pPr>
        <w:ind w:firstLine="480" w:firstLineChars="200"/>
        <w:rPr>
          <w:rFonts w:cs="仿宋_GB2312"/>
          <w:i w:val="0"/>
          <w:iCs w:val="0"/>
          <w:color w:val="auto"/>
          <w:szCs w:val="24"/>
          <w:highlight w:val="none"/>
        </w:rPr>
      </w:pP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名称</w:t>
      </w:r>
      <w:r>
        <w:rPr>
          <w:rFonts w:hint="eastAsia" w:ascii="宋体" w:hAnsi="宋体" w:cs="宋体"/>
          <w:i w:val="0"/>
          <w:iCs w:val="0"/>
          <w:color w:val="auto"/>
          <w:kern w:val="0"/>
          <w:sz w:val="24"/>
          <w:szCs w:val="24"/>
          <w:highlight w:val="none"/>
          <w:lang w:val="zh-CN"/>
        </w:rPr>
        <w:t>（</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w:t>
      </w:r>
      <w:r>
        <w:rPr>
          <w:rFonts w:hint="eastAsia" w:cs="仿宋_GB2312"/>
          <w:i w:val="0"/>
          <w:iCs w:val="0"/>
          <w:color w:val="auto"/>
          <w:szCs w:val="24"/>
          <w:highlight w:val="none"/>
        </w:rPr>
        <w:t>：</w:t>
      </w:r>
      <w:r>
        <w:rPr>
          <w:rFonts w:cs="仿宋_GB2312"/>
          <w:i w:val="0"/>
          <w:iCs w:val="0"/>
          <w:color w:val="auto"/>
          <w:szCs w:val="24"/>
          <w:highlight w:val="none"/>
        </w:rPr>
        <w:t xml:space="preserve"> </w:t>
      </w:r>
    </w:p>
    <w:p w14:paraId="77655944">
      <w:pPr>
        <w:ind w:firstLine="420"/>
        <w:rPr>
          <w:rFonts w:cs="仿宋_GB2312"/>
          <w:i w:val="0"/>
          <w:iCs w:val="0"/>
          <w:color w:val="auto"/>
          <w:szCs w:val="24"/>
          <w:highlight w:val="none"/>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598C43A6">
      <w:pPr>
        <w:ind w:firstLine="420"/>
        <w:rPr>
          <w:rFonts w:cs="仿宋_GB2312"/>
          <w:i w:val="0"/>
          <w:iCs w:val="0"/>
          <w:color w:val="auto"/>
          <w:szCs w:val="24"/>
          <w:highlight w:val="none"/>
        </w:rPr>
      </w:pPr>
      <w:r>
        <w:rPr>
          <w:rFonts w:cs="仿宋_GB2312"/>
          <w:i w:val="0"/>
          <w:iCs w:val="0"/>
          <w:color w:val="auto"/>
          <w:szCs w:val="24"/>
          <w:highlight w:val="none"/>
        </w:rPr>
        <w:br w:type="page"/>
      </w:r>
    </w:p>
    <w:p w14:paraId="287724F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48" w:name="_Toc21605"/>
      <w:r>
        <w:rPr>
          <w:rFonts w:hint="eastAsia" w:cstheme="majorBidi"/>
          <w:b/>
          <w:bCs/>
          <w:i w:val="0"/>
          <w:iCs w:val="0"/>
          <w:color w:val="auto"/>
          <w:kern w:val="2"/>
          <w:sz w:val="32"/>
          <w:szCs w:val="32"/>
          <w:highlight w:val="none"/>
          <w:lang w:val="en-US" w:eastAsia="zh-CN" w:bidi="ar-SA"/>
        </w:rPr>
        <w:t>七</w:t>
      </w:r>
      <w:r>
        <w:rPr>
          <w:rFonts w:hint="eastAsia" w:eastAsia="宋体" w:asciiTheme="majorHAnsi" w:hAnsiTheme="majorHAnsi" w:cstheme="majorBidi"/>
          <w:b/>
          <w:bCs/>
          <w:i w:val="0"/>
          <w:iCs w:val="0"/>
          <w:color w:val="auto"/>
          <w:kern w:val="2"/>
          <w:sz w:val="32"/>
          <w:szCs w:val="32"/>
          <w:highlight w:val="none"/>
          <w:lang w:val="en-US" w:eastAsia="zh-CN" w:bidi="ar-SA"/>
        </w:rPr>
        <w:t>、业绩证明文件</w:t>
      </w:r>
      <w:bookmarkEnd w:id="1248"/>
    </w:p>
    <w:p w14:paraId="4541380C">
      <w:pPr>
        <w:rPr>
          <w:rFonts w:cs="仿宋_GB2312"/>
          <w:i w:val="0"/>
          <w:iCs w:val="0"/>
          <w:color w:val="auto"/>
          <w:szCs w:val="24"/>
          <w:highlight w:val="none"/>
        </w:rPr>
      </w:pPr>
      <w:r>
        <w:rPr>
          <w:rFonts w:cs="Arial"/>
          <w:bCs/>
          <w:i w:val="0"/>
          <w:iCs w:val="0"/>
          <w:color w:val="auto"/>
          <w:szCs w:val="21"/>
          <w:highlight w:val="none"/>
        </w:rPr>
        <w:fldChar w:fldCharType="begin"/>
      </w:r>
      <w:r>
        <w:rPr>
          <w:rFonts w:cs="Arial"/>
          <w:bCs/>
          <w:i w:val="0"/>
          <w:iCs w:val="0"/>
          <w:color w:val="auto"/>
          <w:szCs w:val="21"/>
          <w:highlight w:val="none"/>
        </w:rPr>
        <w:instrText xml:space="preserve"> LINK Word.Document.8 "D:\\音乐厅\\4通用设备\\招标文件\\音乐厅空调设备招标文件v1.0.doc" "OLE_LINK8" \r  \* MERGEFORMAT </w:instrText>
      </w:r>
      <w:r>
        <w:rPr>
          <w:rFonts w:cs="Arial"/>
          <w:bCs/>
          <w:i w:val="0"/>
          <w:iCs w:val="0"/>
          <w:color w:val="auto"/>
          <w:szCs w:val="21"/>
          <w:highlight w:val="none"/>
        </w:rPr>
        <w:fldChar w:fldCharType="separate"/>
      </w:r>
      <w:r>
        <w:rPr>
          <w:rFonts w:hint="eastAsia" w:cs="仿宋_GB2312"/>
          <w:i w:val="0"/>
          <w:iCs w:val="0"/>
          <w:color w:val="auto"/>
          <w:szCs w:val="24"/>
          <w:highlight w:val="none"/>
        </w:rPr>
        <w:t xml:space="preserve">项目名称：                                         </w:t>
      </w:r>
    </w:p>
    <w:p w14:paraId="159B24BA">
      <w:pPr>
        <w:rPr>
          <w:rFonts w:cs="Arial"/>
          <w:bCs/>
          <w:i w:val="0"/>
          <w:iCs w:val="0"/>
          <w:color w:val="auto"/>
          <w:szCs w:val="21"/>
          <w:highlight w:val="none"/>
        </w:rPr>
      </w:pPr>
      <w:r>
        <w:rPr>
          <w:rFonts w:hint="eastAsia" w:cs="仿宋_GB2312"/>
          <w:i w:val="0"/>
          <w:iCs w:val="0"/>
          <w:color w:val="auto"/>
          <w:szCs w:val="24"/>
          <w:highlight w:val="none"/>
        </w:rPr>
        <w:t xml:space="preserve">项目编号：      </w:t>
      </w:r>
      <w:r>
        <w:rPr>
          <w:rFonts w:cs="Arial"/>
          <w:bCs/>
          <w:i w:val="0"/>
          <w:iCs w:val="0"/>
          <w:color w:val="auto"/>
          <w:szCs w:val="21"/>
          <w:highlight w:val="none"/>
        </w:rPr>
        <w:fldChar w:fldCharType="end"/>
      </w:r>
    </w:p>
    <w:tbl>
      <w:tblPr>
        <w:tblStyle w:val="27"/>
        <w:tblW w:w="9854" w:type="dxa"/>
        <w:tblInd w:w="-4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95"/>
        <w:gridCol w:w="1295"/>
        <w:gridCol w:w="1240"/>
        <w:gridCol w:w="1416"/>
        <w:gridCol w:w="1560"/>
        <w:gridCol w:w="1068"/>
        <w:gridCol w:w="1197"/>
      </w:tblGrid>
      <w:tr w14:paraId="387D3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1" w:hRule="atLeast"/>
        </w:trPr>
        <w:tc>
          <w:tcPr>
            <w:tcW w:w="783" w:type="dxa"/>
            <w:vAlign w:val="center"/>
          </w:tcPr>
          <w:p w14:paraId="4E9572F9">
            <w:pPr>
              <w:jc w:val="center"/>
              <w:rPr>
                <w:rFonts w:cs="仿宋_GB2312"/>
                <w:i w:val="0"/>
                <w:iCs w:val="0"/>
                <w:color w:val="auto"/>
                <w:sz w:val="24"/>
                <w:szCs w:val="24"/>
                <w:highlight w:val="none"/>
              </w:rPr>
            </w:pPr>
            <w:bookmarkStart w:id="1249" w:name="_Hlk46779239"/>
            <w:r>
              <w:rPr>
                <w:rFonts w:hint="eastAsia" w:cs="仿宋_GB2312"/>
                <w:i w:val="0"/>
                <w:iCs w:val="0"/>
                <w:color w:val="auto"/>
                <w:sz w:val="24"/>
                <w:szCs w:val="24"/>
                <w:highlight w:val="none"/>
              </w:rPr>
              <w:t>序号</w:t>
            </w:r>
          </w:p>
        </w:tc>
        <w:tc>
          <w:tcPr>
            <w:tcW w:w="1295" w:type="dxa"/>
            <w:vAlign w:val="center"/>
          </w:tcPr>
          <w:p w14:paraId="51F55A40">
            <w:pPr>
              <w:rPr>
                <w:rFonts w:cs="仿宋_GB2312"/>
                <w:i w:val="0"/>
                <w:iCs w:val="0"/>
                <w:color w:val="auto"/>
                <w:sz w:val="24"/>
                <w:szCs w:val="24"/>
                <w:highlight w:val="none"/>
              </w:rPr>
            </w:pPr>
            <w:r>
              <w:rPr>
                <w:rFonts w:hint="eastAsia" w:cs="仿宋_GB2312"/>
                <w:i w:val="0"/>
                <w:iCs w:val="0"/>
                <w:color w:val="auto"/>
                <w:sz w:val="24"/>
                <w:szCs w:val="24"/>
                <w:highlight w:val="none"/>
              </w:rPr>
              <w:t>完成时间</w:t>
            </w:r>
          </w:p>
        </w:tc>
        <w:tc>
          <w:tcPr>
            <w:tcW w:w="1295" w:type="dxa"/>
            <w:vAlign w:val="center"/>
          </w:tcPr>
          <w:p w14:paraId="4D5C38D5">
            <w:pPr>
              <w:jc w:val="center"/>
              <w:rPr>
                <w:rFonts w:cs="仿宋_GB2312"/>
                <w:i w:val="0"/>
                <w:iCs w:val="0"/>
                <w:color w:val="auto"/>
                <w:sz w:val="24"/>
                <w:szCs w:val="24"/>
                <w:highlight w:val="none"/>
              </w:rPr>
            </w:pPr>
            <w:r>
              <w:rPr>
                <w:rFonts w:hint="eastAsia" w:cs="仿宋_GB2312"/>
                <w:i w:val="0"/>
                <w:iCs w:val="0"/>
                <w:color w:val="auto"/>
                <w:sz w:val="24"/>
                <w:szCs w:val="24"/>
                <w:highlight w:val="none"/>
              </w:rPr>
              <w:t>项目名称</w:t>
            </w:r>
          </w:p>
        </w:tc>
        <w:tc>
          <w:tcPr>
            <w:tcW w:w="1240" w:type="dxa"/>
            <w:vAlign w:val="center"/>
          </w:tcPr>
          <w:p w14:paraId="69717F2A">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标的</w:t>
            </w:r>
            <w:r>
              <w:rPr>
                <w:rFonts w:hint="eastAsia" w:cs="仿宋_GB2312"/>
                <w:i w:val="0"/>
                <w:iCs w:val="0"/>
                <w:color w:val="auto"/>
                <w:sz w:val="24"/>
                <w:szCs w:val="24"/>
                <w:highlight w:val="none"/>
              </w:rPr>
              <w:t>内容</w:t>
            </w:r>
          </w:p>
        </w:tc>
        <w:tc>
          <w:tcPr>
            <w:tcW w:w="1416" w:type="dxa"/>
            <w:vAlign w:val="center"/>
          </w:tcPr>
          <w:p w14:paraId="57C35070">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采购人</w:t>
            </w:r>
            <w:r>
              <w:rPr>
                <w:rFonts w:hint="eastAsia" w:cs="仿宋_GB2312"/>
                <w:i w:val="0"/>
                <w:iCs w:val="0"/>
                <w:color w:val="auto"/>
                <w:sz w:val="24"/>
                <w:szCs w:val="24"/>
                <w:highlight w:val="none"/>
              </w:rPr>
              <w:t>名称</w:t>
            </w:r>
          </w:p>
        </w:tc>
        <w:tc>
          <w:tcPr>
            <w:tcW w:w="1560" w:type="dxa"/>
            <w:vAlign w:val="center"/>
          </w:tcPr>
          <w:p w14:paraId="0236C23C">
            <w:pPr>
              <w:jc w:val="center"/>
              <w:rPr>
                <w:rFonts w:hint="eastAsia" w:cs="仿宋_GB2312"/>
                <w:i w:val="0"/>
                <w:iCs w:val="0"/>
                <w:color w:val="auto"/>
                <w:sz w:val="24"/>
                <w:szCs w:val="24"/>
                <w:highlight w:val="none"/>
              </w:rPr>
            </w:pPr>
            <w:r>
              <w:rPr>
                <w:rFonts w:hint="eastAsia" w:cs="仿宋_GB2312"/>
                <w:i w:val="0"/>
                <w:iCs w:val="0"/>
                <w:color w:val="auto"/>
                <w:sz w:val="24"/>
                <w:szCs w:val="24"/>
                <w:highlight w:val="none"/>
                <w:lang w:val="en-US" w:eastAsia="zh-CN"/>
              </w:rPr>
              <w:t>中标（成交）金额</w:t>
            </w:r>
          </w:p>
        </w:tc>
        <w:tc>
          <w:tcPr>
            <w:tcW w:w="1068" w:type="dxa"/>
            <w:vAlign w:val="center"/>
          </w:tcPr>
          <w:p w14:paraId="01352CB9">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联系人</w:t>
            </w:r>
          </w:p>
        </w:tc>
        <w:tc>
          <w:tcPr>
            <w:tcW w:w="1197" w:type="dxa"/>
            <w:vAlign w:val="center"/>
          </w:tcPr>
          <w:p w14:paraId="2DA424BF">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联系电话</w:t>
            </w:r>
          </w:p>
        </w:tc>
      </w:tr>
      <w:tr w14:paraId="25958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27508E81">
            <w:pPr>
              <w:jc w:val="center"/>
              <w:rPr>
                <w:rFonts w:cs="仿宋_GB2312"/>
                <w:i w:val="0"/>
                <w:iCs w:val="0"/>
                <w:color w:val="auto"/>
                <w:sz w:val="24"/>
                <w:szCs w:val="24"/>
                <w:highlight w:val="none"/>
              </w:rPr>
            </w:pPr>
            <w:r>
              <w:rPr>
                <w:rFonts w:hint="eastAsia" w:cs="仿宋_GB2312"/>
                <w:i w:val="0"/>
                <w:iCs w:val="0"/>
                <w:color w:val="auto"/>
                <w:sz w:val="24"/>
                <w:szCs w:val="24"/>
                <w:highlight w:val="none"/>
              </w:rPr>
              <w:t>1</w:t>
            </w:r>
          </w:p>
        </w:tc>
        <w:tc>
          <w:tcPr>
            <w:tcW w:w="1295" w:type="dxa"/>
            <w:vAlign w:val="center"/>
          </w:tcPr>
          <w:p w14:paraId="27562AF7">
            <w:pPr>
              <w:rPr>
                <w:rFonts w:cs="仿宋_GB2312"/>
                <w:i w:val="0"/>
                <w:iCs w:val="0"/>
                <w:color w:val="auto"/>
                <w:sz w:val="24"/>
                <w:szCs w:val="24"/>
                <w:highlight w:val="none"/>
              </w:rPr>
            </w:pPr>
          </w:p>
        </w:tc>
        <w:tc>
          <w:tcPr>
            <w:tcW w:w="1295" w:type="dxa"/>
            <w:vAlign w:val="center"/>
          </w:tcPr>
          <w:p w14:paraId="02799269">
            <w:pPr>
              <w:rPr>
                <w:rFonts w:cs="仿宋_GB2312"/>
                <w:i w:val="0"/>
                <w:iCs w:val="0"/>
                <w:color w:val="auto"/>
                <w:sz w:val="24"/>
                <w:szCs w:val="24"/>
                <w:highlight w:val="none"/>
              </w:rPr>
            </w:pPr>
          </w:p>
        </w:tc>
        <w:tc>
          <w:tcPr>
            <w:tcW w:w="1240" w:type="dxa"/>
            <w:vAlign w:val="center"/>
          </w:tcPr>
          <w:p w14:paraId="6449ADDF">
            <w:pPr>
              <w:rPr>
                <w:rFonts w:cs="仿宋_GB2312"/>
                <w:i w:val="0"/>
                <w:iCs w:val="0"/>
                <w:color w:val="auto"/>
                <w:sz w:val="24"/>
                <w:szCs w:val="24"/>
                <w:highlight w:val="none"/>
              </w:rPr>
            </w:pPr>
          </w:p>
        </w:tc>
        <w:tc>
          <w:tcPr>
            <w:tcW w:w="1416" w:type="dxa"/>
            <w:vAlign w:val="center"/>
          </w:tcPr>
          <w:p w14:paraId="183C0714">
            <w:pPr>
              <w:rPr>
                <w:rFonts w:cs="仿宋_GB2312"/>
                <w:i w:val="0"/>
                <w:iCs w:val="0"/>
                <w:color w:val="auto"/>
                <w:sz w:val="24"/>
                <w:szCs w:val="24"/>
                <w:highlight w:val="none"/>
              </w:rPr>
            </w:pPr>
          </w:p>
        </w:tc>
        <w:tc>
          <w:tcPr>
            <w:tcW w:w="1560" w:type="dxa"/>
            <w:vAlign w:val="center"/>
          </w:tcPr>
          <w:p w14:paraId="4F169081">
            <w:pPr>
              <w:rPr>
                <w:rFonts w:cs="仿宋_GB2312"/>
                <w:i w:val="0"/>
                <w:iCs w:val="0"/>
                <w:color w:val="auto"/>
                <w:sz w:val="24"/>
                <w:szCs w:val="24"/>
                <w:highlight w:val="none"/>
              </w:rPr>
            </w:pPr>
          </w:p>
        </w:tc>
        <w:tc>
          <w:tcPr>
            <w:tcW w:w="1068" w:type="dxa"/>
            <w:vAlign w:val="center"/>
          </w:tcPr>
          <w:p w14:paraId="14FB4C57">
            <w:pPr>
              <w:rPr>
                <w:rFonts w:cs="仿宋_GB2312"/>
                <w:i w:val="0"/>
                <w:iCs w:val="0"/>
                <w:color w:val="auto"/>
                <w:sz w:val="24"/>
                <w:szCs w:val="24"/>
                <w:highlight w:val="none"/>
              </w:rPr>
            </w:pPr>
          </w:p>
        </w:tc>
        <w:tc>
          <w:tcPr>
            <w:tcW w:w="1197" w:type="dxa"/>
            <w:vAlign w:val="center"/>
          </w:tcPr>
          <w:p w14:paraId="09D0936A">
            <w:pPr>
              <w:rPr>
                <w:rFonts w:cs="仿宋_GB2312"/>
                <w:i w:val="0"/>
                <w:iCs w:val="0"/>
                <w:color w:val="auto"/>
                <w:sz w:val="24"/>
                <w:szCs w:val="24"/>
                <w:highlight w:val="none"/>
              </w:rPr>
            </w:pPr>
          </w:p>
        </w:tc>
      </w:tr>
      <w:tr w14:paraId="79366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4A21BB39">
            <w:pPr>
              <w:jc w:val="center"/>
              <w:rPr>
                <w:rFonts w:cs="仿宋_GB2312"/>
                <w:i w:val="0"/>
                <w:iCs w:val="0"/>
                <w:color w:val="auto"/>
                <w:sz w:val="24"/>
                <w:szCs w:val="24"/>
                <w:highlight w:val="none"/>
              </w:rPr>
            </w:pPr>
            <w:r>
              <w:rPr>
                <w:rFonts w:hint="eastAsia" w:cs="仿宋_GB2312"/>
                <w:i w:val="0"/>
                <w:iCs w:val="0"/>
                <w:color w:val="auto"/>
                <w:sz w:val="24"/>
                <w:szCs w:val="24"/>
                <w:highlight w:val="none"/>
              </w:rPr>
              <w:t>2</w:t>
            </w:r>
          </w:p>
        </w:tc>
        <w:tc>
          <w:tcPr>
            <w:tcW w:w="1295" w:type="dxa"/>
            <w:vAlign w:val="center"/>
          </w:tcPr>
          <w:p w14:paraId="7CA4B3F3">
            <w:pPr>
              <w:rPr>
                <w:rFonts w:cs="仿宋_GB2312"/>
                <w:i w:val="0"/>
                <w:iCs w:val="0"/>
                <w:color w:val="auto"/>
                <w:sz w:val="24"/>
                <w:szCs w:val="24"/>
                <w:highlight w:val="none"/>
              </w:rPr>
            </w:pPr>
          </w:p>
        </w:tc>
        <w:tc>
          <w:tcPr>
            <w:tcW w:w="1295" w:type="dxa"/>
            <w:vAlign w:val="center"/>
          </w:tcPr>
          <w:p w14:paraId="59CCECB1">
            <w:pPr>
              <w:rPr>
                <w:rFonts w:cs="仿宋_GB2312"/>
                <w:i w:val="0"/>
                <w:iCs w:val="0"/>
                <w:color w:val="auto"/>
                <w:sz w:val="24"/>
                <w:szCs w:val="24"/>
                <w:highlight w:val="none"/>
              </w:rPr>
            </w:pPr>
          </w:p>
        </w:tc>
        <w:tc>
          <w:tcPr>
            <w:tcW w:w="1240" w:type="dxa"/>
            <w:vAlign w:val="center"/>
          </w:tcPr>
          <w:p w14:paraId="4E8043C4">
            <w:pPr>
              <w:rPr>
                <w:rFonts w:cs="仿宋_GB2312"/>
                <w:i w:val="0"/>
                <w:iCs w:val="0"/>
                <w:color w:val="auto"/>
                <w:sz w:val="24"/>
                <w:szCs w:val="24"/>
                <w:highlight w:val="none"/>
              </w:rPr>
            </w:pPr>
          </w:p>
        </w:tc>
        <w:tc>
          <w:tcPr>
            <w:tcW w:w="1416" w:type="dxa"/>
            <w:vAlign w:val="center"/>
          </w:tcPr>
          <w:p w14:paraId="2E195778">
            <w:pPr>
              <w:rPr>
                <w:rFonts w:cs="仿宋_GB2312"/>
                <w:i w:val="0"/>
                <w:iCs w:val="0"/>
                <w:color w:val="auto"/>
                <w:sz w:val="24"/>
                <w:szCs w:val="24"/>
                <w:highlight w:val="none"/>
              </w:rPr>
            </w:pPr>
          </w:p>
        </w:tc>
        <w:tc>
          <w:tcPr>
            <w:tcW w:w="1560" w:type="dxa"/>
            <w:vAlign w:val="center"/>
          </w:tcPr>
          <w:p w14:paraId="49A8CC13">
            <w:pPr>
              <w:rPr>
                <w:rFonts w:cs="仿宋_GB2312"/>
                <w:i w:val="0"/>
                <w:iCs w:val="0"/>
                <w:color w:val="auto"/>
                <w:sz w:val="24"/>
                <w:szCs w:val="24"/>
                <w:highlight w:val="none"/>
              </w:rPr>
            </w:pPr>
          </w:p>
        </w:tc>
        <w:tc>
          <w:tcPr>
            <w:tcW w:w="1068" w:type="dxa"/>
            <w:vAlign w:val="center"/>
          </w:tcPr>
          <w:p w14:paraId="2B509829">
            <w:pPr>
              <w:rPr>
                <w:rFonts w:cs="仿宋_GB2312"/>
                <w:i w:val="0"/>
                <w:iCs w:val="0"/>
                <w:color w:val="auto"/>
                <w:sz w:val="24"/>
                <w:szCs w:val="24"/>
                <w:highlight w:val="none"/>
              </w:rPr>
            </w:pPr>
          </w:p>
        </w:tc>
        <w:tc>
          <w:tcPr>
            <w:tcW w:w="1197" w:type="dxa"/>
            <w:vAlign w:val="center"/>
          </w:tcPr>
          <w:p w14:paraId="185645D3">
            <w:pPr>
              <w:rPr>
                <w:rFonts w:cs="仿宋_GB2312"/>
                <w:i w:val="0"/>
                <w:iCs w:val="0"/>
                <w:color w:val="auto"/>
                <w:sz w:val="24"/>
                <w:szCs w:val="24"/>
                <w:highlight w:val="none"/>
              </w:rPr>
            </w:pPr>
          </w:p>
        </w:tc>
      </w:tr>
      <w:tr w14:paraId="624A4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4428D324">
            <w:pPr>
              <w:jc w:val="center"/>
              <w:rPr>
                <w:rFonts w:cs="仿宋_GB2312"/>
                <w:i w:val="0"/>
                <w:iCs w:val="0"/>
                <w:color w:val="auto"/>
                <w:sz w:val="24"/>
                <w:szCs w:val="24"/>
                <w:highlight w:val="none"/>
              </w:rPr>
            </w:pPr>
            <w:r>
              <w:rPr>
                <w:rFonts w:hint="eastAsia" w:cs="仿宋_GB2312"/>
                <w:i w:val="0"/>
                <w:iCs w:val="0"/>
                <w:color w:val="auto"/>
                <w:sz w:val="24"/>
                <w:szCs w:val="24"/>
                <w:highlight w:val="none"/>
              </w:rPr>
              <w:t>3</w:t>
            </w:r>
          </w:p>
        </w:tc>
        <w:tc>
          <w:tcPr>
            <w:tcW w:w="1295" w:type="dxa"/>
            <w:vAlign w:val="center"/>
          </w:tcPr>
          <w:p w14:paraId="46AEF6AC">
            <w:pPr>
              <w:rPr>
                <w:rFonts w:cs="仿宋_GB2312"/>
                <w:i w:val="0"/>
                <w:iCs w:val="0"/>
                <w:color w:val="auto"/>
                <w:sz w:val="24"/>
                <w:szCs w:val="24"/>
                <w:highlight w:val="none"/>
              </w:rPr>
            </w:pPr>
          </w:p>
        </w:tc>
        <w:tc>
          <w:tcPr>
            <w:tcW w:w="1295" w:type="dxa"/>
            <w:vAlign w:val="center"/>
          </w:tcPr>
          <w:p w14:paraId="601B0208">
            <w:pPr>
              <w:rPr>
                <w:rFonts w:cs="仿宋_GB2312"/>
                <w:i w:val="0"/>
                <w:iCs w:val="0"/>
                <w:color w:val="auto"/>
                <w:sz w:val="24"/>
                <w:szCs w:val="24"/>
                <w:highlight w:val="none"/>
              </w:rPr>
            </w:pPr>
          </w:p>
        </w:tc>
        <w:tc>
          <w:tcPr>
            <w:tcW w:w="1240" w:type="dxa"/>
            <w:vAlign w:val="center"/>
          </w:tcPr>
          <w:p w14:paraId="56885EE6">
            <w:pPr>
              <w:rPr>
                <w:rFonts w:cs="仿宋_GB2312"/>
                <w:i w:val="0"/>
                <w:iCs w:val="0"/>
                <w:color w:val="auto"/>
                <w:sz w:val="24"/>
                <w:szCs w:val="24"/>
                <w:highlight w:val="none"/>
              </w:rPr>
            </w:pPr>
          </w:p>
        </w:tc>
        <w:tc>
          <w:tcPr>
            <w:tcW w:w="1416" w:type="dxa"/>
            <w:vAlign w:val="center"/>
          </w:tcPr>
          <w:p w14:paraId="00552B19">
            <w:pPr>
              <w:rPr>
                <w:rFonts w:cs="仿宋_GB2312"/>
                <w:i w:val="0"/>
                <w:iCs w:val="0"/>
                <w:color w:val="auto"/>
                <w:sz w:val="24"/>
                <w:szCs w:val="24"/>
                <w:highlight w:val="none"/>
              </w:rPr>
            </w:pPr>
          </w:p>
        </w:tc>
        <w:tc>
          <w:tcPr>
            <w:tcW w:w="1560" w:type="dxa"/>
            <w:vAlign w:val="center"/>
          </w:tcPr>
          <w:p w14:paraId="77BC6128">
            <w:pPr>
              <w:rPr>
                <w:rFonts w:cs="仿宋_GB2312"/>
                <w:i w:val="0"/>
                <w:iCs w:val="0"/>
                <w:color w:val="auto"/>
                <w:sz w:val="24"/>
                <w:szCs w:val="24"/>
                <w:highlight w:val="none"/>
              </w:rPr>
            </w:pPr>
          </w:p>
        </w:tc>
        <w:tc>
          <w:tcPr>
            <w:tcW w:w="1068" w:type="dxa"/>
            <w:vAlign w:val="center"/>
          </w:tcPr>
          <w:p w14:paraId="143DFC44">
            <w:pPr>
              <w:rPr>
                <w:rFonts w:cs="仿宋_GB2312"/>
                <w:i w:val="0"/>
                <w:iCs w:val="0"/>
                <w:color w:val="auto"/>
                <w:sz w:val="24"/>
                <w:szCs w:val="24"/>
                <w:highlight w:val="none"/>
              </w:rPr>
            </w:pPr>
          </w:p>
        </w:tc>
        <w:tc>
          <w:tcPr>
            <w:tcW w:w="1197" w:type="dxa"/>
            <w:vAlign w:val="center"/>
          </w:tcPr>
          <w:p w14:paraId="20173386">
            <w:pPr>
              <w:rPr>
                <w:rFonts w:cs="仿宋_GB2312"/>
                <w:i w:val="0"/>
                <w:iCs w:val="0"/>
                <w:color w:val="auto"/>
                <w:sz w:val="24"/>
                <w:szCs w:val="24"/>
                <w:highlight w:val="none"/>
              </w:rPr>
            </w:pPr>
          </w:p>
        </w:tc>
      </w:tr>
      <w:tr w14:paraId="3BC2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83" w:type="dxa"/>
            <w:vAlign w:val="center"/>
          </w:tcPr>
          <w:p w14:paraId="433A34E7">
            <w:pPr>
              <w:jc w:val="center"/>
              <w:rPr>
                <w:rFonts w:cs="仿宋_GB2312"/>
                <w:i w:val="0"/>
                <w:iCs w:val="0"/>
                <w:color w:val="auto"/>
                <w:sz w:val="24"/>
                <w:szCs w:val="24"/>
                <w:highlight w:val="none"/>
              </w:rPr>
            </w:pPr>
            <w:r>
              <w:rPr>
                <w:rFonts w:hint="eastAsia" w:cs="仿宋_GB2312"/>
                <w:i w:val="0"/>
                <w:iCs w:val="0"/>
                <w:color w:val="auto"/>
                <w:sz w:val="24"/>
                <w:szCs w:val="24"/>
                <w:highlight w:val="none"/>
              </w:rPr>
              <w:t>…</w:t>
            </w:r>
          </w:p>
        </w:tc>
        <w:tc>
          <w:tcPr>
            <w:tcW w:w="1295" w:type="dxa"/>
            <w:vAlign w:val="center"/>
          </w:tcPr>
          <w:p w14:paraId="5D94CAA1">
            <w:pPr>
              <w:rPr>
                <w:rFonts w:cs="仿宋_GB2312"/>
                <w:i w:val="0"/>
                <w:iCs w:val="0"/>
                <w:color w:val="auto"/>
                <w:sz w:val="24"/>
                <w:szCs w:val="24"/>
                <w:highlight w:val="none"/>
              </w:rPr>
            </w:pPr>
          </w:p>
        </w:tc>
        <w:tc>
          <w:tcPr>
            <w:tcW w:w="1295" w:type="dxa"/>
            <w:vAlign w:val="center"/>
          </w:tcPr>
          <w:p w14:paraId="48AC7386">
            <w:pPr>
              <w:rPr>
                <w:rFonts w:cs="仿宋_GB2312"/>
                <w:i w:val="0"/>
                <w:iCs w:val="0"/>
                <w:color w:val="auto"/>
                <w:sz w:val="24"/>
                <w:szCs w:val="24"/>
                <w:highlight w:val="none"/>
              </w:rPr>
            </w:pPr>
          </w:p>
        </w:tc>
        <w:tc>
          <w:tcPr>
            <w:tcW w:w="1240" w:type="dxa"/>
            <w:vAlign w:val="center"/>
          </w:tcPr>
          <w:p w14:paraId="20172F35">
            <w:pPr>
              <w:rPr>
                <w:rFonts w:cs="仿宋_GB2312"/>
                <w:i w:val="0"/>
                <w:iCs w:val="0"/>
                <w:color w:val="auto"/>
                <w:sz w:val="24"/>
                <w:szCs w:val="24"/>
                <w:highlight w:val="none"/>
              </w:rPr>
            </w:pPr>
          </w:p>
        </w:tc>
        <w:tc>
          <w:tcPr>
            <w:tcW w:w="1416" w:type="dxa"/>
            <w:vAlign w:val="center"/>
          </w:tcPr>
          <w:p w14:paraId="75CF74D1">
            <w:pPr>
              <w:rPr>
                <w:rFonts w:cs="仿宋_GB2312"/>
                <w:i w:val="0"/>
                <w:iCs w:val="0"/>
                <w:color w:val="auto"/>
                <w:sz w:val="24"/>
                <w:szCs w:val="24"/>
                <w:highlight w:val="none"/>
              </w:rPr>
            </w:pPr>
          </w:p>
        </w:tc>
        <w:tc>
          <w:tcPr>
            <w:tcW w:w="1560" w:type="dxa"/>
            <w:vAlign w:val="center"/>
          </w:tcPr>
          <w:p w14:paraId="52CF4BF0">
            <w:pPr>
              <w:rPr>
                <w:rFonts w:cs="仿宋_GB2312"/>
                <w:i w:val="0"/>
                <w:iCs w:val="0"/>
                <w:color w:val="auto"/>
                <w:sz w:val="24"/>
                <w:szCs w:val="24"/>
                <w:highlight w:val="none"/>
              </w:rPr>
            </w:pPr>
          </w:p>
        </w:tc>
        <w:tc>
          <w:tcPr>
            <w:tcW w:w="1068" w:type="dxa"/>
            <w:vAlign w:val="center"/>
          </w:tcPr>
          <w:p w14:paraId="13901816">
            <w:pPr>
              <w:rPr>
                <w:rFonts w:cs="仿宋_GB2312"/>
                <w:i w:val="0"/>
                <w:iCs w:val="0"/>
                <w:color w:val="auto"/>
                <w:sz w:val="24"/>
                <w:szCs w:val="24"/>
                <w:highlight w:val="none"/>
              </w:rPr>
            </w:pPr>
          </w:p>
        </w:tc>
        <w:tc>
          <w:tcPr>
            <w:tcW w:w="1197" w:type="dxa"/>
            <w:vAlign w:val="center"/>
          </w:tcPr>
          <w:p w14:paraId="52BCFD5F">
            <w:pPr>
              <w:rPr>
                <w:rFonts w:cs="仿宋_GB2312"/>
                <w:i w:val="0"/>
                <w:iCs w:val="0"/>
                <w:color w:val="auto"/>
                <w:sz w:val="24"/>
                <w:szCs w:val="24"/>
                <w:highlight w:val="none"/>
              </w:rPr>
            </w:pPr>
          </w:p>
        </w:tc>
      </w:tr>
      <w:bookmarkEnd w:id="1249"/>
    </w:tbl>
    <w:p w14:paraId="434280D6">
      <w:pPr>
        <w:rPr>
          <w:rFonts w:hint="eastAsia" w:cs="仿宋_GB2312"/>
          <w:i w:val="0"/>
          <w:iCs w:val="0"/>
          <w:color w:val="auto"/>
          <w:szCs w:val="24"/>
          <w:highlight w:val="none"/>
        </w:rPr>
      </w:pPr>
    </w:p>
    <w:p w14:paraId="58FF379C">
      <w:pPr>
        <w:rPr>
          <w:rFonts w:cs="仿宋_GB2312"/>
          <w:i w:val="0"/>
          <w:iCs w:val="0"/>
          <w:color w:val="auto"/>
          <w:sz w:val="21"/>
          <w:szCs w:val="21"/>
          <w:highlight w:val="none"/>
        </w:rPr>
      </w:pPr>
      <w:r>
        <w:rPr>
          <w:rFonts w:hint="eastAsia" w:cs="仿宋_GB2312"/>
          <w:i w:val="0"/>
          <w:iCs w:val="0"/>
          <w:color w:val="auto"/>
          <w:sz w:val="21"/>
          <w:szCs w:val="21"/>
          <w:highlight w:val="none"/>
        </w:rPr>
        <w:t>注：</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须按上表提供相应的</w:t>
      </w:r>
      <w:r>
        <w:rPr>
          <w:rFonts w:hint="eastAsia" w:cs="仿宋_GB2312"/>
          <w:i w:val="0"/>
          <w:iCs w:val="0"/>
          <w:color w:val="auto"/>
          <w:sz w:val="21"/>
          <w:szCs w:val="21"/>
          <w:highlight w:val="none"/>
          <w:lang w:val="en-US" w:eastAsia="zh-CN"/>
        </w:rPr>
        <w:t>中标（成交）通知书、采购合同等</w:t>
      </w:r>
      <w:r>
        <w:rPr>
          <w:rFonts w:hint="eastAsia" w:cs="仿宋_GB2312"/>
          <w:i w:val="0"/>
          <w:iCs w:val="0"/>
          <w:color w:val="auto"/>
          <w:sz w:val="21"/>
          <w:szCs w:val="21"/>
          <w:highlight w:val="none"/>
        </w:rPr>
        <w:t>业绩证明资料。</w:t>
      </w:r>
    </w:p>
    <w:p w14:paraId="5DB99613">
      <w:pPr>
        <w:widowControl/>
        <w:spacing w:before="100" w:beforeAutospacing="1" w:after="100" w:afterAutospacing="1"/>
        <w:rPr>
          <w:rFonts w:cs="Arial"/>
          <w:i w:val="0"/>
          <w:iCs w:val="0"/>
          <w:color w:val="auto"/>
          <w:szCs w:val="21"/>
          <w:highlight w:val="none"/>
        </w:rPr>
      </w:pPr>
    </w:p>
    <w:p w14:paraId="24086818">
      <w:pPr>
        <w:autoSpaceDE w:val="0"/>
        <w:autoSpaceDN w:val="0"/>
        <w:spacing w:line="360" w:lineRule="auto"/>
        <w:ind w:right="1120" w:firstLine="480" w:firstLineChars="200"/>
        <w:jc w:val="left"/>
        <w:rPr>
          <w:rFonts w:ascii="宋体" w:hAnsi="宋体" w:cs="宋体"/>
          <w:i w:val="0"/>
          <w:iCs w:val="0"/>
          <w:color w:val="auto"/>
          <w:kern w:val="0"/>
          <w:sz w:val="24"/>
          <w:szCs w:val="24"/>
          <w:highlight w:val="none"/>
          <w:lang w:val="zh-CN"/>
        </w:rPr>
      </w:pPr>
      <w:r>
        <w:rPr>
          <w:rFonts w:hint="eastAsia" w:cs="宋体"/>
          <w:i w:val="0"/>
          <w:iCs w:val="0"/>
          <w:color w:val="auto"/>
          <w:kern w:val="0"/>
          <w:sz w:val="24"/>
          <w:szCs w:val="24"/>
          <w:highlight w:val="none"/>
          <w:lang w:val="en-US" w:eastAsia="zh-CN"/>
        </w:rPr>
        <w:t>供应商</w:t>
      </w:r>
      <w:r>
        <w:rPr>
          <w:rFonts w:hint="eastAsia" w:ascii="宋体" w:hAnsi="宋体" w:cs="宋体"/>
          <w:i w:val="0"/>
          <w:iCs w:val="0"/>
          <w:color w:val="auto"/>
          <w:kern w:val="0"/>
          <w:sz w:val="24"/>
          <w:szCs w:val="24"/>
          <w:highlight w:val="none"/>
          <w:lang w:val="zh-CN"/>
        </w:rPr>
        <w:t>名称（</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 xml:space="preserve">）：                                                                                                                                                                                                               </w:t>
      </w:r>
    </w:p>
    <w:p w14:paraId="0C8E7138">
      <w:pPr>
        <w:ind w:firstLine="420"/>
        <w:rPr>
          <w:rFonts w:cs="仿宋_GB2312"/>
          <w:i w:val="0"/>
          <w:iCs w:val="0"/>
          <w:color w:val="auto"/>
          <w:szCs w:val="24"/>
          <w:highlight w:val="none"/>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095105C8">
      <w:pPr>
        <w:ind w:firstLine="420"/>
        <w:rPr>
          <w:rFonts w:cs="仿宋_GB2312"/>
          <w:i w:val="0"/>
          <w:iCs w:val="0"/>
          <w:color w:val="auto"/>
          <w:szCs w:val="24"/>
          <w:highlight w:val="none"/>
        </w:rPr>
      </w:pPr>
      <w:r>
        <w:rPr>
          <w:rFonts w:cs="仿宋_GB2312"/>
          <w:i w:val="0"/>
          <w:iCs w:val="0"/>
          <w:color w:val="auto"/>
          <w:szCs w:val="24"/>
          <w:highlight w:val="none"/>
        </w:rPr>
        <w:br w:type="page"/>
      </w:r>
    </w:p>
    <w:p w14:paraId="4E924C8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50" w:name="_Toc27235"/>
      <w:r>
        <w:rPr>
          <w:rFonts w:hint="eastAsia" w:cstheme="majorBidi"/>
          <w:b/>
          <w:bCs/>
          <w:i w:val="0"/>
          <w:iCs w:val="0"/>
          <w:color w:val="auto"/>
          <w:kern w:val="2"/>
          <w:sz w:val="32"/>
          <w:szCs w:val="32"/>
          <w:highlight w:val="none"/>
          <w:lang w:val="en-US" w:eastAsia="zh-CN" w:bidi="ar-SA"/>
        </w:rPr>
        <w:t>八</w:t>
      </w:r>
      <w:r>
        <w:rPr>
          <w:rFonts w:hint="eastAsia" w:eastAsia="宋体" w:asciiTheme="majorHAnsi" w:hAnsiTheme="majorHAnsi" w:cstheme="majorBidi"/>
          <w:b/>
          <w:bCs/>
          <w:i w:val="0"/>
          <w:iCs w:val="0"/>
          <w:color w:val="auto"/>
          <w:kern w:val="2"/>
          <w:sz w:val="32"/>
          <w:szCs w:val="32"/>
          <w:highlight w:val="none"/>
          <w:lang w:val="en-US" w:eastAsia="zh-CN" w:bidi="ar-SA"/>
        </w:rPr>
        <w:t>、拟派项目团队</w:t>
      </w:r>
      <w:bookmarkEnd w:id="1250"/>
    </w:p>
    <w:tbl>
      <w:tblPr>
        <w:tblStyle w:val="27"/>
        <w:tblW w:w="8945" w:type="dxa"/>
        <w:tblInd w:w="-1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204"/>
        <w:gridCol w:w="1140"/>
        <w:gridCol w:w="756"/>
        <w:gridCol w:w="1836"/>
        <w:gridCol w:w="1277"/>
        <w:gridCol w:w="816"/>
      </w:tblGrid>
      <w:tr w14:paraId="23B29F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44A1D47D">
            <w:pPr>
              <w:pStyle w:val="44"/>
              <w:jc w:val="center"/>
              <w:rPr>
                <w:i w:val="0"/>
                <w:iCs w:val="0"/>
                <w:color w:val="auto"/>
                <w:highlight w:val="none"/>
              </w:rPr>
            </w:pPr>
            <w:r>
              <w:rPr>
                <w:rFonts w:hint="eastAsia"/>
                <w:i w:val="0"/>
                <w:iCs w:val="0"/>
                <w:color w:val="auto"/>
                <w:highlight w:val="none"/>
              </w:rPr>
              <w:t>序号</w:t>
            </w:r>
          </w:p>
        </w:tc>
        <w:tc>
          <w:tcPr>
            <w:tcW w:w="1143" w:type="dxa"/>
            <w:vAlign w:val="center"/>
          </w:tcPr>
          <w:p w14:paraId="06896F70">
            <w:pPr>
              <w:pStyle w:val="44"/>
              <w:jc w:val="center"/>
              <w:rPr>
                <w:i w:val="0"/>
                <w:iCs w:val="0"/>
                <w:color w:val="auto"/>
                <w:highlight w:val="none"/>
              </w:rPr>
            </w:pPr>
            <w:r>
              <w:rPr>
                <w:rFonts w:hint="eastAsia"/>
                <w:i w:val="0"/>
                <w:iCs w:val="0"/>
                <w:color w:val="auto"/>
                <w:highlight w:val="none"/>
                <w:lang w:val="en-US" w:eastAsia="zh-CN"/>
              </w:rPr>
              <w:t>团队成员</w:t>
            </w:r>
          </w:p>
          <w:p w14:paraId="4131E775">
            <w:pPr>
              <w:pStyle w:val="44"/>
              <w:jc w:val="center"/>
              <w:rPr>
                <w:i w:val="0"/>
                <w:iCs w:val="0"/>
                <w:color w:val="auto"/>
                <w:highlight w:val="none"/>
              </w:rPr>
            </w:pPr>
            <w:r>
              <w:rPr>
                <w:rFonts w:hint="eastAsia"/>
                <w:i w:val="0"/>
                <w:iCs w:val="0"/>
                <w:color w:val="auto"/>
                <w:highlight w:val="none"/>
              </w:rPr>
              <w:t>姓名</w:t>
            </w:r>
          </w:p>
        </w:tc>
        <w:tc>
          <w:tcPr>
            <w:tcW w:w="1204" w:type="dxa"/>
            <w:tcBorders>
              <w:right w:val="single" w:color="auto" w:sz="4" w:space="0"/>
            </w:tcBorders>
            <w:vAlign w:val="center"/>
          </w:tcPr>
          <w:p w14:paraId="7A003668">
            <w:pPr>
              <w:pStyle w:val="44"/>
              <w:jc w:val="center"/>
              <w:rPr>
                <w:i w:val="0"/>
                <w:iCs w:val="0"/>
                <w:color w:val="auto"/>
                <w:highlight w:val="none"/>
              </w:rPr>
            </w:pPr>
            <w:r>
              <w:rPr>
                <w:rFonts w:hint="eastAsia"/>
                <w:i w:val="0"/>
                <w:iCs w:val="0"/>
                <w:color w:val="auto"/>
                <w:highlight w:val="none"/>
              </w:rPr>
              <w:t>工作单位</w:t>
            </w:r>
          </w:p>
        </w:tc>
        <w:tc>
          <w:tcPr>
            <w:tcW w:w="1140" w:type="dxa"/>
            <w:tcBorders>
              <w:left w:val="single" w:color="auto" w:sz="4" w:space="0"/>
            </w:tcBorders>
            <w:vAlign w:val="center"/>
          </w:tcPr>
          <w:p w14:paraId="1E2760FF">
            <w:pPr>
              <w:pStyle w:val="44"/>
              <w:jc w:val="center"/>
              <w:rPr>
                <w:i w:val="0"/>
                <w:iCs w:val="0"/>
                <w:color w:val="auto"/>
                <w:highlight w:val="none"/>
              </w:rPr>
            </w:pPr>
            <w:r>
              <w:rPr>
                <w:rFonts w:hint="eastAsia"/>
                <w:i w:val="0"/>
                <w:iCs w:val="0"/>
                <w:color w:val="auto"/>
                <w:highlight w:val="none"/>
              </w:rPr>
              <w:t>身份证号</w:t>
            </w:r>
          </w:p>
        </w:tc>
        <w:tc>
          <w:tcPr>
            <w:tcW w:w="756" w:type="dxa"/>
            <w:tcBorders>
              <w:left w:val="single" w:color="auto" w:sz="4" w:space="0"/>
            </w:tcBorders>
            <w:vAlign w:val="center"/>
          </w:tcPr>
          <w:p w14:paraId="1955E989">
            <w:pPr>
              <w:pStyle w:val="44"/>
              <w:jc w:val="center"/>
              <w:rPr>
                <w:i w:val="0"/>
                <w:iCs w:val="0"/>
                <w:color w:val="auto"/>
                <w:highlight w:val="none"/>
              </w:rPr>
            </w:pPr>
            <w:r>
              <w:rPr>
                <w:rFonts w:hint="eastAsia"/>
                <w:i w:val="0"/>
                <w:iCs w:val="0"/>
                <w:color w:val="auto"/>
                <w:highlight w:val="none"/>
              </w:rPr>
              <w:t>职称</w:t>
            </w:r>
          </w:p>
        </w:tc>
        <w:tc>
          <w:tcPr>
            <w:tcW w:w="1836" w:type="dxa"/>
            <w:vAlign w:val="center"/>
          </w:tcPr>
          <w:p w14:paraId="57503923">
            <w:pPr>
              <w:pStyle w:val="44"/>
              <w:jc w:val="center"/>
              <w:rPr>
                <w:rFonts w:hint="default" w:eastAsia="宋体"/>
                <w:i w:val="0"/>
                <w:iCs w:val="0"/>
                <w:color w:val="auto"/>
                <w:highlight w:val="none"/>
                <w:lang w:val="en-US" w:eastAsia="zh-CN"/>
              </w:rPr>
            </w:pPr>
            <w:r>
              <w:rPr>
                <w:rFonts w:hint="eastAsia"/>
                <w:i w:val="0"/>
                <w:iCs w:val="0"/>
                <w:color w:val="auto"/>
                <w:highlight w:val="none"/>
                <w:lang w:val="en-US" w:eastAsia="zh-CN"/>
              </w:rPr>
              <w:t>注册证书（岗位证书）名称及编号</w:t>
            </w:r>
          </w:p>
        </w:tc>
        <w:tc>
          <w:tcPr>
            <w:tcW w:w="1277" w:type="dxa"/>
            <w:vAlign w:val="center"/>
          </w:tcPr>
          <w:p w14:paraId="7D2284E1">
            <w:pPr>
              <w:pStyle w:val="44"/>
              <w:jc w:val="center"/>
              <w:rPr>
                <w:i w:val="0"/>
                <w:iCs w:val="0"/>
                <w:color w:val="auto"/>
                <w:highlight w:val="none"/>
              </w:rPr>
            </w:pPr>
            <w:r>
              <w:rPr>
                <w:rFonts w:hint="eastAsia" w:eastAsia="宋体"/>
                <w:i w:val="0"/>
                <w:iCs w:val="0"/>
                <w:color w:val="auto"/>
                <w:highlight w:val="none"/>
                <w:lang w:val="en-US" w:eastAsia="zh-CN"/>
              </w:rPr>
              <w:t>在团队中职务（岗位）</w:t>
            </w:r>
          </w:p>
        </w:tc>
        <w:tc>
          <w:tcPr>
            <w:tcW w:w="816" w:type="dxa"/>
            <w:vAlign w:val="center"/>
          </w:tcPr>
          <w:p w14:paraId="626902B6">
            <w:pPr>
              <w:pStyle w:val="44"/>
              <w:jc w:val="center"/>
              <w:rPr>
                <w:i w:val="0"/>
                <w:iCs w:val="0"/>
                <w:color w:val="auto"/>
                <w:highlight w:val="none"/>
              </w:rPr>
            </w:pPr>
            <w:r>
              <w:rPr>
                <w:rFonts w:hint="eastAsia"/>
                <w:i w:val="0"/>
                <w:iCs w:val="0"/>
                <w:color w:val="auto"/>
                <w:highlight w:val="none"/>
              </w:rPr>
              <w:t>自有</w:t>
            </w:r>
            <w:r>
              <w:rPr>
                <w:i w:val="0"/>
                <w:iCs w:val="0"/>
                <w:color w:val="auto"/>
                <w:highlight w:val="none"/>
              </w:rPr>
              <w:t>/外聘</w:t>
            </w:r>
          </w:p>
        </w:tc>
      </w:tr>
      <w:tr w14:paraId="09202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15DBB5AA">
            <w:pPr>
              <w:pStyle w:val="44"/>
              <w:jc w:val="center"/>
              <w:rPr>
                <w:i w:val="0"/>
                <w:iCs w:val="0"/>
                <w:color w:val="auto"/>
                <w:highlight w:val="none"/>
              </w:rPr>
            </w:pPr>
            <w:bookmarkStart w:id="1251" w:name="_Toc99533292"/>
            <w:bookmarkStart w:id="1252" w:name="_Toc100090784"/>
            <w:r>
              <w:rPr>
                <w:rFonts w:hint="eastAsia"/>
                <w:i w:val="0"/>
                <w:iCs w:val="0"/>
                <w:color w:val="auto"/>
                <w:highlight w:val="none"/>
              </w:rPr>
              <w:t>1</w:t>
            </w:r>
            <w:bookmarkEnd w:id="1251"/>
            <w:bookmarkEnd w:id="1252"/>
          </w:p>
        </w:tc>
        <w:tc>
          <w:tcPr>
            <w:tcW w:w="1143" w:type="dxa"/>
            <w:vAlign w:val="center"/>
          </w:tcPr>
          <w:p w14:paraId="0D3CEC33">
            <w:pPr>
              <w:pStyle w:val="44"/>
              <w:jc w:val="center"/>
              <w:rPr>
                <w:i w:val="0"/>
                <w:iCs w:val="0"/>
                <w:color w:val="auto"/>
                <w:highlight w:val="none"/>
              </w:rPr>
            </w:pPr>
          </w:p>
        </w:tc>
        <w:tc>
          <w:tcPr>
            <w:tcW w:w="1204" w:type="dxa"/>
            <w:tcBorders>
              <w:right w:val="single" w:color="auto" w:sz="4" w:space="0"/>
            </w:tcBorders>
            <w:vAlign w:val="center"/>
          </w:tcPr>
          <w:p w14:paraId="12684669">
            <w:pPr>
              <w:pStyle w:val="44"/>
              <w:jc w:val="center"/>
              <w:rPr>
                <w:i w:val="0"/>
                <w:iCs w:val="0"/>
                <w:color w:val="auto"/>
                <w:highlight w:val="none"/>
              </w:rPr>
            </w:pPr>
          </w:p>
        </w:tc>
        <w:tc>
          <w:tcPr>
            <w:tcW w:w="1140" w:type="dxa"/>
            <w:tcBorders>
              <w:left w:val="single" w:color="auto" w:sz="4" w:space="0"/>
            </w:tcBorders>
            <w:vAlign w:val="center"/>
          </w:tcPr>
          <w:p w14:paraId="3952353B">
            <w:pPr>
              <w:pStyle w:val="44"/>
              <w:jc w:val="center"/>
              <w:rPr>
                <w:i w:val="0"/>
                <w:iCs w:val="0"/>
                <w:color w:val="auto"/>
                <w:highlight w:val="none"/>
              </w:rPr>
            </w:pPr>
          </w:p>
        </w:tc>
        <w:tc>
          <w:tcPr>
            <w:tcW w:w="756" w:type="dxa"/>
            <w:tcBorders>
              <w:left w:val="single" w:color="auto" w:sz="4" w:space="0"/>
            </w:tcBorders>
            <w:vAlign w:val="center"/>
          </w:tcPr>
          <w:p w14:paraId="36890BC1">
            <w:pPr>
              <w:pStyle w:val="44"/>
              <w:jc w:val="center"/>
              <w:rPr>
                <w:i w:val="0"/>
                <w:iCs w:val="0"/>
                <w:color w:val="auto"/>
                <w:highlight w:val="none"/>
              </w:rPr>
            </w:pPr>
          </w:p>
        </w:tc>
        <w:tc>
          <w:tcPr>
            <w:tcW w:w="1836" w:type="dxa"/>
            <w:vAlign w:val="center"/>
          </w:tcPr>
          <w:p w14:paraId="66425032">
            <w:pPr>
              <w:pStyle w:val="44"/>
              <w:jc w:val="center"/>
              <w:rPr>
                <w:i w:val="0"/>
                <w:iCs w:val="0"/>
                <w:color w:val="auto"/>
                <w:highlight w:val="none"/>
              </w:rPr>
            </w:pPr>
          </w:p>
        </w:tc>
        <w:tc>
          <w:tcPr>
            <w:tcW w:w="1277" w:type="dxa"/>
            <w:vAlign w:val="center"/>
          </w:tcPr>
          <w:p w14:paraId="2148FD62">
            <w:pPr>
              <w:pStyle w:val="44"/>
              <w:jc w:val="center"/>
              <w:rPr>
                <w:i w:val="0"/>
                <w:iCs w:val="0"/>
                <w:color w:val="auto"/>
                <w:highlight w:val="none"/>
              </w:rPr>
            </w:pPr>
          </w:p>
        </w:tc>
        <w:tc>
          <w:tcPr>
            <w:tcW w:w="816" w:type="dxa"/>
            <w:vAlign w:val="center"/>
          </w:tcPr>
          <w:p w14:paraId="69E0652E">
            <w:pPr>
              <w:pStyle w:val="44"/>
              <w:jc w:val="center"/>
              <w:rPr>
                <w:i w:val="0"/>
                <w:iCs w:val="0"/>
                <w:color w:val="auto"/>
                <w:highlight w:val="none"/>
              </w:rPr>
            </w:pPr>
          </w:p>
        </w:tc>
      </w:tr>
      <w:tr w14:paraId="0C38B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A0B7EE5">
            <w:pPr>
              <w:pStyle w:val="44"/>
              <w:jc w:val="center"/>
              <w:rPr>
                <w:i w:val="0"/>
                <w:iCs w:val="0"/>
                <w:color w:val="auto"/>
                <w:highlight w:val="none"/>
              </w:rPr>
            </w:pPr>
            <w:bookmarkStart w:id="1253" w:name="_Toc99533293"/>
            <w:bookmarkStart w:id="1254" w:name="_Toc100090785"/>
            <w:r>
              <w:rPr>
                <w:rFonts w:hint="eastAsia"/>
                <w:i w:val="0"/>
                <w:iCs w:val="0"/>
                <w:color w:val="auto"/>
                <w:highlight w:val="none"/>
              </w:rPr>
              <w:t>2</w:t>
            </w:r>
            <w:bookmarkEnd w:id="1253"/>
            <w:bookmarkEnd w:id="1254"/>
          </w:p>
        </w:tc>
        <w:tc>
          <w:tcPr>
            <w:tcW w:w="1143" w:type="dxa"/>
            <w:vAlign w:val="center"/>
          </w:tcPr>
          <w:p w14:paraId="0DE2AA09">
            <w:pPr>
              <w:pStyle w:val="44"/>
              <w:jc w:val="center"/>
              <w:rPr>
                <w:i w:val="0"/>
                <w:iCs w:val="0"/>
                <w:color w:val="auto"/>
                <w:highlight w:val="none"/>
              </w:rPr>
            </w:pPr>
          </w:p>
        </w:tc>
        <w:tc>
          <w:tcPr>
            <w:tcW w:w="1204" w:type="dxa"/>
            <w:tcBorders>
              <w:right w:val="single" w:color="auto" w:sz="4" w:space="0"/>
            </w:tcBorders>
            <w:vAlign w:val="center"/>
          </w:tcPr>
          <w:p w14:paraId="65B29372">
            <w:pPr>
              <w:pStyle w:val="44"/>
              <w:jc w:val="center"/>
              <w:rPr>
                <w:i w:val="0"/>
                <w:iCs w:val="0"/>
                <w:color w:val="auto"/>
                <w:highlight w:val="none"/>
              </w:rPr>
            </w:pPr>
          </w:p>
        </w:tc>
        <w:tc>
          <w:tcPr>
            <w:tcW w:w="1140" w:type="dxa"/>
            <w:tcBorders>
              <w:left w:val="single" w:color="auto" w:sz="4" w:space="0"/>
            </w:tcBorders>
            <w:vAlign w:val="center"/>
          </w:tcPr>
          <w:p w14:paraId="32395576">
            <w:pPr>
              <w:pStyle w:val="44"/>
              <w:jc w:val="center"/>
              <w:rPr>
                <w:i w:val="0"/>
                <w:iCs w:val="0"/>
                <w:color w:val="auto"/>
                <w:highlight w:val="none"/>
              </w:rPr>
            </w:pPr>
          </w:p>
        </w:tc>
        <w:tc>
          <w:tcPr>
            <w:tcW w:w="756" w:type="dxa"/>
            <w:tcBorders>
              <w:left w:val="single" w:color="auto" w:sz="4" w:space="0"/>
            </w:tcBorders>
            <w:vAlign w:val="center"/>
          </w:tcPr>
          <w:p w14:paraId="79F4FDA7">
            <w:pPr>
              <w:pStyle w:val="44"/>
              <w:jc w:val="center"/>
              <w:rPr>
                <w:i w:val="0"/>
                <w:iCs w:val="0"/>
                <w:color w:val="auto"/>
                <w:highlight w:val="none"/>
              </w:rPr>
            </w:pPr>
          </w:p>
        </w:tc>
        <w:tc>
          <w:tcPr>
            <w:tcW w:w="1836" w:type="dxa"/>
            <w:vAlign w:val="center"/>
          </w:tcPr>
          <w:p w14:paraId="7C034AB7">
            <w:pPr>
              <w:pStyle w:val="44"/>
              <w:jc w:val="center"/>
              <w:rPr>
                <w:i w:val="0"/>
                <w:iCs w:val="0"/>
                <w:color w:val="auto"/>
                <w:highlight w:val="none"/>
              </w:rPr>
            </w:pPr>
          </w:p>
        </w:tc>
        <w:tc>
          <w:tcPr>
            <w:tcW w:w="1277" w:type="dxa"/>
            <w:vAlign w:val="center"/>
          </w:tcPr>
          <w:p w14:paraId="77E48E09">
            <w:pPr>
              <w:pStyle w:val="44"/>
              <w:jc w:val="center"/>
              <w:rPr>
                <w:i w:val="0"/>
                <w:iCs w:val="0"/>
                <w:color w:val="auto"/>
                <w:highlight w:val="none"/>
              </w:rPr>
            </w:pPr>
          </w:p>
        </w:tc>
        <w:tc>
          <w:tcPr>
            <w:tcW w:w="816" w:type="dxa"/>
            <w:vAlign w:val="center"/>
          </w:tcPr>
          <w:p w14:paraId="5F5A41B2">
            <w:pPr>
              <w:pStyle w:val="44"/>
              <w:jc w:val="center"/>
              <w:rPr>
                <w:i w:val="0"/>
                <w:iCs w:val="0"/>
                <w:color w:val="auto"/>
                <w:highlight w:val="none"/>
              </w:rPr>
            </w:pPr>
          </w:p>
        </w:tc>
      </w:tr>
      <w:tr w14:paraId="364DC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71098136">
            <w:pPr>
              <w:pStyle w:val="44"/>
              <w:jc w:val="center"/>
              <w:rPr>
                <w:i w:val="0"/>
                <w:iCs w:val="0"/>
                <w:color w:val="auto"/>
                <w:highlight w:val="none"/>
              </w:rPr>
            </w:pPr>
            <w:bookmarkStart w:id="1255" w:name="_Toc99533294"/>
            <w:bookmarkStart w:id="1256" w:name="_Toc100090786"/>
            <w:r>
              <w:rPr>
                <w:rFonts w:hint="eastAsia"/>
                <w:i w:val="0"/>
                <w:iCs w:val="0"/>
                <w:color w:val="auto"/>
                <w:highlight w:val="none"/>
              </w:rPr>
              <w:t>3</w:t>
            </w:r>
            <w:bookmarkEnd w:id="1255"/>
            <w:bookmarkEnd w:id="1256"/>
          </w:p>
        </w:tc>
        <w:tc>
          <w:tcPr>
            <w:tcW w:w="1143" w:type="dxa"/>
            <w:vAlign w:val="center"/>
          </w:tcPr>
          <w:p w14:paraId="65BF25AF">
            <w:pPr>
              <w:pStyle w:val="44"/>
              <w:jc w:val="center"/>
              <w:rPr>
                <w:i w:val="0"/>
                <w:iCs w:val="0"/>
                <w:color w:val="auto"/>
                <w:highlight w:val="none"/>
              </w:rPr>
            </w:pPr>
          </w:p>
        </w:tc>
        <w:tc>
          <w:tcPr>
            <w:tcW w:w="1204" w:type="dxa"/>
            <w:tcBorders>
              <w:right w:val="single" w:color="auto" w:sz="4" w:space="0"/>
            </w:tcBorders>
            <w:vAlign w:val="center"/>
          </w:tcPr>
          <w:p w14:paraId="4557A193">
            <w:pPr>
              <w:pStyle w:val="44"/>
              <w:jc w:val="center"/>
              <w:rPr>
                <w:i w:val="0"/>
                <w:iCs w:val="0"/>
                <w:color w:val="auto"/>
                <w:highlight w:val="none"/>
              </w:rPr>
            </w:pPr>
          </w:p>
        </w:tc>
        <w:tc>
          <w:tcPr>
            <w:tcW w:w="1140" w:type="dxa"/>
            <w:tcBorders>
              <w:left w:val="single" w:color="auto" w:sz="4" w:space="0"/>
            </w:tcBorders>
            <w:vAlign w:val="center"/>
          </w:tcPr>
          <w:p w14:paraId="2409DFBA">
            <w:pPr>
              <w:pStyle w:val="44"/>
              <w:jc w:val="center"/>
              <w:rPr>
                <w:i w:val="0"/>
                <w:iCs w:val="0"/>
                <w:color w:val="auto"/>
                <w:highlight w:val="none"/>
              </w:rPr>
            </w:pPr>
          </w:p>
        </w:tc>
        <w:tc>
          <w:tcPr>
            <w:tcW w:w="756" w:type="dxa"/>
            <w:tcBorders>
              <w:left w:val="single" w:color="auto" w:sz="4" w:space="0"/>
            </w:tcBorders>
            <w:vAlign w:val="center"/>
          </w:tcPr>
          <w:p w14:paraId="069AB07B">
            <w:pPr>
              <w:pStyle w:val="44"/>
              <w:jc w:val="center"/>
              <w:rPr>
                <w:i w:val="0"/>
                <w:iCs w:val="0"/>
                <w:color w:val="auto"/>
                <w:highlight w:val="none"/>
              </w:rPr>
            </w:pPr>
          </w:p>
        </w:tc>
        <w:tc>
          <w:tcPr>
            <w:tcW w:w="1836" w:type="dxa"/>
            <w:vAlign w:val="center"/>
          </w:tcPr>
          <w:p w14:paraId="68C1087B">
            <w:pPr>
              <w:pStyle w:val="44"/>
              <w:jc w:val="center"/>
              <w:rPr>
                <w:i w:val="0"/>
                <w:iCs w:val="0"/>
                <w:color w:val="auto"/>
                <w:highlight w:val="none"/>
              </w:rPr>
            </w:pPr>
          </w:p>
        </w:tc>
        <w:tc>
          <w:tcPr>
            <w:tcW w:w="1277" w:type="dxa"/>
            <w:vAlign w:val="center"/>
          </w:tcPr>
          <w:p w14:paraId="107FDE9E">
            <w:pPr>
              <w:pStyle w:val="44"/>
              <w:jc w:val="center"/>
              <w:rPr>
                <w:i w:val="0"/>
                <w:iCs w:val="0"/>
                <w:color w:val="auto"/>
                <w:highlight w:val="none"/>
              </w:rPr>
            </w:pPr>
          </w:p>
        </w:tc>
        <w:tc>
          <w:tcPr>
            <w:tcW w:w="816" w:type="dxa"/>
            <w:vAlign w:val="center"/>
          </w:tcPr>
          <w:p w14:paraId="35A7CF6F">
            <w:pPr>
              <w:pStyle w:val="44"/>
              <w:jc w:val="center"/>
              <w:rPr>
                <w:i w:val="0"/>
                <w:iCs w:val="0"/>
                <w:color w:val="auto"/>
                <w:highlight w:val="none"/>
              </w:rPr>
            </w:pPr>
          </w:p>
        </w:tc>
      </w:tr>
      <w:tr w14:paraId="74F5E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7EB655AF">
            <w:pPr>
              <w:pStyle w:val="44"/>
              <w:jc w:val="center"/>
              <w:rPr>
                <w:i w:val="0"/>
                <w:iCs w:val="0"/>
                <w:color w:val="auto"/>
                <w:highlight w:val="none"/>
              </w:rPr>
            </w:pPr>
            <w:bookmarkStart w:id="1257" w:name="_Toc99533295"/>
            <w:bookmarkStart w:id="1258" w:name="_Toc100090787"/>
            <w:r>
              <w:rPr>
                <w:rFonts w:hint="eastAsia"/>
                <w:i w:val="0"/>
                <w:iCs w:val="0"/>
                <w:color w:val="auto"/>
                <w:highlight w:val="none"/>
              </w:rPr>
              <w:t>4</w:t>
            </w:r>
            <w:bookmarkEnd w:id="1257"/>
            <w:bookmarkEnd w:id="1258"/>
          </w:p>
        </w:tc>
        <w:tc>
          <w:tcPr>
            <w:tcW w:w="1143" w:type="dxa"/>
            <w:vAlign w:val="center"/>
          </w:tcPr>
          <w:p w14:paraId="4FD9BC22">
            <w:pPr>
              <w:pStyle w:val="44"/>
              <w:jc w:val="center"/>
              <w:rPr>
                <w:i w:val="0"/>
                <w:iCs w:val="0"/>
                <w:color w:val="auto"/>
                <w:highlight w:val="none"/>
              </w:rPr>
            </w:pPr>
          </w:p>
        </w:tc>
        <w:tc>
          <w:tcPr>
            <w:tcW w:w="1204" w:type="dxa"/>
            <w:tcBorders>
              <w:right w:val="single" w:color="auto" w:sz="4" w:space="0"/>
            </w:tcBorders>
            <w:vAlign w:val="center"/>
          </w:tcPr>
          <w:p w14:paraId="3072B13C">
            <w:pPr>
              <w:pStyle w:val="44"/>
              <w:jc w:val="center"/>
              <w:rPr>
                <w:i w:val="0"/>
                <w:iCs w:val="0"/>
                <w:color w:val="auto"/>
                <w:highlight w:val="none"/>
              </w:rPr>
            </w:pPr>
          </w:p>
        </w:tc>
        <w:tc>
          <w:tcPr>
            <w:tcW w:w="1140" w:type="dxa"/>
            <w:tcBorders>
              <w:left w:val="single" w:color="auto" w:sz="4" w:space="0"/>
            </w:tcBorders>
            <w:vAlign w:val="center"/>
          </w:tcPr>
          <w:p w14:paraId="7CF007DD">
            <w:pPr>
              <w:pStyle w:val="44"/>
              <w:jc w:val="center"/>
              <w:rPr>
                <w:i w:val="0"/>
                <w:iCs w:val="0"/>
                <w:color w:val="auto"/>
                <w:highlight w:val="none"/>
              </w:rPr>
            </w:pPr>
          </w:p>
        </w:tc>
        <w:tc>
          <w:tcPr>
            <w:tcW w:w="756" w:type="dxa"/>
            <w:tcBorders>
              <w:left w:val="single" w:color="auto" w:sz="4" w:space="0"/>
            </w:tcBorders>
            <w:vAlign w:val="center"/>
          </w:tcPr>
          <w:p w14:paraId="1ECAB603">
            <w:pPr>
              <w:pStyle w:val="44"/>
              <w:jc w:val="center"/>
              <w:rPr>
                <w:i w:val="0"/>
                <w:iCs w:val="0"/>
                <w:color w:val="auto"/>
                <w:highlight w:val="none"/>
              </w:rPr>
            </w:pPr>
          </w:p>
        </w:tc>
        <w:tc>
          <w:tcPr>
            <w:tcW w:w="1836" w:type="dxa"/>
            <w:vAlign w:val="center"/>
          </w:tcPr>
          <w:p w14:paraId="3A3079A1">
            <w:pPr>
              <w:pStyle w:val="44"/>
              <w:jc w:val="center"/>
              <w:rPr>
                <w:i w:val="0"/>
                <w:iCs w:val="0"/>
                <w:color w:val="auto"/>
                <w:highlight w:val="none"/>
              </w:rPr>
            </w:pPr>
          </w:p>
        </w:tc>
        <w:tc>
          <w:tcPr>
            <w:tcW w:w="1277" w:type="dxa"/>
            <w:vAlign w:val="center"/>
          </w:tcPr>
          <w:p w14:paraId="7A6D63FA">
            <w:pPr>
              <w:pStyle w:val="44"/>
              <w:jc w:val="center"/>
              <w:rPr>
                <w:i w:val="0"/>
                <w:iCs w:val="0"/>
                <w:color w:val="auto"/>
                <w:highlight w:val="none"/>
              </w:rPr>
            </w:pPr>
          </w:p>
        </w:tc>
        <w:tc>
          <w:tcPr>
            <w:tcW w:w="816" w:type="dxa"/>
            <w:vAlign w:val="center"/>
          </w:tcPr>
          <w:p w14:paraId="0BEC0EB5">
            <w:pPr>
              <w:pStyle w:val="44"/>
              <w:jc w:val="center"/>
              <w:rPr>
                <w:i w:val="0"/>
                <w:iCs w:val="0"/>
                <w:color w:val="auto"/>
                <w:highlight w:val="none"/>
              </w:rPr>
            </w:pPr>
          </w:p>
        </w:tc>
      </w:tr>
      <w:tr w14:paraId="7DC6F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9B75283">
            <w:pPr>
              <w:pStyle w:val="44"/>
              <w:jc w:val="center"/>
              <w:rPr>
                <w:i w:val="0"/>
                <w:iCs w:val="0"/>
                <w:color w:val="auto"/>
                <w:highlight w:val="none"/>
              </w:rPr>
            </w:pPr>
            <w:bookmarkStart w:id="1259" w:name="_Toc99533296"/>
            <w:bookmarkStart w:id="1260" w:name="_Toc100090788"/>
            <w:r>
              <w:rPr>
                <w:rFonts w:hint="eastAsia"/>
                <w:i w:val="0"/>
                <w:iCs w:val="0"/>
                <w:color w:val="auto"/>
                <w:highlight w:val="none"/>
              </w:rPr>
              <w:t>5</w:t>
            </w:r>
            <w:bookmarkEnd w:id="1259"/>
            <w:bookmarkEnd w:id="1260"/>
          </w:p>
        </w:tc>
        <w:tc>
          <w:tcPr>
            <w:tcW w:w="1143" w:type="dxa"/>
            <w:vAlign w:val="center"/>
          </w:tcPr>
          <w:p w14:paraId="7571DCBB">
            <w:pPr>
              <w:pStyle w:val="44"/>
              <w:jc w:val="center"/>
              <w:rPr>
                <w:i w:val="0"/>
                <w:iCs w:val="0"/>
                <w:color w:val="auto"/>
                <w:highlight w:val="none"/>
              </w:rPr>
            </w:pPr>
          </w:p>
        </w:tc>
        <w:tc>
          <w:tcPr>
            <w:tcW w:w="1204" w:type="dxa"/>
            <w:tcBorders>
              <w:right w:val="single" w:color="auto" w:sz="4" w:space="0"/>
            </w:tcBorders>
            <w:vAlign w:val="center"/>
          </w:tcPr>
          <w:p w14:paraId="3AEFCEE4">
            <w:pPr>
              <w:pStyle w:val="44"/>
              <w:jc w:val="center"/>
              <w:rPr>
                <w:i w:val="0"/>
                <w:iCs w:val="0"/>
                <w:color w:val="auto"/>
                <w:highlight w:val="none"/>
              </w:rPr>
            </w:pPr>
          </w:p>
        </w:tc>
        <w:tc>
          <w:tcPr>
            <w:tcW w:w="1140" w:type="dxa"/>
            <w:tcBorders>
              <w:left w:val="single" w:color="auto" w:sz="4" w:space="0"/>
            </w:tcBorders>
            <w:vAlign w:val="center"/>
          </w:tcPr>
          <w:p w14:paraId="0DE56CC6">
            <w:pPr>
              <w:pStyle w:val="44"/>
              <w:jc w:val="center"/>
              <w:rPr>
                <w:i w:val="0"/>
                <w:iCs w:val="0"/>
                <w:color w:val="auto"/>
                <w:highlight w:val="none"/>
              </w:rPr>
            </w:pPr>
          </w:p>
        </w:tc>
        <w:tc>
          <w:tcPr>
            <w:tcW w:w="756" w:type="dxa"/>
            <w:tcBorders>
              <w:left w:val="single" w:color="auto" w:sz="4" w:space="0"/>
            </w:tcBorders>
            <w:vAlign w:val="center"/>
          </w:tcPr>
          <w:p w14:paraId="719499C3">
            <w:pPr>
              <w:pStyle w:val="44"/>
              <w:jc w:val="center"/>
              <w:rPr>
                <w:i w:val="0"/>
                <w:iCs w:val="0"/>
                <w:color w:val="auto"/>
                <w:highlight w:val="none"/>
              </w:rPr>
            </w:pPr>
          </w:p>
        </w:tc>
        <w:tc>
          <w:tcPr>
            <w:tcW w:w="1836" w:type="dxa"/>
            <w:vAlign w:val="center"/>
          </w:tcPr>
          <w:p w14:paraId="2D71EF98">
            <w:pPr>
              <w:pStyle w:val="44"/>
              <w:jc w:val="center"/>
              <w:rPr>
                <w:i w:val="0"/>
                <w:iCs w:val="0"/>
                <w:color w:val="auto"/>
                <w:highlight w:val="none"/>
              </w:rPr>
            </w:pPr>
          </w:p>
        </w:tc>
        <w:tc>
          <w:tcPr>
            <w:tcW w:w="1277" w:type="dxa"/>
            <w:vAlign w:val="center"/>
          </w:tcPr>
          <w:p w14:paraId="3943C72A">
            <w:pPr>
              <w:pStyle w:val="44"/>
              <w:jc w:val="center"/>
              <w:rPr>
                <w:i w:val="0"/>
                <w:iCs w:val="0"/>
                <w:color w:val="auto"/>
                <w:highlight w:val="none"/>
              </w:rPr>
            </w:pPr>
          </w:p>
        </w:tc>
        <w:tc>
          <w:tcPr>
            <w:tcW w:w="816" w:type="dxa"/>
            <w:vAlign w:val="center"/>
          </w:tcPr>
          <w:p w14:paraId="736CF79C">
            <w:pPr>
              <w:pStyle w:val="44"/>
              <w:jc w:val="center"/>
              <w:rPr>
                <w:i w:val="0"/>
                <w:iCs w:val="0"/>
                <w:color w:val="auto"/>
                <w:highlight w:val="none"/>
              </w:rPr>
            </w:pPr>
          </w:p>
        </w:tc>
      </w:tr>
      <w:tr w14:paraId="51731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5D6C5DEB">
            <w:pPr>
              <w:pStyle w:val="44"/>
              <w:jc w:val="center"/>
              <w:rPr>
                <w:i w:val="0"/>
                <w:iCs w:val="0"/>
                <w:color w:val="auto"/>
                <w:highlight w:val="none"/>
              </w:rPr>
            </w:pPr>
            <w:bookmarkStart w:id="1261" w:name="_Toc99533297"/>
            <w:bookmarkStart w:id="1262" w:name="_Toc100090789"/>
            <w:r>
              <w:rPr>
                <w:rFonts w:hint="eastAsia"/>
                <w:i w:val="0"/>
                <w:iCs w:val="0"/>
                <w:color w:val="auto"/>
                <w:highlight w:val="none"/>
              </w:rPr>
              <w:t>6</w:t>
            </w:r>
            <w:bookmarkEnd w:id="1261"/>
            <w:bookmarkEnd w:id="1262"/>
          </w:p>
        </w:tc>
        <w:tc>
          <w:tcPr>
            <w:tcW w:w="1143" w:type="dxa"/>
            <w:vAlign w:val="center"/>
          </w:tcPr>
          <w:p w14:paraId="3ACC18A2">
            <w:pPr>
              <w:pStyle w:val="44"/>
              <w:jc w:val="center"/>
              <w:rPr>
                <w:i w:val="0"/>
                <w:iCs w:val="0"/>
                <w:color w:val="auto"/>
                <w:highlight w:val="none"/>
              </w:rPr>
            </w:pPr>
          </w:p>
        </w:tc>
        <w:tc>
          <w:tcPr>
            <w:tcW w:w="1204" w:type="dxa"/>
            <w:tcBorders>
              <w:right w:val="single" w:color="auto" w:sz="4" w:space="0"/>
            </w:tcBorders>
            <w:vAlign w:val="center"/>
          </w:tcPr>
          <w:p w14:paraId="68D4F678">
            <w:pPr>
              <w:pStyle w:val="44"/>
              <w:jc w:val="center"/>
              <w:rPr>
                <w:i w:val="0"/>
                <w:iCs w:val="0"/>
                <w:color w:val="auto"/>
                <w:highlight w:val="none"/>
              </w:rPr>
            </w:pPr>
          </w:p>
        </w:tc>
        <w:tc>
          <w:tcPr>
            <w:tcW w:w="1140" w:type="dxa"/>
            <w:tcBorders>
              <w:left w:val="single" w:color="auto" w:sz="4" w:space="0"/>
            </w:tcBorders>
            <w:vAlign w:val="center"/>
          </w:tcPr>
          <w:p w14:paraId="4C384F48">
            <w:pPr>
              <w:pStyle w:val="44"/>
              <w:jc w:val="center"/>
              <w:rPr>
                <w:i w:val="0"/>
                <w:iCs w:val="0"/>
                <w:color w:val="auto"/>
                <w:highlight w:val="none"/>
              </w:rPr>
            </w:pPr>
          </w:p>
        </w:tc>
        <w:tc>
          <w:tcPr>
            <w:tcW w:w="756" w:type="dxa"/>
            <w:tcBorders>
              <w:left w:val="single" w:color="auto" w:sz="4" w:space="0"/>
            </w:tcBorders>
            <w:vAlign w:val="center"/>
          </w:tcPr>
          <w:p w14:paraId="1D0C7379">
            <w:pPr>
              <w:pStyle w:val="44"/>
              <w:jc w:val="center"/>
              <w:rPr>
                <w:i w:val="0"/>
                <w:iCs w:val="0"/>
                <w:color w:val="auto"/>
                <w:highlight w:val="none"/>
              </w:rPr>
            </w:pPr>
          </w:p>
        </w:tc>
        <w:tc>
          <w:tcPr>
            <w:tcW w:w="1836" w:type="dxa"/>
            <w:vAlign w:val="center"/>
          </w:tcPr>
          <w:p w14:paraId="51660AF8">
            <w:pPr>
              <w:pStyle w:val="44"/>
              <w:jc w:val="center"/>
              <w:rPr>
                <w:i w:val="0"/>
                <w:iCs w:val="0"/>
                <w:color w:val="auto"/>
                <w:highlight w:val="none"/>
              </w:rPr>
            </w:pPr>
          </w:p>
        </w:tc>
        <w:tc>
          <w:tcPr>
            <w:tcW w:w="1277" w:type="dxa"/>
            <w:vAlign w:val="center"/>
          </w:tcPr>
          <w:p w14:paraId="6FF03D95">
            <w:pPr>
              <w:pStyle w:val="44"/>
              <w:jc w:val="center"/>
              <w:rPr>
                <w:i w:val="0"/>
                <w:iCs w:val="0"/>
                <w:color w:val="auto"/>
                <w:highlight w:val="none"/>
              </w:rPr>
            </w:pPr>
          </w:p>
        </w:tc>
        <w:tc>
          <w:tcPr>
            <w:tcW w:w="816" w:type="dxa"/>
            <w:vAlign w:val="center"/>
          </w:tcPr>
          <w:p w14:paraId="2CE761E9">
            <w:pPr>
              <w:pStyle w:val="44"/>
              <w:jc w:val="center"/>
              <w:rPr>
                <w:i w:val="0"/>
                <w:iCs w:val="0"/>
                <w:color w:val="auto"/>
                <w:highlight w:val="none"/>
              </w:rPr>
            </w:pPr>
          </w:p>
        </w:tc>
      </w:tr>
      <w:tr w14:paraId="0B455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B4D2698">
            <w:pPr>
              <w:pStyle w:val="44"/>
              <w:jc w:val="center"/>
              <w:rPr>
                <w:i w:val="0"/>
                <w:iCs w:val="0"/>
                <w:color w:val="auto"/>
                <w:highlight w:val="none"/>
              </w:rPr>
            </w:pPr>
            <w:bookmarkStart w:id="1263" w:name="_Toc99533298"/>
            <w:bookmarkStart w:id="1264" w:name="_Toc100090790"/>
            <w:r>
              <w:rPr>
                <w:rFonts w:hint="eastAsia"/>
                <w:i w:val="0"/>
                <w:iCs w:val="0"/>
                <w:color w:val="auto"/>
                <w:highlight w:val="none"/>
              </w:rPr>
              <w:t>7</w:t>
            </w:r>
            <w:bookmarkEnd w:id="1263"/>
            <w:bookmarkEnd w:id="1264"/>
          </w:p>
        </w:tc>
        <w:tc>
          <w:tcPr>
            <w:tcW w:w="1143" w:type="dxa"/>
            <w:vAlign w:val="center"/>
          </w:tcPr>
          <w:p w14:paraId="67876EF6">
            <w:pPr>
              <w:pStyle w:val="44"/>
              <w:jc w:val="center"/>
              <w:rPr>
                <w:i w:val="0"/>
                <w:iCs w:val="0"/>
                <w:color w:val="auto"/>
                <w:highlight w:val="none"/>
              </w:rPr>
            </w:pPr>
          </w:p>
        </w:tc>
        <w:tc>
          <w:tcPr>
            <w:tcW w:w="1204" w:type="dxa"/>
            <w:tcBorders>
              <w:right w:val="single" w:color="auto" w:sz="4" w:space="0"/>
            </w:tcBorders>
            <w:vAlign w:val="center"/>
          </w:tcPr>
          <w:p w14:paraId="547BE1BD">
            <w:pPr>
              <w:pStyle w:val="44"/>
              <w:jc w:val="center"/>
              <w:rPr>
                <w:i w:val="0"/>
                <w:iCs w:val="0"/>
                <w:color w:val="auto"/>
                <w:highlight w:val="none"/>
              </w:rPr>
            </w:pPr>
          </w:p>
        </w:tc>
        <w:tc>
          <w:tcPr>
            <w:tcW w:w="1140" w:type="dxa"/>
            <w:tcBorders>
              <w:left w:val="single" w:color="auto" w:sz="4" w:space="0"/>
            </w:tcBorders>
            <w:vAlign w:val="center"/>
          </w:tcPr>
          <w:p w14:paraId="77C6C698">
            <w:pPr>
              <w:pStyle w:val="44"/>
              <w:jc w:val="center"/>
              <w:rPr>
                <w:i w:val="0"/>
                <w:iCs w:val="0"/>
                <w:color w:val="auto"/>
                <w:highlight w:val="none"/>
              </w:rPr>
            </w:pPr>
          </w:p>
        </w:tc>
        <w:tc>
          <w:tcPr>
            <w:tcW w:w="756" w:type="dxa"/>
            <w:tcBorders>
              <w:left w:val="single" w:color="auto" w:sz="4" w:space="0"/>
            </w:tcBorders>
            <w:vAlign w:val="center"/>
          </w:tcPr>
          <w:p w14:paraId="0D9D0032">
            <w:pPr>
              <w:pStyle w:val="44"/>
              <w:jc w:val="center"/>
              <w:rPr>
                <w:i w:val="0"/>
                <w:iCs w:val="0"/>
                <w:color w:val="auto"/>
                <w:highlight w:val="none"/>
              </w:rPr>
            </w:pPr>
          </w:p>
        </w:tc>
        <w:tc>
          <w:tcPr>
            <w:tcW w:w="1836" w:type="dxa"/>
            <w:vAlign w:val="center"/>
          </w:tcPr>
          <w:p w14:paraId="7CC4B080">
            <w:pPr>
              <w:pStyle w:val="44"/>
              <w:jc w:val="center"/>
              <w:rPr>
                <w:i w:val="0"/>
                <w:iCs w:val="0"/>
                <w:color w:val="auto"/>
                <w:highlight w:val="none"/>
              </w:rPr>
            </w:pPr>
          </w:p>
        </w:tc>
        <w:tc>
          <w:tcPr>
            <w:tcW w:w="1277" w:type="dxa"/>
            <w:vAlign w:val="center"/>
          </w:tcPr>
          <w:p w14:paraId="5FBF328E">
            <w:pPr>
              <w:pStyle w:val="44"/>
              <w:jc w:val="center"/>
              <w:rPr>
                <w:i w:val="0"/>
                <w:iCs w:val="0"/>
                <w:color w:val="auto"/>
                <w:highlight w:val="none"/>
              </w:rPr>
            </w:pPr>
          </w:p>
        </w:tc>
        <w:tc>
          <w:tcPr>
            <w:tcW w:w="816" w:type="dxa"/>
            <w:vAlign w:val="center"/>
          </w:tcPr>
          <w:p w14:paraId="4CC06498">
            <w:pPr>
              <w:pStyle w:val="44"/>
              <w:jc w:val="center"/>
              <w:rPr>
                <w:i w:val="0"/>
                <w:iCs w:val="0"/>
                <w:color w:val="auto"/>
                <w:highlight w:val="none"/>
              </w:rPr>
            </w:pPr>
          </w:p>
        </w:tc>
      </w:tr>
      <w:tr w14:paraId="2BAB5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F7A2FA1">
            <w:pPr>
              <w:pStyle w:val="44"/>
              <w:jc w:val="center"/>
              <w:rPr>
                <w:i w:val="0"/>
                <w:iCs w:val="0"/>
                <w:color w:val="auto"/>
                <w:highlight w:val="none"/>
              </w:rPr>
            </w:pPr>
            <w:bookmarkStart w:id="1265" w:name="_Toc99533299"/>
            <w:bookmarkStart w:id="1266" w:name="_Toc100090791"/>
            <w:r>
              <w:rPr>
                <w:rFonts w:hint="eastAsia"/>
                <w:i w:val="0"/>
                <w:iCs w:val="0"/>
                <w:color w:val="auto"/>
                <w:highlight w:val="none"/>
              </w:rPr>
              <w:t>8</w:t>
            </w:r>
            <w:bookmarkEnd w:id="1265"/>
            <w:bookmarkEnd w:id="1266"/>
          </w:p>
        </w:tc>
        <w:tc>
          <w:tcPr>
            <w:tcW w:w="1143" w:type="dxa"/>
            <w:vAlign w:val="center"/>
          </w:tcPr>
          <w:p w14:paraId="783E8C54">
            <w:pPr>
              <w:pStyle w:val="44"/>
              <w:jc w:val="center"/>
              <w:rPr>
                <w:i w:val="0"/>
                <w:iCs w:val="0"/>
                <w:color w:val="auto"/>
                <w:highlight w:val="none"/>
              </w:rPr>
            </w:pPr>
          </w:p>
        </w:tc>
        <w:tc>
          <w:tcPr>
            <w:tcW w:w="1204" w:type="dxa"/>
            <w:tcBorders>
              <w:right w:val="single" w:color="auto" w:sz="4" w:space="0"/>
            </w:tcBorders>
            <w:vAlign w:val="center"/>
          </w:tcPr>
          <w:p w14:paraId="16080438">
            <w:pPr>
              <w:pStyle w:val="44"/>
              <w:jc w:val="center"/>
              <w:rPr>
                <w:i w:val="0"/>
                <w:iCs w:val="0"/>
                <w:color w:val="auto"/>
                <w:highlight w:val="none"/>
              </w:rPr>
            </w:pPr>
          </w:p>
        </w:tc>
        <w:tc>
          <w:tcPr>
            <w:tcW w:w="1140" w:type="dxa"/>
            <w:tcBorders>
              <w:left w:val="single" w:color="auto" w:sz="4" w:space="0"/>
            </w:tcBorders>
            <w:vAlign w:val="center"/>
          </w:tcPr>
          <w:p w14:paraId="4608C235">
            <w:pPr>
              <w:pStyle w:val="44"/>
              <w:jc w:val="center"/>
              <w:rPr>
                <w:i w:val="0"/>
                <w:iCs w:val="0"/>
                <w:color w:val="auto"/>
                <w:highlight w:val="none"/>
              </w:rPr>
            </w:pPr>
          </w:p>
        </w:tc>
        <w:tc>
          <w:tcPr>
            <w:tcW w:w="756" w:type="dxa"/>
            <w:tcBorders>
              <w:left w:val="single" w:color="auto" w:sz="4" w:space="0"/>
            </w:tcBorders>
            <w:vAlign w:val="center"/>
          </w:tcPr>
          <w:p w14:paraId="4082BDDF">
            <w:pPr>
              <w:pStyle w:val="44"/>
              <w:jc w:val="center"/>
              <w:rPr>
                <w:i w:val="0"/>
                <w:iCs w:val="0"/>
                <w:color w:val="auto"/>
                <w:highlight w:val="none"/>
              </w:rPr>
            </w:pPr>
          </w:p>
        </w:tc>
        <w:tc>
          <w:tcPr>
            <w:tcW w:w="1836" w:type="dxa"/>
            <w:vAlign w:val="center"/>
          </w:tcPr>
          <w:p w14:paraId="65185B57">
            <w:pPr>
              <w:pStyle w:val="44"/>
              <w:jc w:val="center"/>
              <w:rPr>
                <w:i w:val="0"/>
                <w:iCs w:val="0"/>
                <w:color w:val="auto"/>
                <w:highlight w:val="none"/>
              </w:rPr>
            </w:pPr>
          </w:p>
        </w:tc>
        <w:tc>
          <w:tcPr>
            <w:tcW w:w="1277" w:type="dxa"/>
            <w:vAlign w:val="center"/>
          </w:tcPr>
          <w:p w14:paraId="7107F6B0">
            <w:pPr>
              <w:pStyle w:val="44"/>
              <w:jc w:val="center"/>
              <w:rPr>
                <w:i w:val="0"/>
                <w:iCs w:val="0"/>
                <w:color w:val="auto"/>
                <w:highlight w:val="none"/>
              </w:rPr>
            </w:pPr>
          </w:p>
        </w:tc>
        <w:tc>
          <w:tcPr>
            <w:tcW w:w="816" w:type="dxa"/>
            <w:vAlign w:val="center"/>
          </w:tcPr>
          <w:p w14:paraId="2A255265">
            <w:pPr>
              <w:pStyle w:val="44"/>
              <w:jc w:val="center"/>
              <w:rPr>
                <w:i w:val="0"/>
                <w:iCs w:val="0"/>
                <w:color w:val="auto"/>
                <w:highlight w:val="none"/>
              </w:rPr>
            </w:pPr>
          </w:p>
        </w:tc>
      </w:tr>
      <w:tr w14:paraId="5B1CC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F66056B">
            <w:pPr>
              <w:pStyle w:val="44"/>
              <w:jc w:val="center"/>
              <w:rPr>
                <w:i w:val="0"/>
                <w:iCs w:val="0"/>
                <w:color w:val="auto"/>
                <w:highlight w:val="none"/>
              </w:rPr>
            </w:pPr>
            <w:bookmarkStart w:id="1267" w:name="_Toc100090792"/>
            <w:bookmarkStart w:id="1268" w:name="_Toc99533300"/>
            <w:r>
              <w:rPr>
                <w:rFonts w:hint="eastAsia"/>
                <w:i w:val="0"/>
                <w:iCs w:val="0"/>
                <w:color w:val="auto"/>
                <w:highlight w:val="none"/>
              </w:rPr>
              <w:t>9</w:t>
            </w:r>
            <w:bookmarkEnd w:id="1267"/>
            <w:bookmarkEnd w:id="1268"/>
          </w:p>
        </w:tc>
        <w:tc>
          <w:tcPr>
            <w:tcW w:w="1143" w:type="dxa"/>
            <w:vAlign w:val="center"/>
          </w:tcPr>
          <w:p w14:paraId="1EAC117F">
            <w:pPr>
              <w:pStyle w:val="44"/>
              <w:jc w:val="center"/>
              <w:rPr>
                <w:i w:val="0"/>
                <w:iCs w:val="0"/>
                <w:color w:val="auto"/>
                <w:highlight w:val="none"/>
              </w:rPr>
            </w:pPr>
          </w:p>
        </w:tc>
        <w:tc>
          <w:tcPr>
            <w:tcW w:w="1204" w:type="dxa"/>
            <w:tcBorders>
              <w:right w:val="single" w:color="auto" w:sz="4" w:space="0"/>
            </w:tcBorders>
            <w:vAlign w:val="center"/>
          </w:tcPr>
          <w:p w14:paraId="0C56C72E">
            <w:pPr>
              <w:pStyle w:val="44"/>
              <w:jc w:val="center"/>
              <w:rPr>
                <w:i w:val="0"/>
                <w:iCs w:val="0"/>
                <w:color w:val="auto"/>
                <w:highlight w:val="none"/>
              </w:rPr>
            </w:pPr>
          </w:p>
        </w:tc>
        <w:tc>
          <w:tcPr>
            <w:tcW w:w="1140" w:type="dxa"/>
            <w:tcBorders>
              <w:left w:val="single" w:color="auto" w:sz="4" w:space="0"/>
            </w:tcBorders>
            <w:vAlign w:val="center"/>
          </w:tcPr>
          <w:p w14:paraId="53D85840">
            <w:pPr>
              <w:pStyle w:val="44"/>
              <w:jc w:val="center"/>
              <w:rPr>
                <w:i w:val="0"/>
                <w:iCs w:val="0"/>
                <w:color w:val="auto"/>
                <w:highlight w:val="none"/>
              </w:rPr>
            </w:pPr>
          </w:p>
        </w:tc>
        <w:tc>
          <w:tcPr>
            <w:tcW w:w="756" w:type="dxa"/>
            <w:tcBorders>
              <w:left w:val="single" w:color="auto" w:sz="4" w:space="0"/>
            </w:tcBorders>
            <w:vAlign w:val="center"/>
          </w:tcPr>
          <w:p w14:paraId="6C7CE02A">
            <w:pPr>
              <w:pStyle w:val="44"/>
              <w:jc w:val="center"/>
              <w:rPr>
                <w:i w:val="0"/>
                <w:iCs w:val="0"/>
                <w:color w:val="auto"/>
                <w:highlight w:val="none"/>
              </w:rPr>
            </w:pPr>
          </w:p>
        </w:tc>
        <w:tc>
          <w:tcPr>
            <w:tcW w:w="1836" w:type="dxa"/>
            <w:vAlign w:val="center"/>
          </w:tcPr>
          <w:p w14:paraId="2AB0E034">
            <w:pPr>
              <w:pStyle w:val="44"/>
              <w:jc w:val="center"/>
              <w:rPr>
                <w:i w:val="0"/>
                <w:iCs w:val="0"/>
                <w:color w:val="auto"/>
                <w:highlight w:val="none"/>
              </w:rPr>
            </w:pPr>
          </w:p>
        </w:tc>
        <w:tc>
          <w:tcPr>
            <w:tcW w:w="1277" w:type="dxa"/>
            <w:vAlign w:val="center"/>
          </w:tcPr>
          <w:p w14:paraId="6968EA5F">
            <w:pPr>
              <w:pStyle w:val="44"/>
              <w:jc w:val="center"/>
              <w:rPr>
                <w:i w:val="0"/>
                <w:iCs w:val="0"/>
                <w:color w:val="auto"/>
                <w:highlight w:val="none"/>
              </w:rPr>
            </w:pPr>
          </w:p>
        </w:tc>
        <w:tc>
          <w:tcPr>
            <w:tcW w:w="816" w:type="dxa"/>
            <w:vAlign w:val="center"/>
          </w:tcPr>
          <w:p w14:paraId="7D8C1BDF">
            <w:pPr>
              <w:pStyle w:val="44"/>
              <w:jc w:val="center"/>
              <w:rPr>
                <w:i w:val="0"/>
                <w:iCs w:val="0"/>
                <w:color w:val="auto"/>
                <w:highlight w:val="none"/>
              </w:rPr>
            </w:pPr>
          </w:p>
        </w:tc>
      </w:tr>
      <w:tr w14:paraId="0D50E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216F2C57">
            <w:pPr>
              <w:pStyle w:val="44"/>
              <w:jc w:val="center"/>
              <w:rPr>
                <w:i w:val="0"/>
                <w:iCs w:val="0"/>
                <w:color w:val="auto"/>
                <w:highlight w:val="none"/>
              </w:rPr>
            </w:pPr>
            <w:bookmarkStart w:id="1269" w:name="_Toc100090793"/>
            <w:bookmarkStart w:id="1270" w:name="_Toc99533301"/>
            <w:r>
              <w:rPr>
                <w:rFonts w:hint="eastAsia"/>
                <w:i w:val="0"/>
                <w:iCs w:val="0"/>
                <w:color w:val="auto"/>
                <w:highlight w:val="none"/>
              </w:rPr>
              <w:t>10</w:t>
            </w:r>
            <w:bookmarkEnd w:id="1269"/>
            <w:bookmarkEnd w:id="1270"/>
          </w:p>
        </w:tc>
        <w:tc>
          <w:tcPr>
            <w:tcW w:w="1143" w:type="dxa"/>
            <w:vAlign w:val="center"/>
          </w:tcPr>
          <w:p w14:paraId="7811E0AD">
            <w:pPr>
              <w:pStyle w:val="44"/>
              <w:jc w:val="center"/>
              <w:rPr>
                <w:i w:val="0"/>
                <w:iCs w:val="0"/>
                <w:color w:val="auto"/>
                <w:highlight w:val="none"/>
              </w:rPr>
            </w:pPr>
          </w:p>
        </w:tc>
        <w:tc>
          <w:tcPr>
            <w:tcW w:w="1204" w:type="dxa"/>
            <w:tcBorders>
              <w:right w:val="single" w:color="auto" w:sz="4" w:space="0"/>
            </w:tcBorders>
            <w:vAlign w:val="center"/>
          </w:tcPr>
          <w:p w14:paraId="62E7AF22">
            <w:pPr>
              <w:pStyle w:val="44"/>
              <w:jc w:val="center"/>
              <w:rPr>
                <w:i w:val="0"/>
                <w:iCs w:val="0"/>
                <w:color w:val="auto"/>
                <w:highlight w:val="none"/>
              </w:rPr>
            </w:pPr>
          </w:p>
        </w:tc>
        <w:tc>
          <w:tcPr>
            <w:tcW w:w="1140" w:type="dxa"/>
            <w:tcBorders>
              <w:left w:val="single" w:color="auto" w:sz="4" w:space="0"/>
            </w:tcBorders>
            <w:vAlign w:val="center"/>
          </w:tcPr>
          <w:p w14:paraId="34B04CA5">
            <w:pPr>
              <w:pStyle w:val="44"/>
              <w:jc w:val="center"/>
              <w:rPr>
                <w:i w:val="0"/>
                <w:iCs w:val="0"/>
                <w:color w:val="auto"/>
                <w:highlight w:val="none"/>
              </w:rPr>
            </w:pPr>
          </w:p>
        </w:tc>
        <w:tc>
          <w:tcPr>
            <w:tcW w:w="756" w:type="dxa"/>
            <w:tcBorders>
              <w:left w:val="single" w:color="auto" w:sz="4" w:space="0"/>
            </w:tcBorders>
            <w:vAlign w:val="center"/>
          </w:tcPr>
          <w:p w14:paraId="05EAA54E">
            <w:pPr>
              <w:pStyle w:val="44"/>
              <w:jc w:val="center"/>
              <w:rPr>
                <w:i w:val="0"/>
                <w:iCs w:val="0"/>
                <w:color w:val="auto"/>
                <w:highlight w:val="none"/>
              </w:rPr>
            </w:pPr>
          </w:p>
        </w:tc>
        <w:tc>
          <w:tcPr>
            <w:tcW w:w="1836" w:type="dxa"/>
            <w:vAlign w:val="center"/>
          </w:tcPr>
          <w:p w14:paraId="55197B5F">
            <w:pPr>
              <w:pStyle w:val="44"/>
              <w:jc w:val="center"/>
              <w:rPr>
                <w:i w:val="0"/>
                <w:iCs w:val="0"/>
                <w:color w:val="auto"/>
                <w:highlight w:val="none"/>
              </w:rPr>
            </w:pPr>
          </w:p>
        </w:tc>
        <w:tc>
          <w:tcPr>
            <w:tcW w:w="1277" w:type="dxa"/>
            <w:vAlign w:val="center"/>
          </w:tcPr>
          <w:p w14:paraId="292E64B7">
            <w:pPr>
              <w:pStyle w:val="44"/>
              <w:jc w:val="center"/>
              <w:rPr>
                <w:i w:val="0"/>
                <w:iCs w:val="0"/>
                <w:color w:val="auto"/>
                <w:highlight w:val="none"/>
              </w:rPr>
            </w:pPr>
          </w:p>
        </w:tc>
        <w:tc>
          <w:tcPr>
            <w:tcW w:w="816" w:type="dxa"/>
            <w:vAlign w:val="center"/>
          </w:tcPr>
          <w:p w14:paraId="6F333150">
            <w:pPr>
              <w:pStyle w:val="44"/>
              <w:jc w:val="center"/>
              <w:rPr>
                <w:i w:val="0"/>
                <w:iCs w:val="0"/>
                <w:color w:val="auto"/>
                <w:highlight w:val="none"/>
              </w:rPr>
            </w:pPr>
          </w:p>
        </w:tc>
      </w:tr>
    </w:tbl>
    <w:p w14:paraId="51ED7B0D">
      <w:pPr>
        <w:rPr>
          <w:i w:val="0"/>
          <w:iCs w:val="0"/>
          <w:color w:val="auto"/>
          <w:highlight w:val="none"/>
        </w:rPr>
      </w:pPr>
      <w:r>
        <w:rPr>
          <w:i w:val="0"/>
          <w:iCs w:val="0"/>
          <w:color w:val="auto"/>
          <w:highlight w:val="none"/>
        </w:rPr>
        <w:br w:type="page"/>
      </w:r>
    </w:p>
    <w:p w14:paraId="1358285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71" w:name="_Toc11494"/>
      <w:r>
        <w:rPr>
          <w:rFonts w:hint="eastAsia" w:cstheme="majorBidi"/>
          <w:b/>
          <w:bCs/>
          <w:i w:val="0"/>
          <w:iCs w:val="0"/>
          <w:color w:val="auto"/>
          <w:kern w:val="2"/>
          <w:sz w:val="32"/>
          <w:szCs w:val="32"/>
          <w:highlight w:val="none"/>
          <w:lang w:val="en-US" w:eastAsia="zh-CN" w:bidi="ar-SA"/>
        </w:rPr>
        <w:t>九</w:t>
      </w:r>
      <w:r>
        <w:rPr>
          <w:rFonts w:hint="eastAsia" w:eastAsia="宋体" w:asciiTheme="majorHAnsi" w:hAnsiTheme="majorHAnsi" w:cstheme="majorBidi"/>
          <w:b/>
          <w:bCs/>
          <w:i w:val="0"/>
          <w:iCs w:val="0"/>
          <w:color w:val="auto"/>
          <w:kern w:val="2"/>
          <w:sz w:val="32"/>
          <w:szCs w:val="32"/>
          <w:highlight w:val="none"/>
          <w:lang w:val="en-US" w:eastAsia="zh-CN" w:bidi="ar-SA"/>
        </w:rPr>
        <w:t>、技术响应偏离表</w:t>
      </w:r>
      <w:bookmarkEnd w:id="1271"/>
    </w:p>
    <w:p w14:paraId="7EE50E6A">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10CF1BE4">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i w:val="0"/>
          <w:iCs w:val="0"/>
          <w:color w:val="auto"/>
          <w:szCs w:val="24"/>
          <w:highlight w:val="none"/>
        </w:rPr>
        <w:t xml:space="preserve">：         </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4"/>
        <w:gridCol w:w="2177"/>
        <w:gridCol w:w="1556"/>
        <w:gridCol w:w="2046"/>
        <w:gridCol w:w="2046"/>
      </w:tblGrid>
      <w:tr w14:paraId="23CC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5F892E53">
            <w:pPr>
              <w:pStyle w:val="44"/>
              <w:jc w:val="center"/>
              <w:rPr>
                <w:i w:val="0"/>
                <w:iCs w:val="0"/>
                <w:color w:val="auto"/>
                <w:highlight w:val="none"/>
              </w:rPr>
            </w:pPr>
            <w:r>
              <w:rPr>
                <w:rFonts w:hint="eastAsia"/>
                <w:i w:val="0"/>
                <w:iCs w:val="0"/>
                <w:color w:val="auto"/>
                <w:highlight w:val="none"/>
              </w:rPr>
              <w:t>序号</w:t>
            </w:r>
          </w:p>
        </w:tc>
        <w:tc>
          <w:tcPr>
            <w:tcW w:w="1277" w:type="pct"/>
            <w:vAlign w:val="center"/>
          </w:tcPr>
          <w:p w14:paraId="0C5608DB">
            <w:pPr>
              <w:pStyle w:val="44"/>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文件技术要求条款</w:t>
            </w:r>
          </w:p>
        </w:tc>
        <w:tc>
          <w:tcPr>
            <w:tcW w:w="913" w:type="pct"/>
            <w:vAlign w:val="center"/>
          </w:tcPr>
          <w:p w14:paraId="0B845CF1">
            <w:pPr>
              <w:pStyle w:val="44"/>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文件内容</w:t>
            </w:r>
          </w:p>
          <w:p w14:paraId="4F79E073">
            <w:pPr>
              <w:pStyle w:val="44"/>
              <w:jc w:val="center"/>
              <w:rPr>
                <w:i w:val="0"/>
                <w:iCs w:val="0"/>
                <w:color w:val="auto"/>
                <w:highlight w:val="none"/>
              </w:rPr>
            </w:pPr>
            <w:r>
              <w:rPr>
                <w:rFonts w:hint="eastAsia"/>
                <w:i w:val="0"/>
                <w:iCs w:val="0"/>
                <w:color w:val="auto"/>
                <w:highlight w:val="none"/>
              </w:rPr>
              <w:t>对应简述</w:t>
            </w:r>
          </w:p>
        </w:tc>
        <w:tc>
          <w:tcPr>
            <w:tcW w:w="1200" w:type="pct"/>
            <w:vAlign w:val="center"/>
          </w:tcPr>
          <w:p w14:paraId="4AB4E9C3">
            <w:pPr>
              <w:pStyle w:val="44"/>
              <w:jc w:val="center"/>
              <w:rPr>
                <w:i w:val="0"/>
                <w:iCs w:val="0"/>
                <w:color w:val="auto"/>
                <w:highlight w:val="none"/>
              </w:rPr>
            </w:pPr>
            <w:r>
              <w:rPr>
                <w:rFonts w:hint="eastAsia"/>
                <w:i w:val="0"/>
                <w:iCs w:val="0"/>
                <w:color w:val="auto"/>
                <w:highlight w:val="none"/>
              </w:rPr>
              <w:t>响应情况</w:t>
            </w:r>
          </w:p>
        </w:tc>
        <w:tc>
          <w:tcPr>
            <w:tcW w:w="1200" w:type="pct"/>
            <w:vAlign w:val="center"/>
          </w:tcPr>
          <w:p w14:paraId="09D725B9">
            <w:pPr>
              <w:pStyle w:val="44"/>
              <w:jc w:val="center"/>
              <w:rPr>
                <w:i w:val="0"/>
                <w:iCs w:val="0"/>
                <w:color w:val="auto"/>
                <w:highlight w:val="none"/>
              </w:rPr>
            </w:pPr>
            <w:r>
              <w:rPr>
                <w:rFonts w:hint="eastAsia"/>
                <w:i w:val="0"/>
                <w:iCs w:val="0"/>
                <w:color w:val="auto"/>
                <w:highlight w:val="none"/>
                <w:lang w:val="en-US" w:eastAsia="zh-CN"/>
              </w:rPr>
              <w:t>证明资料</w:t>
            </w:r>
            <w:r>
              <w:rPr>
                <w:rFonts w:hint="eastAsia"/>
                <w:i w:val="0"/>
                <w:iCs w:val="0"/>
                <w:color w:val="auto"/>
                <w:highlight w:val="none"/>
              </w:rPr>
              <w:t>及索引</w:t>
            </w:r>
          </w:p>
        </w:tc>
      </w:tr>
      <w:tr w14:paraId="39EC0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29950C57">
            <w:pPr>
              <w:pStyle w:val="44"/>
              <w:jc w:val="center"/>
              <w:rPr>
                <w:i w:val="0"/>
                <w:iCs w:val="0"/>
                <w:color w:val="auto"/>
                <w:highlight w:val="none"/>
              </w:rPr>
            </w:pPr>
            <w:r>
              <w:rPr>
                <w:rFonts w:hint="eastAsia"/>
                <w:i w:val="0"/>
                <w:iCs w:val="0"/>
                <w:color w:val="auto"/>
                <w:highlight w:val="none"/>
              </w:rPr>
              <w:t>1</w:t>
            </w:r>
          </w:p>
        </w:tc>
        <w:tc>
          <w:tcPr>
            <w:tcW w:w="1277" w:type="pct"/>
            <w:vAlign w:val="center"/>
          </w:tcPr>
          <w:p w14:paraId="69B288A0">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913" w:type="pct"/>
            <w:vAlign w:val="center"/>
          </w:tcPr>
          <w:p w14:paraId="0E04AD72">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200" w:type="pct"/>
            <w:vAlign w:val="center"/>
          </w:tcPr>
          <w:p w14:paraId="585AEA1C">
            <w:pPr>
              <w:pStyle w:val="44"/>
              <w:jc w:val="center"/>
              <w:rPr>
                <w:i w:val="0"/>
                <w:iCs w:val="0"/>
                <w:color w:val="auto"/>
                <w:highlight w:val="none"/>
              </w:rPr>
            </w:pPr>
            <w:r>
              <w:rPr>
                <w:rFonts w:hint="eastAsia"/>
                <w:i w:val="0"/>
                <w:iCs w:val="0"/>
                <w:color w:val="auto"/>
                <w:highlight w:val="none"/>
              </w:rPr>
              <w:t>响应/正偏离/负偏离</w:t>
            </w:r>
          </w:p>
        </w:tc>
        <w:tc>
          <w:tcPr>
            <w:tcW w:w="1200" w:type="pct"/>
            <w:vAlign w:val="center"/>
          </w:tcPr>
          <w:p w14:paraId="02D97874">
            <w:pPr>
              <w:pStyle w:val="44"/>
              <w:jc w:val="center"/>
              <w:rPr>
                <w:i w:val="0"/>
                <w:iCs w:val="0"/>
                <w:color w:val="auto"/>
                <w:highlight w:val="none"/>
              </w:rPr>
            </w:pPr>
          </w:p>
        </w:tc>
      </w:tr>
      <w:tr w14:paraId="4EC6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195B6778">
            <w:pPr>
              <w:pStyle w:val="44"/>
              <w:jc w:val="center"/>
              <w:rPr>
                <w:i w:val="0"/>
                <w:iCs w:val="0"/>
                <w:color w:val="auto"/>
                <w:highlight w:val="none"/>
              </w:rPr>
            </w:pPr>
            <w:r>
              <w:rPr>
                <w:rFonts w:hint="eastAsia"/>
                <w:i w:val="0"/>
                <w:iCs w:val="0"/>
                <w:color w:val="auto"/>
                <w:highlight w:val="none"/>
              </w:rPr>
              <w:t>2</w:t>
            </w:r>
          </w:p>
        </w:tc>
        <w:tc>
          <w:tcPr>
            <w:tcW w:w="1277" w:type="pct"/>
            <w:vAlign w:val="center"/>
          </w:tcPr>
          <w:p w14:paraId="30E52A7F">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913" w:type="pct"/>
            <w:vAlign w:val="center"/>
          </w:tcPr>
          <w:p w14:paraId="29A6C1E1">
            <w:pPr>
              <w:pStyle w:val="4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200" w:type="pct"/>
            <w:vAlign w:val="center"/>
          </w:tcPr>
          <w:p w14:paraId="5D92E460">
            <w:pPr>
              <w:pStyle w:val="44"/>
              <w:jc w:val="center"/>
              <w:rPr>
                <w:i w:val="0"/>
                <w:iCs w:val="0"/>
                <w:color w:val="auto"/>
                <w:highlight w:val="none"/>
              </w:rPr>
            </w:pPr>
            <w:r>
              <w:rPr>
                <w:rFonts w:hint="eastAsia"/>
                <w:i w:val="0"/>
                <w:iCs w:val="0"/>
                <w:color w:val="auto"/>
                <w:highlight w:val="none"/>
              </w:rPr>
              <w:t>响应/正偏离/负偏离</w:t>
            </w:r>
          </w:p>
        </w:tc>
        <w:tc>
          <w:tcPr>
            <w:tcW w:w="1200" w:type="pct"/>
            <w:vAlign w:val="center"/>
          </w:tcPr>
          <w:p w14:paraId="63E16449">
            <w:pPr>
              <w:pStyle w:val="44"/>
              <w:jc w:val="center"/>
              <w:rPr>
                <w:i w:val="0"/>
                <w:iCs w:val="0"/>
                <w:color w:val="auto"/>
                <w:highlight w:val="none"/>
              </w:rPr>
            </w:pPr>
          </w:p>
        </w:tc>
      </w:tr>
      <w:tr w14:paraId="0C00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C45FE18">
            <w:pPr>
              <w:pStyle w:val="44"/>
              <w:jc w:val="center"/>
              <w:rPr>
                <w:i w:val="0"/>
                <w:iCs w:val="0"/>
                <w:color w:val="auto"/>
                <w:highlight w:val="none"/>
              </w:rPr>
            </w:pPr>
          </w:p>
        </w:tc>
        <w:tc>
          <w:tcPr>
            <w:tcW w:w="1277" w:type="pct"/>
            <w:vAlign w:val="center"/>
          </w:tcPr>
          <w:p w14:paraId="6D1DD644">
            <w:pPr>
              <w:pStyle w:val="44"/>
              <w:jc w:val="center"/>
              <w:rPr>
                <w:i w:val="0"/>
                <w:iCs w:val="0"/>
                <w:color w:val="auto"/>
                <w:highlight w:val="none"/>
              </w:rPr>
            </w:pPr>
          </w:p>
        </w:tc>
        <w:tc>
          <w:tcPr>
            <w:tcW w:w="913" w:type="pct"/>
            <w:vAlign w:val="center"/>
          </w:tcPr>
          <w:p w14:paraId="2982168B">
            <w:pPr>
              <w:pStyle w:val="44"/>
              <w:jc w:val="center"/>
              <w:rPr>
                <w:i w:val="0"/>
                <w:iCs w:val="0"/>
                <w:color w:val="auto"/>
                <w:highlight w:val="none"/>
              </w:rPr>
            </w:pPr>
          </w:p>
        </w:tc>
        <w:tc>
          <w:tcPr>
            <w:tcW w:w="1200" w:type="pct"/>
            <w:vAlign w:val="center"/>
          </w:tcPr>
          <w:p w14:paraId="78EC7D09">
            <w:pPr>
              <w:pStyle w:val="44"/>
              <w:jc w:val="center"/>
              <w:rPr>
                <w:i w:val="0"/>
                <w:iCs w:val="0"/>
                <w:color w:val="auto"/>
                <w:highlight w:val="none"/>
              </w:rPr>
            </w:pPr>
          </w:p>
        </w:tc>
        <w:tc>
          <w:tcPr>
            <w:tcW w:w="1200" w:type="pct"/>
            <w:vAlign w:val="center"/>
          </w:tcPr>
          <w:p w14:paraId="46369488">
            <w:pPr>
              <w:pStyle w:val="44"/>
              <w:jc w:val="center"/>
              <w:rPr>
                <w:i w:val="0"/>
                <w:iCs w:val="0"/>
                <w:color w:val="auto"/>
                <w:highlight w:val="none"/>
              </w:rPr>
            </w:pPr>
          </w:p>
        </w:tc>
      </w:tr>
      <w:tr w14:paraId="28C8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3874C19">
            <w:pPr>
              <w:pStyle w:val="44"/>
              <w:jc w:val="center"/>
              <w:rPr>
                <w:i w:val="0"/>
                <w:iCs w:val="0"/>
                <w:color w:val="auto"/>
                <w:highlight w:val="none"/>
              </w:rPr>
            </w:pPr>
          </w:p>
        </w:tc>
        <w:tc>
          <w:tcPr>
            <w:tcW w:w="1277" w:type="pct"/>
            <w:vAlign w:val="center"/>
          </w:tcPr>
          <w:p w14:paraId="529041E2">
            <w:pPr>
              <w:pStyle w:val="44"/>
              <w:jc w:val="center"/>
              <w:rPr>
                <w:i w:val="0"/>
                <w:iCs w:val="0"/>
                <w:color w:val="auto"/>
                <w:highlight w:val="none"/>
              </w:rPr>
            </w:pPr>
          </w:p>
        </w:tc>
        <w:tc>
          <w:tcPr>
            <w:tcW w:w="913" w:type="pct"/>
            <w:vAlign w:val="center"/>
          </w:tcPr>
          <w:p w14:paraId="301E476D">
            <w:pPr>
              <w:pStyle w:val="44"/>
              <w:jc w:val="center"/>
              <w:rPr>
                <w:i w:val="0"/>
                <w:iCs w:val="0"/>
                <w:color w:val="auto"/>
                <w:highlight w:val="none"/>
              </w:rPr>
            </w:pPr>
          </w:p>
        </w:tc>
        <w:tc>
          <w:tcPr>
            <w:tcW w:w="1200" w:type="pct"/>
            <w:vAlign w:val="center"/>
          </w:tcPr>
          <w:p w14:paraId="06F8AED7">
            <w:pPr>
              <w:pStyle w:val="44"/>
              <w:jc w:val="center"/>
              <w:rPr>
                <w:i w:val="0"/>
                <w:iCs w:val="0"/>
                <w:color w:val="auto"/>
                <w:highlight w:val="none"/>
              </w:rPr>
            </w:pPr>
          </w:p>
        </w:tc>
        <w:tc>
          <w:tcPr>
            <w:tcW w:w="1200" w:type="pct"/>
            <w:vAlign w:val="center"/>
          </w:tcPr>
          <w:p w14:paraId="0CE9DF45">
            <w:pPr>
              <w:pStyle w:val="44"/>
              <w:jc w:val="center"/>
              <w:rPr>
                <w:i w:val="0"/>
                <w:iCs w:val="0"/>
                <w:color w:val="auto"/>
                <w:highlight w:val="none"/>
              </w:rPr>
            </w:pPr>
          </w:p>
        </w:tc>
      </w:tr>
      <w:tr w14:paraId="7291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1433E5C">
            <w:pPr>
              <w:pStyle w:val="44"/>
              <w:jc w:val="center"/>
              <w:rPr>
                <w:i w:val="0"/>
                <w:iCs w:val="0"/>
                <w:color w:val="auto"/>
                <w:highlight w:val="none"/>
              </w:rPr>
            </w:pPr>
          </w:p>
        </w:tc>
        <w:tc>
          <w:tcPr>
            <w:tcW w:w="1277" w:type="pct"/>
            <w:vAlign w:val="center"/>
          </w:tcPr>
          <w:p w14:paraId="77107295">
            <w:pPr>
              <w:pStyle w:val="44"/>
              <w:jc w:val="center"/>
              <w:rPr>
                <w:i w:val="0"/>
                <w:iCs w:val="0"/>
                <w:color w:val="auto"/>
                <w:highlight w:val="none"/>
              </w:rPr>
            </w:pPr>
          </w:p>
        </w:tc>
        <w:tc>
          <w:tcPr>
            <w:tcW w:w="913" w:type="pct"/>
            <w:vAlign w:val="center"/>
          </w:tcPr>
          <w:p w14:paraId="4D01D78E">
            <w:pPr>
              <w:pStyle w:val="44"/>
              <w:jc w:val="center"/>
              <w:rPr>
                <w:i w:val="0"/>
                <w:iCs w:val="0"/>
                <w:color w:val="auto"/>
                <w:highlight w:val="none"/>
              </w:rPr>
            </w:pPr>
          </w:p>
        </w:tc>
        <w:tc>
          <w:tcPr>
            <w:tcW w:w="1200" w:type="pct"/>
            <w:vAlign w:val="center"/>
          </w:tcPr>
          <w:p w14:paraId="6D546857">
            <w:pPr>
              <w:pStyle w:val="44"/>
              <w:jc w:val="center"/>
              <w:rPr>
                <w:i w:val="0"/>
                <w:iCs w:val="0"/>
                <w:color w:val="auto"/>
                <w:highlight w:val="none"/>
              </w:rPr>
            </w:pPr>
          </w:p>
        </w:tc>
        <w:tc>
          <w:tcPr>
            <w:tcW w:w="1200" w:type="pct"/>
            <w:vAlign w:val="center"/>
          </w:tcPr>
          <w:p w14:paraId="2E1B7D0B">
            <w:pPr>
              <w:pStyle w:val="44"/>
              <w:jc w:val="center"/>
              <w:rPr>
                <w:i w:val="0"/>
                <w:iCs w:val="0"/>
                <w:color w:val="auto"/>
                <w:highlight w:val="none"/>
              </w:rPr>
            </w:pPr>
          </w:p>
        </w:tc>
      </w:tr>
      <w:tr w14:paraId="39F8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6AF16AFE">
            <w:pPr>
              <w:pStyle w:val="44"/>
              <w:jc w:val="center"/>
              <w:rPr>
                <w:i w:val="0"/>
                <w:iCs w:val="0"/>
                <w:color w:val="auto"/>
                <w:highlight w:val="none"/>
              </w:rPr>
            </w:pPr>
          </w:p>
        </w:tc>
        <w:tc>
          <w:tcPr>
            <w:tcW w:w="1277" w:type="pct"/>
            <w:vAlign w:val="center"/>
          </w:tcPr>
          <w:p w14:paraId="5C7E043B">
            <w:pPr>
              <w:pStyle w:val="44"/>
              <w:jc w:val="center"/>
              <w:rPr>
                <w:i w:val="0"/>
                <w:iCs w:val="0"/>
                <w:color w:val="auto"/>
                <w:highlight w:val="none"/>
              </w:rPr>
            </w:pPr>
          </w:p>
        </w:tc>
        <w:tc>
          <w:tcPr>
            <w:tcW w:w="913" w:type="pct"/>
            <w:vAlign w:val="center"/>
          </w:tcPr>
          <w:p w14:paraId="64166C7A">
            <w:pPr>
              <w:pStyle w:val="44"/>
              <w:jc w:val="center"/>
              <w:rPr>
                <w:i w:val="0"/>
                <w:iCs w:val="0"/>
                <w:color w:val="auto"/>
                <w:highlight w:val="none"/>
              </w:rPr>
            </w:pPr>
          </w:p>
        </w:tc>
        <w:tc>
          <w:tcPr>
            <w:tcW w:w="1200" w:type="pct"/>
            <w:vAlign w:val="center"/>
          </w:tcPr>
          <w:p w14:paraId="2817CCE5">
            <w:pPr>
              <w:pStyle w:val="44"/>
              <w:jc w:val="center"/>
              <w:rPr>
                <w:i w:val="0"/>
                <w:iCs w:val="0"/>
                <w:color w:val="auto"/>
                <w:highlight w:val="none"/>
              </w:rPr>
            </w:pPr>
          </w:p>
        </w:tc>
        <w:tc>
          <w:tcPr>
            <w:tcW w:w="1200" w:type="pct"/>
            <w:vAlign w:val="center"/>
          </w:tcPr>
          <w:p w14:paraId="184E3F96">
            <w:pPr>
              <w:pStyle w:val="44"/>
              <w:jc w:val="center"/>
              <w:rPr>
                <w:i w:val="0"/>
                <w:iCs w:val="0"/>
                <w:color w:val="auto"/>
                <w:highlight w:val="none"/>
              </w:rPr>
            </w:pPr>
          </w:p>
        </w:tc>
      </w:tr>
      <w:tr w14:paraId="60C9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F23FFC2">
            <w:pPr>
              <w:pStyle w:val="44"/>
              <w:jc w:val="center"/>
              <w:rPr>
                <w:i w:val="0"/>
                <w:iCs w:val="0"/>
                <w:color w:val="auto"/>
                <w:highlight w:val="none"/>
              </w:rPr>
            </w:pPr>
          </w:p>
        </w:tc>
        <w:tc>
          <w:tcPr>
            <w:tcW w:w="1277" w:type="pct"/>
            <w:vAlign w:val="center"/>
          </w:tcPr>
          <w:p w14:paraId="565EC642">
            <w:pPr>
              <w:pStyle w:val="44"/>
              <w:jc w:val="center"/>
              <w:rPr>
                <w:i w:val="0"/>
                <w:iCs w:val="0"/>
                <w:color w:val="auto"/>
                <w:highlight w:val="none"/>
              </w:rPr>
            </w:pPr>
          </w:p>
        </w:tc>
        <w:tc>
          <w:tcPr>
            <w:tcW w:w="913" w:type="pct"/>
            <w:vAlign w:val="center"/>
          </w:tcPr>
          <w:p w14:paraId="4813DEC4">
            <w:pPr>
              <w:pStyle w:val="44"/>
              <w:jc w:val="center"/>
              <w:rPr>
                <w:i w:val="0"/>
                <w:iCs w:val="0"/>
                <w:color w:val="auto"/>
                <w:highlight w:val="none"/>
              </w:rPr>
            </w:pPr>
          </w:p>
        </w:tc>
        <w:tc>
          <w:tcPr>
            <w:tcW w:w="1200" w:type="pct"/>
            <w:vAlign w:val="center"/>
          </w:tcPr>
          <w:p w14:paraId="6FC99520">
            <w:pPr>
              <w:pStyle w:val="44"/>
              <w:jc w:val="center"/>
              <w:rPr>
                <w:i w:val="0"/>
                <w:iCs w:val="0"/>
                <w:color w:val="auto"/>
                <w:highlight w:val="none"/>
              </w:rPr>
            </w:pPr>
          </w:p>
        </w:tc>
        <w:tc>
          <w:tcPr>
            <w:tcW w:w="1200" w:type="pct"/>
            <w:vAlign w:val="center"/>
          </w:tcPr>
          <w:p w14:paraId="6C388A43">
            <w:pPr>
              <w:pStyle w:val="44"/>
              <w:jc w:val="center"/>
              <w:rPr>
                <w:i w:val="0"/>
                <w:iCs w:val="0"/>
                <w:color w:val="auto"/>
                <w:highlight w:val="none"/>
              </w:rPr>
            </w:pPr>
          </w:p>
        </w:tc>
      </w:tr>
      <w:tr w14:paraId="668F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0AF398B2">
            <w:pPr>
              <w:pStyle w:val="44"/>
              <w:jc w:val="center"/>
              <w:rPr>
                <w:i w:val="0"/>
                <w:iCs w:val="0"/>
                <w:color w:val="auto"/>
                <w:highlight w:val="none"/>
              </w:rPr>
            </w:pPr>
          </w:p>
        </w:tc>
        <w:tc>
          <w:tcPr>
            <w:tcW w:w="1277" w:type="pct"/>
            <w:vAlign w:val="center"/>
          </w:tcPr>
          <w:p w14:paraId="7E5C6D21">
            <w:pPr>
              <w:pStyle w:val="44"/>
              <w:jc w:val="center"/>
              <w:rPr>
                <w:i w:val="0"/>
                <w:iCs w:val="0"/>
                <w:color w:val="auto"/>
                <w:highlight w:val="none"/>
              </w:rPr>
            </w:pPr>
          </w:p>
        </w:tc>
        <w:tc>
          <w:tcPr>
            <w:tcW w:w="913" w:type="pct"/>
            <w:vAlign w:val="center"/>
          </w:tcPr>
          <w:p w14:paraId="449C5534">
            <w:pPr>
              <w:pStyle w:val="44"/>
              <w:jc w:val="center"/>
              <w:rPr>
                <w:i w:val="0"/>
                <w:iCs w:val="0"/>
                <w:color w:val="auto"/>
                <w:highlight w:val="none"/>
              </w:rPr>
            </w:pPr>
          </w:p>
        </w:tc>
        <w:tc>
          <w:tcPr>
            <w:tcW w:w="1200" w:type="pct"/>
            <w:vAlign w:val="center"/>
          </w:tcPr>
          <w:p w14:paraId="43936EF1">
            <w:pPr>
              <w:pStyle w:val="44"/>
              <w:jc w:val="center"/>
              <w:rPr>
                <w:i w:val="0"/>
                <w:iCs w:val="0"/>
                <w:color w:val="auto"/>
                <w:highlight w:val="none"/>
              </w:rPr>
            </w:pPr>
          </w:p>
        </w:tc>
        <w:tc>
          <w:tcPr>
            <w:tcW w:w="1200" w:type="pct"/>
            <w:vAlign w:val="center"/>
          </w:tcPr>
          <w:p w14:paraId="015081ED">
            <w:pPr>
              <w:pStyle w:val="44"/>
              <w:jc w:val="center"/>
              <w:rPr>
                <w:i w:val="0"/>
                <w:iCs w:val="0"/>
                <w:color w:val="auto"/>
                <w:highlight w:val="none"/>
              </w:rPr>
            </w:pPr>
          </w:p>
        </w:tc>
      </w:tr>
      <w:tr w14:paraId="576C8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3BE7E344">
            <w:pPr>
              <w:pStyle w:val="44"/>
              <w:jc w:val="center"/>
              <w:rPr>
                <w:i w:val="0"/>
                <w:iCs w:val="0"/>
                <w:color w:val="auto"/>
                <w:highlight w:val="none"/>
              </w:rPr>
            </w:pPr>
          </w:p>
        </w:tc>
        <w:tc>
          <w:tcPr>
            <w:tcW w:w="1277" w:type="pct"/>
            <w:vAlign w:val="center"/>
          </w:tcPr>
          <w:p w14:paraId="4E7FED0B">
            <w:pPr>
              <w:pStyle w:val="44"/>
              <w:jc w:val="center"/>
              <w:rPr>
                <w:i w:val="0"/>
                <w:iCs w:val="0"/>
                <w:color w:val="auto"/>
                <w:highlight w:val="none"/>
              </w:rPr>
            </w:pPr>
          </w:p>
        </w:tc>
        <w:tc>
          <w:tcPr>
            <w:tcW w:w="913" w:type="pct"/>
            <w:vAlign w:val="center"/>
          </w:tcPr>
          <w:p w14:paraId="07398BD3">
            <w:pPr>
              <w:pStyle w:val="44"/>
              <w:jc w:val="center"/>
              <w:rPr>
                <w:i w:val="0"/>
                <w:iCs w:val="0"/>
                <w:color w:val="auto"/>
                <w:highlight w:val="none"/>
              </w:rPr>
            </w:pPr>
          </w:p>
        </w:tc>
        <w:tc>
          <w:tcPr>
            <w:tcW w:w="1200" w:type="pct"/>
            <w:vAlign w:val="center"/>
          </w:tcPr>
          <w:p w14:paraId="085E5102">
            <w:pPr>
              <w:pStyle w:val="44"/>
              <w:jc w:val="center"/>
              <w:rPr>
                <w:i w:val="0"/>
                <w:iCs w:val="0"/>
                <w:color w:val="auto"/>
                <w:highlight w:val="none"/>
              </w:rPr>
            </w:pPr>
          </w:p>
        </w:tc>
        <w:tc>
          <w:tcPr>
            <w:tcW w:w="1200" w:type="pct"/>
            <w:vAlign w:val="center"/>
          </w:tcPr>
          <w:p w14:paraId="74B87043">
            <w:pPr>
              <w:pStyle w:val="44"/>
              <w:jc w:val="center"/>
              <w:rPr>
                <w:i w:val="0"/>
                <w:iCs w:val="0"/>
                <w:color w:val="auto"/>
                <w:highlight w:val="none"/>
              </w:rPr>
            </w:pPr>
          </w:p>
        </w:tc>
      </w:tr>
      <w:tr w14:paraId="4BD9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DBDBE11">
            <w:pPr>
              <w:pStyle w:val="44"/>
              <w:jc w:val="center"/>
              <w:rPr>
                <w:i w:val="0"/>
                <w:iCs w:val="0"/>
                <w:color w:val="auto"/>
                <w:highlight w:val="none"/>
              </w:rPr>
            </w:pPr>
          </w:p>
        </w:tc>
        <w:tc>
          <w:tcPr>
            <w:tcW w:w="1277" w:type="pct"/>
            <w:vAlign w:val="center"/>
          </w:tcPr>
          <w:p w14:paraId="1F11A7BE">
            <w:pPr>
              <w:pStyle w:val="44"/>
              <w:jc w:val="center"/>
              <w:rPr>
                <w:i w:val="0"/>
                <w:iCs w:val="0"/>
                <w:color w:val="auto"/>
                <w:highlight w:val="none"/>
              </w:rPr>
            </w:pPr>
          </w:p>
        </w:tc>
        <w:tc>
          <w:tcPr>
            <w:tcW w:w="913" w:type="pct"/>
            <w:vAlign w:val="center"/>
          </w:tcPr>
          <w:p w14:paraId="09342B6E">
            <w:pPr>
              <w:pStyle w:val="44"/>
              <w:jc w:val="center"/>
              <w:rPr>
                <w:i w:val="0"/>
                <w:iCs w:val="0"/>
                <w:color w:val="auto"/>
                <w:highlight w:val="none"/>
              </w:rPr>
            </w:pPr>
          </w:p>
        </w:tc>
        <w:tc>
          <w:tcPr>
            <w:tcW w:w="1200" w:type="pct"/>
            <w:vAlign w:val="center"/>
          </w:tcPr>
          <w:p w14:paraId="6742B646">
            <w:pPr>
              <w:pStyle w:val="44"/>
              <w:jc w:val="center"/>
              <w:rPr>
                <w:i w:val="0"/>
                <w:iCs w:val="0"/>
                <w:color w:val="auto"/>
                <w:highlight w:val="none"/>
              </w:rPr>
            </w:pPr>
          </w:p>
        </w:tc>
        <w:tc>
          <w:tcPr>
            <w:tcW w:w="1200" w:type="pct"/>
            <w:vAlign w:val="center"/>
          </w:tcPr>
          <w:p w14:paraId="4C72FCC2">
            <w:pPr>
              <w:pStyle w:val="44"/>
              <w:jc w:val="center"/>
              <w:rPr>
                <w:i w:val="0"/>
                <w:iCs w:val="0"/>
                <w:color w:val="auto"/>
                <w:highlight w:val="none"/>
              </w:rPr>
            </w:pPr>
          </w:p>
        </w:tc>
      </w:tr>
      <w:tr w14:paraId="2669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07" w:type="pct"/>
            <w:vAlign w:val="center"/>
          </w:tcPr>
          <w:p w14:paraId="0D811F11">
            <w:pPr>
              <w:pStyle w:val="44"/>
              <w:jc w:val="center"/>
              <w:rPr>
                <w:i w:val="0"/>
                <w:iCs w:val="0"/>
                <w:color w:val="auto"/>
                <w:highlight w:val="none"/>
              </w:rPr>
            </w:pPr>
            <w:r>
              <w:rPr>
                <w:rFonts w:hint="eastAsia"/>
                <w:i w:val="0"/>
                <w:iCs w:val="0"/>
                <w:color w:val="auto"/>
                <w:highlight w:val="none"/>
              </w:rPr>
              <w:t>……</w:t>
            </w:r>
          </w:p>
        </w:tc>
        <w:tc>
          <w:tcPr>
            <w:tcW w:w="1277" w:type="pct"/>
            <w:vAlign w:val="center"/>
          </w:tcPr>
          <w:p w14:paraId="7D0AF02A">
            <w:pPr>
              <w:pStyle w:val="44"/>
              <w:jc w:val="center"/>
              <w:rPr>
                <w:i w:val="0"/>
                <w:iCs w:val="0"/>
                <w:color w:val="auto"/>
                <w:highlight w:val="none"/>
              </w:rPr>
            </w:pPr>
            <w:r>
              <w:rPr>
                <w:rFonts w:hint="eastAsia"/>
                <w:i w:val="0"/>
                <w:iCs w:val="0"/>
                <w:color w:val="auto"/>
                <w:highlight w:val="none"/>
              </w:rPr>
              <w:t>…………</w:t>
            </w:r>
          </w:p>
        </w:tc>
        <w:tc>
          <w:tcPr>
            <w:tcW w:w="913" w:type="pct"/>
            <w:vAlign w:val="center"/>
          </w:tcPr>
          <w:p w14:paraId="6EC8C4F3">
            <w:pPr>
              <w:pStyle w:val="44"/>
              <w:jc w:val="center"/>
              <w:rPr>
                <w:i w:val="0"/>
                <w:iCs w:val="0"/>
                <w:color w:val="auto"/>
                <w:highlight w:val="none"/>
              </w:rPr>
            </w:pPr>
            <w:r>
              <w:rPr>
                <w:rFonts w:hint="eastAsia"/>
                <w:i w:val="0"/>
                <w:iCs w:val="0"/>
                <w:color w:val="auto"/>
                <w:highlight w:val="none"/>
              </w:rPr>
              <w:t>………………</w:t>
            </w:r>
          </w:p>
        </w:tc>
        <w:tc>
          <w:tcPr>
            <w:tcW w:w="1200" w:type="pct"/>
            <w:vAlign w:val="center"/>
          </w:tcPr>
          <w:p w14:paraId="59EB3DF9">
            <w:pPr>
              <w:pStyle w:val="44"/>
              <w:jc w:val="center"/>
              <w:rPr>
                <w:i w:val="0"/>
                <w:iCs w:val="0"/>
                <w:color w:val="auto"/>
                <w:highlight w:val="none"/>
              </w:rPr>
            </w:pPr>
            <w:r>
              <w:rPr>
                <w:rFonts w:hint="eastAsia"/>
                <w:i w:val="0"/>
                <w:iCs w:val="0"/>
                <w:color w:val="auto"/>
                <w:highlight w:val="none"/>
              </w:rPr>
              <w:t>…………</w:t>
            </w:r>
          </w:p>
        </w:tc>
        <w:tc>
          <w:tcPr>
            <w:tcW w:w="1200" w:type="pct"/>
            <w:vAlign w:val="center"/>
          </w:tcPr>
          <w:p w14:paraId="1BF96619">
            <w:pPr>
              <w:pStyle w:val="44"/>
              <w:jc w:val="center"/>
              <w:rPr>
                <w:i w:val="0"/>
                <w:iCs w:val="0"/>
                <w:color w:val="auto"/>
                <w:highlight w:val="none"/>
              </w:rPr>
            </w:pPr>
          </w:p>
        </w:tc>
      </w:tr>
    </w:tbl>
    <w:p w14:paraId="48CF14C4">
      <w:pPr>
        <w:ind w:firstLine="480" w:firstLineChars="200"/>
        <w:rPr>
          <w:rFonts w:hint="eastAsia" w:cs="仿宋_GB2312"/>
          <w:i w:val="0"/>
          <w:iCs w:val="0"/>
          <w:color w:val="auto"/>
          <w:szCs w:val="24"/>
          <w:highlight w:val="none"/>
        </w:rPr>
      </w:pPr>
    </w:p>
    <w:p w14:paraId="2B5EBACC">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说明：</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i w:val="0"/>
          <w:iCs w:val="0"/>
          <w:color w:val="auto"/>
          <w:sz w:val="21"/>
          <w:szCs w:val="21"/>
          <w:highlight w:val="none"/>
          <w:lang w:val="en-US" w:eastAsia="zh-CN"/>
        </w:rPr>
        <w:t>竞争性磋商</w:t>
      </w:r>
      <w:r>
        <w:rPr>
          <w:rFonts w:hint="eastAsia" w:cs="仿宋_GB2312"/>
          <w:i w:val="0"/>
          <w:iCs w:val="0"/>
          <w:color w:val="auto"/>
          <w:sz w:val="21"/>
          <w:szCs w:val="21"/>
          <w:highlight w:val="none"/>
        </w:rPr>
        <w:t xml:space="preserve">文件“第三章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w:t>
      </w:r>
      <w:r>
        <w:rPr>
          <w:rFonts w:hint="eastAsia" w:cs="仿宋_GB2312"/>
          <w:i w:val="0"/>
          <w:iCs w:val="0"/>
          <w:color w:val="auto"/>
          <w:sz w:val="21"/>
          <w:szCs w:val="21"/>
          <w:highlight w:val="none"/>
        </w:rPr>
        <w:t>技术要求填写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“响应/正偏离/负偏离”应据实填写“响应”、“正偏离”或“负偏离”</w:t>
      </w:r>
      <w:r>
        <w:rPr>
          <w:rFonts w:hint="eastAsia" w:cs="仿宋_GB2312"/>
          <w:i w:val="0"/>
          <w:iCs w:val="0"/>
          <w:color w:val="auto"/>
          <w:sz w:val="21"/>
          <w:szCs w:val="21"/>
          <w:highlight w:val="none"/>
        </w:rPr>
        <w:t>。</w:t>
      </w:r>
    </w:p>
    <w:p w14:paraId="12AEBD40">
      <w:pPr>
        <w:ind w:firstLine="480" w:firstLineChars="200"/>
        <w:rPr>
          <w:rFonts w:cs="仿宋_GB2312"/>
          <w:i w:val="0"/>
          <w:iCs w:val="0"/>
          <w:color w:val="auto"/>
          <w:szCs w:val="24"/>
          <w:highlight w:val="none"/>
        </w:rPr>
      </w:pPr>
    </w:p>
    <w:p w14:paraId="53059121">
      <w:pPr>
        <w:ind w:firstLine="480" w:firstLineChars="200"/>
        <w:rPr>
          <w:rFonts w:cs="仿宋_GB2312"/>
          <w:i w:val="0"/>
          <w:iCs w:val="0"/>
          <w:color w:val="auto"/>
          <w:szCs w:val="24"/>
          <w:highlight w:val="none"/>
        </w:rPr>
      </w:pP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rPr>
        <w:t>名称：</w:t>
      </w:r>
    </w:p>
    <w:p w14:paraId="27EF6D84">
      <w:pPr>
        <w:ind w:firstLine="420"/>
        <w:rPr>
          <w:rFonts w:cs="仿宋_GB2312"/>
          <w:i w:val="0"/>
          <w:iCs w:val="0"/>
          <w:color w:val="auto"/>
          <w:szCs w:val="24"/>
          <w:highlight w:val="none"/>
        </w:rPr>
      </w:pPr>
      <w:r>
        <w:rPr>
          <w:rFonts w:hint="eastAsia" w:cs="仿宋_GB2312"/>
          <w:i w:val="0"/>
          <w:iCs w:val="0"/>
          <w:color w:val="auto"/>
          <w:szCs w:val="24"/>
          <w:highlight w:val="none"/>
        </w:rPr>
        <w:t>日      期：</w:t>
      </w:r>
    </w:p>
    <w:p w14:paraId="57D8F886">
      <w:pPr>
        <w:ind w:firstLine="420"/>
        <w:rPr>
          <w:rFonts w:cs="仿宋_GB2312"/>
          <w:i w:val="0"/>
          <w:iCs w:val="0"/>
          <w:color w:val="auto"/>
          <w:szCs w:val="24"/>
          <w:highlight w:val="none"/>
        </w:rPr>
      </w:pPr>
    </w:p>
    <w:p w14:paraId="4F204CD5">
      <w:pPr>
        <w:ind w:firstLine="420"/>
        <w:rPr>
          <w:rFonts w:cs="仿宋_GB2312"/>
          <w:i w:val="0"/>
          <w:iCs w:val="0"/>
          <w:color w:val="auto"/>
          <w:szCs w:val="24"/>
          <w:highlight w:val="none"/>
        </w:rPr>
      </w:pPr>
    </w:p>
    <w:p w14:paraId="49A1A5E5">
      <w:pPr>
        <w:ind w:firstLine="420"/>
        <w:rPr>
          <w:rFonts w:cs="仿宋_GB2312"/>
          <w:i w:val="0"/>
          <w:iCs w:val="0"/>
          <w:color w:val="auto"/>
          <w:szCs w:val="24"/>
          <w:highlight w:val="none"/>
        </w:rPr>
      </w:pPr>
      <w:r>
        <w:rPr>
          <w:rFonts w:cs="仿宋_GB2312"/>
          <w:i w:val="0"/>
          <w:iCs w:val="0"/>
          <w:color w:val="auto"/>
          <w:szCs w:val="24"/>
          <w:highlight w:val="none"/>
        </w:rPr>
        <w:br w:type="page"/>
      </w:r>
    </w:p>
    <w:p w14:paraId="06C98EB9">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72" w:name="_Toc13078"/>
      <w:r>
        <w:rPr>
          <w:rFonts w:hint="eastAsia" w:cstheme="majorBidi"/>
          <w:b/>
          <w:bCs/>
          <w:i w:val="0"/>
          <w:iCs w:val="0"/>
          <w:color w:val="auto"/>
          <w:kern w:val="2"/>
          <w:sz w:val="32"/>
          <w:szCs w:val="32"/>
          <w:highlight w:val="none"/>
          <w:lang w:val="en-US" w:eastAsia="zh-CN" w:bidi="ar-SA"/>
        </w:rPr>
        <w:t>十</w:t>
      </w:r>
      <w:r>
        <w:rPr>
          <w:rFonts w:hint="eastAsia" w:eastAsia="宋体" w:asciiTheme="majorHAnsi" w:hAnsiTheme="majorHAnsi" w:cstheme="majorBidi"/>
          <w:b/>
          <w:bCs/>
          <w:i w:val="0"/>
          <w:iCs w:val="0"/>
          <w:color w:val="auto"/>
          <w:kern w:val="2"/>
          <w:sz w:val="32"/>
          <w:szCs w:val="32"/>
          <w:highlight w:val="none"/>
          <w:lang w:val="en-US" w:eastAsia="zh-CN" w:bidi="ar-SA"/>
        </w:rPr>
        <w:t>、技术方案</w:t>
      </w:r>
      <w:bookmarkEnd w:id="1272"/>
    </w:p>
    <w:p w14:paraId="3878D3F5">
      <w:pPr>
        <w:pStyle w:val="33"/>
        <w:rPr>
          <w:i w:val="0"/>
          <w:iCs w:val="0"/>
          <w:color w:val="auto"/>
          <w:highlight w:val="none"/>
        </w:rPr>
      </w:pPr>
      <w:r>
        <w:rPr>
          <w:rFonts w:hint="eastAsia"/>
          <w:i w:val="0"/>
          <w:iCs w:val="0"/>
          <w:color w:val="auto"/>
          <w:highlight w:val="none"/>
          <w:lang w:val="en-US" w:eastAsia="zh-CN"/>
        </w:rPr>
        <w:t>供应商</w:t>
      </w:r>
      <w:r>
        <w:rPr>
          <w:rFonts w:hint="eastAsia"/>
          <w:i w:val="0"/>
          <w:iCs w:val="0"/>
          <w:color w:val="auto"/>
          <w:highlight w:val="none"/>
        </w:rPr>
        <w:t>应按照</w:t>
      </w:r>
      <w:r>
        <w:rPr>
          <w:rFonts w:hint="eastAsia"/>
          <w:i w:val="0"/>
          <w:iCs w:val="0"/>
          <w:color w:val="auto"/>
          <w:highlight w:val="none"/>
          <w:lang w:val="en-US" w:eastAsia="zh-CN"/>
        </w:rPr>
        <w:t>竞争性磋商</w:t>
      </w:r>
      <w:r>
        <w:rPr>
          <w:rFonts w:hint="eastAsia"/>
          <w:i w:val="0"/>
          <w:iCs w:val="0"/>
          <w:color w:val="auto"/>
          <w:highlight w:val="none"/>
        </w:rPr>
        <w:t>文件的要求，提供详细的</w:t>
      </w:r>
      <w:r>
        <w:rPr>
          <w:rFonts w:hint="eastAsia"/>
          <w:i w:val="0"/>
          <w:iCs w:val="0"/>
          <w:color w:val="auto"/>
          <w:highlight w:val="none"/>
          <w:lang w:val="en-US" w:eastAsia="zh-CN"/>
        </w:rPr>
        <w:t>工程实施及相关</w:t>
      </w:r>
      <w:r>
        <w:rPr>
          <w:rFonts w:hint="eastAsia"/>
          <w:i w:val="0"/>
          <w:iCs w:val="0"/>
          <w:color w:val="auto"/>
          <w:highlight w:val="none"/>
        </w:rPr>
        <w:t>服务方案，包括文字描述或图表显示。格式自拟。</w:t>
      </w:r>
    </w:p>
    <w:p w14:paraId="7EE77353">
      <w:pPr>
        <w:pStyle w:val="33"/>
        <w:rPr>
          <w:i w:val="0"/>
          <w:iCs w:val="0"/>
          <w:color w:val="auto"/>
          <w:highlight w:val="none"/>
        </w:rPr>
      </w:pPr>
      <w:r>
        <w:rPr>
          <w:i w:val="0"/>
          <w:iCs w:val="0"/>
          <w:color w:val="auto"/>
          <w:highlight w:val="none"/>
        </w:rPr>
        <w:br w:type="page"/>
      </w:r>
    </w:p>
    <w:p w14:paraId="68D392B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1273" w:name="_Toc26060"/>
      <w:r>
        <w:rPr>
          <w:rFonts w:hint="eastAsia" w:eastAsia="宋体" w:asciiTheme="majorHAnsi" w:hAnsiTheme="majorHAnsi" w:cstheme="majorBidi"/>
          <w:b/>
          <w:bCs/>
          <w:i w:val="0"/>
          <w:iCs w:val="0"/>
          <w:color w:val="auto"/>
          <w:kern w:val="2"/>
          <w:sz w:val="32"/>
          <w:szCs w:val="32"/>
          <w:highlight w:val="none"/>
          <w:lang w:val="en-US" w:eastAsia="zh-CN" w:bidi="ar-SA"/>
        </w:rPr>
        <w:t>十</w:t>
      </w:r>
      <w:r>
        <w:rPr>
          <w:rFonts w:hint="eastAsia" w:cstheme="majorBidi"/>
          <w:b/>
          <w:bCs/>
          <w:i w:val="0"/>
          <w:iCs w:val="0"/>
          <w:color w:val="auto"/>
          <w:kern w:val="2"/>
          <w:sz w:val="32"/>
          <w:szCs w:val="32"/>
          <w:highlight w:val="none"/>
          <w:lang w:val="en-US" w:eastAsia="zh-CN" w:bidi="ar-SA"/>
        </w:rPr>
        <w:t>一</w:t>
      </w:r>
      <w:r>
        <w:rPr>
          <w:rFonts w:hint="eastAsia" w:eastAsia="宋体" w:asciiTheme="majorHAnsi" w:hAnsiTheme="majorHAnsi" w:cstheme="majorBidi"/>
          <w:b/>
          <w:bCs/>
          <w:i w:val="0"/>
          <w:iCs w:val="0"/>
          <w:color w:val="auto"/>
          <w:kern w:val="2"/>
          <w:sz w:val="32"/>
          <w:szCs w:val="32"/>
          <w:highlight w:val="none"/>
          <w:lang w:val="en-US" w:eastAsia="zh-CN" w:bidi="ar-SA"/>
        </w:rPr>
        <w:t>、其他文件</w:t>
      </w:r>
      <w:bookmarkEnd w:id="1273"/>
    </w:p>
    <w:p w14:paraId="6EF40482">
      <w:pPr>
        <w:pStyle w:val="33"/>
        <w:ind w:left="0" w:leftChars="0" w:firstLine="0" w:firstLineChars="0"/>
        <w:rPr>
          <w:rFonts w:hint="eastAsia"/>
          <w:b/>
          <w:bCs/>
          <w:iCs/>
          <w:color w:val="auto"/>
          <w:sz w:val="24"/>
          <w:szCs w:val="24"/>
          <w:highlight w:val="none"/>
          <w:shd w:val="clear" w:color="auto" w:fill="FFFFFF" w:themeFill="background1"/>
          <w:lang w:val="zh-CN" w:eastAsia="zh-CN"/>
        </w:rPr>
      </w:pPr>
      <w:r>
        <w:rPr>
          <w:rFonts w:hint="eastAsia"/>
          <w:b/>
          <w:bCs/>
          <w:iCs/>
          <w:color w:val="auto"/>
          <w:sz w:val="24"/>
          <w:szCs w:val="24"/>
          <w:highlight w:val="none"/>
          <w:shd w:val="clear" w:color="auto" w:fill="FFFFFF" w:themeFill="background1"/>
          <w:lang w:val="en-US" w:eastAsia="zh-CN"/>
        </w:rPr>
        <w:t>（一）竞争性磋商</w:t>
      </w:r>
      <w:r>
        <w:rPr>
          <w:rFonts w:hint="eastAsia"/>
          <w:b/>
          <w:bCs/>
          <w:iCs/>
          <w:color w:val="auto"/>
          <w:sz w:val="24"/>
          <w:szCs w:val="24"/>
          <w:highlight w:val="none"/>
          <w:shd w:val="clear" w:color="auto" w:fill="FFFFFF" w:themeFill="background1"/>
          <w:lang w:val="zh-CN" w:eastAsia="zh-CN"/>
        </w:rPr>
        <w:t>文件要求提供的其它商务、技术资料和证明材料；</w:t>
      </w:r>
    </w:p>
    <w:p w14:paraId="48C74519">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1.1供应商信息采集表</w:t>
      </w:r>
    </w:p>
    <w:tbl>
      <w:tblPr>
        <w:tblStyle w:val="28"/>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195FC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29648684">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59089373">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5F046EFB">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6134E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7DE14BE8">
            <w:pPr>
              <w:pStyle w:val="33"/>
              <w:rPr>
                <w:rFonts w:hint="eastAsia" w:ascii="宋体" w:hAnsi="宋体" w:eastAsia="宋体" w:cs="宋体"/>
                <w:color w:val="auto"/>
                <w:sz w:val="24"/>
                <w:szCs w:val="24"/>
                <w:highlight w:val="none"/>
                <w:vertAlign w:val="baseline"/>
                <w:lang w:val="en-US" w:eastAsia="zh-CN"/>
              </w:rPr>
            </w:pPr>
          </w:p>
        </w:tc>
        <w:tc>
          <w:tcPr>
            <w:tcW w:w="2841" w:type="dxa"/>
          </w:tcPr>
          <w:p w14:paraId="2128E8D2">
            <w:pPr>
              <w:pStyle w:val="33"/>
              <w:rPr>
                <w:rFonts w:hint="eastAsia" w:ascii="宋体" w:hAnsi="宋体" w:eastAsia="宋体" w:cs="宋体"/>
                <w:color w:val="auto"/>
                <w:sz w:val="24"/>
                <w:szCs w:val="24"/>
                <w:highlight w:val="none"/>
                <w:vertAlign w:val="baseline"/>
                <w:lang w:val="en-US" w:eastAsia="zh-CN"/>
              </w:rPr>
            </w:pPr>
          </w:p>
        </w:tc>
        <w:tc>
          <w:tcPr>
            <w:tcW w:w="2743" w:type="dxa"/>
          </w:tcPr>
          <w:p w14:paraId="2062793F">
            <w:pPr>
              <w:pStyle w:val="33"/>
              <w:rPr>
                <w:rFonts w:hint="eastAsia" w:ascii="宋体" w:hAnsi="宋体" w:eastAsia="宋体" w:cs="宋体"/>
                <w:color w:val="auto"/>
                <w:sz w:val="24"/>
                <w:szCs w:val="24"/>
                <w:highlight w:val="none"/>
                <w:vertAlign w:val="baseline"/>
                <w:lang w:val="en-US" w:eastAsia="zh-CN"/>
              </w:rPr>
            </w:pPr>
          </w:p>
        </w:tc>
      </w:tr>
      <w:tr w14:paraId="211A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23E7A68A">
            <w:pPr>
              <w:pStyle w:val="33"/>
              <w:rPr>
                <w:rFonts w:hint="eastAsia" w:ascii="宋体" w:hAnsi="宋体" w:eastAsia="宋体" w:cs="宋体"/>
                <w:color w:val="auto"/>
                <w:sz w:val="24"/>
                <w:szCs w:val="24"/>
                <w:highlight w:val="none"/>
                <w:vertAlign w:val="baseline"/>
                <w:lang w:val="en-US" w:eastAsia="zh-CN"/>
              </w:rPr>
            </w:pPr>
          </w:p>
        </w:tc>
        <w:tc>
          <w:tcPr>
            <w:tcW w:w="2841" w:type="dxa"/>
          </w:tcPr>
          <w:p w14:paraId="1C079DA0">
            <w:pPr>
              <w:pStyle w:val="33"/>
              <w:rPr>
                <w:rFonts w:hint="eastAsia" w:ascii="宋体" w:hAnsi="宋体" w:eastAsia="宋体" w:cs="宋体"/>
                <w:color w:val="auto"/>
                <w:sz w:val="24"/>
                <w:szCs w:val="24"/>
                <w:highlight w:val="none"/>
                <w:vertAlign w:val="baseline"/>
                <w:lang w:val="en-US" w:eastAsia="zh-CN"/>
              </w:rPr>
            </w:pPr>
          </w:p>
        </w:tc>
        <w:tc>
          <w:tcPr>
            <w:tcW w:w="2743" w:type="dxa"/>
          </w:tcPr>
          <w:p w14:paraId="299E6465">
            <w:pPr>
              <w:pStyle w:val="33"/>
              <w:rPr>
                <w:rFonts w:hint="eastAsia" w:ascii="宋体" w:hAnsi="宋体" w:eastAsia="宋体" w:cs="宋体"/>
                <w:color w:val="auto"/>
                <w:sz w:val="24"/>
                <w:szCs w:val="24"/>
                <w:highlight w:val="none"/>
                <w:vertAlign w:val="baseline"/>
                <w:lang w:val="en-US" w:eastAsia="zh-CN"/>
              </w:rPr>
            </w:pPr>
          </w:p>
        </w:tc>
      </w:tr>
      <w:tr w14:paraId="4E8F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46698E8">
            <w:pPr>
              <w:pStyle w:val="33"/>
              <w:rPr>
                <w:rFonts w:hint="eastAsia" w:ascii="宋体" w:hAnsi="宋体" w:eastAsia="宋体" w:cs="宋体"/>
                <w:color w:val="auto"/>
                <w:sz w:val="24"/>
                <w:szCs w:val="24"/>
                <w:highlight w:val="none"/>
                <w:vertAlign w:val="baseline"/>
                <w:lang w:val="en-US" w:eastAsia="zh-CN"/>
              </w:rPr>
            </w:pPr>
          </w:p>
        </w:tc>
        <w:tc>
          <w:tcPr>
            <w:tcW w:w="2841" w:type="dxa"/>
          </w:tcPr>
          <w:p w14:paraId="5DE31D06">
            <w:pPr>
              <w:pStyle w:val="33"/>
              <w:rPr>
                <w:rFonts w:hint="eastAsia" w:ascii="宋体" w:hAnsi="宋体" w:eastAsia="宋体" w:cs="宋体"/>
                <w:color w:val="auto"/>
                <w:sz w:val="24"/>
                <w:szCs w:val="24"/>
                <w:highlight w:val="none"/>
                <w:vertAlign w:val="baseline"/>
                <w:lang w:val="en-US" w:eastAsia="zh-CN"/>
              </w:rPr>
            </w:pPr>
          </w:p>
        </w:tc>
        <w:tc>
          <w:tcPr>
            <w:tcW w:w="2743" w:type="dxa"/>
          </w:tcPr>
          <w:p w14:paraId="2EBF2A2E">
            <w:pPr>
              <w:pStyle w:val="33"/>
              <w:rPr>
                <w:rFonts w:hint="eastAsia" w:ascii="宋体" w:hAnsi="宋体" w:eastAsia="宋体" w:cs="宋体"/>
                <w:color w:val="auto"/>
                <w:sz w:val="24"/>
                <w:szCs w:val="24"/>
                <w:highlight w:val="none"/>
                <w:vertAlign w:val="baseline"/>
                <w:lang w:val="en-US" w:eastAsia="zh-CN"/>
              </w:rPr>
            </w:pPr>
          </w:p>
        </w:tc>
      </w:tr>
      <w:tr w14:paraId="1F669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2C8B53D">
            <w:pPr>
              <w:pStyle w:val="33"/>
              <w:rPr>
                <w:rFonts w:hint="eastAsia" w:ascii="宋体" w:hAnsi="宋体" w:eastAsia="宋体" w:cs="宋体"/>
                <w:color w:val="auto"/>
                <w:sz w:val="24"/>
                <w:szCs w:val="24"/>
                <w:highlight w:val="none"/>
                <w:vertAlign w:val="baseline"/>
                <w:lang w:val="en-US" w:eastAsia="zh-CN"/>
              </w:rPr>
            </w:pPr>
          </w:p>
        </w:tc>
        <w:tc>
          <w:tcPr>
            <w:tcW w:w="2841" w:type="dxa"/>
          </w:tcPr>
          <w:p w14:paraId="0AB8EE25">
            <w:pPr>
              <w:pStyle w:val="33"/>
              <w:rPr>
                <w:rFonts w:hint="eastAsia" w:ascii="宋体" w:hAnsi="宋体" w:eastAsia="宋体" w:cs="宋体"/>
                <w:color w:val="auto"/>
                <w:sz w:val="24"/>
                <w:szCs w:val="24"/>
                <w:highlight w:val="none"/>
                <w:vertAlign w:val="baseline"/>
                <w:lang w:val="en-US" w:eastAsia="zh-CN"/>
              </w:rPr>
            </w:pPr>
          </w:p>
        </w:tc>
        <w:tc>
          <w:tcPr>
            <w:tcW w:w="2743" w:type="dxa"/>
          </w:tcPr>
          <w:p w14:paraId="17F71402">
            <w:pPr>
              <w:pStyle w:val="33"/>
              <w:rPr>
                <w:rFonts w:hint="eastAsia" w:ascii="宋体" w:hAnsi="宋体" w:eastAsia="宋体" w:cs="宋体"/>
                <w:color w:val="auto"/>
                <w:sz w:val="24"/>
                <w:szCs w:val="24"/>
                <w:highlight w:val="none"/>
                <w:vertAlign w:val="baseline"/>
                <w:lang w:val="en-US" w:eastAsia="zh-CN"/>
              </w:rPr>
            </w:pPr>
          </w:p>
        </w:tc>
      </w:tr>
    </w:tbl>
    <w:p w14:paraId="181C01DA">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429C5533">
      <w:pPr>
        <w:keepNext w:val="0"/>
        <w:keepLines w:val="0"/>
        <w:widowControl/>
        <w:suppressLineNumbers w:val="0"/>
        <w:ind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2.“供应商实际控制人性别”按供应商实际控制人性别划分请填写“男”或“女”，指拥有供应商 51%以上绝对所有权的性；绝对所有权拥有者可以是一个人，也可以是多人合计计算。</w:t>
      </w:r>
    </w:p>
    <w:p w14:paraId="6C85D95C">
      <w:pPr>
        <w:pStyle w:val="33"/>
        <w:ind w:left="0" w:lef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3.“外商投资类型”请填写“外商单独投资”、“外商部分投资”或“内资”。</w:t>
      </w:r>
    </w:p>
    <w:p w14:paraId="55FB009A">
      <w:pPr>
        <w:pStyle w:val="33"/>
        <w:rPr>
          <w:rFonts w:hint="eastAsia" w:ascii="宋体" w:hAnsi="宋体" w:eastAsia="宋体" w:cs="宋体"/>
          <w:color w:val="auto"/>
          <w:sz w:val="24"/>
          <w:szCs w:val="24"/>
          <w:highlight w:val="none"/>
          <w:lang w:val="en-US" w:eastAsia="zh-CN"/>
        </w:rPr>
      </w:pPr>
    </w:p>
    <w:p w14:paraId="70E3FED5">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1.2其它商务、技术资料和证明材料</w:t>
      </w:r>
    </w:p>
    <w:p w14:paraId="1C94AC88">
      <w:pPr>
        <w:pStyle w:val="33"/>
        <w:rPr>
          <w:rFonts w:hint="default"/>
          <w:color w:val="auto"/>
          <w:sz w:val="28"/>
          <w:szCs w:val="28"/>
          <w:highlight w:val="none"/>
          <w:lang w:val="en-US" w:eastAsia="zh-CN"/>
        </w:rPr>
      </w:pPr>
    </w:p>
    <w:p w14:paraId="786C6365">
      <w:pPr>
        <w:pStyle w:val="33"/>
        <w:ind w:left="0" w:leftChars="0" w:firstLine="0" w:firstLineChars="0"/>
        <w:rPr>
          <w:rFonts w:hint="eastAsia"/>
          <w:b/>
          <w:bCs/>
          <w:iCs/>
          <w:color w:val="auto"/>
          <w:sz w:val="24"/>
          <w:szCs w:val="24"/>
          <w:highlight w:val="none"/>
          <w:shd w:val="clear" w:color="auto" w:fill="FFFFFF" w:themeFill="background1"/>
          <w:lang w:val="en-US" w:eastAsia="zh-CN"/>
        </w:rPr>
      </w:pPr>
      <w:r>
        <w:rPr>
          <w:rFonts w:hint="eastAsia"/>
          <w:b/>
          <w:bCs/>
          <w:iCs/>
          <w:color w:val="auto"/>
          <w:sz w:val="24"/>
          <w:szCs w:val="24"/>
          <w:highlight w:val="none"/>
          <w:shd w:val="clear" w:color="auto" w:fill="FFFFFF" w:themeFill="background1"/>
          <w:lang w:val="en-US" w:eastAsia="zh-CN"/>
        </w:rPr>
        <w:t>（二）供应商认为需要提供的其它商务、技术资料和说明。</w:t>
      </w:r>
    </w:p>
    <w:p w14:paraId="53038BD4">
      <w:pPr>
        <w:pStyle w:val="33"/>
        <w:rPr>
          <w:rFonts w:hint="eastAsia"/>
          <w:i w:val="0"/>
          <w:iCs w:val="0"/>
          <w:color w:val="auto"/>
          <w:highlight w:val="none"/>
        </w:rPr>
      </w:pPr>
    </w:p>
    <w:bookmarkEnd w:id="1191"/>
    <w:p w14:paraId="7CB0AFFA">
      <w:pPr>
        <w:rPr>
          <w:i w:val="0"/>
          <w:iCs w:val="0"/>
          <w:color w:val="auto"/>
          <w:highlight w:val="none"/>
        </w:rPr>
      </w:pPr>
    </w:p>
    <w:sectPr>
      <w:pgSz w:w="11906" w:h="16838"/>
      <w:pgMar w:top="1440" w:right="1800" w:bottom="1440" w:left="1800"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6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07A8BBA6-6F75-4FBF-9843-368708D73B3D}"/>
  </w:font>
  <w:font w:name="Arial">
    <w:panose1 w:val="020B0604020202020204"/>
    <w:charset w:val="01"/>
    <w:family w:val="swiss"/>
    <w:pitch w:val="default"/>
    <w:sig w:usb0="E0002EFF" w:usb1="C000785B" w:usb2="00000009" w:usb3="00000000" w:csb0="400001FF" w:csb1="FFFF0000"/>
    <w:embedRegular r:id="rId2" w:fontKey="{19829500-BC15-4080-9DE3-DD28AED754AD}"/>
  </w:font>
  <w:font w:name="黑体">
    <w:panose1 w:val="02010609060101010101"/>
    <w:charset w:val="86"/>
    <w:family w:val="auto"/>
    <w:pitch w:val="default"/>
    <w:sig w:usb0="800002BF" w:usb1="38CF7CFA" w:usb2="00000016" w:usb3="00000000" w:csb0="00040001" w:csb1="00000000"/>
    <w:embedRegular r:id="rId3" w:fontKey="{B7B2A312-DC94-4ED2-9351-53F3189B4EAA}"/>
  </w:font>
  <w:font w:name="Courier New">
    <w:panose1 w:val="02070309020205020404"/>
    <w:charset w:val="01"/>
    <w:family w:val="modern"/>
    <w:pitch w:val="default"/>
    <w:sig w:usb0="E0002EFF" w:usb1="C0007843" w:usb2="00000009" w:usb3="00000000" w:csb0="400001FF" w:csb1="FFFF0000"/>
    <w:embedRegular r:id="rId4" w:fontKey="{20521B33-1731-4EF4-8FD0-B99CA02E0B7E}"/>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embedRegular r:id="rId5" w:fontKey="{145A946A-B59D-4A12-ACD9-2F31AC0E0C13}"/>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6" w:fontKey="{0189E7A4-F93A-4CF9-9BA1-2B76FF22E0D7}"/>
  </w:font>
  <w:font w:name="..">
    <w:altName w:val="宋体"/>
    <w:panose1 w:val="00000000000000000000"/>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embedRegular r:id="rId7" w:fontKey="{F933106A-C65D-4401-98EC-544EA2374F42}"/>
  </w:font>
  <w:font w:name="华文隶书">
    <w:panose1 w:val="02010800040101010101"/>
    <w:charset w:val="86"/>
    <w:family w:val="auto"/>
    <w:pitch w:val="default"/>
    <w:sig w:usb0="00000001" w:usb1="080F0000" w:usb2="00000000" w:usb3="00000000" w:csb0="00040000" w:csb1="00000000"/>
    <w:embedRegular r:id="rId8" w:fontKey="{D89C7903-493D-4658-A0E3-450641FF5381}"/>
  </w:font>
  <w:font w:name="Wingdings 2">
    <w:panose1 w:val="05020102010507070707"/>
    <w:charset w:val="00"/>
    <w:family w:val="auto"/>
    <w:pitch w:val="default"/>
    <w:sig w:usb0="00000000" w:usb1="00000000" w:usb2="00000000" w:usb3="00000000" w:csb0="80000000" w:csb1="00000000"/>
    <w:embedRegular r:id="rId9" w:fontKey="{5A3AE4A1-7367-4F6D-A037-7C30C62935B7}"/>
  </w:font>
  <w:font w:name="Helvetica">
    <w:altName w:val="Arial"/>
    <w:panose1 w:val="020B0604020202020204"/>
    <w:charset w:val="00"/>
    <w:family w:val="swiss"/>
    <w:pitch w:val="default"/>
    <w:sig w:usb0="00000000" w:usb1="00000000" w:usb2="00000000" w:usb3="00000000" w:csb0="00000000" w:csb1="00000000"/>
    <w:embedRegular r:id="rId10" w:fontKey="{70621A96-740C-43B0-8267-386675B32580}"/>
  </w:font>
  <w:font w:name="Tahoma">
    <w:panose1 w:val="020B0604030504040204"/>
    <w:charset w:val="00"/>
    <w:family w:val="swiss"/>
    <w:pitch w:val="default"/>
    <w:sig w:usb0="E1002EFF" w:usb1="C000605B" w:usb2="00000029" w:usb3="00000000" w:csb0="200101FF" w:csb1="20280000"/>
    <w:embedRegular r:id="rId11" w:fontKey="{F121C8A8-FFC4-4E93-B3C9-CD0D30375AFC}"/>
  </w:font>
  <w:font w:name="方正小标宋_GBK">
    <w:panose1 w:val="02000000000000000000"/>
    <w:charset w:val="86"/>
    <w:family w:val="auto"/>
    <w:pitch w:val="default"/>
    <w:sig w:usb0="A00002BF" w:usb1="38CF7CFA" w:usb2="00082016" w:usb3="00000000" w:csb0="00040001" w:csb1="00000000"/>
    <w:embedRegular r:id="rId12" w:fontKey="{F3EED7F4-4706-4675-A6DD-9A36AD15255D}"/>
  </w:font>
  <w:font w:name="@仿宋_GB2312">
    <w:panose1 w:val="02010609030101010101"/>
    <w:charset w:val="86"/>
    <w:family w:val="modern"/>
    <w:pitch w:val="default"/>
    <w:sig w:usb0="00000001" w:usb1="080E0000" w:usb2="00000000" w:usb3="00000000" w:csb0="00040000" w:csb1="00000000"/>
    <w:embedRegular r:id="rId13" w:fontKey="{498A857D-A8C3-4723-946F-D5880075890E}"/>
  </w:font>
  <w:font w:name="DejaVuSans">
    <w:altName w:val="Segoe Print"/>
    <w:panose1 w:val="00000000000000000000"/>
    <w:charset w:val="00"/>
    <w:family w:val="auto"/>
    <w:pitch w:val="default"/>
    <w:sig w:usb0="00000000" w:usb1="00000000" w:usb2="00000000" w:usb3="00000000" w:csb0="00000000" w:csb1="00000000"/>
    <w:embedRegular r:id="rId14" w:fontKey="{FB363D95-501D-4AF6-AFC7-F8EAB734208B}"/>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86791">
    <w:pPr>
      <w:pStyle w:val="17"/>
      <w:jc w:val="center"/>
    </w:pPr>
    <w:r>
      <w:rPr>
        <w:sz w:val="18"/>
      </w:rPr>
      <mc:AlternateContent>
        <mc:Choice Requires="wps">
          <w:drawing>
            <wp:anchor distT="0" distB="0" distL="114300" distR="114300" simplePos="0" relativeHeight="251660288" behindDoc="0" locked="0" layoutInCell="1" allowOverlap="1">
              <wp:simplePos x="0" y="0"/>
              <wp:positionH relativeFrom="margin">
                <wp:posOffset>2466975</wp:posOffset>
              </wp:positionH>
              <wp:positionV relativeFrom="paragraph">
                <wp:posOffset>0</wp:posOffset>
              </wp:positionV>
              <wp:extent cx="415290" cy="401320"/>
              <wp:effectExtent l="0" t="0" r="0" b="0"/>
              <wp:wrapNone/>
              <wp:docPr id="2" name="文本框 2"/>
              <wp:cNvGraphicFramePr/>
              <a:graphic xmlns:a="http://schemas.openxmlformats.org/drawingml/2006/main">
                <a:graphicData uri="http://schemas.microsoft.com/office/word/2010/wordprocessingShape">
                  <wps:wsp>
                    <wps:cNvSpPr txBox="1"/>
                    <wps:spPr>
                      <a:xfrm>
                        <a:off x="0" y="0"/>
                        <a:ext cx="415290" cy="4013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0219"/>
                            <w:docPartObj>
                              <w:docPartGallery w:val="autotext"/>
                            </w:docPartObj>
                          </w:sdtPr>
                          <w:sdtContent>
                            <w:p w14:paraId="2DEB1E82">
                              <w:pPr>
                                <w:pStyle w:val="17"/>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7B85B52C">
                          <w:pPr>
                            <w:pStyle w:val="1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4.25pt;margin-top:0pt;height:31.6pt;width:32.7pt;mso-position-horizontal-relative:margin;z-index:251660288;mso-width-relative:page;mso-height-relative:page;" filled="f" stroked="f" coordsize="21600,21600" o:gfxdata="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6IDOnXAAAABwEAAA8AAAAAAAAAAQAgAAAAIgAAAGRycy9kb3ducmV2&#10;LnhtbFBLAQIUABQAAAAIAIdO4kDoQFL3NgIAAGEEAAAOAAAAAAAAAAEAIAAAACYBAABkcnMvZTJv&#10;RG9jLnhtbFBLBQYAAAAABgAGAFkBAADOBQAAAAA=&#10;">
              <v:fill on="f" focussize="0,0"/>
              <v:stroke on="f" weight="0.5pt"/>
              <v:imagedata o:title=""/>
              <o:lock v:ext="edit" aspectratio="f"/>
              <v:textbox inset="0mm,0mm,0mm,0mm">
                <w:txbxContent>
                  <w:sdt>
                    <w:sdtPr>
                      <w:id w:val="147470219"/>
                      <w:docPartObj>
                        <w:docPartGallery w:val="autotext"/>
                      </w:docPartObj>
                    </w:sdtPr>
                    <w:sdtContent>
                      <w:p w14:paraId="2DEB1E82">
                        <w:pPr>
                          <w:pStyle w:val="17"/>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7B85B52C">
                    <w:pPr>
                      <w:pStyle w:val="11"/>
                    </w:pPr>
                  </w:p>
                </w:txbxContent>
              </v:textbox>
            </v:shape>
          </w:pict>
        </mc:Fallback>
      </mc:AlternateContent>
    </w:r>
  </w:p>
  <w:p w14:paraId="1D038EF8">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17"/>
    </w:pPr>
    <w:r>
      <w:rPr>
        <w:sz w:val="18"/>
      </w:rPr>
      <mc:AlternateContent>
        <mc:Choice Requires="wps">
          <w:drawing>
            <wp:anchor distT="0" distB="0" distL="114300" distR="114300" simplePos="0" relativeHeight="251659264" behindDoc="0" locked="0" layoutInCell="1" allowOverlap="1">
              <wp:simplePos x="0" y="0"/>
              <wp:positionH relativeFrom="margin">
                <wp:posOffset>2329815</wp:posOffset>
              </wp:positionH>
              <wp:positionV relativeFrom="paragraph">
                <wp:posOffset>0</wp:posOffset>
              </wp:positionV>
              <wp:extent cx="775335" cy="2286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775335" cy="2286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757FD">
                          <w:pPr>
                            <w:pStyle w:val="17"/>
                            <w:spacing w:line="240" w:lineRule="auto"/>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83.45pt;margin-top:0pt;height:18pt;width:61.05pt;mso-position-horizontal-relative:margin;z-index:251659264;mso-width-relative:page;mso-height-relative:page;" filled="f" stroked="f" coordsize="21600,21600" o:gfxdata="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KqMVYnVAAAABwEAAA8AAAAAAAAAAQAgAAAAIgAAAGRycy9kb3ducmV2&#10;LnhtbFBLAQIUABQAAAAIAIdO4kASwkrOOAIAAGEEAAAOAAAAAAAAAAEAIAAAACQBAABkcnMvZTJv&#10;RG9jLnhtbFBLBQYAAAAABgAGAFkBAADOBQAAAAA=&#10;">
              <v:fill on="f" focussize="0,0"/>
              <v:stroke on="f" weight="0.5pt"/>
              <v:imagedata o:title=""/>
              <o:lock v:ext="edit" aspectratio="f"/>
              <v:textbox inset="0mm,0mm,0mm,0mm">
                <w:txbxContent>
                  <w:p w14:paraId="313757FD">
                    <w:pPr>
                      <w:pStyle w:val="17"/>
                      <w:spacing w:line="240" w:lineRule="auto"/>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162A7">
    <w:pPr>
      <w:pStyle w:val="18"/>
    </w:pPr>
    <w:r>
      <w:rPr>
        <w:rFonts w:hint="eastAsia" w:ascii="华文隶书" w:hAnsi="华文隶书" w:eastAsia="华文隶书" w:cs="华文隶书"/>
      </w:rPr>
      <w:drawing>
        <wp:anchor distT="0" distB="0" distL="114300" distR="114300" simplePos="0" relativeHeight="251662336" behindDoc="1" locked="0" layoutInCell="1" allowOverlap="1">
          <wp:simplePos x="0" y="0"/>
          <wp:positionH relativeFrom="column">
            <wp:posOffset>-784225</wp:posOffset>
          </wp:positionH>
          <wp:positionV relativeFrom="paragraph">
            <wp:posOffset>-289560</wp:posOffset>
          </wp:positionV>
          <wp:extent cx="627380" cy="634365"/>
          <wp:effectExtent l="0" t="0" r="1270" b="13335"/>
          <wp:wrapNone/>
          <wp:docPr id="5"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3" descr="c2d8204c9f19f4e8536f51fd16988fd"/>
                  <pic:cNvPicPr>
                    <a:picLocks noChangeAspect="1"/>
                  </pic:cNvPicPr>
                </pic:nvPicPr>
                <pic:blipFill>
                  <a:blip r:embed="rId1"/>
                  <a:stretch>
                    <a:fillRect/>
                  </a:stretch>
                </pic:blipFill>
                <pic:spPr>
                  <a:xfrm>
                    <a:off x="0" y="0"/>
                    <a:ext cx="627380" cy="63436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65D48">
    <w:pPr>
      <w:pStyle w:val="18"/>
    </w:pPr>
    <w:r>
      <w:rPr>
        <w:rFonts w:hint="eastAsia" w:ascii="华文隶书" w:hAnsi="华文隶书" w:eastAsia="华文隶书" w:cs="华文隶书"/>
      </w:rPr>
      <w:drawing>
        <wp:anchor distT="0" distB="0" distL="114300" distR="114300" simplePos="0" relativeHeight="251661312" behindDoc="1" locked="0" layoutInCell="1" allowOverlap="1">
          <wp:simplePos x="0" y="0"/>
          <wp:positionH relativeFrom="column">
            <wp:posOffset>-786130</wp:posOffset>
          </wp:positionH>
          <wp:positionV relativeFrom="paragraph">
            <wp:posOffset>-290195</wp:posOffset>
          </wp:positionV>
          <wp:extent cx="627380" cy="634365"/>
          <wp:effectExtent l="0" t="0" r="1270" b="13335"/>
          <wp:wrapNone/>
          <wp:docPr id="18"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3" descr="c2d8204c9f19f4e8536f51fd16988fd"/>
                  <pic:cNvPicPr>
                    <a:picLocks noChangeAspect="1"/>
                  </pic:cNvPicPr>
                </pic:nvPicPr>
                <pic:blipFill>
                  <a:blip r:embed="rId1"/>
                  <a:stretch>
                    <a:fillRect/>
                  </a:stretch>
                </pic:blipFill>
                <pic:spPr>
                  <a:xfrm>
                    <a:off x="0" y="0"/>
                    <a:ext cx="627380" cy="63436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8C037">
    <w:pPr>
      <w:pStyle w:val="18"/>
      <w:tabs>
        <w:tab w:val="left" w:pos="3120"/>
      </w:tabs>
      <w:spacing w:line="240" w:lineRule="auto"/>
      <w:jc w:val="right"/>
      <w:rPr>
        <w:sz w:val="21"/>
        <w:szCs w:val="21"/>
      </w:rPr>
    </w:pPr>
    <w:r>
      <w:rPr>
        <w:rFonts w:hint="eastAsia" w:ascii="华文隶书" w:hAnsi="华文隶书" w:eastAsia="华文隶书" w:cs="华文隶书"/>
      </w:rPr>
      <w:drawing>
        <wp:anchor distT="0" distB="0" distL="114300" distR="114300" simplePos="0" relativeHeight="251663360" behindDoc="1" locked="0" layoutInCell="1" allowOverlap="1">
          <wp:simplePos x="0" y="0"/>
          <wp:positionH relativeFrom="column">
            <wp:posOffset>-833755</wp:posOffset>
          </wp:positionH>
          <wp:positionV relativeFrom="paragraph">
            <wp:posOffset>-254635</wp:posOffset>
          </wp:positionV>
          <wp:extent cx="627380" cy="634365"/>
          <wp:effectExtent l="0" t="0" r="1270" b="13335"/>
          <wp:wrapNone/>
          <wp:docPr id="6"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3" descr="c2d8204c9f19f4e8536f51fd16988fd"/>
                  <pic:cNvPicPr>
                    <a:picLocks noChangeAspect="1"/>
                  </pic:cNvPicPr>
                </pic:nvPicPr>
                <pic:blipFill>
                  <a:blip r:embed="rId1"/>
                  <a:stretch>
                    <a:fillRect/>
                  </a:stretch>
                </pic:blipFill>
                <pic:spPr>
                  <a:xfrm>
                    <a:off x="0" y="0"/>
                    <a:ext cx="627380" cy="634365"/>
                  </a:xfrm>
                  <a:prstGeom prst="rect">
                    <a:avLst/>
                  </a:prstGeom>
                  <a:noFill/>
                  <a:ln>
                    <a:noFill/>
                  </a:ln>
                </pic:spPr>
              </pic:pic>
            </a:graphicData>
          </a:graphic>
        </wp:anchor>
      </w:drawing>
    </w:r>
    <w:r>
      <w:rPr>
        <w:rFonts w:hint="eastAsia" w:cs="宋体"/>
        <w:sz w:val="18"/>
        <w:szCs w:val="18"/>
        <w:lang w:val="en-US" w:eastAsia="zh-CN"/>
      </w:rPr>
      <w:t>新疆政府采购</w:t>
    </w:r>
    <w:r>
      <w:rPr>
        <w:rFonts w:hint="eastAsia" w:ascii="宋体" w:hAnsi="宋体" w:eastAsia="宋体" w:cs="宋体"/>
        <w:sz w:val="18"/>
        <w:szCs w:val="18"/>
        <w:lang w:val="en-US" w:eastAsia="zh-CN"/>
      </w:rPr>
      <w:t>项目</w:t>
    </w:r>
    <w:r>
      <w:rPr>
        <w:rFonts w:hint="eastAsia" w:ascii="宋体" w:hAnsi="宋体" w:eastAsia="宋体" w:cs="宋体"/>
        <w:sz w:val="18"/>
        <w:szCs w:val="18"/>
      </w:rPr>
      <w:t>竞争性磋商文件</w:t>
    </w:r>
    <w:r>
      <w:rPr>
        <w:rFonts w:hint="eastAsia" w:ascii="宋体" w:hAnsi="宋体" w:eastAsia="宋体" w:cs="宋体"/>
        <w:sz w:val="18"/>
        <w:szCs w:val="18"/>
        <w:lang w:val="en-US" w:eastAsia="zh-CN"/>
      </w:rPr>
      <w:t>示范文本（工程）</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3D0">
    <w:pPr>
      <w:pStyle w:val="18"/>
      <w:spacing w:line="240" w:lineRule="auto"/>
    </w:pPr>
    <w:r>
      <w:rPr>
        <w:rFonts w:hint="eastAsia"/>
        <w:sz w:val="24"/>
        <w:szCs w:val="24"/>
        <w:lang w:val="en-US" w:eastAsia="zh-CN"/>
      </w:rPr>
      <w:t xml:space="preserve">      </w:t>
    </w:r>
    <w:r>
      <w:rPr>
        <w:rFonts w:hint="eastAsia" w:ascii="华文隶书" w:hAnsi="华文隶书" w:eastAsia="华文隶书" w:cs="华文隶书"/>
      </w:rPr>
      <w:drawing>
        <wp:anchor distT="0" distB="0" distL="114300" distR="114300" simplePos="0" relativeHeight="251664384" behindDoc="1" locked="0" layoutInCell="1" allowOverlap="1">
          <wp:simplePos x="0" y="0"/>
          <wp:positionH relativeFrom="column">
            <wp:posOffset>-711200</wp:posOffset>
          </wp:positionH>
          <wp:positionV relativeFrom="paragraph">
            <wp:posOffset>-310515</wp:posOffset>
          </wp:positionV>
          <wp:extent cx="627380" cy="634365"/>
          <wp:effectExtent l="0" t="0" r="1270" b="13335"/>
          <wp:wrapNone/>
          <wp:docPr id="19"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3" descr="c2d8204c9f19f4e8536f51fd16988fd"/>
                  <pic:cNvPicPr>
                    <a:picLocks noChangeAspect="1"/>
                  </pic:cNvPicPr>
                </pic:nvPicPr>
                <pic:blipFill>
                  <a:blip r:embed="rId1"/>
                  <a:stretch>
                    <a:fillRect/>
                  </a:stretch>
                </pic:blipFill>
                <pic:spPr>
                  <a:xfrm>
                    <a:off x="0" y="0"/>
                    <a:ext cx="627380" cy="634365"/>
                  </a:xfrm>
                  <a:prstGeom prst="rect">
                    <a:avLst/>
                  </a:prstGeom>
                  <a:noFill/>
                  <a:ln>
                    <a:noFill/>
                  </a:ln>
                </pic:spPr>
              </pic:pic>
            </a:graphicData>
          </a:graphic>
        </wp:anchor>
      </w:drawing>
    </w:r>
    <w:r>
      <w:rPr>
        <w:rFonts w:hint="eastAsia"/>
        <w:sz w:val="24"/>
        <w:szCs w:val="24"/>
        <w:lang w:val="en-US" w:eastAsia="zh-CN"/>
      </w:rPr>
      <w:t xml:space="preserve">                            </w:t>
    </w:r>
    <w:r>
      <w:rPr>
        <w:rFonts w:hint="eastAsia" w:cs="宋体"/>
        <w:sz w:val="18"/>
        <w:szCs w:val="18"/>
        <w:lang w:val="en-US" w:eastAsia="zh-CN"/>
      </w:rPr>
      <w:t>新疆政府采购</w:t>
    </w:r>
    <w:r>
      <w:rPr>
        <w:rFonts w:hint="eastAsia" w:ascii="宋体" w:hAnsi="宋体" w:eastAsia="宋体" w:cs="宋体"/>
        <w:sz w:val="18"/>
        <w:szCs w:val="18"/>
        <w:lang w:val="en-US" w:eastAsia="zh-CN"/>
      </w:rPr>
      <w:t>项目竞争性磋商</w:t>
    </w:r>
    <w:r>
      <w:rPr>
        <w:rFonts w:hint="eastAsia" w:ascii="宋体" w:hAnsi="宋体" w:eastAsia="宋体" w:cs="宋体"/>
        <w:sz w:val="18"/>
        <w:szCs w:val="18"/>
      </w:rPr>
      <w:t>文件</w:t>
    </w:r>
    <w:r>
      <w:rPr>
        <w:rFonts w:hint="eastAsia" w:ascii="宋体" w:hAnsi="宋体" w:eastAsia="宋体" w:cs="宋体"/>
        <w:sz w:val="18"/>
        <w:szCs w:val="18"/>
        <w:lang w:val="en-US" w:eastAsia="zh-CN"/>
      </w:rPr>
      <w:t>示范文本（工程）</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C96FBF"/>
    <w:multiLevelType w:val="singleLevel"/>
    <w:tmpl w:val="81C96FBF"/>
    <w:lvl w:ilvl="0" w:tentative="0">
      <w:start w:val="3"/>
      <w:numFmt w:val="decimal"/>
      <w:suff w:val="space"/>
      <w:lvlText w:val="%1."/>
      <w:lvlJc w:val="left"/>
    </w:lvl>
  </w:abstractNum>
  <w:abstractNum w:abstractNumId="1">
    <w:nsid w:val="B7DC10C3"/>
    <w:multiLevelType w:val="singleLevel"/>
    <w:tmpl w:val="B7DC10C3"/>
    <w:lvl w:ilvl="0" w:tentative="0">
      <w:start w:val="2"/>
      <w:numFmt w:val="chineseCounting"/>
      <w:suff w:val="nothing"/>
      <w:lvlText w:val="（%1）"/>
      <w:lvlJc w:val="left"/>
      <w:rPr>
        <w:rFonts w:hint="eastAsia"/>
      </w:rPr>
    </w:lvl>
  </w:abstractNum>
  <w:abstractNum w:abstractNumId="2">
    <w:nsid w:val="F5E687A2"/>
    <w:multiLevelType w:val="singleLevel"/>
    <w:tmpl w:val="F5E687A2"/>
    <w:lvl w:ilvl="0" w:tentative="0">
      <w:start w:val="2"/>
      <w:numFmt w:val="chineseCounting"/>
      <w:suff w:val="nothing"/>
      <w:lvlText w:val="%1、"/>
      <w:lvlJc w:val="left"/>
      <w:rPr>
        <w:rFonts w:hint="eastAsia"/>
      </w:rPr>
    </w:lvl>
  </w:abstractNum>
  <w:abstractNum w:abstractNumId="3">
    <w:nsid w:val="1C761375"/>
    <w:multiLevelType w:val="multilevel"/>
    <w:tmpl w:val="1C761375"/>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5504026"/>
    <w:multiLevelType w:val="multilevel"/>
    <w:tmpl w:val="75504026"/>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6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DA2E46"/>
    <w:rsid w:val="00010DF5"/>
    <w:rsid w:val="0002050C"/>
    <w:rsid w:val="00031D74"/>
    <w:rsid w:val="00031EDA"/>
    <w:rsid w:val="00035FD6"/>
    <w:rsid w:val="00041275"/>
    <w:rsid w:val="00041E23"/>
    <w:rsid w:val="00057979"/>
    <w:rsid w:val="00062839"/>
    <w:rsid w:val="000640B1"/>
    <w:rsid w:val="0006527E"/>
    <w:rsid w:val="000716F8"/>
    <w:rsid w:val="000725C9"/>
    <w:rsid w:val="000751D5"/>
    <w:rsid w:val="00077F3F"/>
    <w:rsid w:val="00080BBF"/>
    <w:rsid w:val="00094137"/>
    <w:rsid w:val="000A301B"/>
    <w:rsid w:val="000A519B"/>
    <w:rsid w:val="000A7A3F"/>
    <w:rsid w:val="000B0E52"/>
    <w:rsid w:val="000B7490"/>
    <w:rsid w:val="000D18E4"/>
    <w:rsid w:val="000D1DA9"/>
    <w:rsid w:val="000D2926"/>
    <w:rsid w:val="000D48B5"/>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232D4"/>
    <w:rsid w:val="00230459"/>
    <w:rsid w:val="002416CF"/>
    <w:rsid w:val="00247842"/>
    <w:rsid w:val="002554AB"/>
    <w:rsid w:val="002629DD"/>
    <w:rsid w:val="00262A33"/>
    <w:rsid w:val="002630BB"/>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81A77"/>
    <w:rsid w:val="00384C92"/>
    <w:rsid w:val="0038618F"/>
    <w:rsid w:val="003A07A4"/>
    <w:rsid w:val="003A4878"/>
    <w:rsid w:val="003B1785"/>
    <w:rsid w:val="003C4B9C"/>
    <w:rsid w:val="003C68DF"/>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2077"/>
    <w:rsid w:val="00492402"/>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14C6"/>
    <w:rsid w:val="00574A51"/>
    <w:rsid w:val="00582A20"/>
    <w:rsid w:val="00590283"/>
    <w:rsid w:val="00594A14"/>
    <w:rsid w:val="005A3570"/>
    <w:rsid w:val="005A7750"/>
    <w:rsid w:val="005B55AC"/>
    <w:rsid w:val="005B7E2F"/>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47DE1"/>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166DF"/>
    <w:rsid w:val="009312E6"/>
    <w:rsid w:val="0093260C"/>
    <w:rsid w:val="00937503"/>
    <w:rsid w:val="00942B9F"/>
    <w:rsid w:val="00943319"/>
    <w:rsid w:val="0094346F"/>
    <w:rsid w:val="00947447"/>
    <w:rsid w:val="009613A1"/>
    <w:rsid w:val="00973FB8"/>
    <w:rsid w:val="0097494E"/>
    <w:rsid w:val="00976A8C"/>
    <w:rsid w:val="00977FF3"/>
    <w:rsid w:val="0098091D"/>
    <w:rsid w:val="00980D3C"/>
    <w:rsid w:val="00984CC9"/>
    <w:rsid w:val="009941A6"/>
    <w:rsid w:val="0099510C"/>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61ADA"/>
    <w:rsid w:val="00A67B9F"/>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256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6060C"/>
    <w:rsid w:val="00E637A9"/>
    <w:rsid w:val="00E67DF9"/>
    <w:rsid w:val="00E71A4E"/>
    <w:rsid w:val="00E92BA7"/>
    <w:rsid w:val="00E957E7"/>
    <w:rsid w:val="00EB4AEC"/>
    <w:rsid w:val="00ED08EB"/>
    <w:rsid w:val="00ED4D5F"/>
    <w:rsid w:val="00ED6D28"/>
    <w:rsid w:val="00ED72DC"/>
    <w:rsid w:val="00EE1389"/>
    <w:rsid w:val="00EE3D1C"/>
    <w:rsid w:val="00EE3FF1"/>
    <w:rsid w:val="00EE6A89"/>
    <w:rsid w:val="00EF2CF1"/>
    <w:rsid w:val="00F02A03"/>
    <w:rsid w:val="00F16856"/>
    <w:rsid w:val="00F23C03"/>
    <w:rsid w:val="00F43B46"/>
    <w:rsid w:val="00F46C50"/>
    <w:rsid w:val="00F50DD6"/>
    <w:rsid w:val="00F517BA"/>
    <w:rsid w:val="00F538E2"/>
    <w:rsid w:val="00F76A89"/>
    <w:rsid w:val="00F8151A"/>
    <w:rsid w:val="00F822CF"/>
    <w:rsid w:val="00F93C6F"/>
    <w:rsid w:val="00F9418D"/>
    <w:rsid w:val="00F94BD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0147E2"/>
    <w:rsid w:val="01161381"/>
    <w:rsid w:val="011A5E25"/>
    <w:rsid w:val="012A118F"/>
    <w:rsid w:val="012A6BDB"/>
    <w:rsid w:val="014F6641"/>
    <w:rsid w:val="01521C8D"/>
    <w:rsid w:val="0168325F"/>
    <w:rsid w:val="01A544B3"/>
    <w:rsid w:val="01AE3368"/>
    <w:rsid w:val="01BA61B0"/>
    <w:rsid w:val="01D17056"/>
    <w:rsid w:val="01F86CD9"/>
    <w:rsid w:val="021D673F"/>
    <w:rsid w:val="024E4B4B"/>
    <w:rsid w:val="02581525"/>
    <w:rsid w:val="025B2DC4"/>
    <w:rsid w:val="02C72207"/>
    <w:rsid w:val="02ED6112"/>
    <w:rsid w:val="02F94AB6"/>
    <w:rsid w:val="0317318F"/>
    <w:rsid w:val="035937A7"/>
    <w:rsid w:val="0387014A"/>
    <w:rsid w:val="03BB6210"/>
    <w:rsid w:val="03D64DF8"/>
    <w:rsid w:val="03D66BA6"/>
    <w:rsid w:val="03F27402"/>
    <w:rsid w:val="040556DD"/>
    <w:rsid w:val="04212517"/>
    <w:rsid w:val="04730898"/>
    <w:rsid w:val="04842AA6"/>
    <w:rsid w:val="048C3708"/>
    <w:rsid w:val="049802FF"/>
    <w:rsid w:val="04A3117E"/>
    <w:rsid w:val="04B0389B"/>
    <w:rsid w:val="04BF588C"/>
    <w:rsid w:val="04DA4474"/>
    <w:rsid w:val="04F76DD4"/>
    <w:rsid w:val="05114316"/>
    <w:rsid w:val="05214D81"/>
    <w:rsid w:val="053B7608"/>
    <w:rsid w:val="054B2562"/>
    <w:rsid w:val="056805A2"/>
    <w:rsid w:val="056F2E0E"/>
    <w:rsid w:val="057743B8"/>
    <w:rsid w:val="05810D93"/>
    <w:rsid w:val="059565ED"/>
    <w:rsid w:val="05B44CC5"/>
    <w:rsid w:val="05DB04A3"/>
    <w:rsid w:val="05E530D0"/>
    <w:rsid w:val="06140B37"/>
    <w:rsid w:val="06500E91"/>
    <w:rsid w:val="069C40D7"/>
    <w:rsid w:val="06A15634"/>
    <w:rsid w:val="06A411DD"/>
    <w:rsid w:val="06B74FBC"/>
    <w:rsid w:val="06C07699"/>
    <w:rsid w:val="06F37A6F"/>
    <w:rsid w:val="070E75E1"/>
    <w:rsid w:val="07577FFE"/>
    <w:rsid w:val="076B1CFB"/>
    <w:rsid w:val="07B0770E"/>
    <w:rsid w:val="07C531B9"/>
    <w:rsid w:val="07CA07CF"/>
    <w:rsid w:val="07CF5DE6"/>
    <w:rsid w:val="07ED2710"/>
    <w:rsid w:val="08027530"/>
    <w:rsid w:val="08145258"/>
    <w:rsid w:val="086230FE"/>
    <w:rsid w:val="08691E27"/>
    <w:rsid w:val="08736DF0"/>
    <w:rsid w:val="08766BA9"/>
    <w:rsid w:val="088272FC"/>
    <w:rsid w:val="08872B64"/>
    <w:rsid w:val="088C3CD7"/>
    <w:rsid w:val="08907C6B"/>
    <w:rsid w:val="08BA08C0"/>
    <w:rsid w:val="08BC0A60"/>
    <w:rsid w:val="08E81CF0"/>
    <w:rsid w:val="092403B3"/>
    <w:rsid w:val="09246605"/>
    <w:rsid w:val="09414AC1"/>
    <w:rsid w:val="094C3466"/>
    <w:rsid w:val="097924AD"/>
    <w:rsid w:val="09B07E99"/>
    <w:rsid w:val="09BD6E87"/>
    <w:rsid w:val="09FC4E8C"/>
    <w:rsid w:val="0A314B36"/>
    <w:rsid w:val="0A73514E"/>
    <w:rsid w:val="0A7F7F97"/>
    <w:rsid w:val="0AA479FE"/>
    <w:rsid w:val="0ABF65E6"/>
    <w:rsid w:val="0ACC485F"/>
    <w:rsid w:val="0ADA3F4C"/>
    <w:rsid w:val="0B057D70"/>
    <w:rsid w:val="0B0E131B"/>
    <w:rsid w:val="0B116715"/>
    <w:rsid w:val="0B48482D"/>
    <w:rsid w:val="0B5A00BC"/>
    <w:rsid w:val="0B732363"/>
    <w:rsid w:val="0B7F5D75"/>
    <w:rsid w:val="0B9C6927"/>
    <w:rsid w:val="0BBF61BC"/>
    <w:rsid w:val="0BCB5C52"/>
    <w:rsid w:val="0BE300B2"/>
    <w:rsid w:val="0BE629C1"/>
    <w:rsid w:val="0BEF6A57"/>
    <w:rsid w:val="0BF71DAF"/>
    <w:rsid w:val="0C01678A"/>
    <w:rsid w:val="0C085D6A"/>
    <w:rsid w:val="0C142961"/>
    <w:rsid w:val="0C193AD3"/>
    <w:rsid w:val="0C475EF7"/>
    <w:rsid w:val="0C672E2D"/>
    <w:rsid w:val="0C7B29E0"/>
    <w:rsid w:val="0C7D22B4"/>
    <w:rsid w:val="0C913FB2"/>
    <w:rsid w:val="0CA80F95"/>
    <w:rsid w:val="0D1424ED"/>
    <w:rsid w:val="0D5D3E94"/>
    <w:rsid w:val="0D8238FA"/>
    <w:rsid w:val="0D8C18C1"/>
    <w:rsid w:val="0E0013EF"/>
    <w:rsid w:val="0E0D58BA"/>
    <w:rsid w:val="0E2B3F92"/>
    <w:rsid w:val="0E75278D"/>
    <w:rsid w:val="0E8611C8"/>
    <w:rsid w:val="0E8B67DF"/>
    <w:rsid w:val="0E90419B"/>
    <w:rsid w:val="0E9B1118"/>
    <w:rsid w:val="0EB75826"/>
    <w:rsid w:val="0EC37B54"/>
    <w:rsid w:val="0ED10695"/>
    <w:rsid w:val="0ED32660"/>
    <w:rsid w:val="0EDB7766"/>
    <w:rsid w:val="0EEA79A9"/>
    <w:rsid w:val="0EEF3211"/>
    <w:rsid w:val="0EF3685E"/>
    <w:rsid w:val="0EFB1BB6"/>
    <w:rsid w:val="0F113188"/>
    <w:rsid w:val="0F29227F"/>
    <w:rsid w:val="0F3F7CF5"/>
    <w:rsid w:val="0F4F5A5E"/>
    <w:rsid w:val="0F6634D4"/>
    <w:rsid w:val="0F670FFA"/>
    <w:rsid w:val="0F694D72"/>
    <w:rsid w:val="0F6C4862"/>
    <w:rsid w:val="0F7200CA"/>
    <w:rsid w:val="0F760751"/>
    <w:rsid w:val="0F7F4595"/>
    <w:rsid w:val="0FB35FED"/>
    <w:rsid w:val="0FF07241"/>
    <w:rsid w:val="101E3DAE"/>
    <w:rsid w:val="10390BE8"/>
    <w:rsid w:val="10637A13"/>
    <w:rsid w:val="108979E3"/>
    <w:rsid w:val="10A36062"/>
    <w:rsid w:val="10A5627E"/>
    <w:rsid w:val="10B93AD7"/>
    <w:rsid w:val="10BD35C7"/>
    <w:rsid w:val="1160463D"/>
    <w:rsid w:val="11CE5360"/>
    <w:rsid w:val="11E626AA"/>
    <w:rsid w:val="1218364A"/>
    <w:rsid w:val="12241424"/>
    <w:rsid w:val="122F22A3"/>
    <w:rsid w:val="12404081"/>
    <w:rsid w:val="12505D75"/>
    <w:rsid w:val="126A32DB"/>
    <w:rsid w:val="12AA36D7"/>
    <w:rsid w:val="12B16E0A"/>
    <w:rsid w:val="12BB58E4"/>
    <w:rsid w:val="12C0739F"/>
    <w:rsid w:val="12F9465F"/>
    <w:rsid w:val="12FC7CAB"/>
    <w:rsid w:val="130F79DE"/>
    <w:rsid w:val="1319085D"/>
    <w:rsid w:val="136602E1"/>
    <w:rsid w:val="13931986"/>
    <w:rsid w:val="13A73607"/>
    <w:rsid w:val="13AC7923"/>
    <w:rsid w:val="13D03611"/>
    <w:rsid w:val="13F54E26"/>
    <w:rsid w:val="13FB7F63"/>
    <w:rsid w:val="14221993"/>
    <w:rsid w:val="1422618B"/>
    <w:rsid w:val="14733F9D"/>
    <w:rsid w:val="147C10A3"/>
    <w:rsid w:val="14C447F8"/>
    <w:rsid w:val="15115C90"/>
    <w:rsid w:val="151B4D60"/>
    <w:rsid w:val="152534E9"/>
    <w:rsid w:val="15657B9D"/>
    <w:rsid w:val="15853E70"/>
    <w:rsid w:val="15862B82"/>
    <w:rsid w:val="15AF7257"/>
    <w:rsid w:val="15E52C78"/>
    <w:rsid w:val="162E0AC3"/>
    <w:rsid w:val="163C5D9C"/>
    <w:rsid w:val="163D4862"/>
    <w:rsid w:val="164E4CC1"/>
    <w:rsid w:val="165247B2"/>
    <w:rsid w:val="16556050"/>
    <w:rsid w:val="168C1346"/>
    <w:rsid w:val="169923E1"/>
    <w:rsid w:val="16994D22"/>
    <w:rsid w:val="169D3553"/>
    <w:rsid w:val="16A6065A"/>
    <w:rsid w:val="16AC04CA"/>
    <w:rsid w:val="16B84207"/>
    <w:rsid w:val="16BC7E7D"/>
    <w:rsid w:val="16EB2510"/>
    <w:rsid w:val="17081314"/>
    <w:rsid w:val="170F1E76"/>
    <w:rsid w:val="17163A31"/>
    <w:rsid w:val="171C3957"/>
    <w:rsid w:val="172024A5"/>
    <w:rsid w:val="172D30C4"/>
    <w:rsid w:val="17326391"/>
    <w:rsid w:val="17416ECA"/>
    <w:rsid w:val="175C6F6A"/>
    <w:rsid w:val="1780534F"/>
    <w:rsid w:val="17AF1790"/>
    <w:rsid w:val="17B2302E"/>
    <w:rsid w:val="17F83137"/>
    <w:rsid w:val="17FF44C5"/>
    <w:rsid w:val="183D6D9C"/>
    <w:rsid w:val="183F0D66"/>
    <w:rsid w:val="184D2180"/>
    <w:rsid w:val="186407CC"/>
    <w:rsid w:val="18644328"/>
    <w:rsid w:val="18934C0E"/>
    <w:rsid w:val="189B3AC2"/>
    <w:rsid w:val="18A707E9"/>
    <w:rsid w:val="18B21538"/>
    <w:rsid w:val="18D70F9E"/>
    <w:rsid w:val="18E67433"/>
    <w:rsid w:val="190478B9"/>
    <w:rsid w:val="19063631"/>
    <w:rsid w:val="191775ED"/>
    <w:rsid w:val="19392391"/>
    <w:rsid w:val="194523AC"/>
    <w:rsid w:val="196934AD"/>
    <w:rsid w:val="197762DD"/>
    <w:rsid w:val="197E58BE"/>
    <w:rsid w:val="199D21E8"/>
    <w:rsid w:val="19A277FE"/>
    <w:rsid w:val="19E45129"/>
    <w:rsid w:val="1A172451"/>
    <w:rsid w:val="1A240213"/>
    <w:rsid w:val="1A5B175B"/>
    <w:rsid w:val="1A705206"/>
    <w:rsid w:val="1A8D2B13"/>
    <w:rsid w:val="1AC92B69"/>
    <w:rsid w:val="1ADF238C"/>
    <w:rsid w:val="1AEB0D31"/>
    <w:rsid w:val="1AF92BB3"/>
    <w:rsid w:val="1B0E4A1F"/>
    <w:rsid w:val="1B3C158C"/>
    <w:rsid w:val="1B574618"/>
    <w:rsid w:val="1B684130"/>
    <w:rsid w:val="1B697EA8"/>
    <w:rsid w:val="1BC7354C"/>
    <w:rsid w:val="1BCA303C"/>
    <w:rsid w:val="1C033E58"/>
    <w:rsid w:val="1C071B9A"/>
    <w:rsid w:val="1C0C0F5F"/>
    <w:rsid w:val="1C0F6CA1"/>
    <w:rsid w:val="1C387FA6"/>
    <w:rsid w:val="1C4C3A51"/>
    <w:rsid w:val="1C766D20"/>
    <w:rsid w:val="1C9D24FF"/>
    <w:rsid w:val="1CA05B4B"/>
    <w:rsid w:val="1CAB69CA"/>
    <w:rsid w:val="1CBC0BD7"/>
    <w:rsid w:val="1CEE68B6"/>
    <w:rsid w:val="1D320E99"/>
    <w:rsid w:val="1DAB47A7"/>
    <w:rsid w:val="1DBE44DB"/>
    <w:rsid w:val="1DDC5D1E"/>
    <w:rsid w:val="1DFB74DD"/>
    <w:rsid w:val="1E0839A8"/>
    <w:rsid w:val="1E0C793C"/>
    <w:rsid w:val="1E252D30"/>
    <w:rsid w:val="1E293FBC"/>
    <w:rsid w:val="1E2A6014"/>
    <w:rsid w:val="1E311151"/>
    <w:rsid w:val="1E3D3153"/>
    <w:rsid w:val="1E5866DD"/>
    <w:rsid w:val="1E5E7A6C"/>
    <w:rsid w:val="1E914811"/>
    <w:rsid w:val="1EC04283"/>
    <w:rsid w:val="1EE77A61"/>
    <w:rsid w:val="1EEE7042"/>
    <w:rsid w:val="1EF328AA"/>
    <w:rsid w:val="1EF53F2C"/>
    <w:rsid w:val="1F2111C5"/>
    <w:rsid w:val="1F4C5B16"/>
    <w:rsid w:val="1F9A4AD4"/>
    <w:rsid w:val="1FA63478"/>
    <w:rsid w:val="1FB042F7"/>
    <w:rsid w:val="1FBF278C"/>
    <w:rsid w:val="1FEA5A5B"/>
    <w:rsid w:val="1FFE5062"/>
    <w:rsid w:val="20126D60"/>
    <w:rsid w:val="20311090"/>
    <w:rsid w:val="20346E0E"/>
    <w:rsid w:val="204F3443"/>
    <w:rsid w:val="205E01F7"/>
    <w:rsid w:val="20B9542D"/>
    <w:rsid w:val="20D02EA3"/>
    <w:rsid w:val="211014F1"/>
    <w:rsid w:val="21254871"/>
    <w:rsid w:val="212C5BFF"/>
    <w:rsid w:val="213056EF"/>
    <w:rsid w:val="215A09BE"/>
    <w:rsid w:val="216B497A"/>
    <w:rsid w:val="21937A2C"/>
    <w:rsid w:val="21992A01"/>
    <w:rsid w:val="21A8155E"/>
    <w:rsid w:val="21C85928"/>
    <w:rsid w:val="21E40288"/>
    <w:rsid w:val="220426D8"/>
    <w:rsid w:val="22124DF5"/>
    <w:rsid w:val="222608A0"/>
    <w:rsid w:val="224F1BA5"/>
    <w:rsid w:val="228D1E28"/>
    <w:rsid w:val="228D6B72"/>
    <w:rsid w:val="229323DA"/>
    <w:rsid w:val="22B20386"/>
    <w:rsid w:val="22CE1AC1"/>
    <w:rsid w:val="22F547E2"/>
    <w:rsid w:val="230E1A60"/>
    <w:rsid w:val="23377209"/>
    <w:rsid w:val="233D2B25"/>
    <w:rsid w:val="235A6A54"/>
    <w:rsid w:val="238E0DF3"/>
    <w:rsid w:val="239F090A"/>
    <w:rsid w:val="23B56380"/>
    <w:rsid w:val="23C6058D"/>
    <w:rsid w:val="23C72304"/>
    <w:rsid w:val="23F46EA8"/>
    <w:rsid w:val="241F37F9"/>
    <w:rsid w:val="245E4322"/>
    <w:rsid w:val="24653902"/>
    <w:rsid w:val="247D50F0"/>
    <w:rsid w:val="24AF254A"/>
    <w:rsid w:val="24AF7273"/>
    <w:rsid w:val="24C525F3"/>
    <w:rsid w:val="24C90335"/>
    <w:rsid w:val="24CA19B7"/>
    <w:rsid w:val="25096983"/>
    <w:rsid w:val="25270BB7"/>
    <w:rsid w:val="255B6AB3"/>
    <w:rsid w:val="25853B30"/>
    <w:rsid w:val="25950217"/>
    <w:rsid w:val="25A20B86"/>
    <w:rsid w:val="25B74631"/>
    <w:rsid w:val="25BD32CA"/>
    <w:rsid w:val="25C40AFC"/>
    <w:rsid w:val="25CE197B"/>
    <w:rsid w:val="25D725DE"/>
    <w:rsid w:val="25E847EB"/>
    <w:rsid w:val="25EE7927"/>
    <w:rsid w:val="25EF3DCB"/>
    <w:rsid w:val="2628108B"/>
    <w:rsid w:val="26526108"/>
    <w:rsid w:val="26667E05"/>
    <w:rsid w:val="26771661"/>
    <w:rsid w:val="268F4C66"/>
    <w:rsid w:val="26976211"/>
    <w:rsid w:val="26B4291F"/>
    <w:rsid w:val="27157820"/>
    <w:rsid w:val="271B0BF0"/>
    <w:rsid w:val="271C2272"/>
    <w:rsid w:val="272F1FA5"/>
    <w:rsid w:val="273A72C8"/>
    <w:rsid w:val="2767173F"/>
    <w:rsid w:val="27AE55C0"/>
    <w:rsid w:val="27BB320F"/>
    <w:rsid w:val="27C13D12"/>
    <w:rsid w:val="27C43F9E"/>
    <w:rsid w:val="27D8263D"/>
    <w:rsid w:val="27EB6814"/>
    <w:rsid w:val="27F06E9B"/>
    <w:rsid w:val="27FD0DC1"/>
    <w:rsid w:val="28177609"/>
    <w:rsid w:val="281C2BC6"/>
    <w:rsid w:val="281C4C20"/>
    <w:rsid w:val="28235FAE"/>
    <w:rsid w:val="28256117"/>
    <w:rsid w:val="282F32ED"/>
    <w:rsid w:val="28327F9F"/>
    <w:rsid w:val="283C2BCC"/>
    <w:rsid w:val="283E4BF7"/>
    <w:rsid w:val="285F4B0C"/>
    <w:rsid w:val="28757E8C"/>
    <w:rsid w:val="28AD1D1C"/>
    <w:rsid w:val="28B22E8E"/>
    <w:rsid w:val="28C02B57"/>
    <w:rsid w:val="28D41056"/>
    <w:rsid w:val="28DC7F0B"/>
    <w:rsid w:val="28F416F8"/>
    <w:rsid w:val="28F811E9"/>
    <w:rsid w:val="29001E4B"/>
    <w:rsid w:val="295978DD"/>
    <w:rsid w:val="298F1421"/>
    <w:rsid w:val="29BF3AB4"/>
    <w:rsid w:val="29C91AA7"/>
    <w:rsid w:val="29CE019B"/>
    <w:rsid w:val="29D11A3A"/>
    <w:rsid w:val="29D62BAC"/>
    <w:rsid w:val="2A1262DA"/>
    <w:rsid w:val="2A32072A"/>
    <w:rsid w:val="2A391AB9"/>
    <w:rsid w:val="2A4B359A"/>
    <w:rsid w:val="2ABB0720"/>
    <w:rsid w:val="2ACA0377"/>
    <w:rsid w:val="2ADE440E"/>
    <w:rsid w:val="2AFB4FC0"/>
    <w:rsid w:val="2B147E30"/>
    <w:rsid w:val="2B6F32B8"/>
    <w:rsid w:val="2B786611"/>
    <w:rsid w:val="2B9601FE"/>
    <w:rsid w:val="2BD25682"/>
    <w:rsid w:val="2BE27F2E"/>
    <w:rsid w:val="2C155C0E"/>
    <w:rsid w:val="2C414C55"/>
    <w:rsid w:val="2C475FE3"/>
    <w:rsid w:val="2C4C5A92"/>
    <w:rsid w:val="2C83526D"/>
    <w:rsid w:val="2CAB47C4"/>
    <w:rsid w:val="2CC33AC9"/>
    <w:rsid w:val="2CC633AC"/>
    <w:rsid w:val="2CD05FD9"/>
    <w:rsid w:val="2CD23AFF"/>
    <w:rsid w:val="2CDE6947"/>
    <w:rsid w:val="2CEF7A50"/>
    <w:rsid w:val="2D3227EF"/>
    <w:rsid w:val="2D3E2F42"/>
    <w:rsid w:val="2D71156A"/>
    <w:rsid w:val="2DE27D71"/>
    <w:rsid w:val="2DEE4968"/>
    <w:rsid w:val="2E310CF9"/>
    <w:rsid w:val="2E3F6F72"/>
    <w:rsid w:val="2E6764C9"/>
    <w:rsid w:val="2E7555D3"/>
    <w:rsid w:val="2EB536D8"/>
    <w:rsid w:val="2EB712DA"/>
    <w:rsid w:val="2ECA005F"/>
    <w:rsid w:val="2ECB2EFB"/>
    <w:rsid w:val="2ECD316E"/>
    <w:rsid w:val="2EDA313F"/>
    <w:rsid w:val="2F065CE2"/>
    <w:rsid w:val="2F0E760F"/>
    <w:rsid w:val="2F1C6FCF"/>
    <w:rsid w:val="2F5C3519"/>
    <w:rsid w:val="2F5C7FF7"/>
    <w:rsid w:val="2F5E167A"/>
    <w:rsid w:val="2F880DEC"/>
    <w:rsid w:val="2F886E61"/>
    <w:rsid w:val="30080C6F"/>
    <w:rsid w:val="300F6E18"/>
    <w:rsid w:val="3034062C"/>
    <w:rsid w:val="30536D05"/>
    <w:rsid w:val="305B3E0B"/>
    <w:rsid w:val="305F1B4D"/>
    <w:rsid w:val="30705B08"/>
    <w:rsid w:val="30AC639E"/>
    <w:rsid w:val="30AF3584"/>
    <w:rsid w:val="30E56588"/>
    <w:rsid w:val="30E91417"/>
    <w:rsid w:val="30F17A39"/>
    <w:rsid w:val="31293F09"/>
    <w:rsid w:val="31350B00"/>
    <w:rsid w:val="3159659D"/>
    <w:rsid w:val="315C608D"/>
    <w:rsid w:val="3194582D"/>
    <w:rsid w:val="31A83080"/>
    <w:rsid w:val="31B41A25"/>
    <w:rsid w:val="31BC6B2B"/>
    <w:rsid w:val="320504D2"/>
    <w:rsid w:val="32513718"/>
    <w:rsid w:val="326A47D9"/>
    <w:rsid w:val="32B048E2"/>
    <w:rsid w:val="32B1065A"/>
    <w:rsid w:val="32E4458C"/>
    <w:rsid w:val="33174961"/>
    <w:rsid w:val="33242BDA"/>
    <w:rsid w:val="332D26D2"/>
    <w:rsid w:val="33443C83"/>
    <w:rsid w:val="33705E1F"/>
    <w:rsid w:val="33745910"/>
    <w:rsid w:val="33953AD8"/>
    <w:rsid w:val="33997124"/>
    <w:rsid w:val="33CC574C"/>
    <w:rsid w:val="34256C0A"/>
    <w:rsid w:val="345968B4"/>
    <w:rsid w:val="348D41C6"/>
    <w:rsid w:val="35156C7E"/>
    <w:rsid w:val="35352E7D"/>
    <w:rsid w:val="3538471B"/>
    <w:rsid w:val="3566572C"/>
    <w:rsid w:val="3571636E"/>
    <w:rsid w:val="358362DE"/>
    <w:rsid w:val="35843E04"/>
    <w:rsid w:val="3589141A"/>
    <w:rsid w:val="358F4AB7"/>
    <w:rsid w:val="35BE10C4"/>
    <w:rsid w:val="35C506A4"/>
    <w:rsid w:val="35C8047F"/>
    <w:rsid w:val="35F04FF6"/>
    <w:rsid w:val="36021D61"/>
    <w:rsid w:val="36213401"/>
    <w:rsid w:val="36392E40"/>
    <w:rsid w:val="36794FEB"/>
    <w:rsid w:val="3687595A"/>
    <w:rsid w:val="368816D2"/>
    <w:rsid w:val="368D6CE8"/>
    <w:rsid w:val="369E0EF6"/>
    <w:rsid w:val="36AC716F"/>
    <w:rsid w:val="36AF6C5F"/>
    <w:rsid w:val="36D6243D"/>
    <w:rsid w:val="36D87F64"/>
    <w:rsid w:val="36E42DAC"/>
    <w:rsid w:val="36F32FEF"/>
    <w:rsid w:val="371A057C"/>
    <w:rsid w:val="373B4810"/>
    <w:rsid w:val="373B6744"/>
    <w:rsid w:val="373D24BC"/>
    <w:rsid w:val="37444515"/>
    <w:rsid w:val="37490E61"/>
    <w:rsid w:val="37695060"/>
    <w:rsid w:val="377D0B0B"/>
    <w:rsid w:val="37991DE9"/>
    <w:rsid w:val="37A662B4"/>
    <w:rsid w:val="37A83DDA"/>
    <w:rsid w:val="37B24C58"/>
    <w:rsid w:val="37BE35FD"/>
    <w:rsid w:val="37C14E9C"/>
    <w:rsid w:val="37D72911"/>
    <w:rsid w:val="37DF17C6"/>
    <w:rsid w:val="381D3A0B"/>
    <w:rsid w:val="3825542A"/>
    <w:rsid w:val="38451629"/>
    <w:rsid w:val="38AF451F"/>
    <w:rsid w:val="38C5276A"/>
    <w:rsid w:val="38DE382B"/>
    <w:rsid w:val="392C27E9"/>
    <w:rsid w:val="394C69E7"/>
    <w:rsid w:val="39F41558"/>
    <w:rsid w:val="3A1C0AAF"/>
    <w:rsid w:val="3A2636DC"/>
    <w:rsid w:val="3A916DA7"/>
    <w:rsid w:val="3AA36ADA"/>
    <w:rsid w:val="3B0F23C2"/>
    <w:rsid w:val="3B60677A"/>
    <w:rsid w:val="3B862684"/>
    <w:rsid w:val="3B8B7C9A"/>
    <w:rsid w:val="3B8E4123"/>
    <w:rsid w:val="3BAC19BF"/>
    <w:rsid w:val="3BD038FF"/>
    <w:rsid w:val="3BD11425"/>
    <w:rsid w:val="3BDD7DCA"/>
    <w:rsid w:val="3BEB698B"/>
    <w:rsid w:val="3BF55114"/>
    <w:rsid w:val="3C371BD0"/>
    <w:rsid w:val="3CA8662A"/>
    <w:rsid w:val="3CAA23A2"/>
    <w:rsid w:val="3CB72D11"/>
    <w:rsid w:val="3CBA010B"/>
    <w:rsid w:val="3CE533DA"/>
    <w:rsid w:val="3D0870C9"/>
    <w:rsid w:val="3D390965"/>
    <w:rsid w:val="3D4A5E08"/>
    <w:rsid w:val="3D5B019B"/>
    <w:rsid w:val="3D69400B"/>
    <w:rsid w:val="3D7724B9"/>
    <w:rsid w:val="3D8C7CFA"/>
    <w:rsid w:val="3DC56D68"/>
    <w:rsid w:val="3E10092B"/>
    <w:rsid w:val="3E18333B"/>
    <w:rsid w:val="3E261EFC"/>
    <w:rsid w:val="3E3E7246"/>
    <w:rsid w:val="3E4B1963"/>
    <w:rsid w:val="3E75253C"/>
    <w:rsid w:val="3E774506"/>
    <w:rsid w:val="3E7C7D6E"/>
    <w:rsid w:val="3E8135D7"/>
    <w:rsid w:val="3E8978EB"/>
    <w:rsid w:val="3EB94B1E"/>
    <w:rsid w:val="3ECD05CA"/>
    <w:rsid w:val="3EE26BC7"/>
    <w:rsid w:val="3EEC127F"/>
    <w:rsid w:val="3EFE4C27"/>
    <w:rsid w:val="3F830C89"/>
    <w:rsid w:val="3F9133A5"/>
    <w:rsid w:val="3FA806EF"/>
    <w:rsid w:val="3FB11C9A"/>
    <w:rsid w:val="3FCE0156"/>
    <w:rsid w:val="3FE54EAF"/>
    <w:rsid w:val="401B1A9A"/>
    <w:rsid w:val="40580367"/>
    <w:rsid w:val="405A7C3B"/>
    <w:rsid w:val="406B009A"/>
    <w:rsid w:val="40833636"/>
    <w:rsid w:val="40890521"/>
    <w:rsid w:val="408D0011"/>
    <w:rsid w:val="40CB4F77"/>
    <w:rsid w:val="40D43E92"/>
    <w:rsid w:val="412546ED"/>
    <w:rsid w:val="41456B3D"/>
    <w:rsid w:val="418F600A"/>
    <w:rsid w:val="41911D83"/>
    <w:rsid w:val="41933E73"/>
    <w:rsid w:val="41C21F3C"/>
    <w:rsid w:val="41C652D3"/>
    <w:rsid w:val="41CA2B9F"/>
    <w:rsid w:val="41E023C2"/>
    <w:rsid w:val="41EA1493"/>
    <w:rsid w:val="41FF6CEC"/>
    <w:rsid w:val="421D7172"/>
    <w:rsid w:val="422B7AE1"/>
    <w:rsid w:val="42786A9F"/>
    <w:rsid w:val="427C033D"/>
    <w:rsid w:val="428E1E1E"/>
    <w:rsid w:val="429733C9"/>
    <w:rsid w:val="42A87384"/>
    <w:rsid w:val="42E63A08"/>
    <w:rsid w:val="42E90FF2"/>
    <w:rsid w:val="43056584"/>
    <w:rsid w:val="431762B8"/>
    <w:rsid w:val="432664FB"/>
    <w:rsid w:val="432A5FEB"/>
    <w:rsid w:val="434370AD"/>
    <w:rsid w:val="43544E16"/>
    <w:rsid w:val="437454B8"/>
    <w:rsid w:val="438020AF"/>
    <w:rsid w:val="43866F99"/>
    <w:rsid w:val="43B27D8E"/>
    <w:rsid w:val="43DD4E0B"/>
    <w:rsid w:val="43EC32A0"/>
    <w:rsid w:val="43FE2FD4"/>
    <w:rsid w:val="43FF1225"/>
    <w:rsid w:val="441B5933"/>
    <w:rsid w:val="444C01E3"/>
    <w:rsid w:val="44507CD3"/>
    <w:rsid w:val="44623562"/>
    <w:rsid w:val="447137A5"/>
    <w:rsid w:val="449000D0"/>
    <w:rsid w:val="44C24001"/>
    <w:rsid w:val="44DA57EF"/>
    <w:rsid w:val="44DC50C3"/>
    <w:rsid w:val="44E4041B"/>
    <w:rsid w:val="4508235C"/>
    <w:rsid w:val="450D7972"/>
    <w:rsid w:val="45126D36"/>
    <w:rsid w:val="452623BD"/>
    <w:rsid w:val="452B4BB5"/>
    <w:rsid w:val="452B604A"/>
    <w:rsid w:val="453B44DF"/>
    <w:rsid w:val="45603F46"/>
    <w:rsid w:val="45660E30"/>
    <w:rsid w:val="457B0D80"/>
    <w:rsid w:val="46144D30"/>
    <w:rsid w:val="461B7E6D"/>
    <w:rsid w:val="46477F15"/>
    <w:rsid w:val="46511AE0"/>
    <w:rsid w:val="465B57DC"/>
    <w:rsid w:val="469C3B23"/>
    <w:rsid w:val="469F260E"/>
    <w:rsid w:val="46CC1167"/>
    <w:rsid w:val="473E02B7"/>
    <w:rsid w:val="47460F19"/>
    <w:rsid w:val="47632D59"/>
    <w:rsid w:val="47857C94"/>
    <w:rsid w:val="47863A0C"/>
    <w:rsid w:val="478B4B7E"/>
    <w:rsid w:val="47B73BC5"/>
    <w:rsid w:val="47E00AF1"/>
    <w:rsid w:val="47EC5378"/>
    <w:rsid w:val="47FE35A2"/>
    <w:rsid w:val="4832149E"/>
    <w:rsid w:val="48396CD0"/>
    <w:rsid w:val="483B65A4"/>
    <w:rsid w:val="483E7E42"/>
    <w:rsid w:val="48660E58"/>
    <w:rsid w:val="48741AB6"/>
    <w:rsid w:val="488241D3"/>
    <w:rsid w:val="48961A2D"/>
    <w:rsid w:val="489B34E7"/>
    <w:rsid w:val="48B85E47"/>
    <w:rsid w:val="48CB5B7A"/>
    <w:rsid w:val="48EC00C7"/>
    <w:rsid w:val="48EE2BC9"/>
    <w:rsid w:val="491C4628"/>
    <w:rsid w:val="49743D8F"/>
    <w:rsid w:val="49B06B1E"/>
    <w:rsid w:val="49B72A97"/>
    <w:rsid w:val="49E54A1A"/>
    <w:rsid w:val="49E8275C"/>
    <w:rsid w:val="4A0B36CD"/>
    <w:rsid w:val="4A630034"/>
    <w:rsid w:val="4A69564B"/>
    <w:rsid w:val="4A881849"/>
    <w:rsid w:val="4AA30431"/>
    <w:rsid w:val="4ABB39CC"/>
    <w:rsid w:val="4B3A7B4E"/>
    <w:rsid w:val="4B3F63AB"/>
    <w:rsid w:val="4B490FD8"/>
    <w:rsid w:val="4B555BCF"/>
    <w:rsid w:val="4B58746D"/>
    <w:rsid w:val="4B614574"/>
    <w:rsid w:val="4B771FE9"/>
    <w:rsid w:val="4BCE772F"/>
    <w:rsid w:val="4C235CCD"/>
    <w:rsid w:val="4C8A5D4C"/>
    <w:rsid w:val="4C8F3363"/>
    <w:rsid w:val="4CAC5CC3"/>
    <w:rsid w:val="4CC50B32"/>
    <w:rsid w:val="4CC72AFC"/>
    <w:rsid w:val="4CFB4554"/>
    <w:rsid w:val="4D043409"/>
    <w:rsid w:val="4D31441A"/>
    <w:rsid w:val="4D3A5B11"/>
    <w:rsid w:val="4D3D691B"/>
    <w:rsid w:val="4DD74FC1"/>
    <w:rsid w:val="4DFC0584"/>
    <w:rsid w:val="4E0631B0"/>
    <w:rsid w:val="4E0B07C7"/>
    <w:rsid w:val="4E2A50F1"/>
    <w:rsid w:val="4E342F84"/>
    <w:rsid w:val="4E395334"/>
    <w:rsid w:val="4E4F7A0A"/>
    <w:rsid w:val="4E656129"/>
    <w:rsid w:val="4E8A5B90"/>
    <w:rsid w:val="4EA76741"/>
    <w:rsid w:val="4EAF3848"/>
    <w:rsid w:val="4ED92673"/>
    <w:rsid w:val="4EEC684A"/>
    <w:rsid w:val="4F273421"/>
    <w:rsid w:val="4F391364"/>
    <w:rsid w:val="4F585C8E"/>
    <w:rsid w:val="4F5A7C58"/>
    <w:rsid w:val="4F7F321A"/>
    <w:rsid w:val="4F895E47"/>
    <w:rsid w:val="4F90367A"/>
    <w:rsid w:val="4F9D5D96"/>
    <w:rsid w:val="4FB76E58"/>
    <w:rsid w:val="4FF9121F"/>
    <w:rsid w:val="4FF97471"/>
    <w:rsid w:val="50033E4B"/>
    <w:rsid w:val="50062B38"/>
    <w:rsid w:val="506D7517"/>
    <w:rsid w:val="50B52C6C"/>
    <w:rsid w:val="50BB64D4"/>
    <w:rsid w:val="50BD049E"/>
    <w:rsid w:val="50D2079F"/>
    <w:rsid w:val="50D92DFE"/>
    <w:rsid w:val="50EE68AA"/>
    <w:rsid w:val="51087240"/>
    <w:rsid w:val="510F4A72"/>
    <w:rsid w:val="512322CB"/>
    <w:rsid w:val="5139564B"/>
    <w:rsid w:val="51894824"/>
    <w:rsid w:val="51AE7DE7"/>
    <w:rsid w:val="51D57A6A"/>
    <w:rsid w:val="51EB4B97"/>
    <w:rsid w:val="521560B8"/>
    <w:rsid w:val="52775DEE"/>
    <w:rsid w:val="5290573F"/>
    <w:rsid w:val="52B15DE1"/>
    <w:rsid w:val="52D95337"/>
    <w:rsid w:val="52DD4E28"/>
    <w:rsid w:val="52E166C3"/>
    <w:rsid w:val="52ED0DE3"/>
    <w:rsid w:val="531620E8"/>
    <w:rsid w:val="53226CDE"/>
    <w:rsid w:val="53285977"/>
    <w:rsid w:val="532E5683"/>
    <w:rsid w:val="533F5EBA"/>
    <w:rsid w:val="53422EDD"/>
    <w:rsid w:val="538C23AA"/>
    <w:rsid w:val="539F3E8B"/>
    <w:rsid w:val="53B17155"/>
    <w:rsid w:val="53B61F77"/>
    <w:rsid w:val="53C02053"/>
    <w:rsid w:val="53DC50DF"/>
    <w:rsid w:val="53E46B80"/>
    <w:rsid w:val="53E775E0"/>
    <w:rsid w:val="53EE2FD4"/>
    <w:rsid w:val="541D74A6"/>
    <w:rsid w:val="54422A68"/>
    <w:rsid w:val="544E11C2"/>
    <w:rsid w:val="5463310B"/>
    <w:rsid w:val="54662BFB"/>
    <w:rsid w:val="54A51975"/>
    <w:rsid w:val="54F71AA5"/>
    <w:rsid w:val="551E7032"/>
    <w:rsid w:val="55392A77"/>
    <w:rsid w:val="555E38D2"/>
    <w:rsid w:val="55A439DB"/>
    <w:rsid w:val="55AE2AAB"/>
    <w:rsid w:val="55CA0F67"/>
    <w:rsid w:val="560E70A6"/>
    <w:rsid w:val="563805C7"/>
    <w:rsid w:val="565076BF"/>
    <w:rsid w:val="567D13ED"/>
    <w:rsid w:val="56BD287A"/>
    <w:rsid w:val="56D57BC4"/>
    <w:rsid w:val="56DB78D0"/>
    <w:rsid w:val="56ED7603"/>
    <w:rsid w:val="56F3629C"/>
    <w:rsid w:val="56F72230"/>
    <w:rsid w:val="56FC7846"/>
    <w:rsid w:val="5719555B"/>
    <w:rsid w:val="57741E27"/>
    <w:rsid w:val="57833AC4"/>
    <w:rsid w:val="57A23F4A"/>
    <w:rsid w:val="57B343A9"/>
    <w:rsid w:val="57C57C38"/>
    <w:rsid w:val="57CC7219"/>
    <w:rsid w:val="57D1482F"/>
    <w:rsid w:val="57ED10AC"/>
    <w:rsid w:val="583C7C96"/>
    <w:rsid w:val="5875340D"/>
    <w:rsid w:val="588C69A8"/>
    <w:rsid w:val="58BA19B2"/>
    <w:rsid w:val="58CD149A"/>
    <w:rsid w:val="58F72073"/>
    <w:rsid w:val="58FC3B2E"/>
    <w:rsid w:val="590D1897"/>
    <w:rsid w:val="5919023C"/>
    <w:rsid w:val="59284923"/>
    <w:rsid w:val="593432C8"/>
    <w:rsid w:val="593B28A8"/>
    <w:rsid w:val="5943175D"/>
    <w:rsid w:val="594D25DB"/>
    <w:rsid w:val="594E4DC3"/>
    <w:rsid w:val="59561490"/>
    <w:rsid w:val="59570D64"/>
    <w:rsid w:val="595A0F3F"/>
    <w:rsid w:val="59705BA9"/>
    <w:rsid w:val="59747B68"/>
    <w:rsid w:val="598D700C"/>
    <w:rsid w:val="598F04FE"/>
    <w:rsid w:val="59D64D5C"/>
    <w:rsid w:val="59F36CDF"/>
    <w:rsid w:val="5A105AE3"/>
    <w:rsid w:val="5A2A0227"/>
    <w:rsid w:val="5A382944"/>
    <w:rsid w:val="5A3966BC"/>
    <w:rsid w:val="5A3B4BCC"/>
    <w:rsid w:val="5A584D94"/>
    <w:rsid w:val="5A602C61"/>
    <w:rsid w:val="5A7871E4"/>
    <w:rsid w:val="5AB9459A"/>
    <w:rsid w:val="5ACE32A8"/>
    <w:rsid w:val="5AEB20AC"/>
    <w:rsid w:val="5B1A029B"/>
    <w:rsid w:val="5B2829B8"/>
    <w:rsid w:val="5B3A26EB"/>
    <w:rsid w:val="5B5913F8"/>
    <w:rsid w:val="5B6360E6"/>
    <w:rsid w:val="5B955B74"/>
    <w:rsid w:val="5B9B5880"/>
    <w:rsid w:val="5BA67D81"/>
    <w:rsid w:val="5BED775E"/>
    <w:rsid w:val="5BF907F8"/>
    <w:rsid w:val="5C3D6937"/>
    <w:rsid w:val="5C464A56"/>
    <w:rsid w:val="5C6A7000"/>
    <w:rsid w:val="5C920267"/>
    <w:rsid w:val="5C9F6CAA"/>
    <w:rsid w:val="5CA02A22"/>
    <w:rsid w:val="5CCC1A69"/>
    <w:rsid w:val="5D153410"/>
    <w:rsid w:val="5D1F428F"/>
    <w:rsid w:val="5D235B2D"/>
    <w:rsid w:val="5D2C3AEB"/>
    <w:rsid w:val="5D5201C0"/>
    <w:rsid w:val="5D7A14C5"/>
    <w:rsid w:val="5DEB15DF"/>
    <w:rsid w:val="5E135D11"/>
    <w:rsid w:val="5E6F08FE"/>
    <w:rsid w:val="5E7D126D"/>
    <w:rsid w:val="5E7F3237"/>
    <w:rsid w:val="5E9B59CB"/>
    <w:rsid w:val="5EB10F16"/>
    <w:rsid w:val="5ECE6AE2"/>
    <w:rsid w:val="5EF57055"/>
    <w:rsid w:val="5F0C439F"/>
    <w:rsid w:val="5F180C0B"/>
    <w:rsid w:val="5F313E05"/>
    <w:rsid w:val="5F3F0259"/>
    <w:rsid w:val="5F645F89"/>
    <w:rsid w:val="5F6B7317"/>
    <w:rsid w:val="5F775CBC"/>
    <w:rsid w:val="5F8D1984"/>
    <w:rsid w:val="5F961333"/>
    <w:rsid w:val="5F990328"/>
    <w:rsid w:val="5FC058B5"/>
    <w:rsid w:val="5FC30F01"/>
    <w:rsid w:val="5FCD3B2E"/>
    <w:rsid w:val="5FDC6467"/>
    <w:rsid w:val="5FE31328"/>
    <w:rsid w:val="5FEA2932"/>
    <w:rsid w:val="5FF732A1"/>
    <w:rsid w:val="60114363"/>
    <w:rsid w:val="602B6AA7"/>
    <w:rsid w:val="60433DF0"/>
    <w:rsid w:val="604C539B"/>
    <w:rsid w:val="6065645C"/>
    <w:rsid w:val="60681AA9"/>
    <w:rsid w:val="609F196E"/>
    <w:rsid w:val="60A26D69"/>
    <w:rsid w:val="60B62814"/>
    <w:rsid w:val="60DC59A2"/>
    <w:rsid w:val="60E23123"/>
    <w:rsid w:val="61045C75"/>
    <w:rsid w:val="610C4B2A"/>
    <w:rsid w:val="61306A6A"/>
    <w:rsid w:val="61565DA5"/>
    <w:rsid w:val="616109D2"/>
    <w:rsid w:val="6171498D"/>
    <w:rsid w:val="61750921"/>
    <w:rsid w:val="618C1561"/>
    <w:rsid w:val="618D5C6B"/>
    <w:rsid w:val="619012B7"/>
    <w:rsid w:val="61B64F19"/>
    <w:rsid w:val="61CD7F83"/>
    <w:rsid w:val="61D7354F"/>
    <w:rsid w:val="61ED495B"/>
    <w:rsid w:val="61EE5FDE"/>
    <w:rsid w:val="61FA0313"/>
    <w:rsid w:val="61FE26C5"/>
    <w:rsid w:val="62083543"/>
    <w:rsid w:val="620D2908"/>
    <w:rsid w:val="623F15C0"/>
    <w:rsid w:val="62516C98"/>
    <w:rsid w:val="625C73EB"/>
    <w:rsid w:val="626F5370"/>
    <w:rsid w:val="627B5AC3"/>
    <w:rsid w:val="62A74B0A"/>
    <w:rsid w:val="62B249B4"/>
    <w:rsid w:val="62CA168B"/>
    <w:rsid w:val="62DE6052"/>
    <w:rsid w:val="62FA7330"/>
    <w:rsid w:val="630A6E47"/>
    <w:rsid w:val="632A1297"/>
    <w:rsid w:val="63700E68"/>
    <w:rsid w:val="63732C3E"/>
    <w:rsid w:val="63BC2837"/>
    <w:rsid w:val="640D6BEF"/>
    <w:rsid w:val="64340620"/>
    <w:rsid w:val="64356146"/>
    <w:rsid w:val="643979E4"/>
    <w:rsid w:val="64686B51"/>
    <w:rsid w:val="646D1D84"/>
    <w:rsid w:val="647A41FA"/>
    <w:rsid w:val="64A62BA0"/>
    <w:rsid w:val="64C23E7D"/>
    <w:rsid w:val="65000502"/>
    <w:rsid w:val="65110961"/>
    <w:rsid w:val="651A39E8"/>
    <w:rsid w:val="654E5711"/>
    <w:rsid w:val="65554CF2"/>
    <w:rsid w:val="65907AD8"/>
    <w:rsid w:val="65984BDE"/>
    <w:rsid w:val="65B23EF2"/>
    <w:rsid w:val="6618187B"/>
    <w:rsid w:val="662D17CA"/>
    <w:rsid w:val="664B39FF"/>
    <w:rsid w:val="6659611C"/>
    <w:rsid w:val="667747F4"/>
    <w:rsid w:val="667947C2"/>
    <w:rsid w:val="667E2026"/>
    <w:rsid w:val="66C37A39"/>
    <w:rsid w:val="66CF2882"/>
    <w:rsid w:val="66E71979"/>
    <w:rsid w:val="66EA1469"/>
    <w:rsid w:val="670544F5"/>
    <w:rsid w:val="670C5884"/>
    <w:rsid w:val="673B7F17"/>
    <w:rsid w:val="673D3C8F"/>
    <w:rsid w:val="6759039D"/>
    <w:rsid w:val="67A818B0"/>
    <w:rsid w:val="67B850C4"/>
    <w:rsid w:val="67BF46A4"/>
    <w:rsid w:val="67D61035"/>
    <w:rsid w:val="67E802BB"/>
    <w:rsid w:val="6804655B"/>
    <w:rsid w:val="6828049B"/>
    <w:rsid w:val="68525518"/>
    <w:rsid w:val="68733C9B"/>
    <w:rsid w:val="688A2F04"/>
    <w:rsid w:val="68907DEF"/>
    <w:rsid w:val="68BA5D49"/>
    <w:rsid w:val="68C36416"/>
    <w:rsid w:val="690600B1"/>
    <w:rsid w:val="69112CDD"/>
    <w:rsid w:val="69194288"/>
    <w:rsid w:val="69221092"/>
    <w:rsid w:val="69280027"/>
    <w:rsid w:val="69354EFB"/>
    <w:rsid w:val="6937396B"/>
    <w:rsid w:val="696B4AA2"/>
    <w:rsid w:val="697119CE"/>
    <w:rsid w:val="697414BE"/>
    <w:rsid w:val="69BD0841"/>
    <w:rsid w:val="69C04704"/>
    <w:rsid w:val="69C75B99"/>
    <w:rsid w:val="69E9754E"/>
    <w:rsid w:val="69F50851"/>
    <w:rsid w:val="6A211646"/>
    <w:rsid w:val="6A3550F2"/>
    <w:rsid w:val="6A570BC4"/>
    <w:rsid w:val="6A627569"/>
    <w:rsid w:val="6A841BD5"/>
    <w:rsid w:val="6A9C2A7B"/>
    <w:rsid w:val="6AB53B3C"/>
    <w:rsid w:val="6AF24D91"/>
    <w:rsid w:val="6B036F9E"/>
    <w:rsid w:val="6B1B6095"/>
    <w:rsid w:val="6B321631"/>
    <w:rsid w:val="6B562347"/>
    <w:rsid w:val="6B821888"/>
    <w:rsid w:val="6B824366"/>
    <w:rsid w:val="6B9D1512"/>
    <w:rsid w:val="6BD149A6"/>
    <w:rsid w:val="6BD6020E"/>
    <w:rsid w:val="6C041279"/>
    <w:rsid w:val="6C270A6A"/>
    <w:rsid w:val="6C3F4006"/>
    <w:rsid w:val="6C4E249B"/>
    <w:rsid w:val="6C4E4249"/>
    <w:rsid w:val="6C7E41A5"/>
    <w:rsid w:val="6C841DBF"/>
    <w:rsid w:val="6C8C6B1F"/>
    <w:rsid w:val="6CA83959"/>
    <w:rsid w:val="6CF748E0"/>
    <w:rsid w:val="6D0668D1"/>
    <w:rsid w:val="6D2C27DC"/>
    <w:rsid w:val="6D2F7BD6"/>
    <w:rsid w:val="6D604233"/>
    <w:rsid w:val="6D785A21"/>
    <w:rsid w:val="6D7E0B5E"/>
    <w:rsid w:val="6D920165"/>
    <w:rsid w:val="6DAF51BB"/>
    <w:rsid w:val="6DD8026E"/>
    <w:rsid w:val="6DDB7D5E"/>
    <w:rsid w:val="6E005A16"/>
    <w:rsid w:val="6E1F649C"/>
    <w:rsid w:val="6E427DDD"/>
    <w:rsid w:val="6E4C47B8"/>
    <w:rsid w:val="6E7066F8"/>
    <w:rsid w:val="6E8E4DD0"/>
    <w:rsid w:val="6EA6036C"/>
    <w:rsid w:val="6EA939B8"/>
    <w:rsid w:val="6EDC1FE0"/>
    <w:rsid w:val="6EF015E7"/>
    <w:rsid w:val="6F07701B"/>
    <w:rsid w:val="6F0B4673"/>
    <w:rsid w:val="6F0F4163"/>
    <w:rsid w:val="6F2A4AF9"/>
    <w:rsid w:val="6F4162E7"/>
    <w:rsid w:val="6F651FD5"/>
    <w:rsid w:val="6F795A80"/>
    <w:rsid w:val="6F863CF9"/>
    <w:rsid w:val="6F9208F0"/>
    <w:rsid w:val="6F944668"/>
    <w:rsid w:val="6FAA3E8C"/>
    <w:rsid w:val="6FB940CF"/>
    <w:rsid w:val="6FE54EC4"/>
    <w:rsid w:val="6FE729EA"/>
    <w:rsid w:val="7012394F"/>
    <w:rsid w:val="7020414E"/>
    <w:rsid w:val="70585696"/>
    <w:rsid w:val="70A332E1"/>
    <w:rsid w:val="70AB1C6A"/>
    <w:rsid w:val="70BB28C7"/>
    <w:rsid w:val="70CB230C"/>
    <w:rsid w:val="71093911"/>
    <w:rsid w:val="710B6BAC"/>
    <w:rsid w:val="711315BD"/>
    <w:rsid w:val="71306613"/>
    <w:rsid w:val="713559D7"/>
    <w:rsid w:val="7141612A"/>
    <w:rsid w:val="714874B8"/>
    <w:rsid w:val="714D216E"/>
    <w:rsid w:val="714F4CEB"/>
    <w:rsid w:val="71526589"/>
    <w:rsid w:val="71630796"/>
    <w:rsid w:val="716342F2"/>
    <w:rsid w:val="719C5A56"/>
    <w:rsid w:val="71B44B4E"/>
    <w:rsid w:val="71B763EC"/>
    <w:rsid w:val="71C254BD"/>
    <w:rsid w:val="71C50B09"/>
    <w:rsid w:val="71D90A58"/>
    <w:rsid w:val="724F4877"/>
    <w:rsid w:val="72AA0ADE"/>
    <w:rsid w:val="72C9533D"/>
    <w:rsid w:val="72D54D7C"/>
    <w:rsid w:val="72D57472"/>
    <w:rsid w:val="72EF7CA5"/>
    <w:rsid w:val="72FD42D3"/>
    <w:rsid w:val="73261A7B"/>
    <w:rsid w:val="73267CCD"/>
    <w:rsid w:val="733107D8"/>
    <w:rsid w:val="737B21A7"/>
    <w:rsid w:val="737C169B"/>
    <w:rsid w:val="738D4B62"/>
    <w:rsid w:val="73C41CC8"/>
    <w:rsid w:val="73C84053"/>
    <w:rsid w:val="73E536E4"/>
    <w:rsid w:val="73F92CEC"/>
    <w:rsid w:val="73FE47A6"/>
    <w:rsid w:val="73FE6554"/>
    <w:rsid w:val="740B2A1F"/>
    <w:rsid w:val="743B3304"/>
    <w:rsid w:val="745D6531"/>
    <w:rsid w:val="74600FBD"/>
    <w:rsid w:val="749D3FBF"/>
    <w:rsid w:val="749E5660"/>
    <w:rsid w:val="74AE3AD6"/>
    <w:rsid w:val="74DD362F"/>
    <w:rsid w:val="750E6C6B"/>
    <w:rsid w:val="751E11CC"/>
    <w:rsid w:val="753B10E2"/>
    <w:rsid w:val="75952EE8"/>
    <w:rsid w:val="75D91027"/>
    <w:rsid w:val="75E83018"/>
    <w:rsid w:val="75E85738"/>
    <w:rsid w:val="760342F6"/>
    <w:rsid w:val="761E2EDE"/>
    <w:rsid w:val="7625426C"/>
    <w:rsid w:val="76437692"/>
    <w:rsid w:val="76562678"/>
    <w:rsid w:val="765B5EE0"/>
    <w:rsid w:val="7671125F"/>
    <w:rsid w:val="76DD06A3"/>
    <w:rsid w:val="76FB321F"/>
    <w:rsid w:val="772067E2"/>
    <w:rsid w:val="772905BC"/>
    <w:rsid w:val="77342D4E"/>
    <w:rsid w:val="7746449A"/>
    <w:rsid w:val="776112D4"/>
    <w:rsid w:val="77664B3C"/>
    <w:rsid w:val="776B1C7B"/>
    <w:rsid w:val="777C4360"/>
    <w:rsid w:val="777E63ED"/>
    <w:rsid w:val="77882D05"/>
    <w:rsid w:val="77950F7E"/>
    <w:rsid w:val="77955421"/>
    <w:rsid w:val="77BC29AE"/>
    <w:rsid w:val="77C43611"/>
    <w:rsid w:val="77CC388A"/>
    <w:rsid w:val="77D45F4A"/>
    <w:rsid w:val="77E37F3B"/>
    <w:rsid w:val="77FA7033"/>
    <w:rsid w:val="780F19B8"/>
    <w:rsid w:val="7819395D"/>
    <w:rsid w:val="782E6CB4"/>
    <w:rsid w:val="7840538D"/>
    <w:rsid w:val="785C1A9B"/>
    <w:rsid w:val="786D1EFA"/>
    <w:rsid w:val="78746DE5"/>
    <w:rsid w:val="78760DAF"/>
    <w:rsid w:val="788A2AAC"/>
    <w:rsid w:val="789A3CEC"/>
    <w:rsid w:val="78A376CA"/>
    <w:rsid w:val="78EA5EF2"/>
    <w:rsid w:val="791A5BDE"/>
    <w:rsid w:val="791B3704"/>
    <w:rsid w:val="7924080B"/>
    <w:rsid w:val="7956298E"/>
    <w:rsid w:val="795A422D"/>
    <w:rsid w:val="795F5CE7"/>
    <w:rsid w:val="797B5EDA"/>
    <w:rsid w:val="79823784"/>
    <w:rsid w:val="799314ED"/>
    <w:rsid w:val="79A100AE"/>
    <w:rsid w:val="79BA191D"/>
    <w:rsid w:val="79C1605A"/>
    <w:rsid w:val="79D12015"/>
    <w:rsid w:val="79E306C6"/>
    <w:rsid w:val="79ED6E4F"/>
    <w:rsid w:val="79F3642F"/>
    <w:rsid w:val="79F857F4"/>
    <w:rsid w:val="7A275176"/>
    <w:rsid w:val="7A320D06"/>
    <w:rsid w:val="7A3D6F22"/>
    <w:rsid w:val="7A520562"/>
    <w:rsid w:val="7A5C3FD5"/>
    <w:rsid w:val="7ACF29F8"/>
    <w:rsid w:val="7AD149C3"/>
    <w:rsid w:val="7AE2097E"/>
    <w:rsid w:val="7B0A68E9"/>
    <w:rsid w:val="7B0D52CF"/>
    <w:rsid w:val="7B227779"/>
    <w:rsid w:val="7B354F51"/>
    <w:rsid w:val="7B3B1E3C"/>
    <w:rsid w:val="7B811F45"/>
    <w:rsid w:val="7BAB5214"/>
    <w:rsid w:val="7BC71922"/>
    <w:rsid w:val="7BD057ED"/>
    <w:rsid w:val="7BDA6D21"/>
    <w:rsid w:val="7BDA78A7"/>
    <w:rsid w:val="7C0C5586"/>
    <w:rsid w:val="7C10151B"/>
    <w:rsid w:val="7C240B22"/>
    <w:rsid w:val="7C694787"/>
    <w:rsid w:val="7C8F0691"/>
    <w:rsid w:val="7CAB4D9F"/>
    <w:rsid w:val="7CBE4AD3"/>
    <w:rsid w:val="7CBF5669"/>
    <w:rsid w:val="7CC55E61"/>
    <w:rsid w:val="7CD460A4"/>
    <w:rsid w:val="7CFE5817"/>
    <w:rsid w:val="7D2C7C8E"/>
    <w:rsid w:val="7D397EFB"/>
    <w:rsid w:val="7D484F9C"/>
    <w:rsid w:val="7D586CD5"/>
    <w:rsid w:val="7D6722A4"/>
    <w:rsid w:val="7D8555F0"/>
    <w:rsid w:val="7DA4016C"/>
    <w:rsid w:val="7DB879A9"/>
    <w:rsid w:val="7DE40569"/>
    <w:rsid w:val="7E114D79"/>
    <w:rsid w:val="7E1F3C97"/>
    <w:rsid w:val="7E2B6198"/>
    <w:rsid w:val="7E350DC4"/>
    <w:rsid w:val="7E3E236F"/>
    <w:rsid w:val="7E5A082B"/>
    <w:rsid w:val="7E7A2C7B"/>
    <w:rsid w:val="7E801D18"/>
    <w:rsid w:val="7E90249F"/>
    <w:rsid w:val="7EAD4DFF"/>
    <w:rsid w:val="7EBC14E6"/>
    <w:rsid w:val="7EED306E"/>
    <w:rsid w:val="7F032C71"/>
    <w:rsid w:val="7F08472B"/>
    <w:rsid w:val="7F0D7F93"/>
    <w:rsid w:val="7F21759B"/>
    <w:rsid w:val="7F2826CD"/>
    <w:rsid w:val="7F3C6183"/>
    <w:rsid w:val="7F511C2E"/>
    <w:rsid w:val="7F7122D0"/>
    <w:rsid w:val="7F8567C3"/>
    <w:rsid w:val="7F86582B"/>
    <w:rsid w:val="7F930498"/>
    <w:rsid w:val="7FA77AA0"/>
    <w:rsid w:val="7FC00B62"/>
    <w:rsid w:val="7FE72592"/>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36"/>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38"/>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7"/>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48"/>
    <w:unhideWhenUsed/>
    <w:qFormat/>
    <w:uiPriority w:val="9"/>
    <w:pPr>
      <w:keepNext/>
      <w:keepLines/>
      <w:spacing w:before="280" w:after="290" w:line="376" w:lineRule="auto"/>
      <w:outlineLvl w:val="3"/>
    </w:pPr>
    <w:rPr>
      <w:rFonts w:asciiTheme="majorHAnsi" w:hAnsiTheme="majorHAnsi" w:cstheme="majorBidi"/>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autoRedefine/>
    <w:unhideWhenUsed/>
    <w:qFormat/>
    <w:uiPriority w:val="39"/>
    <w:pPr>
      <w:ind w:left="1440"/>
    </w:pPr>
    <w:rPr>
      <w:rFonts w:asciiTheme="minorHAnsi" w:eastAsiaTheme="minorHAnsi"/>
      <w:sz w:val="18"/>
      <w:szCs w:val="18"/>
    </w:rPr>
  </w:style>
  <w:style w:type="paragraph" w:styleId="7">
    <w:name w:val="Normal Indent"/>
    <w:basedOn w:val="1"/>
    <w:next w:val="1"/>
    <w:unhideWhenUsed/>
    <w:qFormat/>
    <w:uiPriority w:val="0"/>
    <w:pPr>
      <w:ind w:firstLine="420" w:firstLineChars="200"/>
    </w:pPr>
    <w:rPr>
      <w:rFonts w:ascii="Calibri" w:hAnsi="Calibri"/>
      <w:szCs w:val="22"/>
    </w:rPr>
  </w:style>
  <w:style w:type="paragraph" w:styleId="8">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9">
    <w:name w:val="annotation text"/>
    <w:basedOn w:val="1"/>
    <w:link w:val="45"/>
    <w:qFormat/>
    <w:uiPriority w:val="0"/>
    <w:pPr>
      <w:spacing w:line="240" w:lineRule="auto"/>
    </w:pPr>
    <w:rPr>
      <w:rFonts w:asciiTheme="minorHAnsi" w:hAnsiTheme="minorHAnsi" w:eastAsiaTheme="minorEastAsia"/>
      <w:sz w:val="21"/>
      <w:szCs w:val="24"/>
    </w:rPr>
  </w:style>
  <w:style w:type="paragraph" w:styleId="10">
    <w:name w:val="Body Text 3"/>
    <w:basedOn w:val="1"/>
    <w:link w:val="41"/>
    <w:semiHidden/>
    <w:unhideWhenUsed/>
    <w:qFormat/>
    <w:uiPriority w:val="99"/>
    <w:pPr>
      <w:spacing w:after="120"/>
    </w:pPr>
    <w:rPr>
      <w:sz w:val="16"/>
      <w:szCs w:val="16"/>
    </w:rPr>
  </w:style>
  <w:style w:type="paragraph" w:styleId="11">
    <w:name w:val="Body Text"/>
    <w:basedOn w:val="1"/>
    <w:link w:val="40"/>
    <w:unhideWhenUsed/>
    <w:qFormat/>
    <w:uiPriority w:val="99"/>
    <w:pPr>
      <w:spacing w:after="120" w:line="240" w:lineRule="auto"/>
      <w:jc w:val="both"/>
    </w:pPr>
    <w:rPr>
      <w:rFonts w:ascii="Times New Roman" w:hAnsi="Times New Roman" w:cs="Times New Roman"/>
      <w:kern w:val="0"/>
      <w:sz w:val="20"/>
      <w:szCs w:val="20"/>
    </w:rPr>
  </w:style>
  <w:style w:type="paragraph" w:styleId="12">
    <w:name w:val="Body Text Indent"/>
    <w:basedOn w:val="1"/>
    <w:unhideWhenUsed/>
    <w:qFormat/>
    <w:uiPriority w:val="0"/>
    <w:pPr>
      <w:ind w:firstLine="630"/>
    </w:pPr>
    <w:rPr>
      <w:rFonts w:eastAsia="仿宋_GB2312"/>
      <w:kern w:val="0"/>
      <w:sz w:val="32"/>
      <w:szCs w:val="20"/>
    </w:rPr>
  </w:style>
  <w:style w:type="paragraph" w:styleId="13">
    <w:name w:val="toc 5"/>
    <w:basedOn w:val="1"/>
    <w:next w:val="1"/>
    <w:autoRedefine/>
    <w:unhideWhenUsed/>
    <w:qFormat/>
    <w:uiPriority w:val="39"/>
    <w:pPr>
      <w:ind w:left="960"/>
    </w:pPr>
    <w:rPr>
      <w:rFonts w:asciiTheme="minorHAnsi" w:eastAsiaTheme="minorHAnsi"/>
      <w:sz w:val="18"/>
      <w:szCs w:val="18"/>
    </w:rPr>
  </w:style>
  <w:style w:type="paragraph" w:styleId="14">
    <w:name w:val="toc 3"/>
    <w:basedOn w:val="1"/>
    <w:next w:val="1"/>
    <w:autoRedefine/>
    <w:unhideWhenUsed/>
    <w:qFormat/>
    <w:uiPriority w:val="39"/>
    <w:pPr>
      <w:ind w:left="480"/>
    </w:pPr>
    <w:rPr>
      <w:rFonts w:asciiTheme="minorHAnsi" w:eastAsiaTheme="minorHAnsi"/>
      <w:i/>
      <w:iCs/>
      <w:sz w:val="20"/>
      <w:szCs w:val="20"/>
    </w:rPr>
  </w:style>
  <w:style w:type="paragraph" w:styleId="15">
    <w:name w:val="Plain Text"/>
    <w:basedOn w:val="1"/>
    <w:unhideWhenUsed/>
    <w:qFormat/>
    <w:uiPriority w:val="0"/>
    <w:rPr>
      <w:rFonts w:ascii="宋体" w:hAnsi="Courier New"/>
      <w:kern w:val="0"/>
      <w:sz w:val="20"/>
      <w:szCs w:val="20"/>
    </w:rPr>
  </w:style>
  <w:style w:type="paragraph" w:styleId="16">
    <w:name w:val="toc 8"/>
    <w:basedOn w:val="1"/>
    <w:next w:val="1"/>
    <w:autoRedefine/>
    <w:unhideWhenUsed/>
    <w:qFormat/>
    <w:uiPriority w:val="39"/>
    <w:pPr>
      <w:ind w:left="1680"/>
    </w:pPr>
    <w:rPr>
      <w:rFonts w:asciiTheme="minorHAnsi" w:eastAsiaTheme="minorHAnsi"/>
      <w:sz w:val="18"/>
      <w:szCs w:val="18"/>
    </w:rPr>
  </w:style>
  <w:style w:type="paragraph" w:styleId="17">
    <w:name w:val="footer"/>
    <w:basedOn w:val="1"/>
    <w:link w:val="35"/>
    <w:unhideWhenUsed/>
    <w:qFormat/>
    <w:uiPriority w:val="99"/>
    <w:pPr>
      <w:tabs>
        <w:tab w:val="center" w:pos="4153"/>
        <w:tab w:val="right" w:pos="8306"/>
      </w:tabs>
      <w:snapToGrid w:val="0"/>
    </w:pPr>
    <w:rPr>
      <w:sz w:val="18"/>
      <w:szCs w:val="18"/>
    </w:rPr>
  </w:style>
  <w:style w:type="paragraph" w:styleId="18">
    <w:name w:val="header"/>
    <w:basedOn w:val="1"/>
    <w:link w:val="34"/>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0">
    <w:name w:val="toc 4"/>
    <w:basedOn w:val="1"/>
    <w:next w:val="1"/>
    <w:autoRedefine/>
    <w:unhideWhenUsed/>
    <w:qFormat/>
    <w:uiPriority w:val="39"/>
    <w:pPr>
      <w:ind w:left="720"/>
    </w:pPr>
    <w:rPr>
      <w:rFonts w:asciiTheme="minorHAnsi" w:eastAsiaTheme="minorHAnsi"/>
      <w:sz w:val="18"/>
      <w:szCs w:val="18"/>
    </w:rPr>
  </w:style>
  <w:style w:type="paragraph" w:styleId="21">
    <w:name w:val="footnote text"/>
    <w:basedOn w:val="1"/>
    <w:qFormat/>
    <w:uiPriority w:val="0"/>
    <w:pPr>
      <w:widowControl/>
      <w:jc w:val="left"/>
    </w:pPr>
    <w:rPr>
      <w:kern w:val="0"/>
      <w:sz w:val="20"/>
      <w:szCs w:val="20"/>
      <w:lang w:val="de-DE"/>
    </w:rPr>
  </w:style>
  <w:style w:type="paragraph" w:styleId="22">
    <w:name w:val="toc 6"/>
    <w:basedOn w:val="1"/>
    <w:next w:val="1"/>
    <w:autoRedefine/>
    <w:unhideWhenUsed/>
    <w:qFormat/>
    <w:uiPriority w:val="39"/>
    <w:pPr>
      <w:ind w:left="1200"/>
    </w:pPr>
    <w:rPr>
      <w:rFonts w:asciiTheme="minorHAnsi" w:eastAsiaTheme="minorHAnsi"/>
      <w:sz w:val="18"/>
      <w:szCs w:val="18"/>
    </w:rPr>
  </w:style>
  <w:style w:type="paragraph" w:styleId="23">
    <w:name w:val="toc 2"/>
    <w:basedOn w:val="1"/>
    <w:next w:val="1"/>
    <w:autoRedefine/>
    <w:unhideWhenUsed/>
    <w:qFormat/>
    <w:uiPriority w:val="39"/>
    <w:pPr>
      <w:ind w:left="240"/>
    </w:pPr>
    <w:rPr>
      <w:rFonts w:asciiTheme="minorHAnsi" w:eastAsiaTheme="minorHAnsi"/>
      <w:smallCaps/>
      <w:sz w:val="20"/>
      <w:szCs w:val="20"/>
    </w:rPr>
  </w:style>
  <w:style w:type="paragraph" w:styleId="24">
    <w:name w:val="toc 9"/>
    <w:basedOn w:val="1"/>
    <w:next w:val="1"/>
    <w:autoRedefine/>
    <w:unhideWhenUsed/>
    <w:qFormat/>
    <w:uiPriority w:val="39"/>
    <w:pPr>
      <w:ind w:left="1920"/>
    </w:pPr>
    <w:rPr>
      <w:rFonts w:asciiTheme="minorHAnsi" w:eastAsiaTheme="minorHAnsi"/>
      <w:sz w:val="18"/>
      <w:szCs w:val="18"/>
    </w:rPr>
  </w:style>
  <w:style w:type="paragraph" w:styleId="25">
    <w:name w:val="Normal (Web)"/>
    <w:basedOn w:val="1"/>
    <w:qFormat/>
    <w:uiPriority w:val="0"/>
    <w:pPr>
      <w:widowControl/>
      <w:spacing w:before="100" w:beforeAutospacing="1" w:after="100" w:afterAutospacing="1" w:line="240" w:lineRule="auto"/>
    </w:pPr>
    <w:rPr>
      <w:rFonts w:cs="宋体"/>
      <w:kern w:val="0"/>
      <w:szCs w:val="20"/>
    </w:rPr>
  </w:style>
  <w:style w:type="paragraph" w:styleId="26">
    <w:name w:val="annotation subject"/>
    <w:basedOn w:val="9"/>
    <w:next w:val="9"/>
    <w:link w:val="50"/>
    <w:semiHidden/>
    <w:unhideWhenUsed/>
    <w:qFormat/>
    <w:uiPriority w:val="99"/>
    <w:pPr>
      <w:spacing w:line="360" w:lineRule="auto"/>
    </w:pPr>
    <w:rPr>
      <w:rFonts w:ascii="宋体" w:hAnsi="宋体" w:eastAsia="宋体"/>
      <w:b/>
      <w:bCs/>
      <w:sz w:val="24"/>
      <w:szCs w:val="22"/>
    </w:rPr>
  </w:style>
  <w:style w:type="table" w:styleId="28">
    <w:name w:val="Table Grid"/>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qFormat/>
    <w:uiPriority w:val="0"/>
    <w:rPr>
      <w:b/>
      <w:bCs/>
    </w:rPr>
  </w:style>
  <w:style w:type="character" w:styleId="31">
    <w:name w:val="Hyperlink"/>
    <w:basedOn w:val="29"/>
    <w:unhideWhenUsed/>
    <w:qFormat/>
    <w:uiPriority w:val="99"/>
    <w:rPr>
      <w:color w:val="0563C1" w:themeColor="hyperlink"/>
      <w:u w:val="single"/>
      <w14:textFill>
        <w14:solidFill>
          <w14:schemeClr w14:val="hlink"/>
        </w14:solidFill>
      </w14:textFill>
    </w:rPr>
  </w:style>
  <w:style w:type="character" w:styleId="32">
    <w:name w:val="annotation reference"/>
    <w:basedOn w:val="29"/>
    <w:semiHidden/>
    <w:unhideWhenUsed/>
    <w:qFormat/>
    <w:uiPriority w:val="99"/>
    <w:rPr>
      <w:sz w:val="21"/>
      <w:szCs w:val="21"/>
    </w:rPr>
  </w:style>
  <w:style w:type="paragraph" w:customStyle="1" w:styleId="33">
    <w:name w:val="正文缩进2"/>
    <w:basedOn w:val="1"/>
    <w:qFormat/>
    <w:uiPriority w:val="0"/>
    <w:pPr>
      <w:wordWrap w:val="0"/>
      <w:ind w:firstLine="200" w:firstLineChars="200"/>
    </w:pPr>
  </w:style>
  <w:style w:type="character" w:customStyle="1" w:styleId="34">
    <w:name w:val="页眉 字符"/>
    <w:basedOn w:val="29"/>
    <w:link w:val="18"/>
    <w:qFormat/>
    <w:uiPriority w:val="99"/>
    <w:rPr>
      <w:rFonts w:eastAsia="宋体"/>
      <w:sz w:val="18"/>
      <w:szCs w:val="18"/>
    </w:rPr>
  </w:style>
  <w:style w:type="character" w:customStyle="1" w:styleId="35">
    <w:name w:val="页脚 字符"/>
    <w:basedOn w:val="29"/>
    <w:link w:val="17"/>
    <w:qFormat/>
    <w:uiPriority w:val="99"/>
    <w:rPr>
      <w:rFonts w:eastAsia="宋体"/>
      <w:sz w:val="18"/>
      <w:szCs w:val="18"/>
    </w:rPr>
  </w:style>
  <w:style w:type="character" w:customStyle="1" w:styleId="36">
    <w:name w:val="标题 1 字符"/>
    <w:basedOn w:val="29"/>
    <w:link w:val="2"/>
    <w:qFormat/>
    <w:uiPriority w:val="9"/>
    <w:rPr>
      <w:rFonts w:ascii="宋体" w:hAnsi="宋体" w:eastAsia="黑体"/>
      <w:b/>
      <w:bCs/>
      <w:kern w:val="44"/>
      <w:sz w:val="44"/>
      <w:szCs w:val="44"/>
    </w:rPr>
  </w:style>
  <w:style w:type="paragraph" w:styleId="37">
    <w:name w:val="List Paragraph"/>
    <w:basedOn w:val="1"/>
    <w:link w:val="46"/>
    <w:qFormat/>
    <w:uiPriority w:val="34"/>
    <w:pPr>
      <w:ind w:firstLine="420" w:firstLineChars="200"/>
    </w:pPr>
  </w:style>
  <w:style w:type="character" w:customStyle="1" w:styleId="38">
    <w:name w:val="标题 2 字符"/>
    <w:basedOn w:val="29"/>
    <w:link w:val="3"/>
    <w:qFormat/>
    <w:uiPriority w:val="9"/>
    <w:rPr>
      <w:rFonts w:eastAsia="宋体" w:asciiTheme="majorHAnsi" w:hAnsiTheme="majorHAnsi" w:cstheme="majorBidi"/>
      <w:b/>
      <w:bCs/>
      <w:sz w:val="32"/>
      <w:szCs w:val="32"/>
    </w:rPr>
  </w:style>
  <w:style w:type="character" w:customStyle="1" w:styleId="39">
    <w:name w:val="未处理的提及1"/>
    <w:basedOn w:val="29"/>
    <w:semiHidden/>
    <w:unhideWhenUsed/>
    <w:qFormat/>
    <w:uiPriority w:val="99"/>
    <w:rPr>
      <w:color w:val="605E5C"/>
      <w:shd w:val="clear" w:color="auto" w:fill="E1DFDD"/>
    </w:rPr>
  </w:style>
  <w:style w:type="character" w:customStyle="1" w:styleId="40">
    <w:name w:val="正文文本 字符"/>
    <w:basedOn w:val="29"/>
    <w:link w:val="11"/>
    <w:qFormat/>
    <w:uiPriority w:val="99"/>
    <w:rPr>
      <w:rFonts w:ascii="Times New Roman" w:hAnsi="Times New Roman" w:eastAsia="宋体" w:cs="Times New Roman"/>
      <w:kern w:val="0"/>
      <w:sz w:val="20"/>
      <w:szCs w:val="20"/>
    </w:rPr>
  </w:style>
  <w:style w:type="character" w:customStyle="1" w:styleId="41">
    <w:name w:val="正文文本 3 字符"/>
    <w:basedOn w:val="29"/>
    <w:link w:val="10"/>
    <w:semiHidden/>
    <w:qFormat/>
    <w:uiPriority w:val="99"/>
    <w:rPr>
      <w:rFonts w:ascii="宋体" w:hAnsi="宋体" w:eastAsia="宋体"/>
      <w:sz w:val="16"/>
      <w:szCs w:val="16"/>
    </w:rPr>
  </w:style>
  <w:style w:type="paragraph" w:customStyle="1" w:styleId="42">
    <w:name w:val="Default"/>
    <w:link w:val="43"/>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43">
    <w:name w:val="Default Char Char"/>
    <w:link w:val="42"/>
    <w:qFormat/>
    <w:uiPriority w:val="0"/>
    <w:rPr>
      <w:rFonts w:ascii=".." w:hAnsi="Times New Roman" w:eastAsia=".." w:cs="Times New Roman"/>
      <w:color w:val="000000"/>
      <w:kern w:val="0"/>
      <w:sz w:val="24"/>
      <w:szCs w:val="24"/>
    </w:rPr>
  </w:style>
  <w:style w:type="paragraph" w:styleId="44">
    <w:name w:val="No Spacing"/>
    <w:link w:val="49"/>
    <w:qFormat/>
    <w:uiPriority w:val="1"/>
    <w:pPr>
      <w:widowControl w:val="0"/>
    </w:pPr>
    <w:rPr>
      <w:rFonts w:ascii="宋体" w:hAnsi="宋体" w:eastAsia="宋体" w:cstheme="minorBidi"/>
      <w:kern w:val="2"/>
      <w:sz w:val="21"/>
      <w:szCs w:val="22"/>
      <w:lang w:val="en-US" w:eastAsia="zh-CN" w:bidi="ar-SA"/>
    </w:rPr>
  </w:style>
  <w:style w:type="character" w:customStyle="1" w:styleId="45">
    <w:name w:val="批注文字 字符"/>
    <w:basedOn w:val="29"/>
    <w:link w:val="9"/>
    <w:qFormat/>
    <w:uiPriority w:val="0"/>
    <w:rPr>
      <w:szCs w:val="24"/>
    </w:rPr>
  </w:style>
  <w:style w:type="character" w:customStyle="1" w:styleId="46">
    <w:name w:val="列表段落 字符"/>
    <w:link w:val="37"/>
    <w:qFormat/>
    <w:uiPriority w:val="34"/>
    <w:rPr>
      <w:rFonts w:ascii="宋体" w:hAnsi="宋体" w:eastAsia="宋体"/>
      <w:sz w:val="24"/>
    </w:rPr>
  </w:style>
  <w:style w:type="character" w:customStyle="1" w:styleId="47">
    <w:name w:val="标题 3 字符"/>
    <w:basedOn w:val="29"/>
    <w:link w:val="4"/>
    <w:autoRedefine/>
    <w:qFormat/>
    <w:uiPriority w:val="9"/>
    <w:rPr>
      <w:rFonts w:ascii="宋体" w:hAnsi="宋体" w:eastAsia="宋体"/>
      <w:b/>
      <w:bCs/>
      <w:sz w:val="32"/>
      <w:szCs w:val="32"/>
    </w:rPr>
  </w:style>
  <w:style w:type="character" w:customStyle="1" w:styleId="48">
    <w:name w:val="标题 4 字符"/>
    <w:basedOn w:val="29"/>
    <w:link w:val="5"/>
    <w:autoRedefine/>
    <w:qFormat/>
    <w:uiPriority w:val="9"/>
    <w:rPr>
      <w:rFonts w:eastAsia="宋体" w:asciiTheme="majorHAnsi" w:hAnsiTheme="majorHAnsi" w:cstheme="majorBidi"/>
      <w:b/>
      <w:bCs/>
      <w:sz w:val="28"/>
      <w:szCs w:val="28"/>
    </w:rPr>
  </w:style>
  <w:style w:type="character" w:customStyle="1" w:styleId="49">
    <w:name w:val="无间隔 字符"/>
    <w:link w:val="44"/>
    <w:qFormat/>
    <w:uiPriority w:val="1"/>
    <w:rPr>
      <w:rFonts w:ascii="宋体" w:hAnsi="宋体" w:eastAsia="宋体"/>
    </w:rPr>
  </w:style>
  <w:style w:type="character" w:customStyle="1" w:styleId="50">
    <w:name w:val="批注主题 字符"/>
    <w:basedOn w:val="45"/>
    <w:link w:val="26"/>
    <w:semiHidden/>
    <w:qFormat/>
    <w:uiPriority w:val="99"/>
    <w:rPr>
      <w:rFonts w:ascii="宋体" w:hAnsi="宋体" w:eastAsia="宋体"/>
      <w:b/>
      <w:bCs/>
      <w:kern w:val="2"/>
      <w:sz w:val="24"/>
      <w:szCs w:val="22"/>
    </w:rPr>
  </w:style>
  <w:style w:type="paragraph" w:customStyle="1" w:styleId="51">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2">
    <w:name w:val="正文_1_1"/>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3">
    <w:name w:val="正文1"/>
    <w:autoRedefine/>
    <w:qFormat/>
    <w:uiPriority w:val="0"/>
    <w:pPr>
      <w:widowControl w:val="0"/>
      <w:jc w:val="both"/>
    </w:pPr>
    <w:rPr>
      <w:rFonts w:ascii="Calibri" w:hAnsi="Calibri" w:eastAsia="宋体" w:cs="Times New Roman"/>
      <w:lang w:val="en-US" w:eastAsia="zh-CN" w:bidi="ar-SA"/>
    </w:rPr>
  </w:style>
  <w:style w:type="paragraph" w:customStyle="1" w:styleId="54">
    <w:name w:val="正文_2"/>
    <w:autoRedefine/>
    <w:qFormat/>
    <w:uiPriority w:val="0"/>
    <w:pPr>
      <w:widowControl w:val="0"/>
      <w:jc w:val="both"/>
    </w:pPr>
    <w:rPr>
      <w:rFonts w:ascii="Calibri" w:hAnsi="Calibri" w:eastAsia="宋体" w:cs="Times New Roman"/>
      <w:lang w:val="en-US" w:eastAsia="zh-CN" w:bidi="ar-SA"/>
    </w:rPr>
  </w:style>
  <w:style w:type="paragraph" w:customStyle="1" w:styleId="55">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56">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58">
    <w:name w:val="列出段落1"/>
    <w:basedOn w:val="1"/>
    <w:autoRedefine/>
    <w:qFormat/>
    <w:uiPriority w:val="0"/>
    <w:pPr>
      <w:ind w:firstLine="420" w:firstLineChars="200"/>
    </w:pPr>
    <w:rPr>
      <w:szCs w:val="21"/>
    </w:rPr>
  </w:style>
  <w:style w:type="paragraph" w:customStyle="1" w:styleId="59">
    <w:name w:val="Normal_22"/>
    <w:autoRedefine/>
    <w:qFormat/>
    <w:uiPriority w:val="0"/>
    <w:rPr>
      <w:rFonts w:ascii="Times New Roman" w:hAnsi="Times New Roman" w:eastAsia="Times New Roman" w:cs="Times New Roman"/>
      <w:sz w:val="24"/>
      <w:szCs w:val="24"/>
      <w:lang w:bidi="ar-SA"/>
    </w:rPr>
  </w:style>
  <w:style w:type="paragraph" w:customStyle="1" w:styleId="60">
    <w:name w:val="Char Char Char Char Char Char Char1 Char"/>
    <w:basedOn w:val="1"/>
    <w:autoRedefine/>
    <w:qFormat/>
    <w:uiPriority w:val="0"/>
    <w:rPr>
      <w:rFonts w:ascii="Arial" w:hAnsi="Arial" w:eastAsia="宋体" w:cs="Arial"/>
      <w:sz w:val="24"/>
    </w:rPr>
  </w:style>
  <w:style w:type="paragraph" w:customStyle="1" w:styleId="61">
    <w:name w:val="正文缩进2格"/>
    <w:basedOn w:val="1"/>
    <w:qFormat/>
    <w:uiPriority w:val="0"/>
    <w:pPr>
      <w:spacing w:line="600" w:lineRule="exact"/>
      <w:ind w:firstLine="639" w:firstLineChars="206"/>
    </w:pPr>
    <w:rPr>
      <w:rFonts w:ascii="仿宋_GB2312" w:hAnsi="宋体" w:eastAsia="仿宋_GB2312"/>
      <w:kern w:val="0"/>
      <w:sz w:val="31"/>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138</Pages>
  <Words>26993</Words>
  <Characters>29037</Characters>
  <Lines>294</Lines>
  <Paragraphs>82</Paragraphs>
  <TotalTime>43</TotalTime>
  <ScaleCrop>false</ScaleCrop>
  <LinksUpToDate>false</LinksUpToDate>
  <CharactersWithSpaces>29851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Administrator</cp:lastModifiedBy>
  <cp:lastPrinted>2024-12-28T09:36:00Z</cp:lastPrinted>
  <dcterms:modified xsi:type="dcterms:W3CDTF">2025-03-27T10:29:09Z</dcterms:modified>
  <cp:revision>397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AE6ED3C83BF84BDE89C21444E3D30917_13</vt:lpwstr>
  </property>
  <property fmtid="{D5CDD505-2E9C-101B-9397-08002B2CF9AE}" pid="4" name="KSOTemplateDocerSaveRecord">
    <vt:lpwstr>eyJoZGlkIjoiMWI0MmZkZjE0M2VhOGFhNWY0OGY5ZTNmNzUwZTNhZjciLCJ1c2VySWQiOiI1NDAwNzM1ODgifQ==</vt:lpwstr>
  </property>
</Properties>
</file>